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EC0E8" w14:textId="77777777" w:rsidR="00C67FEB" w:rsidRDefault="00C67FEB" w:rsidP="003D222C">
      <w:pPr>
        <w:rPr>
          <w:sz w:val="22"/>
          <w:szCs w:val="22"/>
          <w:u w:val="single"/>
        </w:rPr>
      </w:pPr>
    </w:p>
    <w:p w14:paraId="38EC76C4" w14:textId="77777777" w:rsidR="00885BB9" w:rsidRDefault="00885BB9" w:rsidP="00885BB9">
      <w:pPr>
        <w:pStyle w:val="BEISTitle"/>
      </w:pPr>
    </w:p>
    <w:p w14:paraId="0A34EE9B" w14:textId="77777777" w:rsidR="00885BB9" w:rsidRDefault="00885BB9" w:rsidP="00885BB9">
      <w:pPr>
        <w:pStyle w:val="BEISTitle"/>
      </w:pPr>
    </w:p>
    <w:p w14:paraId="76C49B04" w14:textId="77777777" w:rsidR="00885BB9" w:rsidRDefault="00885BB9" w:rsidP="00885BB9">
      <w:pPr>
        <w:pStyle w:val="BEISTitle"/>
      </w:pPr>
    </w:p>
    <w:p w14:paraId="7C7FEA78" w14:textId="77777777" w:rsidR="00885BB9" w:rsidRDefault="00885BB9" w:rsidP="00885BB9">
      <w:pPr>
        <w:pStyle w:val="BEISTitle"/>
      </w:pPr>
    </w:p>
    <w:p w14:paraId="64C9A776" w14:textId="77777777" w:rsidR="00D80C6C" w:rsidRDefault="00D80C6C" w:rsidP="00885BB9">
      <w:pPr>
        <w:pStyle w:val="BEISTitle"/>
      </w:pPr>
    </w:p>
    <w:p w14:paraId="6C63CC07" w14:textId="5850CA24" w:rsidR="00964968" w:rsidRDefault="00022F7E" w:rsidP="00964968">
      <w:pPr>
        <w:pStyle w:val="BEISTitle"/>
      </w:pPr>
      <w:r>
        <w:t>Forests and Climate Leaders’ Partnership</w:t>
      </w:r>
      <w:r w:rsidR="00964968">
        <w:t xml:space="preserve"> Annual Review </w:t>
      </w:r>
      <w:r w:rsidR="00AA6DBA">
        <w:t>2024</w:t>
      </w:r>
    </w:p>
    <w:p w14:paraId="624DAC73" w14:textId="3BC335B7" w:rsidR="00C67FEB" w:rsidRDefault="00C67FEB">
      <w:pPr>
        <w:spacing w:after="160" w:line="259" w:lineRule="auto"/>
        <w:rPr>
          <w:sz w:val="22"/>
          <w:szCs w:val="22"/>
          <w:u w:val="single"/>
        </w:rPr>
      </w:pPr>
    </w:p>
    <w:p w14:paraId="4AF08E4A" w14:textId="20AFDEDA" w:rsidR="007D1D64" w:rsidRDefault="007D1D64">
      <w:pPr>
        <w:spacing w:after="160" w:line="259" w:lineRule="auto"/>
        <w:rPr>
          <w:sz w:val="22"/>
          <w:szCs w:val="22"/>
        </w:rPr>
      </w:pPr>
    </w:p>
    <w:p w14:paraId="160505CC" w14:textId="77777777" w:rsidR="007D1D64" w:rsidRPr="007D1D64" w:rsidRDefault="007D1D64">
      <w:pPr>
        <w:spacing w:after="160" w:line="259" w:lineRule="auto"/>
        <w:rPr>
          <w:sz w:val="22"/>
          <w:szCs w:val="22"/>
        </w:rPr>
      </w:pPr>
    </w:p>
    <w:p w14:paraId="6ED798D0" w14:textId="77777777" w:rsidR="00090217" w:rsidRDefault="00090217" w:rsidP="003D222C">
      <w:pPr>
        <w:rPr>
          <w:sz w:val="22"/>
          <w:szCs w:val="22"/>
          <w:u w:val="single"/>
        </w:rPr>
      </w:pPr>
    </w:p>
    <w:p w14:paraId="1F841114" w14:textId="027A752E" w:rsidR="007D1D64" w:rsidRDefault="007D1D64" w:rsidP="007D1D64">
      <w:pPr>
        <w:spacing w:after="160" w:line="259" w:lineRule="auto"/>
        <w:rPr>
          <w:sz w:val="22"/>
          <w:szCs w:val="22"/>
        </w:rPr>
      </w:pPr>
    </w:p>
    <w:p w14:paraId="744BC35C" w14:textId="77777777" w:rsidR="007D1D64" w:rsidRDefault="007D1D64">
      <w:pPr>
        <w:spacing w:after="160" w:line="259" w:lineRule="auto"/>
        <w:rPr>
          <w:sz w:val="22"/>
          <w:szCs w:val="22"/>
        </w:rPr>
      </w:pPr>
    </w:p>
    <w:p w14:paraId="2EEE1272" w14:textId="67E26176" w:rsidR="007D1D64" w:rsidRDefault="007D1D64">
      <w:pPr>
        <w:spacing w:after="160" w:line="259" w:lineRule="auto"/>
        <w:rPr>
          <w:sz w:val="22"/>
          <w:szCs w:val="22"/>
        </w:rPr>
      </w:pPr>
      <w:r w:rsidRPr="29D08CD4">
        <w:rPr>
          <w:sz w:val="22"/>
          <w:szCs w:val="22"/>
        </w:rPr>
        <w:br w:type="page"/>
      </w:r>
    </w:p>
    <w:p w14:paraId="1FB1C90B" w14:textId="21AF7FBD" w:rsidR="007D1D64" w:rsidRDefault="007D1D64" w:rsidP="007D1D64">
      <w:pPr>
        <w:spacing w:after="160" w:line="259" w:lineRule="auto"/>
        <w:rPr>
          <w:sz w:val="22"/>
          <w:szCs w:val="22"/>
        </w:rPr>
      </w:pPr>
    </w:p>
    <w:p w14:paraId="6FC09FA9" w14:textId="77777777" w:rsidR="007D1D64" w:rsidRPr="007D1D64" w:rsidRDefault="007D1D64" w:rsidP="007D1D64">
      <w:pPr>
        <w:spacing w:after="160" w:line="259" w:lineRule="auto"/>
        <w:rPr>
          <w:sz w:val="22"/>
          <w:szCs w:val="22"/>
        </w:rPr>
      </w:pPr>
    </w:p>
    <w:p w14:paraId="40B4FF2C" w14:textId="77777777" w:rsidR="00112E33" w:rsidRDefault="00112E33" w:rsidP="007D1D64">
      <w:pPr>
        <w:spacing w:after="160" w:line="259" w:lineRule="auto"/>
        <w:rPr>
          <w:sz w:val="22"/>
          <w:szCs w:val="22"/>
        </w:rPr>
      </w:pPr>
    </w:p>
    <w:p w14:paraId="01A42860" w14:textId="77777777" w:rsidR="00112E33" w:rsidRDefault="00112E33" w:rsidP="007D1D64">
      <w:pPr>
        <w:spacing w:after="160" w:line="259" w:lineRule="auto"/>
        <w:rPr>
          <w:sz w:val="22"/>
          <w:szCs w:val="22"/>
        </w:rPr>
      </w:pPr>
    </w:p>
    <w:p w14:paraId="4A8FCC2A" w14:textId="77777777" w:rsidR="00112E33" w:rsidRDefault="00112E33" w:rsidP="007D1D64">
      <w:pPr>
        <w:spacing w:after="160" w:line="259" w:lineRule="auto"/>
        <w:rPr>
          <w:sz w:val="22"/>
          <w:szCs w:val="22"/>
        </w:rPr>
      </w:pPr>
    </w:p>
    <w:p w14:paraId="31553A3C" w14:textId="77777777" w:rsidR="00112E33" w:rsidRDefault="00112E33" w:rsidP="007D1D64">
      <w:pPr>
        <w:spacing w:after="160" w:line="259" w:lineRule="auto"/>
        <w:rPr>
          <w:sz w:val="22"/>
          <w:szCs w:val="22"/>
        </w:rPr>
      </w:pPr>
    </w:p>
    <w:p w14:paraId="1E72DB9D" w14:textId="77777777" w:rsidR="00112E33" w:rsidRDefault="00112E33" w:rsidP="007D1D64">
      <w:pPr>
        <w:spacing w:after="160" w:line="259" w:lineRule="auto"/>
        <w:rPr>
          <w:sz w:val="22"/>
          <w:szCs w:val="22"/>
        </w:rPr>
      </w:pPr>
    </w:p>
    <w:p w14:paraId="716930C2" w14:textId="77777777" w:rsidR="00112E33" w:rsidRDefault="00112E33" w:rsidP="007D1D64">
      <w:pPr>
        <w:spacing w:after="160" w:line="259" w:lineRule="auto"/>
        <w:rPr>
          <w:sz w:val="22"/>
          <w:szCs w:val="22"/>
        </w:rPr>
      </w:pPr>
    </w:p>
    <w:p w14:paraId="3ABDAEFF" w14:textId="77777777" w:rsidR="00112E33" w:rsidRDefault="00112E33" w:rsidP="007D1D64">
      <w:pPr>
        <w:spacing w:after="160" w:line="259" w:lineRule="auto"/>
        <w:rPr>
          <w:sz w:val="22"/>
          <w:szCs w:val="22"/>
        </w:rPr>
      </w:pPr>
    </w:p>
    <w:p w14:paraId="0884299F" w14:textId="77777777" w:rsidR="00112E33" w:rsidRDefault="00112E33" w:rsidP="007D1D64">
      <w:pPr>
        <w:spacing w:after="160" w:line="259" w:lineRule="auto"/>
        <w:rPr>
          <w:sz w:val="22"/>
          <w:szCs w:val="22"/>
        </w:rPr>
      </w:pPr>
    </w:p>
    <w:p w14:paraId="3BF57744" w14:textId="77777777" w:rsidR="00112E33" w:rsidRDefault="00112E33" w:rsidP="007D1D64">
      <w:pPr>
        <w:spacing w:after="160" w:line="259" w:lineRule="auto"/>
        <w:rPr>
          <w:sz w:val="22"/>
          <w:szCs w:val="22"/>
        </w:rPr>
      </w:pPr>
    </w:p>
    <w:p w14:paraId="70B1D846" w14:textId="77777777" w:rsidR="00112E33" w:rsidRDefault="00112E33" w:rsidP="007D1D64">
      <w:pPr>
        <w:spacing w:after="160" w:line="259" w:lineRule="auto"/>
        <w:rPr>
          <w:sz w:val="22"/>
          <w:szCs w:val="22"/>
        </w:rPr>
      </w:pPr>
    </w:p>
    <w:p w14:paraId="5C64FB7B" w14:textId="77777777" w:rsidR="00112E33" w:rsidRDefault="00112E33" w:rsidP="007D1D64">
      <w:pPr>
        <w:spacing w:after="160" w:line="259" w:lineRule="auto"/>
        <w:rPr>
          <w:sz w:val="22"/>
          <w:szCs w:val="22"/>
        </w:rPr>
      </w:pPr>
    </w:p>
    <w:p w14:paraId="7997CC66" w14:textId="77777777" w:rsidR="00112E33" w:rsidRDefault="00112E33" w:rsidP="007D1D64">
      <w:pPr>
        <w:spacing w:after="160" w:line="259" w:lineRule="auto"/>
        <w:rPr>
          <w:sz w:val="22"/>
          <w:szCs w:val="22"/>
        </w:rPr>
      </w:pPr>
    </w:p>
    <w:p w14:paraId="629D0223" w14:textId="77777777" w:rsidR="00112E33" w:rsidRDefault="00112E33" w:rsidP="007D1D64">
      <w:pPr>
        <w:spacing w:after="160" w:line="259" w:lineRule="auto"/>
        <w:rPr>
          <w:sz w:val="22"/>
          <w:szCs w:val="22"/>
        </w:rPr>
      </w:pPr>
    </w:p>
    <w:p w14:paraId="7B71C4CA" w14:textId="77777777" w:rsidR="00112E33" w:rsidRDefault="00112E33" w:rsidP="007D1D64">
      <w:pPr>
        <w:spacing w:after="160" w:line="259" w:lineRule="auto"/>
        <w:rPr>
          <w:sz w:val="22"/>
          <w:szCs w:val="22"/>
        </w:rPr>
      </w:pPr>
    </w:p>
    <w:p w14:paraId="0CB89A50" w14:textId="77777777" w:rsidR="00112E33" w:rsidRDefault="00112E33" w:rsidP="007D1D64">
      <w:pPr>
        <w:spacing w:after="160" w:line="259" w:lineRule="auto"/>
        <w:rPr>
          <w:sz w:val="22"/>
          <w:szCs w:val="22"/>
        </w:rPr>
      </w:pPr>
    </w:p>
    <w:p w14:paraId="4B8E6647" w14:textId="77777777" w:rsidR="00112E33" w:rsidRDefault="00112E33" w:rsidP="007D1D64">
      <w:pPr>
        <w:spacing w:after="160" w:line="259" w:lineRule="auto"/>
        <w:rPr>
          <w:sz w:val="22"/>
          <w:szCs w:val="22"/>
        </w:rPr>
      </w:pPr>
    </w:p>
    <w:p w14:paraId="7C0186E9" w14:textId="77777777" w:rsidR="00112E33" w:rsidRDefault="00112E33" w:rsidP="007D1D64">
      <w:pPr>
        <w:spacing w:after="160" w:line="259" w:lineRule="auto"/>
        <w:rPr>
          <w:sz w:val="22"/>
          <w:szCs w:val="22"/>
        </w:rPr>
      </w:pPr>
    </w:p>
    <w:p w14:paraId="0E213DCA" w14:textId="77777777" w:rsidR="00112E33" w:rsidRDefault="00112E33" w:rsidP="007D1D64">
      <w:pPr>
        <w:spacing w:after="160" w:line="259" w:lineRule="auto"/>
        <w:rPr>
          <w:sz w:val="22"/>
          <w:szCs w:val="22"/>
        </w:rPr>
      </w:pPr>
    </w:p>
    <w:p w14:paraId="7F45EBE4" w14:textId="77777777" w:rsidR="00112E33" w:rsidRDefault="00112E33" w:rsidP="007D1D64">
      <w:pPr>
        <w:spacing w:after="160" w:line="259" w:lineRule="auto"/>
        <w:rPr>
          <w:sz w:val="22"/>
          <w:szCs w:val="22"/>
        </w:rPr>
      </w:pPr>
    </w:p>
    <w:p w14:paraId="5F38EC95" w14:textId="77777777" w:rsidR="00112E33" w:rsidRDefault="00112E33" w:rsidP="007D1D64">
      <w:pPr>
        <w:spacing w:after="160" w:line="259" w:lineRule="auto"/>
        <w:rPr>
          <w:sz w:val="22"/>
          <w:szCs w:val="22"/>
        </w:rPr>
      </w:pPr>
    </w:p>
    <w:p w14:paraId="0FDC2684" w14:textId="77777777" w:rsidR="00112E33" w:rsidRDefault="00112E33" w:rsidP="007D1D64">
      <w:pPr>
        <w:spacing w:after="160" w:line="259" w:lineRule="auto"/>
        <w:rPr>
          <w:sz w:val="22"/>
          <w:szCs w:val="22"/>
        </w:rPr>
      </w:pPr>
    </w:p>
    <w:p w14:paraId="1E5D0624" w14:textId="77777777" w:rsidR="00112E33" w:rsidRDefault="00112E33" w:rsidP="007D1D64">
      <w:pPr>
        <w:spacing w:after="160" w:line="259" w:lineRule="auto"/>
        <w:rPr>
          <w:sz w:val="22"/>
          <w:szCs w:val="22"/>
        </w:rPr>
      </w:pPr>
    </w:p>
    <w:p w14:paraId="59AFB796" w14:textId="027750DF" w:rsidR="00112E33" w:rsidRDefault="00112E33" w:rsidP="007D1D64">
      <w:pPr>
        <w:spacing w:after="160" w:line="259" w:lineRule="auto"/>
        <w:rPr>
          <w:sz w:val="22"/>
          <w:szCs w:val="22"/>
        </w:rPr>
      </w:pPr>
      <w:r>
        <w:rPr>
          <w:noProof/>
        </w:rPr>
        <w:drawing>
          <wp:inline distT="0" distB="0" distL="0" distR="0" wp14:anchorId="6721D763" wp14:editId="7BAD602F">
            <wp:extent cx="792480" cy="323215"/>
            <wp:effectExtent l="0" t="0" r="7620" b="635"/>
            <wp:docPr id="12" name="Picture 12" descr="Logo - Open Government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2480" cy="323215"/>
                    </a:xfrm>
                    <a:prstGeom prst="rect">
                      <a:avLst/>
                    </a:prstGeom>
                    <a:noFill/>
                  </pic:spPr>
                </pic:pic>
              </a:graphicData>
            </a:graphic>
          </wp:inline>
        </w:drawing>
      </w:r>
    </w:p>
    <w:p w14:paraId="4BBA0357" w14:textId="3C6D3998" w:rsidR="007D1D64" w:rsidRPr="007D1D64" w:rsidRDefault="007D1D64" w:rsidP="007D1D64">
      <w:pPr>
        <w:spacing w:after="160" w:line="259" w:lineRule="auto"/>
        <w:rPr>
          <w:sz w:val="22"/>
          <w:szCs w:val="22"/>
        </w:rPr>
      </w:pPr>
      <w:r w:rsidRPr="29D08CD4">
        <w:rPr>
          <w:sz w:val="22"/>
          <w:szCs w:val="22"/>
        </w:rPr>
        <w:t>© Crown copyright 20</w:t>
      </w:r>
      <w:r w:rsidR="00FC2DA0" w:rsidRPr="29D08CD4">
        <w:rPr>
          <w:sz w:val="22"/>
          <w:szCs w:val="22"/>
        </w:rPr>
        <w:t>25</w:t>
      </w:r>
    </w:p>
    <w:p w14:paraId="3A1EFEA4" w14:textId="171A0D46" w:rsidR="007D1D64" w:rsidRPr="007D1D64" w:rsidRDefault="007D1D64" w:rsidP="007D1D64">
      <w:pPr>
        <w:spacing w:after="160" w:line="259" w:lineRule="auto"/>
        <w:rPr>
          <w:sz w:val="22"/>
          <w:szCs w:val="22"/>
        </w:rPr>
      </w:pPr>
      <w:r w:rsidRPr="29D08CD4">
        <w:rPr>
          <w:sz w:val="22"/>
          <w:szCs w:val="22"/>
        </w:rPr>
        <w:t xml:space="preserve">This publication is licensed under the terms of the Open Government Licence v3.0 except where otherwise stated. To view this licence, visit </w:t>
      </w:r>
      <w:hyperlink r:id="rId13">
        <w:r w:rsidRPr="29D08CD4">
          <w:rPr>
            <w:rStyle w:val="Hyperlink"/>
            <w:sz w:val="22"/>
            <w:szCs w:val="22"/>
          </w:rPr>
          <w:t>nationalarchives.gov.uk/doc/open-government-licence/version/3</w:t>
        </w:r>
      </w:hyperlink>
      <w:r w:rsidRPr="29D08CD4">
        <w:rPr>
          <w:sz w:val="22"/>
          <w:szCs w:val="22"/>
        </w:rPr>
        <w:t xml:space="preserve"> or write to the Information Policy Team, The National Archives, Kew, London TW9 4DU, or email: </w:t>
      </w:r>
      <w:hyperlink r:id="rId14">
        <w:r w:rsidR="009E1EAF" w:rsidRPr="29D08CD4">
          <w:rPr>
            <w:rStyle w:val="Hyperlink"/>
            <w:sz w:val="22"/>
            <w:szCs w:val="22"/>
          </w:rPr>
          <w:t>psi@nationalarchives.gsi.gov.uk</w:t>
        </w:r>
      </w:hyperlink>
      <w:r w:rsidRPr="29D08CD4">
        <w:rPr>
          <w:sz w:val="22"/>
          <w:szCs w:val="22"/>
        </w:rPr>
        <w:t>.</w:t>
      </w:r>
      <w:r w:rsidR="009E1EAF" w:rsidRPr="29D08CD4">
        <w:rPr>
          <w:sz w:val="22"/>
          <w:szCs w:val="22"/>
        </w:rPr>
        <w:t xml:space="preserve"> </w:t>
      </w:r>
    </w:p>
    <w:p w14:paraId="521BB1D8" w14:textId="34CBDA9C" w:rsidR="007D1D64" w:rsidRPr="007D1D64" w:rsidRDefault="007D1D64" w:rsidP="007D1D64">
      <w:pPr>
        <w:spacing w:after="160" w:line="259" w:lineRule="auto"/>
        <w:rPr>
          <w:sz w:val="22"/>
          <w:szCs w:val="22"/>
        </w:rPr>
      </w:pPr>
      <w:r w:rsidRPr="29D08CD4">
        <w:rPr>
          <w:sz w:val="22"/>
          <w:szCs w:val="22"/>
        </w:rPr>
        <w:t>Where we have identified any third-party copyright information you will need to obtain permission from the copyright holders concerned.</w:t>
      </w:r>
    </w:p>
    <w:p w14:paraId="0B828443" w14:textId="06F8ABFC" w:rsidR="007D1D64" w:rsidRPr="007D1D64" w:rsidRDefault="007D1D64" w:rsidP="007D1D64">
      <w:pPr>
        <w:spacing w:after="160" w:line="259" w:lineRule="auto"/>
        <w:rPr>
          <w:sz w:val="22"/>
          <w:szCs w:val="22"/>
        </w:rPr>
      </w:pPr>
      <w:r w:rsidRPr="29D08CD4">
        <w:rPr>
          <w:sz w:val="22"/>
          <w:szCs w:val="22"/>
        </w:rPr>
        <w:t xml:space="preserve">Any enquiries regarding this publication should be sent to us at: </w:t>
      </w:r>
    </w:p>
    <w:p w14:paraId="5F0B07D2" w14:textId="6DFBDE97" w:rsidR="007D1D64" w:rsidRDefault="00A62D44">
      <w:pPr>
        <w:spacing w:after="160" w:line="259" w:lineRule="auto"/>
        <w:rPr>
          <w:sz w:val="22"/>
          <w:szCs w:val="22"/>
        </w:rPr>
      </w:pPr>
      <w:hyperlink r:id="rId15">
        <w:r w:rsidRPr="29D08CD4">
          <w:rPr>
            <w:rStyle w:val="Hyperlink"/>
            <w:sz w:val="22"/>
            <w:szCs w:val="22"/>
          </w:rPr>
          <w:t>ODA-Transparency@beis.gov.uk</w:t>
        </w:r>
      </w:hyperlink>
      <w:r w:rsidRPr="29D08CD4">
        <w:rPr>
          <w:sz w:val="22"/>
          <w:szCs w:val="22"/>
        </w:rPr>
        <w:t xml:space="preserve"> </w:t>
      </w:r>
      <w:r w:rsidRPr="29D08CD4">
        <w:rPr>
          <w:sz w:val="22"/>
          <w:szCs w:val="22"/>
        </w:rPr>
        <w:br w:type="page"/>
      </w:r>
    </w:p>
    <w:sdt>
      <w:sdtPr>
        <w:rPr>
          <w:rFonts w:ascii="Arial" w:eastAsia="Times New Roman" w:hAnsi="Arial" w:cs="Times New Roman"/>
          <w:color w:val="auto"/>
          <w:sz w:val="24"/>
          <w:szCs w:val="24"/>
          <w:lang w:val="en-GB"/>
        </w:rPr>
        <w:id w:val="744424984"/>
        <w:docPartObj>
          <w:docPartGallery w:val="Table of Contents"/>
          <w:docPartUnique/>
        </w:docPartObj>
      </w:sdtPr>
      <w:sdtEndPr/>
      <w:sdtContent>
        <w:p w14:paraId="52C8021F" w14:textId="38E9CAFF" w:rsidR="001B14BA" w:rsidRDefault="001B14BA">
          <w:pPr>
            <w:pStyle w:val="TOCHeading"/>
            <w:rPr>
              <w:rFonts w:ascii="Arial" w:hAnsi="Arial" w:cs="Arial"/>
              <w:color w:val="002060"/>
              <w:sz w:val="76"/>
              <w:szCs w:val="76"/>
            </w:rPr>
          </w:pPr>
          <w:r w:rsidRPr="29D08CD4">
            <w:rPr>
              <w:rFonts w:ascii="Arial" w:hAnsi="Arial" w:cs="Arial"/>
              <w:color w:val="002060"/>
              <w:sz w:val="76"/>
              <w:szCs w:val="76"/>
            </w:rPr>
            <w:t>Contents</w:t>
          </w:r>
        </w:p>
        <w:p w14:paraId="7F576620" w14:textId="77777777" w:rsidR="0030176F" w:rsidRPr="0030176F" w:rsidRDefault="0030176F" w:rsidP="0030176F">
          <w:pPr>
            <w:rPr>
              <w:lang w:val="en-US"/>
            </w:rPr>
          </w:pPr>
        </w:p>
        <w:p w14:paraId="4A531AFB" w14:textId="7964F4C0" w:rsidR="159F08A2" w:rsidRDefault="159F08A2" w:rsidP="159F08A2">
          <w:pPr>
            <w:pStyle w:val="TOC1"/>
            <w:tabs>
              <w:tab w:val="right" w:leader="dot" w:pos="9016"/>
            </w:tabs>
            <w:rPr>
              <w:rFonts w:cs="Arial"/>
              <w:b/>
              <w:bCs/>
              <w:noProof/>
              <w:lang w:eastAsia="en-GB"/>
            </w:rPr>
          </w:pPr>
        </w:p>
        <w:p w14:paraId="5D7512E7" w14:textId="45BA2A8A" w:rsidR="00691518" w:rsidRDefault="00023069" w:rsidP="32B552BF">
          <w:pPr>
            <w:pStyle w:val="TOC1"/>
            <w:tabs>
              <w:tab w:val="right" w:leader="dot" w:pos="9016"/>
            </w:tabs>
            <w:rPr>
              <w:rFonts w:asciiTheme="minorHAnsi" w:eastAsiaTheme="minorEastAsia" w:hAnsiTheme="minorHAnsi" w:cstheme="minorBidi"/>
              <w:noProof/>
              <w:kern w:val="2"/>
              <w:lang w:eastAsia="en-GB"/>
              <w14:ligatures w14:val="standardContextual"/>
            </w:rPr>
          </w:pPr>
          <w:r>
            <w:fldChar w:fldCharType="begin"/>
          </w:r>
          <w:r w:rsidR="001B14BA">
            <w:instrText>TOC \o "1-3" \z \u \h</w:instrText>
          </w:r>
          <w:r>
            <w:fldChar w:fldCharType="separate"/>
          </w:r>
          <w:hyperlink w:anchor="_Toc192633480" w:history="1">
            <w:r w:rsidR="00691518" w:rsidRPr="00F724AB">
              <w:rPr>
                <w:rStyle w:val="Hyperlink"/>
                <w:rFonts w:cs="Arial"/>
                <w:b/>
                <w:bCs/>
                <w:noProof/>
                <w:lang w:eastAsia="en-GB"/>
              </w:rPr>
              <w:t>Section A: Summary and overview</w:t>
            </w:r>
            <w:r w:rsidR="00691518">
              <w:rPr>
                <w:noProof/>
                <w:webHidden/>
              </w:rPr>
              <w:tab/>
            </w:r>
            <w:r w:rsidR="00691518">
              <w:rPr>
                <w:noProof/>
                <w:webHidden/>
              </w:rPr>
              <w:fldChar w:fldCharType="begin"/>
            </w:r>
            <w:r w:rsidR="00691518">
              <w:rPr>
                <w:noProof/>
                <w:webHidden/>
              </w:rPr>
              <w:instrText xml:space="preserve"> PAGEREF _Toc192633480 \h </w:instrText>
            </w:r>
            <w:r w:rsidR="00691518">
              <w:rPr>
                <w:noProof/>
                <w:webHidden/>
              </w:rPr>
            </w:r>
            <w:r w:rsidR="00691518">
              <w:rPr>
                <w:noProof/>
                <w:webHidden/>
              </w:rPr>
              <w:fldChar w:fldCharType="separate"/>
            </w:r>
            <w:r w:rsidR="00691518">
              <w:rPr>
                <w:noProof/>
                <w:webHidden/>
              </w:rPr>
              <w:t>4</w:t>
            </w:r>
            <w:r w:rsidR="00691518">
              <w:rPr>
                <w:noProof/>
                <w:webHidden/>
              </w:rPr>
              <w:fldChar w:fldCharType="end"/>
            </w:r>
          </w:hyperlink>
        </w:p>
        <w:p w14:paraId="6F631922" w14:textId="7A6AE618" w:rsidR="00691518" w:rsidRDefault="00691518" w:rsidP="32B552BF">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192633481" w:history="1">
            <w:r w:rsidRPr="00F724AB">
              <w:rPr>
                <w:rStyle w:val="Hyperlink"/>
                <w:noProof/>
              </w:rPr>
              <w:t>Description of programme</w:t>
            </w:r>
            <w:r>
              <w:rPr>
                <w:noProof/>
                <w:webHidden/>
              </w:rPr>
              <w:tab/>
            </w:r>
            <w:r>
              <w:rPr>
                <w:noProof/>
                <w:webHidden/>
              </w:rPr>
              <w:fldChar w:fldCharType="begin"/>
            </w:r>
            <w:r>
              <w:rPr>
                <w:noProof/>
                <w:webHidden/>
              </w:rPr>
              <w:instrText xml:space="preserve"> PAGEREF _Toc192633481 \h </w:instrText>
            </w:r>
            <w:r>
              <w:rPr>
                <w:noProof/>
                <w:webHidden/>
              </w:rPr>
            </w:r>
            <w:r>
              <w:rPr>
                <w:noProof/>
                <w:webHidden/>
              </w:rPr>
              <w:fldChar w:fldCharType="separate"/>
            </w:r>
            <w:r>
              <w:rPr>
                <w:noProof/>
                <w:webHidden/>
              </w:rPr>
              <w:t>4</w:t>
            </w:r>
            <w:r>
              <w:rPr>
                <w:noProof/>
                <w:webHidden/>
              </w:rPr>
              <w:fldChar w:fldCharType="end"/>
            </w:r>
          </w:hyperlink>
        </w:p>
        <w:p w14:paraId="47C818CC" w14:textId="7382338A" w:rsidR="00691518" w:rsidRDefault="00691518" w:rsidP="32B552BF">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192633482" w:history="1">
            <w:r w:rsidRPr="00F724AB">
              <w:rPr>
                <w:rStyle w:val="Hyperlink"/>
                <w:noProof/>
              </w:rPr>
              <w:t>Summary of progress and supporting narrative for the overall score</w:t>
            </w:r>
            <w:r>
              <w:rPr>
                <w:noProof/>
                <w:webHidden/>
              </w:rPr>
              <w:tab/>
            </w:r>
            <w:r>
              <w:rPr>
                <w:noProof/>
                <w:webHidden/>
              </w:rPr>
              <w:fldChar w:fldCharType="begin"/>
            </w:r>
            <w:r>
              <w:rPr>
                <w:noProof/>
                <w:webHidden/>
              </w:rPr>
              <w:instrText xml:space="preserve"> PAGEREF _Toc192633482 \h </w:instrText>
            </w:r>
            <w:r>
              <w:rPr>
                <w:noProof/>
                <w:webHidden/>
              </w:rPr>
            </w:r>
            <w:r>
              <w:rPr>
                <w:noProof/>
                <w:webHidden/>
              </w:rPr>
              <w:fldChar w:fldCharType="separate"/>
            </w:r>
            <w:r>
              <w:rPr>
                <w:noProof/>
                <w:webHidden/>
              </w:rPr>
              <w:t>4</w:t>
            </w:r>
            <w:r>
              <w:rPr>
                <w:noProof/>
                <w:webHidden/>
              </w:rPr>
              <w:fldChar w:fldCharType="end"/>
            </w:r>
          </w:hyperlink>
        </w:p>
        <w:p w14:paraId="626C363B" w14:textId="2E45871E" w:rsidR="00691518" w:rsidRDefault="00691518" w:rsidP="32B552BF">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192633483" w:history="1">
            <w:r w:rsidRPr="00F724AB">
              <w:rPr>
                <w:rStyle w:val="Hyperlink"/>
                <w:noProof/>
              </w:rPr>
              <w:t>Progress against recommendations from the last review</w:t>
            </w:r>
            <w:r>
              <w:rPr>
                <w:noProof/>
                <w:webHidden/>
              </w:rPr>
              <w:tab/>
            </w:r>
            <w:r>
              <w:rPr>
                <w:noProof/>
                <w:webHidden/>
              </w:rPr>
              <w:fldChar w:fldCharType="begin"/>
            </w:r>
            <w:r>
              <w:rPr>
                <w:noProof/>
                <w:webHidden/>
              </w:rPr>
              <w:instrText xml:space="preserve"> PAGEREF _Toc192633483 \h </w:instrText>
            </w:r>
            <w:r>
              <w:rPr>
                <w:noProof/>
                <w:webHidden/>
              </w:rPr>
            </w:r>
            <w:r>
              <w:rPr>
                <w:noProof/>
                <w:webHidden/>
              </w:rPr>
              <w:fldChar w:fldCharType="separate"/>
            </w:r>
            <w:r>
              <w:rPr>
                <w:noProof/>
                <w:webHidden/>
              </w:rPr>
              <w:t>5</w:t>
            </w:r>
            <w:r>
              <w:rPr>
                <w:noProof/>
                <w:webHidden/>
              </w:rPr>
              <w:fldChar w:fldCharType="end"/>
            </w:r>
          </w:hyperlink>
        </w:p>
        <w:p w14:paraId="6C695364" w14:textId="5123A42A" w:rsidR="00691518" w:rsidRDefault="00691518" w:rsidP="32B552BF">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192633484" w:history="1">
            <w:r w:rsidRPr="00F724AB">
              <w:rPr>
                <w:rStyle w:val="Hyperlink"/>
                <w:noProof/>
              </w:rPr>
              <w:t>Major lessons and recommendations for the year ahead</w:t>
            </w:r>
            <w:r>
              <w:rPr>
                <w:noProof/>
                <w:webHidden/>
              </w:rPr>
              <w:tab/>
            </w:r>
            <w:r>
              <w:rPr>
                <w:noProof/>
                <w:webHidden/>
              </w:rPr>
              <w:fldChar w:fldCharType="begin"/>
            </w:r>
            <w:r>
              <w:rPr>
                <w:noProof/>
                <w:webHidden/>
              </w:rPr>
              <w:instrText xml:space="preserve"> PAGEREF _Toc192633484 \h </w:instrText>
            </w:r>
            <w:r>
              <w:rPr>
                <w:noProof/>
                <w:webHidden/>
              </w:rPr>
            </w:r>
            <w:r>
              <w:rPr>
                <w:noProof/>
                <w:webHidden/>
              </w:rPr>
              <w:fldChar w:fldCharType="separate"/>
            </w:r>
            <w:r>
              <w:rPr>
                <w:noProof/>
                <w:webHidden/>
              </w:rPr>
              <w:t>5</w:t>
            </w:r>
            <w:r>
              <w:rPr>
                <w:noProof/>
                <w:webHidden/>
              </w:rPr>
              <w:fldChar w:fldCharType="end"/>
            </w:r>
          </w:hyperlink>
        </w:p>
        <w:p w14:paraId="1FB11AFE" w14:textId="0A41CBFF" w:rsidR="00691518" w:rsidRDefault="00691518" w:rsidP="32B552BF">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92633485" w:history="1">
            <w:r w:rsidRPr="00F724AB">
              <w:rPr>
                <w:rStyle w:val="Hyperlink"/>
                <w:rFonts w:cs="Arial"/>
                <w:b/>
                <w:bCs/>
                <w:noProof/>
                <w:lang w:eastAsia="en-GB"/>
              </w:rPr>
              <w:t>Section B: Theory of change and progress towards outcomes</w:t>
            </w:r>
            <w:r>
              <w:rPr>
                <w:noProof/>
                <w:webHidden/>
              </w:rPr>
              <w:tab/>
            </w:r>
            <w:r>
              <w:rPr>
                <w:noProof/>
                <w:webHidden/>
              </w:rPr>
              <w:fldChar w:fldCharType="begin"/>
            </w:r>
            <w:r>
              <w:rPr>
                <w:noProof/>
                <w:webHidden/>
              </w:rPr>
              <w:instrText xml:space="preserve"> PAGEREF _Toc192633485 \h </w:instrText>
            </w:r>
            <w:r>
              <w:rPr>
                <w:noProof/>
                <w:webHidden/>
              </w:rPr>
            </w:r>
            <w:r>
              <w:rPr>
                <w:noProof/>
                <w:webHidden/>
              </w:rPr>
              <w:fldChar w:fldCharType="separate"/>
            </w:r>
            <w:r>
              <w:rPr>
                <w:noProof/>
                <w:webHidden/>
              </w:rPr>
              <w:t>6</w:t>
            </w:r>
            <w:r>
              <w:rPr>
                <w:noProof/>
                <w:webHidden/>
              </w:rPr>
              <w:fldChar w:fldCharType="end"/>
            </w:r>
          </w:hyperlink>
        </w:p>
        <w:p w14:paraId="686538E5" w14:textId="575E2405" w:rsidR="00691518" w:rsidRDefault="00691518" w:rsidP="32B552BF">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192633486" w:history="1">
            <w:r w:rsidRPr="00F724AB">
              <w:rPr>
                <w:rStyle w:val="Hyperlink"/>
                <w:noProof/>
              </w:rPr>
              <w:t>Summary of the programme’s theory of change, including any changes to outcome and impact indicators from the original business case</w:t>
            </w:r>
            <w:r>
              <w:rPr>
                <w:noProof/>
                <w:webHidden/>
              </w:rPr>
              <w:tab/>
            </w:r>
            <w:r>
              <w:rPr>
                <w:noProof/>
                <w:webHidden/>
              </w:rPr>
              <w:fldChar w:fldCharType="begin"/>
            </w:r>
            <w:r>
              <w:rPr>
                <w:noProof/>
                <w:webHidden/>
              </w:rPr>
              <w:instrText xml:space="preserve"> PAGEREF _Toc192633486 \h </w:instrText>
            </w:r>
            <w:r>
              <w:rPr>
                <w:noProof/>
                <w:webHidden/>
              </w:rPr>
            </w:r>
            <w:r>
              <w:rPr>
                <w:noProof/>
                <w:webHidden/>
              </w:rPr>
              <w:fldChar w:fldCharType="separate"/>
            </w:r>
            <w:r>
              <w:rPr>
                <w:noProof/>
                <w:webHidden/>
              </w:rPr>
              <w:t>6</w:t>
            </w:r>
            <w:r>
              <w:rPr>
                <w:noProof/>
                <w:webHidden/>
              </w:rPr>
              <w:fldChar w:fldCharType="end"/>
            </w:r>
          </w:hyperlink>
        </w:p>
        <w:p w14:paraId="0E4492FE" w14:textId="3BA5D09F" w:rsidR="00691518" w:rsidRDefault="00691518" w:rsidP="32B552BF">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192633487" w:history="1">
            <w:r w:rsidRPr="00F724AB">
              <w:rPr>
                <w:rStyle w:val="Hyperlink"/>
                <w:noProof/>
              </w:rPr>
              <w:t>Progress against the expected outcomes and impact, and actions planned for the year ahead</w:t>
            </w:r>
            <w:r>
              <w:rPr>
                <w:noProof/>
                <w:webHidden/>
              </w:rPr>
              <w:tab/>
            </w:r>
            <w:r>
              <w:rPr>
                <w:noProof/>
                <w:webHidden/>
              </w:rPr>
              <w:fldChar w:fldCharType="begin"/>
            </w:r>
            <w:r>
              <w:rPr>
                <w:noProof/>
                <w:webHidden/>
              </w:rPr>
              <w:instrText xml:space="preserve"> PAGEREF _Toc192633487 \h </w:instrText>
            </w:r>
            <w:r>
              <w:rPr>
                <w:noProof/>
                <w:webHidden/>
              </w:rPr>
            </w:r>
            <w:r>
              <w:rPr>
                <w:noProof/>
                <w:webHidden/>
              </w:rPr>
              <w:fldChar w:fldCharType="separate"/>
            </w:r>
            <w:r>
              <w:rPr>
                <w:noProof/>
                <w:webHidden/>
              </w:rPr>
              <w:t>7</w:t>
            </w:r>
            <w:r>
              <w:rPr>
                <w:noProof/>
                <w:webHidden/>
              </w:rPr>
              <w:fldChar w:fldCharType="end"/>
            </w:r>
          </w:hyperlink>
        </w:p>
        <w:p w14:paraId="77C7E007" w14:textId="2DD169A7" w:rsidR="00691518" w:rsidRDefault="00691518" w:rsidP="32B552BF">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192633488" w:history="1">
            <w:r w:rsidRPr="00F724AB">
              <w:rPr>
                <w:rStyle w:val="Hyperlink"/>
                <w:noProof/>
              </w:rPr>
              <w:t>Logframe updates since the last review</w:t>
            </w:r>
            <w:r>
              <w:rPr>
                <w:noProof/>
                <w:webHidden/>
              </w:rPr>
              <w:tab/>
            </w:r>
            <w:r>
              <w:rPr>
                <w:noProof/>
                <w:webHidden/>
              </w:rPr>
              <w:fldChar w:fldCharType="begin"/>
            </w:r>
            <w:r>
              <w:rPr>
                <w:noProof/>
                <w:webHidden/>
              </w:rPr>
              <w:instrText xml:space="preserve"> PAGEREF _Toc192633488 \h </w:instrText>
            </w:r>
            <w:r>
              <w:rPr>
                <w:noProof/>
                <w:webHidden/>
              </w:rPr>
            </w:r>
            <w:r>
              <w:rPr>
                <w:noProof/>
                <w:webHidden/>
              </w:rPr>
              <w:fldChar w:fldCharType="separate"/>
            </w:r>
            <w:r>
              <w:rPr>
                <w:noProof/>
                <w:webHidden/>
              </w:rPr>
              <w:t>8</w:t>
            </w:r>
            <w:r>
              <w:rPr>
                <w:noProof/>
                <w:webHidden/>
              </w:rPr>
              <w:fldChar w:fldCharType="end"/>
            </w:r>
          </w:hyperlink>
        </w:p>
        <w:p w14:paraId="49EA70DE" w14:textId="79361545" w:rsidR="00691518" w:rsidRDefault="00691518" w:rsidP="32B552BF">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92633489" w:history="1">
            <w:r w:rsidRPr="00F724AB">
              <w:rPr>
                <w:rStyle w:val="Hyperlink"/>
                <w:rFonts w:cs="Arial"/>
                <w:b/>
                <w:bCs/>
                <w:noProof/>
                <w:lang w:eastAsia="en-GB"/>
              </w:rPr>
              <w:t>Section C: Output scoring</w:t>
            </w:r>
            <w:r>
              <w:rPr>
                <w:noProof/>
                <w:webHidden/>
              </w:rPr>
              <w:tab/>
            </w:r>
            <w:r>
              <w:rPr>
                <w:noProof/>
                <w:webHidden/>
              </w:rPr>
              <w:fldChar w:fldCharType="begin"/>
            </w:r>
            <w:r>
              <w:rPr>
                <w:noProof/>
                <w:webHidden/>
              </w:rPr>
              <w:instrText xml:space="preserve"> PAGEREF _Toc192633489 \h </w:instrText>
            </w:r>
            <w:r>
              <w:rPr>
                <w:noProof/>
                <w:webHidden/>
              </w:rPr>
            </w:r>
            <w:r>
              <w:rPr>
                <w:noProof/>
                <w:webHidden/>
              </w:rPr>
              <w:fldChar w:fldCharType="separate"/>
            </w:r>
            <w:r>
              <w:rPr>
                <w:noProof/>
                <w:webHidden/>
              </w:rPr>
              <w:t>8</w:t>
            </w:r>
            <w:r>
              <w:rPr>
                <w:noProof/>
                <w:webHidden/>
              </w:rPr>
              <w:fldChar w:fldCharType="end"/>
            </w:r>
          </w:hyperlink>
        </w:p>
        <w:p w14:paraId="41F8C618" w14:textId="5A3BEFF2" w:rsidR="00691518" w:rsidRDefault="00691518" w:rsidP="32B552BF">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192633490" w:history="1">
            <w:r w:rsidRPr="00F724AB">
              <w:rPr>
                <w:rStyle w:val="Hyperlink"/>
                <w:noProof/>
              </w:rPr>
              <w:t>Output 1: FCLP members engage at highest level on forests, including at COP</w:t>
            </w:r>
            <w:r>
              <w:rPr>
                <w:noProof/>
                <w:webHidden/>
              </w:rPr>
              <w:tab/>
            </w:r>
            <w:r>
              <w:rPr>
                <w:noProof/>
                <w:webHidden/>
              </w:rPr>
              <w:fldChar w:fldCharType="begin"/>
            </w:r>
            <w:r>
              <w:rPr>
                <w:noProof/>
                <w:webHidden/>
              </w:rPr>
              <w:instrText xml:space="preserve"> PAGEREF _Toc192633490 \h </w:instrText>
            </w:r>
            <w:r>
              <w:rPr>
                <w:noProof/>
                <w:webHidden/>
              </w:rPr>
            </w:r>
            <w:r>
              <w:rPr>
                <w:noProof/>
                <w:webHidden/>
              </w:rPr>
              <w:fldChar w:fldCharType="separate"/>
            </w:r>
            <w:r>
              <w:rPr>
                <w:noProof/>
                <w:webHidden/>
              </w:rPr>
              <w:t>8</w:t>
            </w:r>
            <w:r>
              <w:rPr>
                <w:noProof/>
                <w:webHidden/>
              </w:rPr>
              <w:fldChar w:fldCharType="end"/>
            </w:r>
          </w:hyperlink>
        </w:p>
        <w:p w14:paraId="7FD47190" w14:textId="7B19F321" w:rsidR="00691518" w:rsidRDefault="00691518" w:rsidP="32B552BF">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192633491" w:history="1">
            <w:r w:rsidRPr="00F724AB">
              <w:rPr>
                <w:rStyle w:val="Hyperlink"/>
                <w:noProof/>
              </w:rPr>
              <w:t>Output 2: FCLP members deliver reforms focusing on the six policy action areas</w:t>
            </w:r>
            <w:r>
              <w:rPr>
                <w:noProof/>
                <w:webHidden/>
              </w:rPr>
              <w:tab/>
            </w:r>
            <w:r>
              <w:rPr>
                <w:noProof/>
                <w:webHidden/>
              </w:rPr>
              <w:fldChar w:fldCharType="begin"/>
            </w:r>
            <w:r>
              <w:rPr>
                <w:noProof/>
                <w:webHidden/>
              </w:rPr>
              <w:instrText xml:space="preserve"> PAGEREF _Toc192633491 \h </w:instrText>
            </w:r>
            <w:r>
              <w:rPr>
                <w:noProof/>
                <w:webHidden/>
              </w:rPr>
            </w:r>
            <w:r>
              <w:rPr>
                <w:noProof/>
                <w:webHidden/>
              </w:rPr>
              <w:fldChar w:fldCharType="separate"/>
            </w:r>
            <w:r>
              <w:rPr>
                <w:noProof/>
                <w:webHidden/>
              </w:rPr>
              <w:t>9</w:t>
            </w:r>
            <w:r>
              <w:rPr>
                <w:noProof/>
                <w:webHidden/>
              </w:rPr>
              <w:fldChar w:fldCharType="end"/>
            </w:r>
          </w:hyperlink>
        </w:p>
        <w:p w14:paraId="1415A244" w14:textId="1878E4A1" w:rsidR="00691518" w:rsidRDefault="00691518" w:rsidP="32B552BF">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192633492" w:history="1">
            <w:r w:rsidRPr="00F724AB">
              <w:rPr>
                <w:rStyle w:val="Hyperlink"/>
                <w:noProof/>
              </w:rPr>
              <w:t>Output 4: FCLP members demonstrate impact and accountability</w:t>
            </w:r>
            <w:r>
              <w:rPr>
                <w:noProof/>
                <w:webHidden/>
              </w:rPr>
              <w:tab/>
            </w:r>
            <w:r>
              <w:rPr>
                <w:noProof/>
                <w:webHidden/>
              </w:rPr>
              <w:fldChar w:fldCharType="begin"/>
            </w:r>
            <w:r>
              <w:rPr>
                <w:noProof/>
                <w:webHidden/>
              </w:rPr>
              <w:instrText xml:space="preserve"> PAGEREF _Toc192633492 \h </w:instrText>
            </w:r>
            <w:r>
              <w:rPr>
                <w:noProof/>
                <w:webHidden/>
              </w:rPr>
            </w:r>
            <w:r>
              <w:rPr>
                <w:noProof/>
                <w:webHidden/>
              </w:rPr>
              <w:fldChar w:fldCharType="separate"/>
            </w:r>
            <w:r>
              <w:rPr>
                <w:noProof/>
                <w:webHidden/>
              </w:rPr>
              <w:t>12</w:t>
            </w:r>
            <w:r>
              <w:rPr>
                <w:noProof/>
                <w:webHidden/>
              </w:rPr>
              <w:fldChar w:fldCharType="end"/>
            </w:r>
          </w:hyperlink>
        </w:p>
        <w:p w14:paraId="1CFED569" w14:textId="59AC1589" w:rsidR="00691518" w:rsidRDefault="00691518" w:rsidP="32B552BF">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92633493" w:history="1">
            <w:r w:rsidRPr="00F724AB">
              <w:rPr>
                <w:rStyle w:val="Hyperlink"/>
                <w:rFonts w:cs="Arial"/>
                <w:b/>
                <w:bCs/>
                <w:noProof/>
                <w:lang w:eastAsia="en-GB"/>
              </w:rPr>
              <w:t>Section D: Programme performance not captured by outputs</w:t>
            </w:r>
            <w:r>
              <w:rPr>
                <w:noProof/>
                <w:webHidden/>
              </w:rPr>
              <w:tab/>
            </w:r>
            <w:r>
              <w:rPr>
                <w:noProof/>
                <w:webHidden/>
              </w:rPr>
              <w:fldChar w:fldCharType="begin"/>
            </w:r>
            <w:r>
              <w:rPr>
                <w:noProof/>
                <w:webHidden/>
              </w:rPr>
              <w:instrText xml:space="preserve"> PAGEREF _Toc192633493 \h </w:instrText>
            </w:r>
            <w:r>
              <w:rPr>
                <w:noProof/>
                <w:webHidden/>
              </w:rPr>
            </w:r>
            <w:r>
              <w:rPr>
                <w:noProof/>
                <w:webHidden/>
              </w:rPr>
              <w:fldChar w:fldCharType="separate"/>
            </w:r>
            <w:r>
              <w:rPr>
                <w:noProof/>
                <w:webHidden/>
              </w:rPr>
              <w:t>13</w:t>
            </w:r>
            <w:r>
              <w:rPr>
                <w:noProof/>
                <w:webHidden/>
              </w:rPr>
              <w:fldChar w:fldCharType="end"/>
            </w:r>
          </w:hyperlink>
        </w:p>
        <w:p w14:paraId="774DD44A" w14:textId="464C97EA" w:rsidR="00691518" w:rsidRDefault="00691518" w:rsidP="32B552BF">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92633494" w:history="1">
            <w:r w:rsidRPr="00F724AB">
              <w:rPr>
                <w:rStyle w:val="Hyperlink"/>
                <w:rFonts w:cs="Arial"/>
                <w:b/>
                <w:bCs/>
                <w:noProof/>
                <w:lang w:eastAsia="en-GB"/>
              </w:rPr>
              <w:t>Section E: Risk</w:t>
            </w:r>
            <w:r>
              <w:rPr>
                <w:noProof/>
                <w:webHidden/>
              </w:rPr>
              <w:tab/>
            </w:r>
            <w:r>
              <w:rPr>
                <w:noProof/>
                <w:webHidden/>
              </w:rPr>
              <w:fldChar w:fldCharType="begin"/>
            </w:r>
            <w:r>
              <w:rPr>
                <w:noProof/>
                <w:webHidden/>
              </w:rPr>
              <w:instrText xml:space="preserve"> PAGEREF _Toc192633494 \h </w:instrText>
            </w:r>
            <w:r>
              <w:rPr>
                <w:noProof/>
                <w:webHidden/>
              </w:rPr>
            </w:r>
            <w:r>
              <w:rPr>
                <w:noProof/>
                <w:webHidden/>
              </w:rPr>
              <w:fldChar w:fldCharType="separate"/>
            </w:r>
            <w:r>
              <w:rPr>
                <w:noProof/>
                <w:webHidden/>
              </w:rPr>
              <w:t>13</w:t>
            </w:r>
            <w:r>
              <w:rPr>
                <w:noProof/>
                <w:webHidden/>
              </w:rPr>
              <w:fldChar w:fldCharType="end"/>
            </w:r>
          </w:hyperlink>
        </w:p>
        <w:p w14:paraId="7FD60F18" w14:textId="6B1B88F1" w:rsidR="00691518" w:rsidRDefault="00691518" w:rsidP="32B552BF">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192633495" w:history="1">
            <w:r w:rsidRPr="00F724AB">
              <w:rPr>
                <w:rStyle w:val="Hyperlink"/>
                <w:noProof/>
              </w:rPr>
              <w:t>Overall risk rating</w:t>
            </w:r>
            <w:r>
              <w:rPr>
                <w:noProof/>
                <w:webHidden/>
              </w:rPr>
              <w:tab/>
            </w:r>
            <w:r>
              <w:rPr>
                <w:noProof/>
                <w:webHidden/>
              </w:rPr>
              <w:fldChar w:fldCharType="begin"/>
            </w:r>
            <w:r>
              <w:rPr>
                <w:noProof/>
                <w:webHidden/>
              </w:rPr>
              <w:instrText xml:space="preserve"> PAGEREF _Toc192633495 \h </w:instrText>
            </w:r>
            <w:r>
              <w:rPr>
                <w:noProof/>
                <w:webHidden/>
              </w:rPr>
            </w:r>
            <w:r>
              <w:rPr>
                <w:noProof/>
                <w:webHidden/>
              </w:rPr>
              <w:fldChar w:fldCharType="separate"/>
            </w:r>
            <w:r>
              <w:rPr>
                <w:noProof/>
                <w:webHidden/>
              </w:rPr>
              <w:t>13</w:t>
            </w:r>
            <w:r>
              <w:rPr>
                <w:noProof/>
                <w:webHidden/>
              </w:rPr>
              <w:fldChar w:fldCharType="end"/>
            </w:r>
          </w:hyperlink>
        </w:p>
        <w:p w14:paraId="520E016E" w14:textId="697DA18C" w:rsidR="00691518" w:rsidRDefault="00691518" w:rsidP="32B552BF">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192633496" w:history="1">
            <w:r w:rsidRPr="00F724AB">
              <w:rPr>
                <w:rStyle w:val="Hyperlink"/>
                <w:noProof/>
              </w:rPr>
              <w:t>Overview of risk management</w:t>
            </w:r>
            <w:r>
              <w:rPr>
                <w:noProof/>
                <w:webHidden/>
              </w:rPr>
              <w:tab/>
            </w:r>
            <w:r>
              <w:rPr>
                <w:noProof/>
                <w:webHidden/>
              </w:rPr>
              <w:fldChar w:fldCharType="begin"/>
            </w:r>
            <w:r>
              <w:rPr>
                <w:noProof/>
                <w:webHidden/>
              </w:rPr>
              <w:instrText xml:space="preserve"> PAGEREF _Toc192633496 \h </w:instrText>
            </w:r>
            <w:r>
              <w:rPr>
                <w:noProof/>
                <w:webHidden/>
              </w:rPr>
            </w:r>
            <w:r>
              <w:rPr>
                <w:noProof/>
                <w:webHidden/>
              </w:rPr>
              <w:fldChar w:fldCharType="separate"/>
            </w:r>
            <w:r>
              <w:rPr>
                <w:noProof/>
                <w:webHidden/>
              </w:rPr>
              <w:t>13</w:t>
            </w:r>
            <w:r>
              <w:rPr>
                <w:noProof/>
                <w:webHidden/>
              </w:rPr>
              <w:fldChar w:fldCharType="end"/>
            </w:r>
          </w:hyperlink>
        </w:p>
        <w:p w14:paraId="7E59C095" w14:textId="766E9CCE" w:rsidR="00691518" w:rsidRDefault="00691518" w:rsidP="32B552BF">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192633497" w:history="1">
            <w:r w:rsidRPr="00F724AB">
              <w:rPr>
                <w:rStyle w:val="Hyperlink"/>
                <w:noProof/>
              </w:rPr>
              <w:t>Current risks</w:t>
            </w:r>
            <w:r>
              <w:rPr>
                <w:noProof/>
                <w:webHidden/>
              </w:rPr>
              <w:tab/>
            </w:r>
            <w:r>
              <w:rPr>
                <w:noProof/>
                <w:webHidden/>
              </w:rPr>
              <w:fldChar w:fldCharType="begin"/>
            </w:r>
            <w:r>
              <w:rPr>
                <w:noProof/>
                <w:webHidden/>
              </w:rPr>
              <w:instrText xml:space="preserve"> PAGEREF _Toc192633497 \h </w:instrText>
            </w:r>
            <w:r>
              <w:rPr>
                <w:noProof/>
                <w:webHidden/>
              </w:rPr>
            </w:r>
            <w:r>
              <w:rPr>
                <w:noProof/>
                <w:webHidden/>
              </w:rPr>
              <w:fldChar w:fldCharType="separate"/>
            </w:r>
            <w:r>
              <w:rPr>
                <w:noProof/>
                <w:webHidden/>
              </w:rPr>
              <w:t>13</w:t>
            </w:r>
            <w:r>
              <w:rPr>
                <w:noProof/>
                <w:webHidden/>
              </w:rPr>
              <w:fldChar w:fldCharType="end"/>
            </w:r>
          </w:hyperlink>
        </w:p>
        <w:p w14:paraId="543E1C59" w14:textId="409AAD8C" w:rsidR="00691518" w:rsidRDefault="00691518" w:rsidP="32B552BF">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192633498" w:history="1">
            <w:r w:rsidRPr="00F724AB">
              <w:rPr>
                <w:rStyle w:val="Hyperlink"/>
                <w:noProof/>
              </w:rPr>
              <w:t>Outstanding actions from risk assessment</w:t>
            </w:r>
            <w:r>
              <w:rPr>
                <w:noProof/>
                <w:webHidden/>
              </w:rPr>
              <w:tab/>
            </w:r>
            <w:r>
              <w:rPr>
                <w:noProof/>
                <w:webHidden/>
              </w:rPr>
              <w:fldChar w:fldCharType="begin"/>
            </w:r>
            <w:r>
              <w:rPr>
                <w:noProof/>
                <w:webHidden/>
              </w:rPr>
              <w:instrText xml:space="preserve"> PAGEREF _Toc192633498 \h </w:instrText>
            </w:r>
            <w:r>
              <w:rPr>
                <w:noProof/>
                <w:webHidden/>
              </w:rPr>
            </w:r>
            <w:r>
              <w:rPr>
                <w:noProof/>
                <w:webHidden/>
              </w:rPr>
              <w:fldChar w:fldCharType="separate"/>
            </w:r>
            <w:r>
              <w:rPr>
                <w:noProof/>
                <w:webHidden/>
              </w:rPr>
              <w:t>16</w:t>
            </w:r>
            <w:r>
              <w:rPr>
                <w:noProof/>
                <w:webHidden/>
              </w:rPr>
              <w:fldChar w:fldCharType="end"/>
            </w:r>
          </w:hyperlink>
        </w:p>
        <w:p w14:paraId="6DD264DC" w14:textId="42016B83" w:rsidR="00691518" w:rsidRDefault="00691518" w:rsidP="32B552BF">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92633499" w:history="1">
            <w:r w:rsidRPr="00F724AB">
              <w:rPr>
                <w:rStyle w:val="Hyperlink"/>
                <w:rFonts w:cs="Arial"/>
                <w:b/>
                <w:bCs/>
                <w:noProof/>
                <w:lang w:eastAsia="en-GB"/>
              </w:rPr>
              <w:t>Section F: Programme management: delivery, VfM, commercial and financial performance</w:t>
            </w:r>
            <w:r>
              <w:rPr>
                <w:noProof/>
                <w:webHidden/>
              </w:rPr>
              <w:tab/>
            </w:r>
            <w:r>
              <w:rPr>
                <w:noProof/>
                <w:webHidden/>
              </w:rPr>
              <w:fldChar w:fldCharType="begin"/>
            </w:r>
            <w:r>
              <w:rPr>
                <w:noProof/>
                <w:webHidden/>
              </w:rPr>
              <w:instrText xml:space="preserve"> PAGEREF _Toc192633499 \h </w:instrText>
            </w:r>
            <w:r>
              <w:rPr>
                <w:noProof/>
                <w:webHidden/>
              </w:rPr>
            </w:r>
            <w:r>
              <w:rPr>
                <w:noProof/>
                <w:webHidden/>
              </w:rPr>
              <w:fldChar w:fldCharType="separate"/>
            </w:r>
            <w:r>
              <w:rPr>
                <w:noProof/>
                <w:webHidden/>
              </w:rPr>
              <w:t>16</w:t>
            </w:r>
            <w:r>
              <w:rPr>
                <w:noProof/>
                <w:webHidden/>
              </w:rPr>
              <w:fldChar w:fldCharType="end"/>
            </w:r>
          </w:hyperlink>
        </w:p>
        <w:p w14:paraId="3B7446A8" w14:textId="690EBE8E" w:rsidR="00691518" w:rsidRDefault="00691518" w:rsidP="32B552BF">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192633500" w:history="1">
            <w:r w:rsidRPr="00F724AB">
              <w:rPr>
                <w:rStyle w:val="Hyperlink"/>
                <w:noProof/>
              </w:rPr>
              <w:t>Summary of the performance of partners and DESNZ, notably on commercial and financial issues, and including consideration of VfM.</w:t>
            </w:r>
            <w:r>
              <w:rPr>
                <w:noProof/>
                <w:webHidden/>
              </w:rPr>
              <w:tab/>
            </w:r>
            <w:r>
              <w:rPr>
                <w:noProof/>
                <w:webHidden/>
              </w:rPr>
              <w:fldChar w:fldCharType="begin"/>
            </w:r>
            <w:r>
              <w:rPr>
                <w:noProof/>
                <w:webHidden/>
              </w:rPr>
              <w:instrText xml:space="preserve"> PAGEREF _Toc192633500 \h </w:instrText>
            </w:r>
            <w:r>
              <w:rPr>
                <w:noProof/>
                <w:webHidden/>
              </w:rPr>
            </w:r>
            <w:r>
              <w:rPr>
                <w:noProof/>
                <w:webHidden/>
              </w:rPr>
              <w:fldChar w:fldCharType="separate"/>
            </w:r>
            <w:r>
              <w:rPr>
                <w:noProof/>
                <w:webHidden/>
              </w:rPr>
              <w:t>16</w:t>
            </w:r>
            <w:r>
              <w:rPr>
                <w:noProof/>
                <w:webHidden/>
              </w:rPr>
              <w:fldChar w:fldCharType="end"/>
            </w:r>
          </w:hyperlink>
        </w:p>
        <w:p w14:paraId="2412FD0E" w14:textId="135701AD" w:rsidR="00DB4AAF" w:rsidRDefault="00023069" w:rsidP="527A8EFF">
          <w:pPr>
            <w:pStyle w:val="TOC2"/>
            <w:tabs>
              <w:tab w:val="right" w:leader="dot" w:pos="9015"/>
            </w:tabs>
            <w:rPr>
              <w:rStyle w:val="Hyperlink"/>
              <w:noProof/>
              <w:kern w:val="2"/>
              <w:lang w:eastAsia="en-GB"/>
              <w14:ligatures w14:val="standardContextual"/>
            </w:rPr>
          </w:pPr>
          <w:r>
            <w:fldChar w:fldCharType="end"/>
          </w:r>
        </w:p>
      </w:sdtContent>
    </w:sdt>
    <w:p w14:paraId="5E063C9F" w14:textId="0782D2F0" w:rsidR="001B14BA" w:rsidRDefault="001B14BA" w:rsidP="00276517">
      <w:pPr>
        <w:spacing w:line="276" w:lineRule="auto"/>
      </w:pPr>
    </w:p>
    <w:p w14:paraId="5329C57B" w14:textId="77E53EDE" w:rsidR="008D3049" w:rsidRDefault="008D3049">
      <w:pPr>
        <w:spacing w:after="160" w:line="259" w:lineRule="auto"/>
        <w:rPr>
          <w:sz w:val="22"/>
          <w:szCs w:val="22"/>
        </w:rPr>
      </w:pPr>
    </w:p>
    <w:p w14:paraId="07D3ACBE" w14:textId="41503F88" w:rsidR="008D3049" w:rsidRDefault="008D3049">
      <w:pPr>
        <w:spacing w:after="160" w:line="259" w:lineRule="auto"/>
        <w:rPr>
          <w:sz w:val="22"/>
          <w:szCs w:val="22"/>
        </w:rPr>
      </w:pPr>
      <w:r w:rsidRPr="29D08CD4">
        <w:rPr>
          <w:sz w:val="22"/>
          <w:szCs w:val="22"/>
        </w:rPr>
        <w:br w:type="page"/>
      </w:r>
    </w:p>
    <w:p w14:paraId="58546D0B" w14:textId="77777777" w:rsidR="00F925D1" w:rsidRDefault="00F925D1" w:rsidP="29D08CD4">
      <w:pPr>
        <w:jc w:val="center"/>
        <w:rPr>
          <w:rFonts w:cs="Arial"/>
          <w:b/>
          <w:bCs/>
          <w:i/>
          <w:iCs/>
          <w:color w:val="FF0000"/>
        </w:rPr>
      </w:pPr>
    </w:p>
    <w:tbl>
      <w:tblPr>
        <w:tblStyle w:val="TableGrid"/>
        <w:tblW w:w="0" w:type="auto"/>
        <w:tblLook w:val="04A0" w:firstRow="1" w:lastRow="0" w:firstColumn="1" w:lastColumn="0" w:noHBand="0" w:noVBand="1"/>
      </w:tblPr>
      <w:tblGrid>
        <w:gridCol w:w="9016"/>
      </w:tblGrid>
      <w:tr w:rsidR="00495286" w14:paraId="65DE13A0" w14:textId="77777777" w:rsidTr="29D08CD4">
        <w:tc>
          <w:tcPr>
            <w:tcW w:w="9016" w:type="dxa"/>
            <w:shd w:val="clear" w:color="auto" w:fill="DEEAF6" w:themeFill="accent5" w:themeFillTint="33"/>
          </w:tcPr>
          <w:p w14:paraId="7DC76797" w14:textId="1D73B05B" w:rsidR="00495286" w:rsidRDefault="789BD016" w:rsidP="006C516E">
            <w:bookmarkStart w:id="0" w:name="_Toc192633480"/>
            <w:r w:rsidRPr="29D08CD4">
              <w:rPr>
                <w:rStyle w:val="Heading1Char"/>
                <w:rFonts w:ascii="Arial" w:hAnsi="Arial" w:cs="Arial"/>
                <w:b/>
                <w:bCs/>
                <w:color w:val="auto"/>
              </w:rPr>
              <w:t>Section A: Summary and overview</w:t>
            </w:r>
            <w:bookmarkEnd w:id="0"/>
            <w:r>
              <w:t xml:space="preserve"> </w:t>
            </w:r>
          </w:p>
        </w:tc>
      </w:tr>
    </w:tbl>
    <w:p w14:paraId="006A5D19" w14:textId="77777777" w:rsidR="00495286" w:rsidRDefault="00495286" w:rsidP="006C516E"/>
    <w:tbl>
      <w:tblPr>
        <w:tblStyle w:val="TableGrid"/>
        <w:tblW w:w="0" w:type="auto"/>
        <w:tblLook w:val="04A0" w:firstRow="1" w:lastRow="0" w:firstColumn="1" w:lastColumn="0" w:noHBand="0" w:noVBand="1"/>
      </w:tblPr>
      <w:tblGrid>
        <w:gridCol w:w="3397"/>
        <w:gridCol w:w="2410"/>
        <w:gridCol w:w="3209"/>
      </w:tblGrid>
      <w:tr w:rsidR="004D2FC0" w:rsidRPr="003F6641" w14:paraId="2869ADA5" w14:textId="77777777" w:rsidTr="29D08CD4">
        <w:trPr>
          <w:trHeight w:val="407"/>
        </w:trPr>
        <w:tc>
          <w:tcPr>
            <w:tcW w:w="9016" w:type="dxa"/>
            <w:gridSpan w:val="3"/>
            <w:tcBorders>
              <w:top w:val="single" w:sz="4" w:space="0" w:color="auto"/>
              <w:left w:val="single" w:sz="4" w:space="0" w:color="auto"/>
              <w:bottom w:val="dotted" w:sz="2" w:space="0" w:color="000000" w:themeColor="text1"/>
              <w:right w:val="single" w:sz="4" w:space="0" w:color="auto"/>
            </w:tcBorders>
          </w:tcPr>
          <w:p w14:paraId="346F2EF8" w14:textId="70D67801" w:rsidR="004D2FC0" w:rsidRPr="003F6641" w:rsidRDefault="004D2FC0" w:rsidP="32B552BF">
            <w:pPr>
              <w:rPr>
                <w:rFonts w:cs="Arial"/>
                <w:b/>
                <w:bCs/>
                <w:sz w:val="22"/>
                <w:szCs w:val="22"/>
              </w:rPr>
            </w:pPr>
            <w:r w:rsidRPr="29D08CD4">
              <w:rPr>
                <w:rFonts w:cs="Arial"/>
                <w:b/>
                <w:bCs/>
                <w:sz w:val="22"/>
                <w:szCs w:val="22"/>
              </w:rPr>
              <w:t xml:space="preserve">Title:  </w:t>
            </w:r>
            <w:r w:rsidR="00E8725E" w:rsidRPr="29D08CD4">
              <w:rPr>
                <w:rFonts w:cs="Arial"/>
                <w:sz w:val="22"/>
                <w:szCs w:val="22"/>
              </w:rPr>
              <w:t xml:space="preserve">Forests and Climate Leaders’ Partnership </w:t>
            </w:r>
            <w:r w:rsidR="002A1B68" w:rsidRPr="29D08CD4">
              <w:rPr>
                <w:rFonts w:cs="Arial"/>
                <w:sz w:val="22"/>
                <w:szCs w:val="22"/>
              </w:rPr>
              <w:t>(FCLP)</w:t>
            </w:r>
          </w:p>
        </w:tc>
      </w:tr>
      <w:tr w:rsidR="004D2FC0" w:rsidRPr="003F6641" w14:paraId="109A3418" w14:textId="77777777" w:rsidTr="29D08CD4">
        <w:trPr>
          <w:trHeight w:val="413"/>
        </w:trPr>
        <w:tc>
          <w:tcPr>
            <w:tcW w:w="5807" w:type="dxa"/>
            <w:gridSpan w:val="2"/>
            <w:tcBorders>
              <w:top w:val="dotted" w:sz="2" w:space="0" w:color="000000" w:themeColor="text1"/>
              <w:left w:val="single" w:sz="4" w:space="0" w:color="000000" w:themeColor="text1"/>
              <w:bottom w:val="dotted" w:sz="2" w:space="0" w:color="000000" w:themeColor="text1"/>
              <w:right w:val="dotted" w:sz="2" w:space="0" w:color="000000" w:themeColor="text1"/>
            </w:tcBorders>
            <w:hideMark/>
          </w:tcPr>
          <w:p w14:paraId="79376CB4" w14:textId="19F24507" w:rsidR="004D2FC0" w:rsidRPr="003F6641" w:rsidRDefault="004D2FC0" w:rsidP="32B552BF">
            <w:pPr>
              <w:rPr>
                <w:rFonts w:cs="Arial"/>
                <w:b/>
                <w:bCs/>
                <w:sz w:val="22"/>
                <w:szCs w:val="22"/>
              </w:rPr>
            </w:pPr>
            <w:r w:rsidRPr="29D08CD4">
              <w:rPr>
                <w:rFonts w:cs="Arial"/>
                <w:b/>
                <w:bCs/>
                <w:sz w:val="22"/>
                <w:szCs w:val="22"/>
              </w:rPr>
              <w:t xml:space="preserve">Programme Value £ (full life): </w:t>
            </w:r>
            <w:r w:rsidR="002A1B68" w:rsidRPr="29D08CD4">
              <w:rPr>
                <w:rFonts w:cs="Arial"/>
                <w:sz w:val="22"/>
                <w:szCs w:val="22"/>
              </w:rPr>
              <w:t>Up to £6m (excluding VAT) as RDEL</w:t>
            </w:r>
          </w:p>
        </w:tc>
        <w:tc>
          <w:tcPr>
            <w:tcW w:w="3209" w:type="dxa"/>
            <w:tcBorders>
              <w:top w:val="dotted" w:sz="2" w:space="0" w:color="000000" w:themeColor="text1"/>
              <w:left w:val="dotted" w:sz="2" w:space="0" w:color="000000" w:themeColor="text1"/>
              <w:bottom w:val="dotted" w:sz="2" w:space="0" w:color="000000" w:themeColor="text1"/>
              <w:right w:val="single" w:sz="4" w:space="0" w:color="000000" w:themeColor="text1"/>
            </w:tcBorders>
            <w:hideMark/>
          </w:tcPr>
          <w:p w14:paraId="5E522675" w14:textId="1F833357" w:rsidR="004D2FC0" w:rsidRPr="003F6641" w:rsidRDefault="004D2FC0" w:rsidP="32B552BF">
            <w:pPr>
              <w:rPr>
                <w:rFonts w:cs="Arial"/>
                <w:b/>
                <w:bCs/>
                <w:sz w:val="22"/>
                <w:szCs w:val="22"/>
              </w:rPr>
            </w:pPr>
            <w:r w:rsidRPr="29D08CD4">
              <w:rPr>
                <w:rFonts w:cs="Arial"/>
                <w:b/>
                <w:bCs/>
                <w:sz w:val="22"/>
                <w:szCs w:val="22"/>
              </w:rPr>
              <w:t xml:space="preserve">Review date: </w:t>
            </w:r>
            <w:r w:rsidR="00853EEE" w:rsidRPr="29D08CD4">
              <w:rPr>
                <w:rFonts w:cs="Arial"/>
                <w:sz w:val="22"/>
                <w:szCs w:val="22"/>
              </w:rPr>
              <w:t>1 January 2024 – 31 December 2024</w:t>
            </w:r>
          </w:p>
        </w:tc>
      </w:tr>
      <w:tr w:rsidR="004D2FC0" w:rsidRPr="003F6641" w14:paraId="4F6467CB" w14:textId="77777777" w:rsidTr="29D08CD4">
        <w:trPr>
          <w:trHeight w:val="300"/>
        </w:trPr>
        <w:tc>
          <w:tcPr>
            <w:tcW w:w="3397" w:type="dxa"/>
            <w:tcBorders>
              <w:top w:val="dotted" w:sz="2" w:space="0" w:color="000000" w:themeColor="text1"/>
              <w:left w:val="single" w:sz="4" w:space="0" w:color="auto"/>
              <w:bottom w:val="single" w:sz="4" w:space="0" w:color="auto"/>
              <w:right w:val="dotted" w:sz="2" w:space="0" w:color="000000" w:themeColor="text1"/>
            </w:tcBorders>
          </w:tcPr>
          <w:p w14:paraId="07FE2881" w14:textId="31D052A6" w:rsidR="004D2FC0" w:rsidRPr="00224EC7" w:rsidRDefault="004D2FC0" w:rsidP="00FC16A6">
            <w:pPr>
              <w:rPr>
                <w:rFonts w:cs="Arial"/>
                <w:sz w:val="22"/>
                <w:szCs w:val="22"/>
                <w:lang w:val="fr-FR"/>
              </w:rPr>
            </w:pPr>
            <w:r w:rsidRPr="29D08CD4">
              <w:rPr>
                <w:rFonts w:cs="Arial"/>
                <w:b/>
                <w:bCs/>
                <w:sz w:val="22"/>
                <w:szCs w:val="22"/>
                <w:lang w:val="fr-FR"/>
              </w:rPr>
              <w:t xml:space="preserve">Programme Code: </w:t>
            </w:r>
            <w:r w:rsidR="00224EC7" w:rsidRPr="29D08CD4">
              <w:rPr>
                <w:rFonts w:cs="Arial"/>
                <w:sz w:val="22"/>
                <w:szCs w:val="22"/>
                <w:lang w:val="fr-FR"/>
              </w:rPr>
              <w:t>GB-GOV-25 -ICF-0047-FCLP </w:t>
            </w:r>
          </w:p>
        </w:tc>
        <w:tc>
          <w:tcPr>
            <w:tcW w:w="2410" w:type="dxa"/>
            <w:tcBorders>
              <w:top w:val="dotted" w:sz="2" w:space="0" w:color="000000" w:themeColor="text1"/>
              <w:left w:val="dotted" w:sz="2" w:space="0" w:color="000000" w:themeColor="text1"/>
              <w:bottom w:val="single" w:sz="4" w:space="0" w:color="000000" w:themeColor="text1"/>
              <w:right w:val="dotted" w:sz="2" w:space="0" w:color="000000" w:themeColor="text1"/>
            </w:tcBorders>
            <w:hideMark/>
          </w:tcPr>
          <w:p w14:paraId="3C649775" w14:textId="067A660A" w:rsidR="004D2FC0" w:rsidRPr="003F6641" w:rsidRDefault="004D2FC0" w:rsidP="32B552BF">
            <w:pPr>
              <w:rPr>
                <w:rFonts w:cs="Arial"/>
                <w:b/>
                <w:bCs/>
                <w:sz w:val="22"/>
                <w:szCs w:val="22"/>
              </w:rPr>
            </w:pPr>
            <w:r w:rsidRPr="29D08CD4">
              <w:rPr>
                <w:rFonts w:cs="Arial"/>
                <w:b/>
                <w:bCs/>
                <w:sz w:val="22"/>
                <w:szCs w:val="22"/>
              </w:rPr>
              <w:t>Programme start date:</w:t>
            </w:r>
            <w:r w:rsidRPr="29D08CD4">
              <w:rPr>
                <w:rFonts w:cs="Arial"/>
                <w:sz w:val="22"/>
                <w:szCs w:val="22"/>
              </w:rPr>
              <w:t xml:space="preserve"> </w:t>
            </w:r>
            <w:r w:rsidR="00AA55CF" w:rsidRPr="29D08CD4">
              <w:rPr>
                <w:rFonts w:cs="Arial"/>
                <w:sz w:val="22"/>
                <w:szCs w:val="22"/>
              </w:rPr>
              <w:t>November 2023</w:t>
            </w:r>
          </w:p>
        </w:tc>
        <w:tc>
          <w:tcPr>
            <w:tcW w:w="3209" w:type="dxa"/>
            <w:tcBorders>
              <w:top w:val="dotted" w:sz="2" w:space="0" w:color="000000" w:themeColor="text1"/>
              <w:left w:val="dotted" w:sz="2" w:space="0" w:color="000000" w:themeColor="text1"/>
              <w:bottom w:val="single" w:sz="4" w:space="0" w:color="auto"/>
              <w:right w:val="single" w:sz="4" w:space="0" w:color="auto"/>
            </w:tcBorders>
            <w:hideMark/>
          </w:tcPr>
          <w:p w14:paraId="7A133EFD" w14:textId="294B5EBF" w:rsidR="004D2FC0" w:rsidRPr="003F6641" w:rsidRDefault="004D2FC0" w:rsidP="32B552BF">
            <w:pPr>
              <w:rPr>
                <w:rFonts w:cs="Arial"/>
                <w:b/>
                <w:bCs/>
                <w:sz w:val="22"/>
                <w:szCs w:val="22"/>
              </w:rPr>
            </w:pPr>
            <w:r w:rsidRPr="29D08CD4">
              <w:rPr>
                <w:rFonts w:cs="Arial"/>
                <w:b/>
                <w:bCs/>
                <w:sz w:val="22"/>
                <w:szCs w:val="22"/>
              </w:rPr>
              <w:t>Programme end date:</w:t>
            </w:r>
            <w:r w:rsidRPr="29D08CD4">
              <w:rPr>
                <w:rFonts w:cs="Arial"/>
                <w:sz w:val="22"/>
                <w:szCs w:val="22"/>
              </w:rPr>
              <w:t xml:space="preserve"> </w:t>
            </w:r>
            <w:r w:rsidR="00626D5E" w:rsidRPr="29D08CD4">
              <w:rPr>
                <w:rFonts w:cs="Arial"/>
                <w:sz w:val="22"/>
                <w:szCs w:val="22"/>
              </w:rPr>
              <w:t>2029/2030</w:t>
            </w:r>
          </w:p>
        </w:tc>
      </w:tr>
    </w:tbl>
    <w:p w14:paraId="44D21F6A" w14:textId="77777777" w:rsidR="004D2FC0" w:rsidRPr="003F6641" w:rsidRDefault="004D2FC0" w:rsidP="32B552BF">
      <w:pPr>
        <w:rPr>
          <w:rFonts w:cs="Arial"/>
          <w:b/>
          <w:bCs/>
          <w:sz w:val="22"/>
          <w:szCs w:val="22"/>
        </w:rPr>
      </w:pPr>
    </w:p>
    <w:tbl>
      <w:tblPr>
        <w:tblStyle w:val="TableGrid"/>
        <w:tblW w:w="0" w:type="auto"/>
        <w:tblLook w:val="04A0" w:firstRow="1" w:lastRow="0" w:firstColumn="1" w:lastColumn="0" w:noHBand="0" w:noVBand="1"/>
      </w:tblPr>
      <w:tblGrid>
        <w:gridCol w:w="2413"/>
        <w:gridCol w:w="1194"/>
        <w:gridCol w:w="634"/>
        <w:gridCol w:w="796"/>
        <w:gridCol w:w="796"/>
        <w:gridCol w:w="795"/>
        <w:gridCol w:w="796"/>
        <w:gridCol w:w="796"/>
        <w:gridCol w:w="796"/>
      </w:tblGrid>
      <w:tr w:rsidR="00230433" w:rsidRPr="003F6641" w14:paraId="397F49F6" w14:textId="77777777" w:rsidTr="29D08CD4">
        <w:tc>
          <w:tcPr>
            <w:tcW w:w="254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C0C093D" w14:textId="1AAB18E8" w:rsidR="004D2FC0" w:rsidRPr="000425EB" w:rsidRDefault="004D2FC0" w:rsidP="00FC16A6">
            <w:pPr>
              <w:rPr>
                <w:rFonts w:cs="Arial"/>
                <w:b/>
                <w:bCs/>
                <w:sz w:val="22"/>
                <w:szCs w:val="22"/>
              </w:rPr>
            </w:pPr>
            <w:r w:rsidRPr="29D08CD4">
              <w:rPr>
                <w:rFonts w:cs="Arial"/>
                <w:b/>
                <w:bCs/>
                <w:sz w:val="22"/>
                <w:szCs w:val="22"/>
              </w:rPr>
              <w:t>Year</w:t>
            </w:r>
          </w:p>
        </w:tc>
        <w:tc>
          <w:tcPr>
            <w:tcW w:w="709" w:type="dxa"/>
            <w:tcBorders>
              <w:top w:val="single" w:sz="4" w:space="0" w:color="auto"/>
              <w:left w:val="single" w:sz="4" w:space="0" w:color="auto"/>
              <w:bottom w:val="single" w:sz="4" w:space="0" w:color="auto"/>
              <w:right w:val="single" w:sz="4" w:space="0" w:color="auto"/>
            </w:tcBorders>
          </w:tcPr>
          <w:p w14:paraId="04CB39F0" w14:textId="6533BAA1" w:rsidR="004D2FC0" w:rsidRPr="003F6641" w:rsidRDefault="00224EC7" w:rsidP="32B552BF">
            <w:pPr>
              <w:rPr>
                <w:rFonts w:cs="Arial"/>
                <w:b/>
                <w:bCs/>
                <w:sz w:val="22"/>
                <w:szCs w:val="22"/>
              </w:rPr>
            </w:pPr>
            <w:r w:rsidRPr="29D08CD4">
              <w:rPr>
                <w:rFonts w:cs="Arial"/>
                <w:b/>
                <w:bCs/>
                <w:sz w:val="22"/>
                <w:szCs w:val="22"/>
              </w:rPr>
              <w:t>2024</w:t>
            </w:r>
          </w:p>
        </w:tc>
        <w:tc>
          <w:tcPr>
            <w:tcW w:w="673" w:type="dxa"/>
            <w:tcBorders>
              <w:top w:val="single" w:sz="4" w:space="0" w:color="auto"/>
              <w:left w:val="single" w:sz="4" w:space="0" w:color="auto"/>
              <w:bottom w:val="single" w:sz="4" w:space="0" w:color="auto"/>
              <w:right w:val="single" w:sz="4" w:space="0" w:color="auto"/>
            </w:tcBorders>
          </w:tcPr>
          <w:p w14:paraId="037A5853" w14:textId="26356FB9" w:rsidR="004D2FC0" w:rsidRPr="003F6641" w:rsidRDefault="004D2FC0" w:rsidP="32B552BF">
            <w:pPr>
              <w:rPr>
                <w:rFonts w:cs="Arial"/>
                <w:b/>
                <w:bCs/>
                <w:sz w:val="22"/>
                <w:szCs w:val="22"/>
              </w:rPr>
            </w:pPr>
          </w:p>
        </w:tc>
        <w:tc>
          <w:tcPr>
            <w:tcW w:w="848" w:type="dxa"/>
            <w:tcBorders>
              <w:top w:val="single" w:sz="4" w:space="0" w:color="auto"/>
              <w:left w:val="single" w:sz="4" w:space="0" w:color="auto"/>
              <w:bottom w:val="single" w:sz="4" w:space="0" w:color="auto"/>
              <w:right w:val="single" w:sz="4" w:space="0" w:color="auto"/>
            </w:tcBorders>
          </w:tcPr>
          <w:p w14:paraId="079B1B1B" w14:textId="41A3064C" w:rsidR="004D2FC0" w:rsidRPr="003F6641" w:rsidRDefault="004D2FC0" w:rsidP="32B552BF">
            <w:pPr>
              <w:rPr>
                <w:rFonts w:cs="Arial"/>
                <w:b/>
                <w:bCs/>
                <w:sz w:val="22"/>
                <w:szCs w:val="22"/>
              </w:rPr>
            </w:pPr>
          </w:p>
        </w:tc>
        <w:tc>
          <w:tcPr>
            <w:tcW w:w="848" w:type="dxa"/>
            <w:tcBorders>
              <w:top w:val="single" w:sz="4" w:space="0" w:color="auto"/>
              <w:left w:val="single" w:sz="4" w:space="0" w:color="auto"/>
              <w:bottom w:val="single" w:sz="4" w:space="0" w:color="auto"/>
              <w:right w:val="single" w:sz="4" w:space="0" w:color="auto"/>
            </w:tcBorders>
          </w:tcPr>
          <w:p w14:paraId="646BA210" w14:textId="6120C7EF" w:rsidR="004D2FC0" w:rsidRPr="003F6641" w:rsidRDefault="004D2FC0" w:rsidP="32B552BF">
            <w:pPr>
              <w:rPr>
                <w:rFonts w:cs="Arial"/>
                <w:b/>
                <w:bCs/>
                <w:sz w:val="22"/>
                <w:szCs w:val="22"/>
              </w:rPr>
            </w:pPr>
          </w:p>
        </w:tc>
        <w:tc>
          <w:tcPr>
            <w:tcW w:w="847" w:type="dxa"/>
            <w:tcBorders>
              <w:top w:val="single" w:sz="4" w:space="0" w:color="auto"/>
              <w:left w:val="single" w:sz="4" w:space="0" w:color="auto"/>
              <w:bottom w:val="single" w:sz="4" w:space="0" w:color="auto"/>
              <w:right w:val="single" w:sz="4" w:space="0" w:color="auto"/>
            </w:tcBorders>
          </w:tcPr>
          <w:p w14:paraId="1035360D" w14:textId="47F019F6" w:rsidR="004D2FC0" w:rsidRPr="003F6641" w:rsidRDefault="004D2FC0" w:rsidP="32B552BF">
            <w:pPr>
              <w:rPr>
                <w:rFonts w:cs="Arial"/>
                <w:b/>
                <w:bCs/>
                <w:sz w:val="22"/>
                <w:szCs w:val="22"/>
              </w:rPr>
            </w:pPr>
          </w:p>
        </w:tc>
        <w:tc>
          <w:tcPr>
            <w:tcW w:w="848" w:type="dxa"/>
            <w:tcBorders>
              <w:top w:val="single" w:sz="4" w:space="0" w:color="auto"/>
              <w:left w:val="single" w:sz="4" w:space="0" w:color="auto"/>
              <w:bottom w:val="single" w:sz="4" w:space="0" w:color="auto"/>
              <w:right w:val="single" w:sz="4" w:space="0" w:color="auto"/>
            </w:tcBorders>
          </w:tcPr>
          <w:p w14:paraId="64675C53" w14:textId="309B1136" w:rsidR="004D2FC0" w:rsidRPr="003F6641" w:rsidRDefault="004D2FC0" w:rsidP="32B552BF">
            <w:pPr>
              <w:rPr>
                <w:rFonts w:cs="Arial"/>
                <w:b/>
                <w:bCs/>
                <w:sz w:val="22"/>
                <w:szCs w:val="22"/>
              </w:rPr>
            </w:pPr>
          </w:p>
        </w:tc>
        <w:tc>
          <w:tcPr>
            <w:tcW w:w="848" w:type="dxa"/>
            <w:tcBorders>
              <w:top w:val="single" w:sz="4" w:space="0" w:color="auto"/>
              <w:left w:val="single" w:sz="4" w:space="0" w:color="auto"/>
              <w:bottom w:val="single" w:sz="4" w:space="0" w:color="auto"/>
              <w:right w:val="single" w:sz="4" w:space="0" w:color="auto"/>
            </w:tcBorders>
          </w:tcPr>
          <w:p w14:paraId="6C4DC08E" w14:textId="196E1EAA" w:rsidR="004D2FC0" w:rsidRPr="003F6641" w:rsidRDefault="004D2FC0" w:rsidP="32B552BF">
            <w:pPr>
              <w:rPr>
                <w:rFonts w:cs="Arial"/>
                <w:b/>
                <w:bCs/>
                <w:sz w:val="22"/>
                <w:szCs w:val="22"/>
              </w:rPr>
            </w:pPr>
          </w:p>
        </w:tc>
        <w:tc>
          <w:tcPr>
            <w:tcW w:w="848" w:type="dxa"/>
            <w:tcBorders>
              <w:top w:val="single" w:sz="4" w:space="0" w:color="auto"/>
              <w:left w:val="single" w:sz="4" w:space="0" w:color="auto"/>
              <w:bottom w:val="single" w:sz="4" w:space="0" w:color="auto"/>
              <w:right w:val="single" w:sz="4" w:space="0" w:color="auto"/>
            </w:tcBorders>
          </w:tcPr>
          <w:p w14:paraId="7DE0F0B5" w14:textId="77777777" w:rsidR="004D2FC0" w:rsidRPr="003F6641" w:rsidRDefault="004D2FC0" w:rsidP="32B552BF">
            <w:pPr>
              <w:rPr>
                <w:rFonts w:cs="Arial"/>
                <w:b/>
                <w:bCs/>
                <w:sz w:val="22"/>
                <w:szCs w:val="22"/>
              </w:rPr>
            </w:pPr>
          </w:p>
        </w:tc>
      </w:tr>
      <w:tr w:rsidR="00230433" w:rsidRPr="003F6641" w14:paraId="461D6177" w14:textId="77777777" w:rsidTr="29D08CD4">
        <w:tc>
          <w:tcPr>
            <w:tcW w:w="254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3454618" w14:textId="16D66991" w:rsidR="004D2FC0" w:rsidRPr="000425EB" w:rsidRDefault="004D2FC0" w:rsidP="00FC16A6">
            <w:pPr>
              <w:rPr>
                <w:rFonts w:cs="Arial"/>
                <w:b/>
                <w:bCs/>
                <w:sz w:val="22"/>
                <w:szCs w:val="22"/>
              </w:rPr>
            </w:pPr>
            <w:r w:rsidRPr="29D08CD4">
              <w:rPr>
                <w:rFonts w:cs="Arial"/>
                <w:b/>
                <w:bCs/>
                <w:sz w:val="22"/>
                <w:szCs w:val="22"/>
              </w:rPr>
              <w:t>Overall Output Score</w:t>
            </w:r>
          </w:p>
        </w:tc>
        <w:tc>
          <w:tcPr>
            <w:tcW w:w="709" w:type="dxa"/>
            <w:tcBorders>
              <w:top w:val="single" w:sz="4" w:space="0" w:color="auto"/>
              <w:left w:val="single" w:sz="4" w:space="0" w:color="auto"/>
              <w:bottom w:val="single" w:sz="4" w:space="0" w:color="auto"/>
              <w:right w:val="single" w:sz="4" w:space="0" w:color="auto"/>
            </w:tcBorders>
          </w:tcPr>
          <w:p w14:paraId="739EFDDA" w14:textId="089BD857" w:rsidR="004D2FC0" w:rsidRPr="003F6641" w:rsidRDefault="004065A6" w:rsidP="32B552BF">
            <w:pPr>
              <w:rPr>
                <w:rFonts w:cs="Arial"/>
                <w:b/>
                <w:bCs/>
                <w:sz w:val="22"/>
                <w:szCs w:val="22"/>
              </w:rPr>
            </w:pPr>
            <w:r w:rsidRPr="29D08CD4">
              <w:rPr>
                <w:rFonts w:cs="Arial"/>
                <w:b/>
                <w:bCs/>
                <w:sz w:val="22"/>
                <w:szCs w:val="22"/>
              </w:rPr>
              <w:t>N/A</w:t>
            </w:r>
          </w:p>
        </w:tc>
        <w:tc>
          <w:tcPr>
            <w:tcW w:w="673" w:type="dxa"/>
            <w:tcBorders>
              <w:top w:val="single" w:sz="4" w:space="0" w:color="auto"/>
              <w:left w:val="single" w:sz="4" w:space="0" w:color="auto"/>
              <w:bottom w:val="single" w:sz="4" w:space="0" w:color="auto"/>
              <w:right w:val="single" w:sz="4" w:space="0" w:color="auto"/>
            </w:tcBorders>
          </w:tcPr>
          <w:p w14:paraId="357D8D0E" w14:textId="77777777" w:rsidR="004D2FC0" w:rsidRPr="003F6641" w:rsidRDefault="004D2FC0" w:rsidP="32B552BF">
            <w:pPr>
              <w:rPr>
                <w:rFonts w:cs="Arial"/>
                <w:b/>
                <w:bCs/>
                <w:sz w:val="22"/>
                <w:szCs w:val="22"/>
              </w:rPr>
            </w:pPr>
          </w:p>
        </w:tc>
        <w:tc>
          <w:tcPr>
            <w:tcW w:w="848" w:type="dxa"/>
            <w:tcBorders>
              <w:top w:val="single" w:sz="4" w:space="0" w:color="auto"/>
              <w:left w:val="single" w:sz="4" w:space="0" w:color="auto"/>
              <w:bottom w:val="single" w:sz="4" w:space="0" w:color="auto"/>
              <w:right w:val="single" w:sz="4" w:space="0" w:color="auto"/>
            </w:tcBorders>
          </w:tcPr>
          <w:p w14:paraId="2C992B7A" w14:textId="77777777" w:rsidR="004D2FC0" w:rsidRPr="003F6641" w:rsidRDefault="004D2FC0" w:rsidP="32B552BF">
            <w:pPr>
              <w:rPr>
                <w:rFonts w:cs="Arial"/>
                <w:b/>
                <w:bCs/>
                <w:sz w:val="22"/>
                <w:szCs w:val="22"/>
              </w:rPr>
            </w:pPr>
          </w:p>
        </w:tc>
        <w:tc>
          <w:tcPr>
            <w:tcW w:w="848" w:type="dxa"/>
            <w:tcBorders>
              <w:top w:val="single" w:sz="4" w:space="0" w:color="auto"/>
              <w:left w:val="single" w:sz="4" w:space="0" w:color="auto"/>
              <w:bottom w:val="single" w:sz="4" w:space="0" w:color="auto"/>
              <w:right w:val="single" w:sz="4" w:space="0" w:color="auto"/>
            </w:tcBorders>
          </w:tcPr>
          <w:p w14:paraId="0B25B58D" w14:textId="77777777" w:rsidR="004D2FC0" w:rsidRPr="003F6641" w:rsidRDefault="004D2FC0" w:rsidP="32B552BF">
            <w:pPr>
              <w:rPr>
                <w:rFonts w:cs="Arial"/>
                <w:b/>
                <w:bCs/>
                <w:sz w:val="22"/>
                <w:szCs w:val="22"/>
              </w:rPr>
            </w:pPr>
          </w:p>
        </w:tc>
        <w:tc>
          <w:tcPr>
            <w:tcW w:w="847" w:type="dxa"/>
            <w:tcBorders>
              <w:top w:val="single" w:sz="4" w:space="0" w:color="auto"/>
              <w:left w:val="single" w:sz="4" w:space="0" w:color="auto"/>
              <w:bottom w:val="single" w:sz="4" w:space="0" w:color="auto"/>
              <w:right w:val="single" w:sz="4" w:space="0" w:color="auto"/>
            </w:tcBorders>
          </w:tcPr>
          <w:p w14:paraId="40B2879D" w14:textId="77777777" w:rsidR="004D2FC0" w:rsidRPr="003F6641" w:rsidRDefault="004D2FC0" w:rsidP="32B552BF">
            <w:pPr>
              <w:rPr>
                <w:rFonts w:cs="Arial"/>
                <w:b/>
                <w:bCs/>
                <w:sz w:val="22"/>
                <w:szCs w:val="22"/>
              </w:rPr>
            </w:pPr>
          </w:p>
        </w:tc>
        <w:tc>
          <w:tcPr>
            <w:tcW w:w="848" w:type="dxa"/>
            <w:tcBorders>
              <w:top w:val="single" w:sz="4" w:space="0" w:color="auto"/>
              <w:left w:val="single" w:sz="4" w:space="0" w:color="auto"/>
              <w:bottom w:val="single" w:sz="4" w:space="0" w:color="auto"/>
              <w:right w:val="single" w:sz="4" w:space="0" w:color="auto"/>
            </w:tcBorders>
          </w:tcPr>
          <w:p w14:paraId="1C095E04" w14:textId="77777777" w:rsidR="004D2FC0" w:rsidRPr="003F6641" w:rsidRDefault="004D2FC0" w:rsidP="32B552BF">
            <w:pPr>
              <w:rPr>
                <w:rFonts w:cs="Arial"/>
                <w:b/>
                <w:bCs/>
                <w:sz w:val="22"/>
                <w:szCs w:val="22"/>
              </w:rPr>
            </w:pPr>
          </w:p>
        </w:tc>
        <w:tc>
          <w:tcPr>
            <w:tcW w:w="848" w:type="dxa"/>
            <w:tcBorders>
              <w:top w:val="single" w:sz="4" w:space="0" w:color="auto"/>
              <w:left w:val="single" w:sz="4" w:space="0" w:color="auto"/>
              <w:bottom w:val="single" w:sz="4" w:space="0" w:color="auto"/>
              <w:right w:val="single" w:sz="4" w:space="0" w:color="auto"/>
            </w:tcBorders>
          </w:tcPr>
          <w:p w14:paraId="2E6879F9" w14:textId="77777777" w:rsidR="004D2FC0" w:rsidRPr="003F6641" w:rsidRDefault="004D2FC0" w:rsidP="32B552BF">
            <w:pPr>
              <w:rPr>
                <w:rFonts w:cs="Arial"/>
                <w:b/>
                <w:bCs/>
                <w:sz w:val="22"/>
                <w:szCs w:val="22"/>
              </w:rPr>
            </w:pPr>
          </w:p>
        </w:tc>
        <w:tc>
          <w:tcPr>
            <w:tcW w:w="848" w:type="dxa"/>
            <w:tcBorders>
              <w:top w:val="single" w:sz="4" w:space="0" w:color="auto"/>
              <w:left w:val="single" w:sz="4" w:space="0" w:color="auto"/>
              <w:bottom w:val="single" w:sz="4" w:space="0" w:color="auto"/>
              <w:right w:val="single" w:sz="4" w:space="0" w:color="auto"/>
            </w:tcBorders>
          </w:tcPr>
          <w:p w14:paraId="791C19F9" w14:textId="77777777" w:rsidR="004D2FC0" w:rsidRPr="003F6641" w:rsidRDefault="004D2FC0" w:rsidP="32B552BF">
            <w:pPr>
              <w:rPr>
                <w:rFonts w:cs="Arial"/>
                <w:b/>
                <w:bCs/>
                <w:sz w:val="22"/>
                <w:szCs w:val="22"/>
              </w:rPr>
            </w:pPr>
          </w:p>
        </w:tc>
      </w:tr>
      <w:tr w:rsidR="00230433" w:rsidRPr="003F6641" w14:paraId="58491621" w14:textId="77777777" w:rsidTr="29D08CD4">
        <w:trPr>
          <w:trHeight w:val="309"/>
        </w:trPr>
        <w:tc>
          <w:tcPr>
            <w:tcW w:w="254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030DD62" w14:textId="25630BF1" w:rsidR="004D2FC0" w:rsidRPr="000425EB" w:rsidRDefault="004D2FC0" w:rsidP="00FC16A6">
            <w:pPr>
              <w:rPr>
                <w:rFonts w:cs="Arial"/>
                <w:b/>
                <w:bCs/>
                <w:sz w:val="22"/>
                <w:szCs w:val="22"/>
              </w:rPr>
            </w:pPr>
            <w:r w:rsidRPr="29D08CD4">
              <w:rPr>
                <w:rFonts w:cs="Arial"/>
                <w:b/>
                <w:bCs/>
                <w:sz w:val="22"/>
                <w:szCs w:val="22"/>
              </w:rPr>
              <w:t xml:space="preserve">Risk Rating </w:t>
            </w:r>
          </w:p>
        </w:tc>
        <w:tc>
          <w:tcPr>
            <w:tcW w:w="709" w:type="dxa"/>
            <w:tcBorders>
              <w:top w:val="single" w:sz="4" w:space="0" w:color="auto"/>
              <w:left w:val="single" w:sz="4" w:space="0" w:color="auto"/>
              <w:bottom w:val="single" w:sz="4" w:space="0" w:color="auto"/>
              <w:right w:val="single" w:sz="4" w:space="0" w:color="auto"/>
            </w:tcBorders>
          </w:tcPr>
          <w:p w14:paraId="1DA9D990" w14:textId="55C35F34" w:rsidR="004D2FC0" w:rsidRPr="003F6641" w:rsidRDefault="00E51969" w:rsidP="32B552BF">
            <w:pPr>
              <w:rPr>
                <w:rFonts w:cs="Arial"/>
                <w:b/>
                <w:bCs/>
                <w:sz w:val="22"/>
                <w:szCs w:val="22"/>
              </w:rPr>
            </w:pPr>
            <w:r w:rsidRPr="29D08CD4">
              <w:rPr>
                <w:rFonts w:cs="Arial"/>
                <w:b/>
                <w:bCs/>
                <w:sz w:val="22"/>
                <w:szCs w:val="22"/>
              </w:rPr>
              <w:t>Moderate</w:t>
            </w:r>
          </w:p>
        </w:tc>
        <w:tc>
          <w:tcPr>
            <w:tcW w:w="673" w:type="dxa"/>
            <w:tcBorders>
              <w:top w:val="single" w:sz="4" w:space="0" w:color="auto"/>
              <w:left w:val="single" w:sz="4" w:space="0" w:color="auto"/>
              <w:bottom w:val="single" w:sz="4" w:space="0" w:color="auto"/>
              <w:right w:val="single" w:sz="4" w:space="0" w:color="auto"/>
            </w:tcBorders>
          </w:tcPr>
          <w:p w14:paraId="180C1E97" w14:textId="77777777" w:rsidR="004D2FC0" w:rsidRPr="003F6641" w:rsidRDefault="004D2FC0" w:rsidP="32B552BF">
            <w:pPr>
              <w:rPr>
                <w:rFonts w:cs="Arial"/>
                <w:b/>
                <w:bCs/>
                <w:sz w:val="22"/>
                <w:szCs w:val="22"/>
              </w:rPr>
            </w:pPr>
          </w:p>
        </w:tc>
        <w:tc>
          <w:tcPr>
            <w:tcW w:w="848" w:type="dxa"/>
            <w:tcBorders>
              <w:top w:val="single" w:sz="4" w:space="0" w:color="auto"/>
              <w:left w:val="single" w:sz="4" w:space="0" w:color="auto"/>
              <w:bottom w:val="single" w:sz="4" w:space="0" w:color="auto"/>
              <w:right w:val="single" w:sz="4" w:space="0" w:color="auto"/>
            </w:tcBorders>
          </w:tcPr>
          <w:p w14:paraId="23FE3FF4" w14:textId="77777777" w:rsidR="004D2FC0" w:rsidRPr="003F6641" w:rsidRDefault="004D2FC0" w:rsidP="32B552BF">
            <w:pPr>
              <w:rPr>
                <w:rFonts w:cs="Arial"/>
                <w:b/>
                <w:bCs/>
                <w:sz w:val="22"/>
                <w:szCs w:val="22"/>
              </w:rPr>
            </w:pPr>
          </w:p>
        </w:tc>
        <w:tc>
          <w:tcPr>
            <w:tcW w:w="848" w:type="dxa"/>
            <w:tcBorders>
              <w:top w:val="single" w:sz="4" w:space="0" w:color="auto"/>
              <w:left w:val="single" w:sz="4" w:space="0" w:color="auto"/>
              <w:bottom w:val="single" w:sz="4" w:space="0" w:color="auto"/>
              <w:right w:val="single" w:sz="4" w:space="0" w:color="auto"/>
            </w:tcBorders>
          </w:tcPr>
          <w:p w14:paraId="6BE836D9" w14:textId="77777777" w:rsidR="004D2FC0" w:rsidRPr="003F6641" w:rsidRDefault="004D2FC0" w:rsidP="32B552BF">
            <w:pPr>
              <w:rPr>
                <w:rFonts w:cs="Arial"/>
                <w:b/>
                <w:bCs/>
                <w:sz w:val="22"/>
                <w:szCs w:val="22"/>
              </w:rPr>
            </w:pPr>
          </w:p>
        </w:tc>
        <w:tc>
          <w:tcPr>
            <w:tcW w:w="847" w:type="dxa"/>
            <w:tcBorders>
              <w:top w:val="single" w:sz="4" w:space="0" w:color="auto"/>
              <w:left w:val="single" w:sz="4" w:space="0" w:color="auto"/>
              <w:bottom w:val="single" w:sz="4" w:space="0" w:color="auto"/>
              <w:right w:val="single" w:sz="4" w:space="0" w:color="auto"/>
            </w:tcBorders>
          </w:tcPr>
          <w:p w14:paraId="468D2069" w14:textId="77777777" w:rsidR="004D2FC0" w:rsidRPr="003F6641" w:rsidRDefault="004D2FC0" w:rsidP="32B552BF">
            <w:pPr>
              <w:rPr>
                <w:rFonts w:cs="Arial"/>
                <w:b/>
                <w:bCs/>
                <w:sz w:val="22"/>
                <w:szCs w:val="22"/>
              </w:rPr>
            </w:pPr>
          </w:p>
        </w:tc>
        <w:tc>
          <w:tcPr>
            <w:tcW w:w="848" w:type="dxa"/>
            <w:tcBorders>
              <w:top w:val="single" w:sz="4" w:space="0" w:color="auto"/>
              <w:left w:val="single" w:sz="4" w:space="0" w:color="auto"/>
              <w:bottom w:val="single" w:sz="4" w:space="0" w:color="auto"/>
              <w:right w:val="single" w:sz="4" w:space="0" w:color="auto"/>
            </w:tcBorders>
          </w:tcPr>
          <w:p w14:paraId="2F214678" w14:textId="77777777" w:rsidR="004D2FC0" w:rsidRPr="003F6641" w:rsidRDefault="004D2FC0" w:rsidP="32B552BF">
            <w:pPr>
              <w:rPr>
                <w:rFonts w:cs="Arial"/>
                <w:b/>
                <w:bCs/>
                <w:sz w:val="22"/>
                <w:szCs w:val="22"/>
              </w:rPr>
            </w:pPr>
          </w:p>
        </w:tc>
        <w:tc>
          <w:tcPr>
            <w:tcW w:w="848" w:type="dxa"/>
            <w:tcBorders>
              <w:top w:val="single" w:sz="4" w:space="0" w:color="auto"/>
              <w:left w:val="single" w:sz="4" w:space="0" w:color="auto"/>
              <w:bottom w:val="single" w:sz="4" w:space="0" w:color="auto"/>
              <w:right w:val="single" w:sz="4" w:space="0" w:color="auto"/>
            </w:tcBorders>
          </w:tcPr>
          <w:p w14:paraId="2A9939C5" w14:textId="77777777" w:rsidR="004D2FC0" w:rsidRPr="003F6641" w:rsidRDefault="004D2FC0" w:rsidP="32B552BF">
            <w:pPr>
              <w:rPr>
                <w:rFonts w:cs="Arial"/>
                <w:b/>
                <w:bCs/>
                <w:sz w:val="22"/>
                <w:szCs w:val="22"/>
              </w:rPr>
            </w:pPr>
          </w:p>
        </w:tc>
        <w:tc>
          <w:tcPr>
            <w:tcW w:w="848" w:type="dxa"/>
            <w:tcBorders>
              <w:top w:val="single" w:sz="4" w:space="0" w:color="auto"/>
              <w:left w:val="single" w:sz="4" w:space="0" w:color="auto"/>
              <w:bottom w:val="single" w:sz="4" w:space="0" w:color="auto"/>
              <w:right w:val="single" w:sz="4" w:space="0" w:color="auto"/>
            </w:tcBorders>
          </w:tcPr>
          <w:p w14:paraId="5349FBAE" w14:textId="77777777" w:rsidR="004D2FC0" w:rsidRPr="003F6641" w:rsidRDefault="004D2FC0" w:rsidP="32B552BF">
            <w:pPr>
              <w:rPr>
                <w:rFonts w:cs="Arial"/>
                <w:b/>
                <w:bCs/>
                <w:sz w:val="22"/>
                <w:szCs w:val="22"/>
              </w:rPr>
            </w:pPr>
          </w:p>
        </w:tc>
      </w:tr>
    </w:tbl>
    <w:p w14:paraId="06E2DA9D" w14:textId="77777777" w:rsidR="004D2FC0" w:rsidRPr="003F6641" w:rsidRDefault="004D2FC0" w:rsidP="32B552BF">
      <w:pPr>
        <w:rPr>
          <w:rFonts w:cs="Arial"/>
          <w:b/>
          <w:bCs/>
          <w:sz w:val="22"/>
          <w:szCs w:val="22"/>
        </w:rPr>
      </w:pPr>
    </w:p>
    <w:tbl>
      <w:tblPr>
        <w:tblStyle w:val="TableGrid"/>
        <w:tblW w:w="0" w:type="auto"/>
        <w:tblInd w:w="-5" w:type="dxa"/>
        <w:tblLook w:val="04A0" w:firstRow="1" w:lastRow="0" w:firstColumn="1" w:lastColumn="0" w:noHBand="0" w:noVBand="1"/>
      </w:tblPr>
      <w:tblGrid>
        <w:gridCol w:w="3969"/>
        <w:gridCol w:w="5052"/>
      </w:tblGrid>
      <w:tr w:rsidR="00DB4C35" w:rsidRPr="003F6641" w14:paraId="4FEBD36E" w14:textId="77777777" w:rsidTr="29D08CD4">
        <w:trPr>
          <w:trHeight w:val="355"/>
        </w:trPr>
        <w:tc>
          <w:tcPr>
            <w:tcW w:w="3969" w:type="dxa"/>
            <w:shd w:val="clear" w:color="auto" w:fill="DEEAF6" w:themeFill="accent5" w:themeFillTint="33"/>
            <w:hideMark/>
          </w:tcPr>
          <w:p w14:paraId="47E97EB8" w14:textId="4A213143" w:rsidR="004D2FC0" w:rsidRPr="000425EB" w:rsidRDefault="004D2FC0" w:rsidP="32B552BF">
            <w:pPr>
              <w:rPr>
                <w:rFonts w:cs="Arial"/>
                <w:b/>
                <w:bCs/>
                <w:sz w:val="22"/>
                <w:szCs w:val="22"/>
              </w:rPr>
            </w:pPr>
            <w:r w:rsidRPr="29D08CD4">
              <w:rPr>
                <w:rFonts w:cs="Arial"/>
                <w:b/>
                <w:bCs/>
                <w:sz w:val="22"/>
                <w:szCs w:val="22"/>
              </w:rPr>
              <w:t xml:space="preserve">Link to Business Case: </w:t>
            </w:r>
          </w:p>
        </w:tc>
        <w:tc>
          <w:tcPr>
            <w:tcW w:w="5052" w:type="dxa"/>
          </w:tcPr>
          <w:p w14:paraId="52CAFA29" w14:textId="29147E98" w:rsidR="004D2FC0" w:rsidRPr="002B4180" w:rsidRDefault="002B4180" w:rsidP="32B552BF">
            <w:pPr>
              <w:rPr>
                <w:rFonts w:cs="Arial"/>
                <w:sz w:val="22"/>
                <w:szCs w:val="22"/>
              </w:rPr>
            </w:pPr>
            <w:hyperlink r:id="rId16">
              <w:r w:rsidRPr="29D08CD4">
                <w:rPr>
                  <w:rStyle w:val="Hyperlink"/>
                  <w:rFonts w:cs="Arial"/>
                  <w:sz w:val="22"/>
                  <w:szCs w:val="22"/>
                  <w:lang w:eastAsia="en-US"/>
                </w:rPr>
                <w:t>FCLP Business Case</w:t>
              </w:r>
            </w:hyperlink>
          </w:p>
        </w:tc>
      </w:tr>
      <w:tr w:rsidR="00DB4C35" w:rsidRPr="003F6641" w14:paraId="728A7692" w14:textId="77777777" w:rsidTr="29D08CD4">
        <w:trPr>
          <w:trHeight w:val="403"/>
        </w:trPr>
        <w:tc>
          <w:tcPr>
            <w:tcW w:w="3969" w:type="dxa"/>
            <w:shd w:val="clear" w:color="auto" w:fill="DEEAF6" w:themeFill="accent5" w:themeFillTint="33"/>
            <w:hideMark/>
          </w:tcPr>
          <w:p w14:paraId="251B0951" w14:textId="66B54553" w:rsidR="004D2FC0" w:rsidRPr="000425EB" w:rsidRDefault="004D2FC0" w:rsidP="29D08CD4">
            <w:pPr>
              <w:rPr>
                <w:rFonts w:cs="Arial"/>
                <w:b/>
                <w:bCs/>
                <w:i/>
                <w:iCs/>
                <w:sz w:val="22"/>
                <w:szCs w:val="22"/>
              </w:rPr>
            </w:pPr>
            <w:r w:rsidRPr="29D08CD4">
              <w:rPr>
                <w:rFonts w:cs="Arial"/>
                <w:b/>
                <w:bCs/>
                <w:sz w:val="22"/>
                <w:szCs w:val="22"/>
              </w:rPr>
              <w:t xml:space="preserve">Link to Logframe: </w:t>
            </w:r>
          </w:p>
        </w:tc>
        <w:tc>
          <w:tcPr>
            <w:tcW w:w="5052" w:type="dxa"/>
          </w:tcPr>
          <w:p w14:paraId="1941208D" w14:textId="1679DF83" w:rsidR="004D2FC0" w:rsidRPr="002B4180" w:rsidRDefault="002B4180" w:rsidP="32B552BF">
            <w:pPr>
              <w:rPr>
                <w:rFonts w:cs="Arial"/>
                <w:sz w:val="22"/>
                <w:szCs w:val="22"/>
              </w:rPr>
            </w:pPr>
            <w:r w:rsidRPr="29D08CD4">
              <w:rPr>
                <w:rFonts w:cs="Arial"/>
                <w:sz w:val="22"/>
                <w:szCs w:val="22"/>
              </w:rPr>
              <w:t>To be published alongside Annual Review</w:t>
            </w:r>
          </w:p>
        </w:tc>
      </w:tr>
      <w:tr w:rsidR="00DB4C35" w:rsidRPr="003F6641" w14:paraId="240D100A" w14:textId="77777777" w:rsidTr="29D08CD4">
        <w:trPr>
          <w:trHeight w:val="403"/>
        </w:trPr>
        <w:tc>
          <w:tcPr>
            <w:tcW w:w="3969" w:type="dxa"/>
            <w:shd w:val="clear" w:color="auto" w:fill="DEEAF6" w:themeFill="accent5" w:themeFillTint="33"/>
          </w:tcPr>
          <w:p w14:paraId="44F3A577" w14:textId="487CC10D" w:rsidR="004D2FC0" w:rsidRPr="000425EB" w:rsidRDefault="004D2FC0" w:rsidP="32B552BF">
            <w:pPr>
              <w:rPr>
                <w:rFonts w:cs="Arial"/>
                <w:b/>
                <w:bCs/>
                <w:sz w:val="22"/>
                <w:szCs w:val="22"/>
              </w:rPr>
            </w:pPr>
            <w:r w:rsidRPr="29D08CD4">
              <w:rPr>
                <w:rFonts w:cs="Arial"/>
                <w:b/>
                <w:bCs/>
                <w:sz w:val="22"/>
                <w:szCs w:val="22"/>
              </w:rPr>
              <w:t xml:space="preserve">Link to previous Annual Review </w:t>
            </w:r>
          </w:p>
        </w:tc>
        <w:tc>
          <w:tcPr>
            <w:tcW w:w="5052" w:type="dxa"/>
          </w:tcPr>
          <w:p w14:paraId="521FABC2" w14:textId="492397E9" w:rsidR="004D2FC0" w:rsidRPr="002B4180" w:rsidRDefault="00B81053" w:rsidP="32B552BF">
            <w:pPr>
              <w:rPr>
                <w:rFonts w:cs="Arial"/>
                <w:sz w:val="22"/>
                <w:szCs w:val="22"/>
              </w:rPr>
            </w:pPr>
            <w:r w:rsidRPr="29D08CD4">
              <w:rPr>
                <w:rFonts w:cs="Arial"/>
                <w:sz w:val="22"/>
                <w:szCs w:val="22"/>
              </w:rPr>
              <w:t>N</w:t>
            </w:r>
            <w:r w:rsidR="002B4180" w:rsidRPr="29D08CD4">
              <w:rPr>
                <w:rFonts w:cs="Arial"/>
                <w:sz w:val="22"/>
                <w:szCs w:val="22"/>
              </w:rPr>
              <w:t>ot applicable (first review)</w:t>
            </w:r>
          </w:p>
        </w:tc>
      </w:tr>
    </w:tbl>
    <w:p w14:paraId="5A54EF7F" w14:textId="77777777" w:rsidR="004D2FC0" w:rsidRPr="006C516E" w:rsidRDefault="004D2FC0" w:rsidP="006C516E"/>
    <w:p w14:paraId="7A642962" w14:textId="1BC6CF60" w:rsidR="003D222C" w:rsidRPr="009E3F6E" w:rsidRDefault="003D222C" w:rsidP="32B552BF">
      <w:pPr>
        <w:jc w:val="both"/>
        <w:rPr>
          <w:rStyle w:val="Heading2Char"/>
        </w:rPr>
      </w:pPr>
      <w:bookmarkStart w:id="1" w:name="_Toc192633481"/>
      <w:r w:rsidRPr="29D08CD4">
        <w:rPr>
          <w:rStyle w:val="Heading2Char"/>
        </w:rPr>
        <w:t>Description of programme</w:t>
      </w:r>
      <w:bookmarkEnd w:id="1"/>
    </w:p>
    <w:p w14:paraId="6F9482AB" w14:textId="77777777" w:rsidR="003D222C" w:rsidRPr="00D80C6C" w:rsidRDefault="003D222C" w:rsidP="32B552BF">
      <w:pPr>
        <w:jc w:val="both"/>
        <w:rPr>
          <w:rFonts w:cs="Arial"/>
          <w:b/>
          <w:bCs/>
          <w:sz w:val="22"/>
          <w:szCs w:val="22"/>
        </w:rPr>
      </w:pPr>
    </w:p>
    <w:p w14:paraId="0C74208A" w14:textId="24ADF527" w:rsidR="00551C2C" w:rsidRPr="00551C2C" w:rsidRDefault="00551C2C" w:rsidP="00551C2C">
      <w:pPr>
        <w:jc w:val="both"/>
        <w:rPr>
          <w:rFonts w:cs="Arial"/>
          <w:sz w:val="22"/>
          <w:szCs w:val="22"/>
        </w:rPr>
      </w:pPr>
      <w:r w:rsidRPr="29D08CD4">
        <w:rPr>
          <w:rFonts w:cs="Arial"/>
          <w:sz w:val="22"/>
          <w:szCs w:val="22"/>
        </w:rPr>
        <w:t xml:space="preserve">Under the UK Presidency of COP26, over 140 governments signed the Glasgow Leaders Declaration on Forests and Land Use, committing to halt and reverse forest loss and land degradation by 2030 while promoting sustainable development. To support this, the UK helped establish the Forest and Climate Leaders’ Partnership (FCLP), a coalition </w:t>
      </w:r>
      <w:r w:rsidR="002932F4" w:rsidRPr="29D08CD4">
        <w:rPr>
          <w:rFonts w:cs="Arial"/>
          <w:sz w:val="22"/>
          <w:szCs w:val="22"/>
        </w:rPr>
        <w:t xml:space="preserve">of 33 countries plus the EU, </w:t>
      </w:r>
      <w:r w:rsidRPr="29D08CD4">
        <w:rPr>
          <w:rFonts w:cs="Arial"/>
          <w:sz w:val="22"/>
          <w:szCs w:val="22"/>
        </w:rPr>
        <w:t>focused on achieving the goals of the declaration. The FCLP provides a platform for political action and targeted 'Action Areas' to address barriers to forest protection. This program</w:t>
      </w:r>
      <w:r w:rsidR="00C429BE" w:rsidRPr="29D08CD4">
        <w:rPr>
          <w:rFonts w:cs="Arial"/>
          <w:sz w:val="22"/>
          <w:szCs w:val="22"/>
        </w:rPr>
        <w:t>me</w:t>
      </w:r>
      <w:r w:rsidRPr="29D08CD4">
        <w:rPr>
          <w:rFonts w:cs="Arial"/>
          <w:sz w:val="22"/>
          <w:szCs w:val="22"/>
        </w:rPr>
        <w:t xml:space="preserve"> will fund the establishment of a Secretariat to support FCLP members from 2024-2030, including the development of ‘Forest Country Packages’ to enhance financial impact for forests.</w:t>
      </w:r>
    </w:p>
    <w:p w14:paraId="58574625" w14:textId="77777777" w:rsidR="009E3F6E" w:rsidRDefault="009E3F6E" w:rsidP="004D5FD5">
      <w:pPr>
        <w:jc w:val="both"/>
      </w:pPr>
    </w:p>
    <w:p w14:paraId="5276E7EE" w14:textId="6C3A7549" w:rsidR="003D222C" w:rsidRPr="009E3F6E" w:rsidRDefault="003D222C" w:rsidP="004D5FD5">
      <w:pPr>
        <w:jc w:val="both"/>
      </w:pPr>
      <w:bookmarkStart w:id="2" w:name="_Toc192633482"/>
      <w:r w:rsidRPr="29D08CD4">
        <w:rPr>
          <w:rStyle w:val="Heading2Char"/>
        </w:rPr>
        <w:t>Summary of progress and supporting narrative for the overall score</w:t>
      </w:r>
      <w:bookmarkEnd w:id="2"/>
      <w:r w:rsidR="00A86616">
        <w:t xml:space="preserve"> </w:t>
      </w:r>
    </w:p>
    <w:p w14:paraId="36AC6569" w14:textId="77777777" w:rsidR="003D222C" w:rsidRPr="00D80C6C" w:rsidRDefault="003D222C" w:rsidP="32B552BF">
      <w:pPr>
        <w:jc w:val="both"/>
        <w:rPr>
          <w:rFonts w:cs="Arial"/>
          <w:b/>
          <w:bCs/>
          <w:sz w:val="22"/>
          <w:szCs w:val="22"/>
        </w:rPr>
      </w:pPr>
    </w:p>
    <w:p w14:paraId="1ABBCCBA" w14:textId="6E729207" w:rsidR="001412B1" w:rsidRDefault="000E3814" w:rsidP="32B552BF">
      <w:pPr>
        <w:contextualSpacing/>
        <w:jc w:val="both"/>
        <w:rPr>
          <w:rFonts w:cs="Arial"/>
          <w:sz w:val="22"/>
          <w:szCs w:val="22"/>
        </w:rPr>
      </w:pPr>
      <w:r w:rsidRPr="29D08CD4">
        <w:rPr>
          <w:rFonts w:cs="Arial"/>
          <w:sz w:val="22"/>
          <w:szCs w:val="22"/>
        </w:rPr>
        <w:t xml:space="preserve">The FCLP was launched at COP27 in 2022 and has been operating through a Multi-Partner Trust Fund hosted by </w:t>
      </w:r>
      <w:r w:rsidR="008173A2" w:rsidRPr="29D08CD4">
        <w:rPr>
          <w:rFonts w:cs="Arial"/>
          <w:sz w:val="22"/>
          <w:szCs w:val="22"/>
        </w:rPr>
        <w:t>the UN Development Programme (UNDP)</w:t>
      </w:r>
      <w:r w:rsidRPr="29D08CD4">
        <w:rPr>
          <w:rFonts w:cs="Arial"/>
          <w:sz w:val="22"/>
          <w:szCs w:val="22"/>
        </w:rPr>
        <w:t>. Initially, the decision by the FCLP Steering Committee and UNDP was to procure a second delivery partner to work alongside UNDP and provide the specialist procurement and contracting skills needed to support the policy requirements of FCLP’s members.</w:t>
      </w:r>
      <w:r w:rsidR="00A37F9D" w:rsidRPr="29D08CD4">
        <w:rPr>
          <w:rFonts w:cs="Arial"/>
          <w:sz w:val="22"/>
          <w:szCs w:val="22"/>
        </w:rPr>
        <w:t xml:space="preserve"> FCLP asked HMG to take on this procurement.</w:t>
      </w:r>
      <w:r w:rsidRPr="29D08CD4">
        <w:rPr>
          <w:rFonts w:cs="Arial"/>
          <w:sz w:val="22"/>
          <w:szCs w:val="22"/>
        </w:rPr>
        <w:t xml:space="preserve"> </w:t>
      </w:r>
    </w:p>
    <w:p w14:paraId="5814555B" w14:textId="77777777" w:rsidR="001412B1" w:rsidRDefault="001412B1" w:rsidP="32B552BF">
      <w:pPr>
        <w:contextualSpacing/>
        <w:jc w:val="both"/>
        <w:rPr>
          <w:rFonts w:cs="Arial"/>
          <w:sz w:val="22"/>
          <w:szCs w:val="22"/>
        </w:rPr>
      </w:pPr>
    </w:p>
    <w:p w14:paraId="32548E64" w14:textId="4AC7B0BE" w:rsidR="000E3814" w:rsidRDefault="000E3814" w:rsidP="32B552BF">
      <w:pPr>
        <w:contextualSpacing/>
        <w:jc w:val="both"/>
        <w:rPr>
          <w:rFonts w:cs="Arial"/>
          <w:sz w:val="22"/>
          <w:szCs w:val="22"/>
        </w:rPr>
      </w:pPr>
      <w:r w:rsidRPr="29D08CD4">
        <w:rPr>
          <w:rFonts w:cs="Arial"/>
          <w:sz w:val="22"/>
          <w:szCs w:val="22"/>
        </w:rPr>
        <w:t xml:space="preserve">However, a subsequent decision by the FCLP Steering Committee and UNDP agreed that a single delivery partner would be preferable, and the UN Office for Project Services (UNOPS) was identified as the preferred partner. </w:t>
      </w:r>
      <w:r w:rsidR="001412B1" w:rsidRPr="29D08CD4">
        <w:rPr>
          <w:rFonts w:cs="Arial"/>
          <w:sz w:val="22"/>
          <w:szCs w:val="22"/>
        </w:rPr>
        <w:t>As a result</w:t>
      </w:r>
      <w:r w:rsidRPr="29D08CD4">
        <w:rPr>
          <w:rFonts w:cs="Arial"/>
          <w:sz w:val="22"/>
          <w:szCs w:val="22"/>
        </w:rPr>
        <w:t xml:space="preserve">, </w:t>
      </w:r>
      <w:r w:rsidR="000E2608" w:rsidRPr="29D08CD4">
        <w:rPr>
          <w:rFonts w:cs="Arial"/>
          <w:sz w:val="22"/>
          <w:szCs w:val="22"/>
        </w:rPr>
        <w:t>the FCLP programme team prepared</w:t>
      </w:r>
      <w:r w:rsidRPr="29D08CD4">
        <w:rPr>
          <w:rFonts w:cs="Arial"/>
          <w:sz w:val="22"/>
          <w:szCs w:val="22"/>
        </w:rPr>
        <w:t xml:space="preserve"> a Change Request</w:t>
      </w:r>
      <w:r w:rsidR="002A3140" w:rsidRPr="29D08CD4">
        <w:rPr>
          <w:rFonts w:cs="Arial"/>
          <w:sz w:val="22"/>
          <w:szCs w:val="22"/>
        </w:rPr>
        <w:t>, which was approved on 17</w:t>
      </w:r>
      <w:r w:rsidR="002A3140" w:rsidRPr="29D08CD4">
        <w:rPr>
          <w:rFonts w:cs="Arial"/>
          <w:sz w:val="22"/>
          <w:szCs w:val="22"/>
          <w:vertAlign w:val="superscript"/>
        </w:rPr>
        <w:t>th</w:t>
      </w:r>
      <w:r w:rsidR="002A3140" w:rsidRPr="29D08CD4">
        <w:rPr>
          <w:rFonts w:cs="Arial"/>
          <w:sz w:val="22"/>
          <w:szCs w:val="22"/>
        </w:rPr>
        <w:t xml:space="preserve"> July</w:t>
      </w:r>
      <w:r w:rsidRPr="29D08CD4">
        <w:rPr>
          <w:rFonts w:cs="Arial"/>
          <w:sz w:val="22"/>
          <w:szCs w:val="22"/>
        </w:rPr>
        <w:t xml:space="preserve"> </w:t>
      </w:r>
      <w:r w:rsidR="00A37F9D" w:rsidRPr="29D08CD4">
        <w:rPr>
          <w:rFonts w:cs="Arial"/>
          <w:sz w:val="22"/>
          <w:szCs w:val="22"/>
        </w:rPr>
        <w:t>2024</w:t>
      </w:r>
      <w:r w:rsidR="000E2608" w:rsidRPr="29D08CD4">
        <w:rPr>
          <w:rFonts w:cs="Arial"/>
          <w:sz w:val="22"/>
          <w:szCs w:val="22"/>
        </w:rPr>
        <w:t>,</w:t>
      </w:r>
      <w:r w:rsidR="00A37F9D" w:rsidRPr="29D08CD4">
        <w:rPr>
          <w:rFonts w:cs="Arial"/>
          <w:sz w:val="22"/>
          <w:szCs w:val="22"/>
        </w:rPr>
        <w:t xml:space="preserve"> to seek approval to vary the approach to the programme from the original plans set out in the Business Case.</w:t>
      </w:r>
    </w:p>
    <w:p w14:paraId="3D927DA6" w14:textId="77777777" w:rsidR="000E3814" w:rsidRDefault="000E3814" w:rsidP="32B552BF">
      <w:pPr>
        <w:contextualSpacing/>
        <w:jc w:val="both"/>
        <w:rPr>
          <w:rFonts w:cs="Arial"/>
          <w:sz w:val="22"/>
          <w:szCs w:val="22"/>
        </w:rPr>
      </w:pPr>
    </w:p>
    <w:p w14:paraId="126109D3" w14:textId="3114BC73" w:rsidR="006458C5" w:rsidRDefault="002202B5" w:rsidP="32B552BF">
      <w:pPr>
        <w:contextualSpacing/>
        <w:jc w:val="both"/>
        <w:rPr>
          <w:rFonts w:cs="Arial"/>
          <w:sz w:val="22"/>
          <w:szCs w:val="22"/>
        </w:rPr>
      </w:pPr>
      <w:r w:rsidRPr="29D08CD4">
        <w:rPr>
          <w:rFonts w:cs="Arial"/>
          <w:sz w:val="22"/>
          <w:szCs w:val="22"/>
        </w:rPr>
        <w:t xml:space="preserve">A Joint Hosting Arrangement (JHA) was agreed </w:t>
      </w:r>
      <w:r w:rsidR="001D7D91" w:rsidRPr="29D08CD4">
        <w:rPr>
          <w:rFonts w:cs="Arial"/>
          <w:sz w:val="22"/>
          <w:szCs w:val="22"/>
        </w:rPr>
        <w:t>by the former co-chairs</w:t>
      </w:r>
      <w:r w:rsidR="00545864" w:rsidRPr="29D08CD4">
        <w:rPr>
          <w:rFonts w:cs="Arial"/>
          <w:sz w:val="22"/>
          <w:szCs w:val="22"/>
        </w:rPr>
        <w:t xml:space="preserve"> of FCLP </w:t>
      </w:r>
      <w:r w:rsidRPr="29D08CD4">
        <w:rPr>
          <w:rFonts w:cs="Arial"/>
          <w:sz w:val="22"/>
          <w:szCs w:val="22"/>
        </w:rPr>
        <w:t xml:space="preserve">on behalf of FCLP members. This JHA </w:t>
      </w:r>
      <w:r w:rsidR="00545864" w:rsidRPr="29D08CD4">
        <w:rPr>
          <w:rFonts w:cs="Arial"/>
          <w:sz w:val="22"/>
          <w:szCs w:val="22"/>
        </w:rPr>
        <w:t>is</w:t>
      </w:r>
      <w:r w:rsidRPr="29D08CD4">
        <w:rPr>
          <w:rFonts w:cs="Arial"/>
          <w:sz w:val="22"/>
          <w:szCs w:val="22"/>
        </w:rPr>
        <w:t xml:space="preserve"> annexed to</w:t>
      </w:r>
      <w:r w:rsidR="00170A97" w:rsidRPr="29D08CD4">
        <w:rPr>
          <w:rFonts w:cs="Arial"/>
          <w:sz w:val="22"/>
          <w:szCs w:val="22"/>
        </w:rPr>
        <w:t>,</w:t>
      </w:r>
      <w:r w:rsidRPr="29D08CD4">
        <w:rPr>
          <w:rFonts w:cs="Arial"/>
          <w:sz w:val="22"/>
          <w:szCs w:val="22"/>
        </w:rPr>
        <w:t xml:space="preserve"> and form</w:t>
      </w:r>
      <w:r w:rsidR="00545864" w:rsidRPr="29D08CD4">
        <w:rPr>
          <w:rFonts w:cs="Arial"/>
          <w:sz w:val="22"/>
          <w:szCs w:val="22"/>
        </w:rPr>
        <w:t>s</w:t>
      </w:r>
      <w:r w:rsidRPr="29D08CD4">
        <w:rPr>
          <w:rFonts w:cs="Arial"/>
          <w:sz w:val="22"/>
          <w:szCs w:val="22"/>
        </w:rPr>
        <w:t xml:space="preserve"> part of</w:t>
      </w:r>
      <w:r w:rsidR="00170A97" w:rsidRPr="29D08CD4">
        <w:rPr>
          <w:rFonts w:cs="Arial"/>
          <w:sz w:val="22"/>
          <w:szCs w:val="22"/>
        </w:rPr>
        <w:t>,</w:t>
      </w:r>
      <w:r w:rsidRPr="29D08CD4">
        <w:rPr>
          <w:rFonts w:cs="Arial"/>
          <w:sz w:val="22"/>
          <w:szCs w:val="22"/>
        </w:rPr>
        <w:t xml:space="preserve"> bilateral funding agreements between </w:t>
      </w:r>
      <w:r w:rsidR="008173A2" w:rsidRPr="29D08CD4">
        <w:rPr>
          <w:rFonts w:cs="Arial"/>
          <w:sz w:val="22"/>
          <w:szCs w:val="22"/>
        </w:rPr>
        <w:t>FCLP member governments and UNOPS.</w:t>
      </w:r>
      <w:r w:rsidRPr="29D08CD4">
        <w:rPr>
          <w:rFonts w:cs="Arial"/>
          <w:sz w:val="22"/>
          <w:szCs w:val="22"/>
        </w:rPr>
        <w:t xml:space="preserve"> </w:t>
      </w:r>
      <w:r w:rsidR="007D6F34" w:rsidRPr="29D08CD4">
        <w:rPr>
          <w:rFonts w:cs="Arial"/>
          <w:sz w:val="22"/>
          <w:szCs w:val="22"/>
        </w:rPr>
        <w:t>The Memorandum of Understanding</w:t>
      </w:r>
      <w:r w:rsidR="001014FC" w:rsidRPr="29D08CD4">
        <w:rPr>
          <w:rFonts w:cs="Arial"/>
          <w:sz w:val="22"/>
          <w:szCs w:val="22"/>
        </w:rPr>
        <w:t xml:space="preserve"> </w:t>
      </w:r>
      <w:r w:rsidR="007D6F34" w:rsidRPr="29D08CD4">
        <w:rPr>
          <w:rFonts w:cs="Arial"/>
          <w:sz w:val="22"/>
          <w:szCs w:val="22"/>
        </w:rPr>
        <w:t>for the FCLP programme</w:t>
      </w:r>
      <w:r w:rsidR="001014FC" w:rsidRPr="29D08CD4">
        <w:rPr>
          <w:rFonts w:cs="Arial"/>
          <w:sz w:val="22"/>
          <w:szCs w:val="22"/>
        </w:rPr>
        <w:t xml:space="preserve"> </w:t>
      </w:r>
      <w:r w:rsidR="007D6F34" w:rsidRPr="29D08CD4">
        <w:rPr>
          <w:rFonts w:cs="Arial"/>
          <w:sz w:val="22"/>
          <w:szCs w:val="22"/>
        </w:rPr>
        <w:t xml:space="preserve">was signed on </w:t>
      </w:r>
      <w:r w:rsidR="002A5018" w:rsidRPr="29D08CD4">
        <w:rPr>
          <w:rFonts w:cs="Arial"/>
          <w:sz w:val="22"/>
          <w:szCs w:val="22"/>
        </w:rPr>
        <w:t>10</w:t>
      </w:r>
      <w:r w:rsidR="002A5018" w:rsidRPr="29D08CD4">
        <w:rPr>
          <w:rFonts w:cs="Arial"/>
          <w:sz w:val="22"/>
          <w:szCs w:val="22"/>
          <w:vertAlign w:val="superscript"/>
        </w:rPr>
        <w:t>th</w:t>
      </w:r>
      <w:r w:rsidR="002A5018" w:rsidRPr="29D08CD4">
        <w:rPr>
          <w:rFonts w:cs="Arial"/>
          <w:sz w:val="22"/>
          <w:szCs w:val="22"/>
        </w:rPr>
        <w:t xml:space="preserve"> October 2024</w:t>
      </w:r>
      <w:r w:rsidR="007D6F34" w:rsidRPr="29D08CD4">
        <w:rPr>
          <w:rFonts w:cs="Arial"/>
          <w:sz w:val="22"/>
          <w:szCs w:val="22"/>
        </w:rPr>
        <w:t xml:space="preserve"> between DESNZ and th</w:t>
      </w:r>
      <w:r w:rsidR="00516165" w:rsidRPr="29D08CD4">
        <w:rPr>
          <w:rFonts w:cs="Arial"/>
          <w:sz w:val="22"/>
          <w:szCs w:val="22"/>
        </w:rPr>
        <w:t xml:space="preserve">e delivery partner, UNOPS, started the programme </w:t>
      </w:r>
      <w:r w:rsidR="00FC2DA0" w:rsidRPr="29D08CD4">
        <w:rPr>
          <w:rFonts w:cs="Arial"/>
          <w:sz w:val="22"/>
          <w:szCs w:val="22"/>
        </w:rPr>
        <w:t xml:space="preserve">in </w:t>
      </w:r>
      <w:r w:rsidR="00691518" w:rsidRPr="29D08CD4">
        <w:rPr>
          <w:rFonts w:cs="Arial"/>
          <w:sz w:val="22"/>
          <w:szCs w:val="22"/>
        </w:rPr>
        <w:t xml:space="preserve">October </w:t>
      </w:r>
      <w:r w:rsidR="00516165" w:rsidRPr="29D08CD4">
        <w:rPr>
          <w:rFonts w:cs="Arial"/>
          <w:sz w:val="22"/>
          <w:szCs w:val="22"/>
        </w:rPr>
        <w:t>2024.</w:t>
      </w:r>
      <w:r w:rsidR="00F82102" w:rsidRPr="29D08CD4">
        <w:rPr>
          <w:rFonts w:cs="Arial"/>
          <w:sz w:val="22"/>
          <w:szCs w:val="22"/>
        </w:rPr>
        <w:t xml:space="preserve"> </w:t>
      </w:r>
    </w:p>
    <w:p w14:paraId="41742A64" w14:textId="77777777" w:rsidR="00F82102" w:rsidRDefault="00F82102" w:rsidP="32B552BF">
      <w:pPr>
        <w:contextualSpacing/>
        <w:jc w:val="both"/>
        <w:rPr>
          <w:rFonts w:cs="Arial"/>
          <w:sz w:val="22"/>
          <w:szCs w:val="22"/>
        </w:rPr>
      </w:pPr>
    </w:p>
    <w:p w14:paraId="56D6628A" w14:textId="77777777" w:rsidR="006458C5" w:rsidRDefault="006458C5" w:rsidP="32B552BF">
      <w:pPr>
        <w:contextualSpacing/>
        <w:jc w:val="both"/>
        <w:rPr>
          <w:rFonts w:cs="Arial"/>
          <w:sz w:val="22"/>
          <w:szCs w:val="22"/>
        </w:rPr>
      </w:pPr>
    </w:p>
    <w:p w14:paraId="36B10225" w14:textId="213B8C79" w:rsidR="00B65166" w:rsidRDefault="00B65166" w:rsidP="00B65166">
      <w:pPr>
        <w:jc w:val="both"/>
        <w:rPr>
          <w:rFonts w:eastAsia="Arial" w:cs="Arial"/>
          <w:sz w:val="22"/>
          <w:szCs w:val="22"/>
        </w:rPr>
      </w:pPr>
      <w:r w:rsidRPr="29D08CD4">
        <w:rPr>
          <w:rFonts w:eastAsia="Arial" w:cs="Arial"/>
          <w:sz w:val="22"/>
          <w:szCs w:val="22"/>
        </w:rPr>
        <w:lastRenderedPageBreak/>
        <w:t>The programme was in its inception phase throughout 2024. In this first year, good progress has been made in the design and set-up of the programme, however the logframe has not been scored because the first outputs are due in 2025. In this first year, high-level achievements in this review period include:</w:t>
      </w:r>
    </w:p>
    <w:p w14:paraId="61EBE7C0" w14:textId="77777777" w:rsidR="00B65166" w:rsidRDefault="00B65166" w:rsidP="00B65166">
      <w:pPr>
        <w:jc w:val="both"/>
        <w:rPr>
          <w:rFonts w:eastAsia="Arial" w:cs="Arial"/>
          <w:sz w:val="22"/>
          <w:szCs w:val="22"/>
        </w:rPr>
      </w:pPr>
    </w:p>
    <w:p w14:paraId="47737086" w14:textId="2E508F36" w:rsidR="001359FF" w:rsidRDefault="001359FF" w:rsidP="001359FF">
      <w:pPr>
        <w:pStyle w:val="ListParagraph"/>
        <w:numPr>
          <w:ilvl w:val="0"/>
          <w:numId w:val="15"/>
        </w:numPr>
        <w:jc w:val="both"/>
        <w:rPr>
          <w:rFonts w:eastAsia="Arial" w:cs="Arial"/>
          <w:sz w:val="22"/>
          <w:szCs w:val="22"/>
        </w:rPr>
      </w:pPr>
      <w:r w:rsidRPr="29D08CD4">
        <w:rPr>
          <w:rFonts w:eastAsia="Arial" w:cs="Arial"/>
          <w:sz w:val="22"/>
          <w:szCs w:val="22"/>
        </w:rPr>
        <w:t xml:space="preserve">FCLP delivered ministerial events at both the United Nations Framework Convention on Climate Change (UNFCCC) COP29 and the Convention on Biological Diversity (CBD)  COP16, and a leader-level event hosted by the Government of Ghana at COP29. </w:t>
      </w:r>
    </w:p>
    <w:p w14:paraId="32B0A916" w14:textId="77777777" w:rsidR="001359FF" w:rsidRDefault="001359FF" w:rsidP="001359FF">
      <w:pPr>
        <w:pStyle w:val="ListParagraph"/>
        <w:numPr>
          <w:ilvl w:val="0"/>
          <w:numId w:val="15"/>
        </w:numPr>
        <w:jc w:val="both"/>
        <w:rPr>
          <w:rFonts w:eastAsia="Arial" w:cs="Arial"/>
          <w:sz w:val="22"/>
          <w:szCs w:val="22"/>
        </w:rPr>
      </w:pPr>
      <w:r>
        <w:rPr>
          <w:rFonts w:eastAsia="Arial" w:cs="Arial"/>
          <w:sz w:val="22"/>
          <w:szCs w:val="22"/>
        </w:rPr>
        <w:t>FCLP members launched a political statement on carbon markets and results and a call to action Indigenous Peoples and local communities at COP29.</w:t>
      </w:r>
      <w:r>
        <w:rPr>
          <w:rStyle w:val="FootnoteReference"/>
          <w:rFonts w:eastAsia="Arial" w:cs="Arial"/>
          <w:sz w:val="22"/>
          <w:szCs w:val="22"/>
        </w:rPr>
        <w:footnoteReference w:id="2"/>
      </w:r>
    </w:p>
    <w:p w14:paraId="44C97396" w14:textId="0C2D22C0" w:rsidR="00610EA6" w:rsidRPr="008012F4" w:rsidRDefault="00610EA6" w:rsidP="001359FF">
      <w:pPr>
        <w:pStyle w:val="ListParagraph"/>
        <w:numPr>
          <w:ilvl w:val="0"/>
          <w:numId w:val="15"/>
        </w:numPr>
        <w:jc w:val="both"/>
        <w:rPr>
          <w:rFonts w:eastAsia="Arial" w:cs="Arial"/>
          <w:sz w:val="22"/>
          <w:szCs w:val="22"/>
        </w:rPr>
      </w:pPr>
      <w:r w:rsidRPr="29D08CD4">
        <w:rPr>
          <w:rFonts w:eastAsia="Arial" w:cs="Arial"/>
          <w:sz w:val="22"/>
          <w:szCs w:val="22"/>
        </w:rPr>
        <w:t>FCLP continued to develop its policy action workstreams on carbon markets and results, Indigenous Peoples and local communities, debt and innovative finance, and greening construction with sustainable timber.</w:t>
      </w:r>
    </w:p>
    <w:p w14:paraId="6617D312" w14:textId="4EC492E3" w:rsidR="008173A2" w:rsidRDefault="008173A2" w:rsidP="008012F4">
      <w:pPr>
        <w:pStyle w:val="ListParagraph"/>
        <w:numPr>
          <w:ilvl w:val="0"/>
          <w:numId w:val="15"/>
        </w:numPr>
        <w:jc w:val="both"/>
        <w:rPr>
          <w:rFonts w:eastAsia="Arial" w:cs="Arial"/>
          <w:sz w:val="22"/>
          <w:szCs w:val="22"/>
        </w:rPr>
      </w:pPr>
      <w:r w:rsidRPr="29D08CD4">
        <w:rPr>
          <w:rFonts w:eastAsia="Arial" w:cs="Arial"/>
          <w:sz w:val="22"/>
          <w:szCs w:val="22"/>
        </w:rPr>
        <w:t xml:space="preserve">A Joint Hosting Arrangement </w:t>
      </w:r>
      <w:r w:rsidR="003734CD" w:rsidRPr="29D08CD4">
        <w:rPr>
          <w:rFonts w:eastAsia="Arial" w:cs="Arial"/>
          <w:sz w:val="22"/>
          <w:szCs w:val="22"/>
        </w:rPr>
        <w:t>(JHA) governing the FCLP programme was</w:t>
      </w:r>
      <w:r w:rsidRPr="29D08CD4">
        <w:rPr>
          <w:rFonts w:eastAsia="Arial" w:cs="Arial"/>
          <w:sz w:val="22"/>
          <w:szCs w:val="22"/>
        </w:rPr>
        <w:t xml:space="preserve"> agreed </w:t>
      </w:r>
      <w:r w:rsidR="003734CD" w:rsidRPr="29D08CD4">
        <w:rPr>
          <w:rFonts w:eastAsia="Arial" w:cs="Arial"/>
          <w:sz w:val="22"/>
          <w:szCs w:val="22"/>
        </w:rPr>
        <w:t xml:space="preserve">by </w:t>
      </w:r>
      <w:r w:rsidRPr="29D08CD4">
        <w:rPr>
          <w:rFonts w:eastAsia="Arial" w:cs="Arial"/>
          <w:sz w:val="22"/>
          <w:szCs w:val="22"/>
        </w:rPr>
        <w:t>UNOPS and the Government of the USA,</w:t>
      </w:r>
      <w:r w:rsidR="003734CD" w:rsidRPr="29D08CD4">
        <w:rPr>
          <w:rFonts w:eastAsia="Arial" w:cs="Arial"/>
          <w:sz w:val="22"/>
          <w:szCs w:val="22"/>
        </w:rPr>
        <w:t xml:space="preserve"> which will</w:t>
      </w:r>
      <w:r w:rsidRPr="29D08CD4">
        <w:rPr>
          <w:rFonts w:eastAsia="Arial" w:cs="Arial"/>
          <w:sz w:val="22"/>
          <w:szCs w:val="22"/>
        </w:rPr>
        <w:t xml:space="preserve"> form part of </w:t>
      </w:r>
      <w:r w:rsidR="003734CD" w:rsidRPr="29D08CD4">
        <w:rPr>
          <w:rFonts w:eastAsia="Arial" w:cs="Arial"/>
          <w:sz w:val="22"/>
          <w:szCs w:val="22"/>
        </w:rPr>
        <w:t xml:space="preserve">all </w:t>
      </w:r>
      <w:r w:rsidRPr="29D08CD4">
        <w:rPr>
          <w:rFonts w:eastAsia="Arial" w:cs="Arial"/>
          <w:sz w:val="22"/>
          <w:szCs w:val="22"/>
        </w:rPr>
        <w:t>subsequent bilateral funding arrangements for the FCLP</w:t>
      </w:r>
      <w:r w:rsidR="003734CD" w:rsidRPr="29D08CD4">
        <w:rPr>
          <w:rFonts w:eastAsia="Arial" w:cs="Arial"/>
          <w:sz w:val="22"/>
          <w:szCs w:val="22"/>
        </w:rPr>
        <w:t>.</w:t>
      </w:r>
    </w:p>
    <w:p w14:paraId="5051020E" w14:textId="559E14CD" w:rsidR="00F25367" w:rsidRDefault="008012F4" w:rsidP="008012F4">
      <w:pPr>
        <w:pStyle w:val="ListParagraph"/>
        <w:numPr>
          <w:ilvl w:val="0"/>
          <w:numId w:val="15"/>
        </w:numPr>
        <w:jc w:val="both"/>
        <w:rPr>
          <w:rFonts w:eastAsia="Arial" w:cs="Arial"/>
          <w:sz w:val="22"/>
          <w:szCs w:val="22"/>
        </w:rPr>
      </w:pPr>
      <w:r w:rsidRPr="29D08CD4">
        <w:rPr>
          <w:rFonts w:eastAsia="Arial" w:cs="Arial"/>
          <w:sz w:val="22"/>
          <w:szCs w:val="22"/>
        </w:rPr>
        <w:t xml:space="preserve">A Memorandum of Understanding between DESNZ and UNOPS governing the programme was negotiated and signed by Matt Toombs, Director for International Climate Finance, DESNZ and </w:t>
      </w:r>
      <w:r w:rsidR="008B14CE" w:rsidRPr="29D08CD4">
        <w:rPr>
          <w:rFonts w:eastAsia="Arial" w:cs="Arial"/>
          <w:sz w:val="22"/>
          <w:szCs w:val="22"/>
        </w:rPr>
        <w:t xml:space="preserve">Dionyssia Geka, </w:t>
      </w:r>
      <w:r w:rsidR="002202B5" w:rsidRPr="29D08CD4">
        <w:rPr>
          <w:rFonts w:eastAsia="Arial" w:cs="Arial"/>
          <w:sz w:val="22"/>
          <w:szCs w:val="22"/>
        </w:rPr>
        <w:t>Director for New York Service Cluster, UNOPS.</w:t>
      </w:r>
      <w:r w:rsidR="003734CD" w:rsidRPr="29D08CD4">
        <w:rPr>
          <w:rFonts w:eastAsia="Arial" w:cs="Arial"/>
          <w:sz w:val="22"/>
          <w:szCs w:val="22"/>
        </w:rPr>
        <w:t xml:space="preserve"> This governs DESNZ’s contribution to the FCLP and incorporates the JHA.</w:t>
      </w:r>
    </w:p>
    <w:p w14:paraId="15573320" w14:textId="15256043" w:rsidR="003734CD" w:rsidRDefault="00DA6B63" w:rsidP="008012F4">
      <w:pPr>
        <w:pStyle w:val="ListParagraph"/>
        <w:numPr>
          <w:ilvl w:val="0"/>
          <w:numId w:val="15"/>
        </w:numPr>
        <w:jc w:val="both"/>
        <w:rPr>
          <w:rFonts w:eastAsia="Arial" w:cs="Arial"/>
          <w:sz w:val="22"/>
          <w:szCs w:val="22"/>
        </w:rPr>
      </w:pPr>
      <w:r w:rsidRPr="29D08CD4">
        <w:rPr>
          <w:rFonts w:eastAsia="Arial" w:cs="Arial"/>
          <w:sz w:val="22"/>
          <w:szCs w:val="22"/>
        </w:rPr>
        <w:t xml:space="preserve">The UK laid a promissory note in </w:t>
      </w:r>
      <w:r w:rsidR="00802D9F" w:rsidRPr="29D08CD4">
        <w:rPr>
          <w:rFonts w:eastAsia="Arial" w:cs="Arial"/>
          <w:sz w:val="22"/>
          <w:szCs w:val="22"/>
        </w:rPr>
        <w:t>October 2024 (£1.6m) to cover programme set-up and support costs, including hiring of the secretariat on UNOPS contracts.</w:t>
      </w:r>
    </w:p>
    <w:p w14:paraId="4CEFB4BE" w14:textId="0AB3B039" w:rsidR="00802D9F" w:rsidRDefault="00E11019" w:rsidP="008012F4">
      <w:pPr>
        <w:pStyle w:val="ListParagraph"/>
        <w:numPr>
          <w:ilvl w:val="0"/>
          <w:numId w:val="15"/>
        </w:numPr>
        <w:jc w:val="both"/>
        <w:rPr>
          <w:rFonts w:eastAsia="Arial" w:cs="Arial"/>
          <w:sz w:val="22"/>
          <w:szCs w:val="22"/>
        </w:rPr>
      </w:pPr>
      <w:r w:rsidRPr="29D08CD4">
        <w:rPr>
          <w:rFonts w:eastAsia="Arial" w:cs="Arial"/>
          <w:sz w:val="22"/>
          <w:szCs w:val="22"/>
        </w:rPr>
        <w:t>UNOPS commenced recruitment for a new Executive Director of the FCLP Secretariat,</w:t>
      </w:r>
      <w:r w:rsidR="001359FF" w:rsidRPr="29D08CD4">
        <w:rPr>
          <w:rFonts w:eastAsia="Arial" w:cs="Arial"/>
          <w:sz w:val="22"/>
          <w:szCs w:val="22"/>
        </w:rPr>
        <w:t xml:space="preserve"> which is ongoing</w:t>
      </w:r>
      <w:r w:rsidRPr="29D08CD4">
        <w:rPr>
          <w:rFonts w:eastAsia="Arial" w:cs="Arial"/>
          <w:sz w:val="22"/>
          <w:szCs w:val="22"/>
        </w:rPr>
        <w:t>.</w:t>
      </w:r>
    </w:p>
    <w:p w14:paraId="7B570BA3" w14:textId="1E27500F" w:rsidR="003D222C" w:rsidRDefault="003D222C" w:rsidP="004D5FD5">
      <w:pPr>
        <w:pStyle w:val="Heading2"/>
        <w:jc w:val="both"/>
      </w:pPr>
      <w:bookmarkStart w:id="3" w:name="_Toc192633483"/>
      <w:r>
        <w:t>Progress against recommendations from the last review</w:t>
      </w:r>
      <w:bookmarkEnd w:id="3"/>
    </w:p>
    <w:p w14:paraId="041E0F52" w14:textId="77777777" w:rsidR="004065A6" w:rsidRDefault="004065A6" w:rsidP="004065A6"/>
    <w:p w14:paraId="73470445" w14:textId="42F7EE09" w:rsidR="00762838" w:rsidRDefault="004065A6" w:rsidP="00762838">
      <w:r>
        <w:t>N</w:t>
      </w:r>
      <w:r w:rsidR="00762838">
        <w:t xml:space="preserve">ot applicable </w:t>
      </w:r>
      <w:r>
        <w:t xml:space="preserve">– this is the first review. </w:t>
      </w:r>
    </w:p>
    <w:p w14:paraId="5665A57C" w14:textId="77777777" w:rsidR="00762838" w:rsidRDefault="00762838" w:rsidP="00762838"/>
    <w:p w14:paraId="788BE7E1" w14:textId="334F7FBA" w:rsidR="003D222C" w:rsidRPr="009E3F6E" w:rsidRDefault="003D222C" w:rsidP="32B552BF">
      <w:pPr>
        <w:rPr>
          <w:rStyle w:val="Heading2Char"/>
        </w:rPr>
      </w:pPr>
      <w:bookmarkStart w:id="4" w:name="_Toc192633484"/>
      <w:r w:rsidRPr="29D08CD4">
        <w:rPr>
          <w:rStyle w:val="Heading2Char"/>
        </w:rPr>
        <w:t>Major lessons and recommendations for the year ahead</w:t>
      </w:r>
      <w:bookmarkEnd w:id="4"/>
    </w:p>
    <w:p w14:paraId="2A4B8A97" w14:textId="77777777" w:rsidR="003D222C" w:rsidRPr="00D80C6C" w:rsidRDefault="003D222C" w:rsidP="004D5FD5">
      <w:pPr>
        <w:tabs>
          <w:tab w:val="left" w:pos="6915"/>
          <w:tab w:val="left" w:pos="9495"/>
        </w:tabs>
        <w:jc w:val="both"/>
        <w:rPr>
          <w:rFonts w:cs="Arial"/>
          <w:sz w:val="22"/>
          <w:szCs w:val="22"/>
        </w:rPr>
      </w:pPr>
    </w:p>
    <w:p w14:paraId="5BA010A5" w14:textId="15625433" w:rsidR="005B4800" w:rsidRPr="00D80C6C" w:rsidRDefault="005B4800" w:rsidP="004D5FD5">
      <w:pPr>
        <w:jc w:val="both"/>
        <w:rPr>
          <w:rFonts w:cs="Arial"/>
          <w:sz w:val="22"/>
          <w:szCs w:val="22"/>
        </w:rPr>
      </w:pPr>
      <w:r w:rsidRPr="29D08CD4">
        <w:rPr>
          <w:rFonts w:cs="Arial"/>
          <w:sz w:val="22"/>
          <w:szCs w:val="22"/>
        </w:rPr>
        <w:t xml:space="preserve">As the </w:t>
      </w:r>
      <w:r w:rsidR="00B42FAC" w:rsidRPr="29D08CD4">
        <w:rPr>
          <w:rFonts w:cs="Arial"/>
          <w:sz w:val="22"/>
          <w:szCs w:val="22"/>
        </w:rPr>
        <w:t xml:space="preserve">UK’s ICF funding for FCLP was </w:t>
      </w:r>
      <w:r w:rsidR="0015395A" w:rsidRPr="29D08CD4">
        <w:rPr>
          <w:rFonts w:cs="Arial"/>
          <w:sz w:val="22"/>
          <w:szCs w:val="22"/>
        </w:rPr>
        <w:t xml:space="preserve">in its inception phase in 2024, the below recommendations focus on key milestones needed to ensure the programme can be assessed effectively for the 2025 calendar year and </w:t>
      </w:r>
      <w:r w:rsidR="00697EAA" w:rsidRPr="29D08CD4">
        <w:rPr>
          <w:rFonts w:cs="Arial"/>
          <w:sz w:val="22"/>
          <w:szCs w:val="22"/>
        </w:rPr>
        <w:t>ensure it delivers against the outputs detailed in Section C.</w:t>
      </w:r>
    </w:p>
    <w:p w14:paraId="773A77CC" w14:textId="1912BB68" w:rsidR="00D0302B" w:rsidRDefault="00D0302B" w:rsidP="004D5FD5">
      <w:pPr>
        <w:jc w:val="both"/>
        <w:rPr>
          <w:rFonts w:cs="Arial"/>
          <w:sz w:val="22"/>
          <w:szCs w:val="22"/>
        </w:rPr>
      </w:pPr>
    </w:p>
    <w:tbl>
      <w:tblPr>
        <w:tblStyle w:val="TableGrid"/>
        <w:tblW w:w="0" w:type="auto"/>
        <w:tblLook w:val="04A0" w:firstRow="1" w:lastRow="0" w:firstColumn="1" w:lastColumn="0" w:noHBand="0" w:noVBand="1"/>
      </w:tblPr>
      <w:tblGrid>
        <w:gridCol w:w="4598"/>
        <w:gridCol w:w="4418"/>
      </w:tblGrid>
      <w:tr w:rsidR="00D0302B" w:rsidRPr="00D80C6C" w14:paraId="4B25CB90" w14:textId="77777777" w:rsidTr="29D08CD4">
        <w:tc>
          <w:tcPr>
            <w:tcW w:w="5210" w:type="dxa"/>
            <w:shd w:val="clear" w:color="auto" w:fill="DEEAF6" w:themeFill="accent5" w:themeFillTint="33"/>
          </w:tcPr>
          <w:p w14:paraId="321EF4D2" w14:textId="31D653DE" w:rsidR="00D0302B" w:rsidRPr="00D80C6C" w:rsidRDefault="00D0302B" w:rsidP="32B552BF">
            <w:pPr>
              <w:jc w:val="both"/>
              <w:rPr>
                <w:rFonts w:cs="Arial"/>
                <w:b/>
                <w:bCs/>
                <w:sz w:val="22"/>
                <w:szCs w:val="22"/>
              </w:rPr>
            </w:pPr>
            <w:r w:rsidRPr="29D08CD4">
              <w:rPr>
                <w:rFonts w:cs="Arial"/>
                <w:b/>
                <w:bCs/>
                <w:sz w:val="22"/>
                <w:szCs w:val="22"/>
              </w:rPr>
              <w:t>Recommendation</w:t>
            </w:r>
          </w:p>
        </w:tc>
        <w:tc>
          <w:tcPr>
            <w:tcW w:w="5210" w:type="dxa"/>
            <w:shd w:val="clear" w:color="auto" w:fill="DEEAF6" w:themeFill="accent5" w:themeFillTint="33"/>
          </w:tcPr>
          <w:p w14:paraId="68A2DDD9" w14:textId="55D4A63D" w:rsidR="00D0302B" w:rsidRPr="00D80C6C" w:rsidRDefault="00D0302B" w:rsidP="32B552BF">
            <w:pPr>
              <w:jc w:val="both"/>
              <w:rPr>
                <w:rFonts w:cs="Arial"/>
                <w:b/>
                <w:bCs/>
                <w:sz w:val="22"/>
                <w:szCs w:val="22"/>
              </w:rPr>
            </w:pPr>
            <w:r w:rsidRPr="29D08CD4">
              <w:rPr>
                <w:rFonts w:cs="Arial"/>
                <w:b/>
                <w:bCs/>
                <w:sz w:val="22"/>
                <w:szCs w:val="22"/>
              </w:rPr>
              <w:t>Deadline</w:t>
            </w:r>
          </w:p>
        </w:tc>
      </w:tr>
      <w:tr w:rsidR="00D0302B" w:rsidRPr="00D80C6C" w14:paraId="2775F316" w14:textId="77777777" w:rsidTr="29D08CD4">
        <w:tc>
          <w:tcPr>
            <w:tcW w:w="5210" w:type="dxa"/>
          </w:tcPr>
          <w:p w14:paraId="03FF2537" w14:textId="2A6A1922" w:rsidR="00D0302B" w:rsidRPr="006D0804" w:rsidRDefault="63F383CA" w:rsidP="47A46379">
            <w:pPr>
              <w:jc w:val="both"/>
              <w:rPr>
                <w:rFonts w:cs="Arial"/>
                <w:sz w:val="22"/>
                <w:szCs w:val="22"/>
              </w:rPr>
            </w:pPr>
            <w:r w:rsidRPr="29D08CD4">
              <w:rPr>
                <w:rFonts w:cs="Arial"/>
                <w:sz w:val="22"/>
                <w:szCs w:val="22"/>
              </w:rPr>
              <w:t>Finalise logframe with delivery partner and agree reporting requirements and rhythm of reporting</w:t>
            </w:r>
          </w:p>
        </w:tc>
        <w:tc>
          <w:tcPr>
            <w:tcW w:w="5210" w:type="dxa"/>
          </w:tcPr>
          <w:p w14:paraId="6E43508C" w14:textId="2AAB7B3A" w:rsidR="0070718A" w:rsidRPr="006D0804" w:rsidRDefault="006B5875" w:rsidP="004D5FD5">
            <w:pPr>
              <w:jc w:val="both"/>
              <w:rPr>
                <w:rFonts w:cs="Arial"/>
                <w:sz w:val="22"/>
                <w:szCs w:val="22"/>
              </w:rPr>
            </w:pPr>
            <w:r w:rsidRPr="29D08CD4">
              <w:rPr>
                <w:rFonts w:cs="Arial"/>
                <w:sz w:val="22"/>
                <w:szCs w:val="22"/>
              </w:rPr>
              <w:t>March 2025</w:t>
            </w:r>
          </w:p>
        </w:tc>
      </w:tr>
      <w:tr w:rsidR="00D0302B" w:rsidRPr="00D80C6C" w14:paraId="1A7BBA1B" w14:textId="77777777" w:rsidTr="29D08CD4">
        <w:tc>
          <w:tcPr>
            <w:tcW w:w="5210" w:type="dxa"/>
          </w:tcPr>
          <w:p w14:paraId="055F8F7E" w14:textId="4EF136E8" w:rsidR="00D0302B" w:rsidRPr="00245398" w:rsidRDefault="00A7790B" w:rsidP="32B552BF">
            <w:pPr>
              <w:jc w:val="both"/>
              <w:rPr>
                <w:rFonts w:cs="Arial"/>
                <w:sz w:val="22"/>
                <w:szCs w:val="22"/>
              </w:rPr>
            </w:pPr>
            <w:r w:rsidRPr="29D08CD4">
              <w:rPr>
                <w:rFonts w:cs="Arial"/>
                <w:sz w:val="22"/>
                <w:szCs w:val="22"/>
              </w:rPr>
              <w:t>UK as co-chair to lead</w:t>
            </w:r>
            <w:r w:rsidR="00245398" w:rsidRPr="29D08CD4">
              <w:rPr>
                <w:rFonts w:cs="Arial"/>
                <w:sz w:val="22"/>
                <w:szCs w:val="22"/>
              </w:rPr>
              <w:t xml:space="preserve"> FCLP Secretariat Board (operational committee) to </w:t>
            </w:r>
            <w:r w:rsidRPr="29D08CD4">
              <w:rPr>
                <w:rFonts w:cs="Arial"/>
                <w:sz w:val="22"/>
                <w:szCs w:val="22"/>
              </w:rPr>
              <w:t>reach agreement on</w:t>
            </w:r>
            <w:r w:rsidR="00245398" w:rsidRPr="29D08CD4">
              <w:rPr>
                <w:rFonts w:cs="Arial"/>
                <w:sz w:val="22"/>
                <w:szCs w:val="22"/>
              </w:rPr>
              <w:t xml:space="preserve"> 2025 budget and </w:t>
            </w:r>
            <w:r w:rsidRPr="29D08CD4">
              <w:rPr>
                <w:rFonts w:cs="Arial"/>
                <w:sz w:val="22"/>
                <w:szCs w:val="22"/>
              </w:rPr>
              <w:t>resourcing.</w:t>
            </w:r>
          </w:p>
        </w:tc>
        <w:tc>
          <w:tcPr>
            <w:tcW w:w="5210" w:type="dxa"/>
          </w:tcPr>
          <w:p w14:paraId="3E1082EE" w14:textId="43982589" w:rsidR="00D0302B" w:rsidRPr="00A7790B" w:rsidRDefault="006B5875" w:rsidP="004D5FD5">
            <w:pPr>
              <w:jc w:val="both"/>
              <w:rPr>
                <w:rFonts w:cs="Arial"/>
                <w:sz w:val="22"/>
                <w:szCs w:val="22"/>
              </w:rPr>
            </w:pPr>
            <w:r w:rsidRPr="29D08CD4">
              <w:rPr>
                <w:rFonts w:cs="Arial"/>
                <w:sz w:val="22"/>
                <w:szCs w:val="22"/>
              </w:rPr>
              <w:t>March 2025</w:t>
            </w:r>
          </w:p>
        </w:tc>
      </w:tr>
      <w:tr w:rsidR="00D0302B" w:rsidRPr="00D80C6C" w14:paraId="50A30B87" w14:textId="77777777" w:rsidTr="29D08CD4">
        <w:tc>
          <w:tcPr>
            <w:tcW w:w="5210" w:type="dxa"/>
          </w:tcPr>
          <w:p w14:paraId="44098FC0" w14:textId="69631976" w:rsidR="00D0302B" w:rsidRPr="00A7790B" w:rsidRDefault="00A7790B" w:rsidP="32B552BF">
            <w:pPr>
              <w:jc w:val="both"/>
              <w:rPr>
                <w:rFonts w:cs="Arial"/>
                <w:sz w:val="22"/>
                <w:szCs w:val="22"/>
              </w:rPr>
            </w:pPr>
            <w:r w:rsidRPr="29D08CD4">
              <w:rPr>
                <w:rFonts w:cs="Arial"/>
                <w:sz w:val="22"/>
                <w:szCs w:val="22"/>
              </w:rPr>
              <w:t xml:space="preserve">UK as co-chair to </w:t>
            </w:r>
            <w:r w:rsidR="000A3F53" w:rsidRPr="29D08CD4">
              <w:rPr>
                <w:rFonts w:cs="Arial"/>
                <w:sz w:val="22"/>
                <w:szCs w:val="22"/>
              </w:rPr>
              <w:t xml:space="preserve">lead FCLP members to agree 2025 priorities and workplan across FCLP activities </w:t>
            </w:r>
          </w:p>
        </w:tc>
        <w:tc>
          <w:tcPr>
            <w:tcW w:w="5210" w:type="dxa"/>
          </w:tcPr>
          <w:p w14:paraId="3DDC89E6" w14:textId="7F511632" w:rsidR="00D0302B" w:rsidRPr="000A3F53" w:rsidRDefault="006B5875" w:rsidP="004D5FD5">
            <w:pPr>
              <w:jc w:val="both"/>
              <w:rPr>
                <w:rFonts w:cs="Arial"/>
                <w:sz w:val="22"/>
                <w:szCs w:val="22"/>
              </w:rPr>
            </w:pPr>
            <w:r w:rsidRPr="29D08CD4">
              <w:rPr>
                <w:rFonts w:cs="Arial"/>
                <w:sz w:val="22"/>
                <w:szCs w:val="22"/>
              </w:rPr>
              <w:t>May 2025</w:t>
            </w:r>
          </w:p>
        </w:tc>
      </w:tr>
    </w:tbl>
    <w:p w14:paraId="7F17C967" w14:textId="73747B31" w:rsidR="00CB2873" w:rsidRDefault="00CB2873" w:rsidP="004D5FD5">
      <w:pPr>
        <w:jc w:val="both"/>
      </w:pPr>
    </w:p>
    <w:tbl>
      <w:tblPr>
        <w:tblStyle w:val="TableGrid"/>
        <w:tblW w:w="0" w:type="auto"/>
        <w:tblLook w:val="04A0" w:firstRow="1" w:lastRow="0" w:firstColumn="1" w:lastColumn="0" w:noHBand="0" w:noVBand="1"/>
      </w:tblPr>
      <w:tblGrid>
        <w:gridCol w:w="9016"/>
      </w:tblGrid>
      <w:tr w:rsidR="00CB2873" w14:paraId="3D63871C" w14:textId="77777777" w:rsidTr="29D08CD4">
        <w:tc>
          <w:tcPr>
            <w:tcW w:w="9016" w:type="dxa"/>
            <w:shd w:val="clear" w:color="auto" w:fill="DEEAF6" w:themeFill="accent5" w:themeFillTint="33"/>
          </w:tcPr>
          <w:p w14:paraId="3A432808" w14:textId="70350D21" w:rsidR="00CB2873" w:rsidRDefault="00CB2873" w:rsidP="004D5FD5">
            <w:pPr>
              <w:jc w:val="both"/>
            </w:pPr>
            <w:bookmarkStart w:id="5" w:name="_Toc192633485"/>
            <w:bookmarkStart w:id="6" w:name="_Hlk110858960"/>
            <w:r w:rsidRPr="29D08CD4">
              <w:rPr>
                <w:rStyle w:val="Heading1Char"/>
                <w:rFonts w:ascii="Arial" w:hAnsi="Arial" w:cs="Arial"/>
                <w:b/>
                <w:bCs/>
                <w:color w:val="auto"/>
              </w:rPr>
              <w:t xml:space="preserve">Section B: Theory of </w:t>
            </w:r>
            <w:r w:rsidR="20262009" w:rsidRPr="29D08CD4">
              <w:rPr>
                <w:rStyle w:val="Heading1Char"/>
                <w:rFonts w:ascii="Arial" w:hAnsi="Arial" w:cs="Arial"/>
                <w:b/>
                <w:bCs/>
                <w:color w:val="auto"/>
              </w:rPr>
              <w:t>c</w:t>
            </w:r>
            <w:r w:rsidRPr="29D08CD4">
              <w:rPr>
                <w:rStyle w:val="Heading1Char"/>
                <w:rFonts w:ascii="Arial" w:hAnsi="Arial" w:cs="Arial"/>
                <w:b/>
                <w:bCs/>
                <w:color w:val="auto"/>
              </w:rPr>
              <w:t>hange and progress towards outcomes</w:t>
            </w:r>
            <w:bookmarkEnd w:id="5"/>
            <w:r>
              <w:t xml:space="preserve"> </w:t>
            </w:r>
          </w:p>
        </w:tc>
      </w:tr>
      <w:bookmarkEnd w:id="6"/>
    </w:tbl>
    <w:p w14:paraId="799AF0D2" w14:textId="77777777" w:rsidR="00CB2873" w:rsidRPr="009E3F6E" w:rsidRDefault="00CB2873" w:rsidP="004D5FD5">
      <w:pPr>
        <w:jc w:val="both"/>
      </w:pPr>
    </w:p>
    <w:p w14:paraId="25478844" w14:textId="4936A48A" w:rsidR="003D222C" w:rsidRPr="00004515" w:rsidRDefault="00AA718D" w:rsidP="004D5FD5">
      <w:pPr>
        <w:jc w:val="both"/>
      </w:pPr>
      <w:bookmarkStart w:id="7" w:name="_Toc192633486"/>
      <w:r w:rsidRPr="29D08CD4">
        <w:rPr>
          <w:rStyle w:val="Heading2Char"/>
        </w:rPr>
        <w:lastRenderedPageBreak/>
        <w:t>Summary of the</w:t>
      </w:r>
      <w:r w:rsidR="007D6095" w:rsidRPr="29D08CD4">
        <w:rPr>
          <w:rStyle w:val="Heading2Char"/>
        </w:rPr>
        <w:t xml:space="preserve"> </w:t>
      </w:r>
      <w:r w:rsidR="003D222C" w:rsidRPr="29D08CD4">
        <w:rPr>
          <w:rStyle w:val="Heading2Char"/>
        </w:rPr>
        <w:t>programme’s theory of change, including any changes to outcome and impact indicators from the original business case</w:t>
      </w:r>
      <w:bookmarkEnd w:id="7"/>
      <w:r w:rsidR="003D222C">
        <w:t xml:space="preserve"> </w:t>
      </w:r>
    </w:p>
    <w:p w14:paraId="44435565" w14:textId="77777777" w:rsidR="003D222C" w:rsidRPr="00D80C6C" w:rsidRDefault="003D222C" w:rsidP="32B552BF">
      <w:pPr>
        <w:jc w:val="both"/>
        <w:rPr>
          <w:rFonts w:cs="Arial"/>
          <w:b/>
          <w:bCs/>
          <w:sz w:val="22"/>
          <w:szCs w:val="22"/>
        </w:rPr>
      </w:pPr>
    </w:p>
    <w:p w14:paraId="08D80D37" w14:textId="6C503065" w:rsidR="000A3F53" w:rsidRDefault="000A3F53" w:rsidP="28430F59">
      <w:pPr>
        <w:jc w:val="both"/>
        <w:rPr>
          <w:rFonts w:cs="Arial"/>
          <w:sz w:val="22"/>
          <w:szCs w:val="22"/>
        </w:rPr>
      </w:pPr>
      <w:r w:rsidRPr="29D08CD4">
        <w:rPr>
          <w:rFonts w:cs="Arial"/>
          <w:sz w:val="22"/>
          <w:szCs w:val="22"/>
        </w:rPr>
        <w:t>The FCLP Secretariat’s theory of change (T</w:t>
      </w:r>
      <w:r w:rsidR="00CE417F" w:rsidRPr="29D08CD4">
        <w:rPr>
          <w:rFonts w:cs="Arial"/>
          <w:sz w:val="22"/>
          <w:szCs w:val="22"/>
        </w:rPr>
        <w:t>o</w:t>
      </w:r>
      <w:r w:rsidRPr="29D08CD4">
        <w:rPr>
          <w:rFonts w:cs="Arial"/>
          <w:sz w:val="22"/>
          <w:szCs w:val="22"/>
        </w:rPr>
        <w:t>C) is based on the notion that a small group of governments with high ambition can build and maintain high</w:t>
      </w:r>
      <w:r w:rsidR="56060E27" w:rsidRPr="29D08CD4">
        <w:rPr>
          <w:rFonts w:cs="Arial"/>
          <w:sz w:val="22"/>
          <w:szCs w:val="22"/>
        </w:rPr>
        <w:t>-</w:t>
      </w:r>
      <w:r w:rsidRPr="29D08CD4">
        <w:rPr>
          <w:rFonts w:cs="Arial"/>
          <w:sz w:val="22"/>
          <w:szCs w:val="22"/>
        </w:rPr>
        <w:t xml:space="preserve">level political level leadership on forests, land-use and climate and take action on those commitments through strategically targeted initiatives, if adequate support is provided. </w:t>
      </w:r>
    </w:p>
    <w:p w14:paraId="31459880" w14:textId="77777777" w:rsidR="000A3F53" w:rsidRDefault="000A3F53" w:rsidP="28430F59">
      <w:pPr>
        <w:jc w:val="both"/>
        <w:rPr>
          <w:rFonts w:cs="Arial"/>
          <w:sz w:val="22"/>
          <w:szCs w:val="22"/>
        </w:rPr>
      </w:pPr>
    </w:p>
    <w:p w14:paraId="7461B936" w14:textId="0179FFAC" w:rsidR="000A3F53" w:rsidRDefault="000A3F53" w:rsidP="28430F59">
      <w:pPr>
        <w:jc w:val="both"/>
        <w:rPr>
          <w:rFonts w:cs="Arial"/>
          <w:sz w:val="22"/>
          <w:szCs w:val="22"/>
        </w:rPr>
      </w:pPr>
      <w:r w:rsidRPr="29D08CD4">
        <w:rPr>
          <w:rFonts w:cs="Arial"/>
          <w:sz w:val="22"/>
          <w:szCs w:val="22"/>
        </w:rPr>
        <w:t>This T</w:t>
      </w:r>
      <w:r w:rsidR="00B5264B" w:rsidRPr="29D08CD4">
        <w:rPr>
          <w:rFonts w:cs="Arial"/>
          <w:sz w:val="22"/>
          <w:szCs w:val="22"/>
        </w:rPr>
        <w:t>o</w:t>
      </w:r>
      <w:r w:rsidRPr="29D08CD4">
        <w:rPr>
          <w:rFonts w:cs="Arial"/>
          <w:sz w:val="22"/>
          <w:szCs w:val="22"/>
        </w:rPr>
        <w:t xml:space="preserve">C is built on the assumption that a fully-funded, professional Secretariat ensures the operational and technical assistance needed for a government-led platform to meaningfully engage and effect policy outcomes and that these government members can utilise their high-level leadership and political levers to attract financing from a range of state and non-state actors to then implement change at the country level. </w:t>
      </w:r>
    </w:p>
    <w:p w14:paraId="20CF9317" w14:textId="77777777" w:rsidR="000A3F53" w:rsidRDefault="000A3F53" w:rsidP="28430F59">
      <w:pPr>
        <w:jc w:val="both"/>
        <w:rPr>
          <w:rFonts w:cs="Arial"/>
          <w:sz w:val="22"/>
          <w:szCs w:val="22"/>
        </w:rPr>
      </w:pPr>
    </w:p>
    <w:p w14:paraId="4808EC02" w14:textId="4B4CF32E" w:rsidR="00B5264B" w:rsidRDefault="000A3F53" w:rsidP="28430F59">
      <w:pPr>
        <w:jc w:val="both"/>
        <w:rPr>
          <w:rFonts w:cs="Arial"/>
          <w:sz w:val="22"/>
          <w:szCs w:val="22"/>
        </w:rPr>
      </w:pPr>
      <w:r w:rsidRPr="29D08CD4">
        <w:rPr>
          <w:rFonts w:cs="Arial"/>
          <w:sz w:val="22"/>
          <w:szCs w:val="22"/>
        </w:rPr>
        <w:t>The FCLP platform is unique in the genuine partnership between Global South and Global North to jointly develop and implement forests, land-use, and climate initiatives and its link back to the global climate agenda through the Glasgow Leaders’ Declaration on Forests and Land Use. The Secretariat’s role is to provide the technical and operational inputs, to convene the members, and to bring in appropriate external partners and expertise when necessary to help the FCLP to achieve its goals. </w:t>
      </w:r>
    </w:p>
    <w:p w14:paraId="07015F50" w14:textId="77777777" w:rsidR="00B5264B" w:rsidRDefault="00B5264B" w:rsidP="28430F59">
      <w:pPr>
        <w:jc w:val="both"/>
        <w:rPr>
          <w:rFonts w:cs="Arial"/>
          <w:sz w:val="22"/>
          <w:szCs w:val="22"/>
        </w:rPr>
      </w:pPr>
    </w:p>
    <w:p w14:paraId="5B4F829E" w14:textId="6AFEAF9A" w:rsidR="00B5264B" w:rsidRDefault="00B5264B" w:rsidP="28430F59">
      <w:pPr>
        <w:jc w:val="both"/>
        <w:rPr>
          <w:rFonts w:cs="Arial"/>
          <w:sz w:val="22"/>
          <w:szCs w:val="22"/>
        </w:rPr>
      </w:pPr>
      <w:r w:rsidRPr="29D08CD4">
        <w:rPr>
          <w:rFonts w:cs="Arial"/>
          <w:sz w:val="22"/>
          <w:szCs w:val="22"/>
        </w:rPr>
        <w:t xml:space="preserve">The programme level ToC aligns with the FCLP </w:t>
      </w:r>
      <w:r w:rsidR="00AE67CA" w:rsidRPr="29D08CD4">
        <w:rPr>
          <w:rFonts w:cs="Arial"/>
          <w:sz w:val="22"/>
          <w:szCs w:val="22"/>
        </w:rPr>
        <w:t>s</w:t>
      </w:r>
      <w:r w:rsidRPr="29D08CD4">
        <w:rPr>
          <w:rFonts w:cs="Arial"/>
          <w:sz w:val="22"/>
          <w:szCs w:val="22"/>
        </w:rPr>
        <w:t>trategy, agreed by the FCLP Steering Committee in 2024 and provided at Figure 1. The FCLP 2025-2026 outcomes form the basis of the programme’s results framework and LogFram</w:t>
      </w:r>
      <w:r w:rsidR="00AE67CA" w:rsidRPr="29D08CD4">
        <w:rPr>
          <w:rFonts w:cs="Arial"/>
          <w:sz w:val="22"/>
          <w:szCs w:val="22"/>
        </w:rPr>
        <w:t>e.</w:t>
      </w:r>
    </w:p>
    <w:p w14:paraId="61498EF3" w14:textId="77777777" w:rsidR="00B5264B" w:rsidRDefault="00B5264B" w:rsidP="28430F59">
      <w:pPr>
        <w:jc w:val="both"/>
        <w:rPr>
          <w:rFonts w:cs="Arial"/>
          <w:sz w:val="22"/>
          <w:szCs w:val="22"/>
        </w:rPr>
      </w:pPr>
    </w:p>
    <w:p w14:paraId="27D73DCC" w14:textId="061C8F64" w:rsidR="00B5264B" w:rsidRDefault="00B5264B" w:rsidP="28430F59">
      <w:pPr>
        <w:jc w:val="both"/>
        <w:rPr>
          <w:rFonts w:cs="Arial"/>
          <w:sz w:val="22"/>
          <w:szCs w:val="22"/>
        </w:rPr>
      </w:pPr>
      <w:r>
        <w:rPr>
          <w:noProof/>
        </w:rPr>
        <w:drawing>
          <wp:inline distT="0" distB="0" distL="0" distR="0" wp14:anchorId="6D893146" wp14:editId="261A5158">
            <wp:extent cx="5731510" cy="2967990"/>
            <wp:effectExtent l="0" t="0" r="2540" b="3810"/>
            <wp:docPr id="115513131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131313" name="Picture 1" descr="A screenshot of a computer&#10;&#10;Description automatically generated"/>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5731510" cy="2967990"/>
                    </a:xfrm>
                    <a:prstGeom prst="rect">
                      <a:avLst/>
                    </a:prstGeom>
                  </pic:spPr>
                </pic:pic>
              </a:graphicData>
            </a:graphic>
          </wp:inline>
        </w:drawing>
      </w:r>
    </w:p>
    <w:p w14:paraId="262CAC30" w14:textId="4D5B7152" w:rsidR="00B5264B" w:rsidRPr="00AD63FB" w:rsidRDefault="00B5264B" w:rsidP="29D08CD4">
      <w:pPr>
        <w:jc w:val="both"/>
        <w:rPr>
          <w:rFonts w:cs="Arial"/>
          <w:i/>
          <w:iCs/>
          <w:sz w:val="22"/>
          <w:szCs w:val="22"/>
        </w:rPr>
      </w:pPr>
      <w:r w:rsidRPr="29D08CD4">
        <w:rPr>
          <w:rFonts w:cs="Arial"/>
          <w:i/>
          <w:iCs/>
          <w:sz w:val="22"/>
          <w:szCs w:val="22"/>
        </w:rPr>
        <w:t>Figure 1: FCLP Strategy</w:t>
      </w:r>
    </w:p>
    <w:p w14:paraId="00C56C36" w14:textId="77777777" w:rsidR="000A3F53" w:rsidRDefault="000A3F53" w:rsidP="28430F59">
      <w:pPr>
        <w:jc w:val="both"/>
        <w:rPr>
          <w:rFonts w:cs="Arial"/>
          <w:sz w:val="22"/>
          <w:szCs w:val="22"/>
        </w:rPr>
      </w:pPr>
    </w:p>
    <w:p w14:paraId="6744E67C" w14:textId="3CEB89A8" w:rsidR="003D222C" w:rsidRPr="00D80C6C" w:rsidRDefault="007D6095" w:rsidP="527A8EFF">
      <w:pPr>
        <w:jc w:val="both"/>
        <w:rPr>
          <w:rFonts w:cs="Arial"/>
          <w:sz w:val="22"/>
          <w:szCs w:val="22"/>
        </w:rPr>
      </w:pPr>
      <w:bookmarkStart w:id="8" w:name="_Toc192633487"/>
      <w:r w:rsidRPr="29D08CD4">
        <w:rPr>
          <w:rStyle w:val="Heading2Char"/>
        </w:rPr>
        <w:t>Progress against</w:t>
      </w:r>
      <w:r w:rsidR="003D222C" w:rsidRPr="29D08CD4">
        <w:rPr>
          <w:rStyle w:val="Heading2Char"/>
        </w:rPr>
        <w:t xml:space="preserve"> the expected outcomes and </w:t>
      </w:r>
      <w:r w:rsidRPr="29D08CD4">
        <w:rPr>
          <w:rStyle w:val="Heading2Char"/>
        </w:rPr>
        <w:t>impact, and</w:t>
      </w:r>
      <w:r w:rsidR="003D222C" w:rsidRPr="29D08CD4">
        <w:rPr>
          <w:rStyle w:val="Heading2Char"/>
        </w:rPr>
        <w:t xml:space="preserve"> action</w:t>
      </w:r>
      <w:r w:rsidRPr="29D08CD4">
        <w:rPr>
          <w:rStyle w:val="Heading2Char"/>
        </w:rPr>
        <w:t>s</w:t>
      </w:r>
      <w:r w:rsidR="003D222C" w:rsidRPr="29D08CD4">
        <w:rPr>
          <w:rStyle w:val="Heading2Char"/>
        </w:rPr>
        <w:t xml:space="preserve"> planned </w:t>
      </w:r>
      <w:r w:rsidR="002D09A5" w:rsidRPr="29D08CD4">
        <w:rPr>
          <w:rStyle w:val="Heading2Char"/>
        </w:rPr>
        <w:t>for</w:t>
      </w:r>
      <w:r w:rsidR="003D222C" w:rsidRPr="29D08CD4">
        <w:rPr>
          <w:rStyle w:val="Heading2Char"/>
        </w:rPr>
        <w:t xml:space="preserve"> the year ahead</w:t>
      </w:r>
      <w:bookmarkEnd w:id="8"/>
      <w:r w:rsidR="003D222C" w:rsidRPr="29D08CD4">
        <w:rPr>
          <w:rFonts w:cs="Arial"/>
          <w:sz w:val="22"/>
          <w:szCs w:val="22"/>
        </w:rPr>
        <w:t xml:space="preserve"> </w:t>
      </w:r>
    </w:p>
    <w:p w14:paraId="20DA03C6" w14:textId="77777777" w:rsidR="003D222C" w:rsidRDefault="003D222C" w:rsidP="004D5FD5">
      <w:pPr>
        <w:jc w:val="both"/>
        <w:rPr>
          <w:rFonts w:cs="Arial"/>
          <w:color w:val="000000" w:themeColor="text1"/>
          <w:sz w:val="22"/>
          <w:szCs w:val="22"/>
        </w:rPr>
      </w:pPr>
    </w:p>
    <w:p w14:paraId="2B766E6A" w14:textId="5867F603" w:rsidR="000A3F53" w:rsidRDefault="000A3F53" w:rsidP="004D5FD5">
      <w:pPr>
        <w:jc w:val="both"/>
        <w:rPr>
          <w:rFonts w:cs="Arial"/>
          <w:color w:val="000000" w:themeColor="text1"/>
          <w:sz w:val="22"/>
          <w:szCs w:val="22"/>
        </w:rPr>
      </w:pPr>
      <w:r w:rsidRPr="29D08CD4">
        <w:rPr>
          <w:rFonts w:cs="Arial"/>
          <w:color w:val="000000" w:themeColor="text1"/>
          <w:sz w:val="22"/>
          <w:szCs w:val="22"/>
        </w:rPr>
        <w:t xml:space="preserve">As the programme was in its inception phase during 2024, the programme has not been scored against expected outcomes and impact in this Annual Review. Progress has been made in selecting a delivery partner and disbursing the first tranche of funding under the programme to enable the delivery partner to set up the programme. </w:t>
      </w:r>
      <w:r w:rsidR="00A30AD3" w:rsidRPr="29D08CD4">
        <w:rPr>
          <w:rFonts w:cs="Arial"/>
          <w:color w:val="000000" w:themeColor="text1"/>
          <w:sz w:val="22"/>
          <w:szCs w:val="22"/>
        </w:rPr>
        <w:t xml:space="preserve">Although not scored or assessed, a summary of progress against the programme’s four outcome areas is provided </w:t>
      </w:r>
      <w:r w:rsidR="00A30AD3" w:rsidRPr="29D08CD4">
        <w:rPr>
          <w:rFonts w:cs="Arial"/>
          <w:color w:val="000000" w:themeColor="text1"/>
          <w:sz w:val="22"/>
          <w:szCs w:val="22"/>
        </w:rPr>
        <w:lastRenderedPageBreak/>
        <w:t>below.</w:t>
      </w:r>
      <w:r w:rsidR="00223F80" w:rsidRPr="29D08CD4">
        <w:rPr>
          <w:rFonts w:cs="Arial"/>
          <w:color w:val="000000" w:themeColor="text1"/>
          <w:sz w:val="22"/>
          <w:szCs w:val="22"/>
        </w:rPr>
        <w:t xml:space="preserve"> These outcomes were not supported by UK funding, but demonstrate FCLP’s progress in delivering against these outcomes prior to the UK commencing funding for the Secretariat.</w:t>
      </w:r>
    </w:p>
    <w:p w14:paraId="53525604" w14:textId="77777777" w:rsidR="009F43A2" w:rsidRDefault="009F43A2" w:rsidP="009F43A2">
      <w:pPr>
        <w:jc w:val="both"/>
        <w:rPr>
          <w:rFonts w:cs="Arial"/>
          <w:color w:val="000000" w:themeColor="text1"/>
          <w:sz w:val="22"/>
          <w:szCs w:val="22"/>
        </w:rPr>
      </w:pPr>
    </w:p>
    <w:p w14:paraId="03429EA1" w14:textId="6F2D2C6C" w:rsidR="009F43A2" w:rsidRPr="00AD63FB" w:rsidRDefault="009F43A2" w:rsidP="009F43A2">
      <w:pPr>
        <w:jc w:val="both"/>
        <w:rPr>
          <w:rFonts w:cs="Arial"/>
          <w:b/>
          <w:bCs/>
          <w:color w:val="000000" w:themeColor="text1"/>
          <w:sz w:val="22"/>
          <w:szCs w:val="22"/>
        </w:rPr>
      </w:pPr>
      <w:r w:rsidRPr="29D08CD4">
        <w:rPr>
          <w:rFonts w:cs="Arial"/>
          <w:b/>
          <w:bCs/>
          <w:color w:val="000000" w:themeColor="text1"/>
          <w:sz w:val="22"/>
          <w:szCs w:val="22"/>
        </w:rPr>
        <w:t>Outcome 1: High level political attention on forests &amp; climate maintained</w:t>
      </w:r>
    </w:p>
    <w:p w14:paraId="64F5CE30" w14:textId="42857B34" w:rsidR="00A30AD3" w:rsidRDefault="00A30AD3" w:rsidP="009F43A2">
      <w:pPr>
        <w:jc w:val="both"/>
        <w:rPr>
          <w:rFonts w:cs="Arial"/>
          <w:color w:val="000000" w:themeColor="text1"/>
          <w:sz w:val="22"/>
          <w:szCs w:val="22"/>
        </w:rPr>
      </w:pPr>
      <w:r w:rsidRPr="29D08CD4">
        <w:rPr>
          <w:rFonts w:cs="Arial"/>
          <w:color w:val="000000" w:themeColor="text1"/>
          <w:sz w:val="22"/>
          <w:szCs w:val="22"/>
        </w:rPr>
        <w:t>Progress in 2024 on this outcome included:</w:t>
      </w:r>
    </w:p>
    <w:p w14:paraId="5E2C2D33" w14:textId="3E877A25" w:rsidR="00A30AD3" w:rsidRDefault="00A30AD3" w:rsidP="00A30AD3">
      <w:pPr>
        <w:pStyle w:val="ListParagraph"/>
        <w:numPr>
          <w:ilvl w:val="0"/>
          <w:numId w:val="23"/>
        </w:numPr>
        <w:jc w:val="both"/>
        <w:rPr>
          <w:rFonts w:cs="Arial"/>
          <w:color w:val="000000" w:themeColor="text1"/>
          <w:sz w:val="22"/>
          <w:szCs w:val="22"/>
        </w:rPr>
      </w:pPr>
      <w:r w:rsidRPr="29D08CD4">
        <w:rPr>
          <w:rFonts w:cs="Arial"/>
          <w:color w:val="000000" w:themeColor="text1"/>
          <w:sz w:val="22"/>
          <w:szCs w:val="22"/>
        </w:rPr>
        <w:t>A leader-level event at UNFCCC COP29, hosted by the President of Ghana.</w:t>
      </w:r>
    </w:p>
    <w:p w14:paraId="561AD415" w14:textId="066872B2" w:rsidR="00A30AD3" w:rsidRDefault="00A30AD3" w:rsidP="00A30AD3">
      <w:pPr>
        <w:pStyle w:val="ListParagraph"/>
        <w:numPr>
          <w:ilvl w:val="0"/>
          <w:numId w:val="23"/>
        </w:numPr>
        <w:jc w:val="both"/>
        <w:rPr>
          <w:rFonts w:cs="Arial"/>
          <w:color w:val="000000" w:themeColor="text1"/>
          <w:sz w:val="22"/>
          <w:szCs w:val="22"/>
        </w:rPr>
      </w:pPr>
      <w:r w:rsidRPr="29D08CD4">
        <w:rPr>
          <w:rFonts w:cs="Arial"/>
          <w:color w:val="000000" w:themeColor="text1"/>
          <w:sz w:val="22"/>
          <w:szCs w:val="22"/>
        </w:rPr>
        <w:t>Ministerial-level events at UNFCCC COP29 and CBD COP16.</w:t>
      </w:r>
    </w:p>
    <w:p w14:paraId="2DCC41D5" w14:textId="34B89A97" w:rsidR="009F43A2" w:rsidRPr="00AD63FB" w:rsidRDefault="00A30AD3" w:rsidP="00AD63FB">
      <w:pPr>
        <w:pStyle w:val="ListParagraph"/>
        <w:numPr>
          <w:ilvl w:val="0"/>
          <w:numId w:val="23"/>
        </w:numPr>
        <w:jc w:val="both"/>
        <w:rPr>
          <w:rFonts w:cs="Arial"/>
          <w:color w:val="000000" w:themeColor="text1"/>
          <w:sz w:val="22"/>
          <w:szCs w:val="22"/>
        </w:rPr>
      </w:pPr>
      <w:r w:rsidRPr="29D08CD4">
        <w:rPr>
          <w:rFonts w:cs="Arial"/>
          <w:color w:val="000000" w:themeColor="text1"/>
          <w:sz w:val="22"/>
          <w:szCs w:val="22"/>
        </w:rPr>
        <w:t>Convening of ministers and senior stakeholders at New York Climate Week</w:t>
      </w:r>
      <w:r w:rsidR="00F12E4A" w:rsidRPr="29D08CD4">
        <w:rPr>
          <w:rFonts w:cs="Arial"/>
          <w:color w:val="000000" w:themeColor="text1"/>
          <w:sz w:val="22"/>
          <w:szCs w:val="22"/>
        </w:rPr>
        <w:t>, specifically on the</w:t>
      </w:r>
      <w:r w:rsidR="73199B75" w:rsidRPr="29D08CD4">
        <w:rPr>
          <w:rFonts w:cs="Arial"/>
          <w:color w:val="000000" w:themeColor="text1"/>
          <w:sz w:val="22"/>
          <w:szCs w:val="22"/>
        </w:rPr>
        <w:t xml:space="preserve"> </w:t>
      </w:r>
      <w:r w:rsidR="00F12E4A" w:rsidRPr="29D08CD4">
        <w:rPr>
          <w:rFonts w:cs="Arial"/>
          <w:color w:val="000000" w:themeColor="text1"/>
          <w:sz w:val="22"/>
          <w:szCs w:val="22"/>
        </w:rPr>
        <w:t>debt</w:t>
      </w:r>
      <w:r w:rsidR="5C4F1294" w:rsidRPr="29D08CD4">
        <w:rPr>
          <w:rFonts w:cs="Arial"/>
          <w:color w:val="000000" w:themeColor="text1"/>
          <w:sz w:val="22"/>
          <w:szCs w:val="22"/>
        </w:rPr>
        <w:t xml:space="preserve"> and carbon markets</w:t>
      </w:r>
      <w:r w:rsidR="00F12E4A" w:rsidRPr="29D08CD4">
        <w:rPr>
          <w:rFonts w:cs="Arial"/>
          <w:color w:val="000000" w:themeColor="text1"/>
          <w:sz w:val="22"/>
          <w:szCs w:val="22"/>
        </w:rPr>
        <w:t xml:space="preserve"> workstream</w:t>
      </w:r>
      <w:r w:rsidR="7FBFEDC1" w:rsidRPr="29D08CD4">
        <w:rPr>
          <w:rFonts w:cs="Arial"/>
          <w:color w:val="000000" w:themeColor="text1"/>
          <w:sz w:val="22"/>
          <w:szCs w:val="22"/>
        </w:rPr>
        <w:t>s</w:t>
      </w:r>
      <w:r w:rsidR="00F12E4A" w:rsidRPr="29D08CD4">
        <w:rPr>
          <w:rFonts w:cs="Arial"/>
          <w:color w:val="000000" w:themeColor="text1"/>
          <w:sz w:val="22"/>
          <w:szCs w:val="22"/>
        </w:rPr>
        <w:t xml:space="preserve"> within FCLP.</w:t>
      </w:r>
    </w:p>
    <w:p w14:paraId="10065CD4" w14:textId="1871005B" w:rsidR="009F43A2" w:rsidRPr="00AD63FB" w:rsidRDefault="009F43A2" w:rsidP="009F43A2">
      <w:pPr>
        <w:jc w:val="both"/>
        <w:rPr>
          <w:rFonts w:cs="Arial"/>
          <w:b/>
          <w:bCs/>
          <w:color w:val="000000" w:themeColor="text1"/>
          <w:sz w:val="22"/>
          <w:szCs w:val="22"/>
        </w:rPr>
      </w:pPr>
      <w:r w:rsidRPr="29D08CD4">
        <w:rPr>
          <w:rFonts w:cs="Arial"/>
          <w:b/>
          <w:bCs/>
          <w:color w:val="000000" w:themeColor="text1"/>
          <w:sz w:val="22"/>
          <w:szCs w:val="22"/>
        </w:rPr>
        <w:t>Outcome 2: High ambition outcomes driven across global policy action areas</w:t>
      </w:r>
    </w:p>
    <w:p w14:paraId="3C84EE15" w14:textId="2F0226EC" w:rsidR="00F12E4A" w:rsidRDefault="00F12E4A" w:rsidP="009F43A2">
      <w:pPr>
        <w:jc w:val="both"/>
        <w:rPr>
          <w:rFonts w:cs="Arial"/>
          <w:color w:val="000000" w:themeColor="text1"/>
          <w:sz w:val="22"/>
          <w:szCs w:val="22"/>
        </w:rPr>
      </w:pPr>
      <w:r w:rsidRPr="29D08CD4">
        <w:rPr>
          <w:rFonts w:cs="Arial"/>
          <w:color w:val="000000" w:themeColor="text1"/>
          <w:sz w:val="22"/>
          <w:szCs w:val="22"/>
        </w:rPr>
        <w:t>Progress in 2024 on this outcome included:</w:t>
      </w:r>
    </w:p>
    <w:p w14:paraId="6F626FE1" w14:textId="1B4C4C07" w:rsidR="00F12E4A" w:rsidRDefault="00F12E4A" w:rsidP="00F12E4A">
      <w:pPr>
        <w:pStyle w:val="ListParagraph"/>
        <w:numPr>
          <w:ilvl w:val="0"/>
          <w:numId w:val="24"/>
        </w:numPr>
        <w:jc w:val="both"/>
        <w:rPr>
          <w:rFonts w:cs="Arial"/>
          <w:color w:val="000000" w:themeColor="text1"/>
          <w:sz w:val="22"/>
          <w:szCs w:val="22"/>
        </w:rPr>
      </w:pPr>
      <w:r w:rsidRPr="29D08CD4">
        <w:rPr>
          <w:rFonts w:cs="Arial"/>
          <w:color w:val="000000" w:themeColor="text1"/>
          <w:sz w:val="22"/>
          <w:szCs w:val="22"/>
        </w:rPr>
        <w:t>Launching a political declaration</w:t>
      </w:r>
      <w:r w:rsidR="00223F80" w:rsidRPr="29D08CD4">
        <w:rPr>
          <w:rFonts w:cs="Arial"/>
          <w:color w:val="000000" w:themeColor="text1"/>
          <w:sz w:val="22"/>
          <w:szCs w:val="22"/>
        </w:rPr>
        <w:t>, supported by 13 FCLP members,</w:t>
      </w:r>
      <w:r w:rsidRPr="29D08CD4">
        <w:rPr>
          <w:rFonts w:cs="Arial"/>
          <w:color w:val="000000" w:themeColor="text1"/>
          <w:sz w:val="22"/>
          <w:szCs w:val="22"/>
        </w:rPr>
        <w:t xml:space="preserve"> on scaling forest carbon markets and results-based payments </w:t>
      </w:r>
    </w:p>
    <w:p w14:paraId="4792BD38" w14:textId="68E56877" w:rsidR="00F12E4A" w:rsidRDefault="00F12E4A" w:rsidP="00F12E4A">
      <w:pPr>
        <w:pStyle w:val="ListParagraph"/>
        <w:numPr>
          <w:ilvl w:val="0"/>
          <w:numId w:val="24"/>
        </w:numPr>
        <w:jc w:val="both"/>
        <w:rPr>
          <w:rFonts w:cs="Arial"/>
          <w:color w:val="000000" w:themeColor="text1"/>
          <w:sz w:val="22"/>
          <w:szCs w:val="22"/>
        </w:rPr>
      </w:pPr>
      <w:r w:rsidRPr="29D08CD4">
        <w:rPr>
          <w:rFonts w:cs="Arial"/>
          <w:color w:val="000000" w:themeColor="text1"/>
          <w:sz w:val="22"/>
          <w:szCs w:val="22"/>
        </w:rPr>
        <w:t>Hosting a meeting of the FCLP IPLCs Platform at New York Climate Week</w:t>
      </w:r>
      <w:r w:rsidR="00943866" w:rsidRPr="29D08CD4">
        <w:rPr>
          <w:rFonts w:cs="Arial"/>
          <w:color w:val="000000" w:themeColor="text1"/>
          <w:sz w:val="22"/>
          <w:szCs w:val="22"/>
        </w:rPr>
        <w:t>.</w:t>
      </w:r>
    </w:p>
    <w:p w14:paraId="13F582B5" w14:textId="135E058D" w:rsidR="006847BE" w:rsidRDefault="00F12E4A" w:rsidP="009F43A2">
      <w:pPr>
        <w:pStyle w:val="ListParagraph"/>
        <w:numPr>
          <w:ilvl w:val="0"/>
          <w:numId w:val="24"/>
        </w:numPr>
        <w:jc w:val="both"/>
        <w:rPr>
          <w:rFonts w:cs="Arial"/>
          <w:color w:val="000000" w:themeColor="text1"/>
          <w:sz w:val="22"/>
          <w:szCs w:val="22"/>
        </w:rPr>
      </w:pPr>
      <w:r w:rsidRPr="29D08CD4">
        <w:rPr>
          <w:rFonts w:cs="Arial"/>
          <w:color w:val="000000" w:themeColor="text1"/>
          <w:sz w:val="22"/>
          <w:szCs w:val="22"/>
        </w:rPr>
        <w:t xml:space="preserve">A study tour for FCLP members to British Columbia to </w:t>
      </w:r>
      <w:r w:rsidR="00943866" w:rsidRPr="29D08CD4">
        <w:rPr>
          <w:rFonts w:cs="Arial"/>
          <w:color w:val="000000" w:themeColor="text1"/>
          <w:sz w:val="22"/>
          <w:szCs w:val="22"/>
        </w:rPr>
        <w:t>share experiences on sustainable timber supply chains</w:t>
      </w:r>
      <w:r w:rsidR="007639D4" w:rsidRPr="29D08CD4">
        <w:rPr>
          <w:rFonts w:cs="Arial"/>
          <w:color w:val="000000" w:themeColor="text1"/>
          <w:sz w:val="22"/>
          <w:szCs w:val="22"/>
        </w:rPr>
        <w:t xml:space="preserve"> and FCLP members participated in the FAO</w:t>
      </w:r>
      <w:r w:rsidR="00C9014E" w:rsidRPr="29D08CD4">
        <w:rPr>
          <w:rFonts w:cs="Arial"/>
          <w:color w:val="000000" w:themeColor="text1"/>
          <w:sz w:val="22"/>
          <w:szCs w:val="22"/>
        </w:rPr>
        <w:t xml:space="preserve"> </w:t>
      </w:r>
      <w:r w:rsidR="007639D4" w:rsidRPr="29D08CD4">
        <w:rPr>
          <w:rFonts w:cs="Arial"/>
          <w:color w:val="000000" w:themeColor="text1"/>
          <w:sz w:val="22"/>
          <w:szCs w:val="22"/>
        </w:rPr>
        <w:t>WoodforGlobe high-level event in Rome, where they demonstrated leadership in action and tangible progress on a Ministerial “Call to Action” from the XV World Forest Congress in Seoul in 2022</w:t>
      </w:r>
      <w:r w:rsidR="006847BE" w:rsidRPr="29D08CD4">
        <w:rPr>
          <w:rFonts w:cs="Arial"/>
          <w:color w:val="000000" w:themeColor="text1"/>
          <w:sz w:val="22"/>
          <w:szCs w:val="22"/>
        </w:rPr>
        <w:t>.</w:t>
      </w:r>
    </w:p>
    <w:p w14:paraId="5F23F054" w14:textId="26751343" w:rsidR="009F43A2" w:rsidRPr="00AD63FB" w:rsidRDefault="008E418E" w:rsidP="00AD63FB">
      <w:pPr>
        <w:pStyle w:val="ListParagraph"/>
        <w:numPr>
          <w:ilvl w:val="0"/>
          <w:numId w:val="24"/>
        </w:numPr>
        <w:jc w:val="both"/>
        <w:rPr>
          <w:rFonts w:cs="Arial"/>
          <w:color w:val="000000" w:themeColor="text1"/>
          <w:sz w:val="22"/>
          <w:szCs w:val="22"/>
        </w:rPr>
      </w:pPr>
      <w:r w:rsidRPr="29D08CD4">
        <w:rPr>
          <w:rFonts w:cs="Arial"/>
          <w:color w:val="000000" w:themeColor="text1"/>
          <w:sz w:val="22"/>
          <w:szCs w:val="22"/>
        </w:rPr>
        <w:t xml:space="preserve">FCLP members </w:t>
      </w:r>
      <w:r w:rsidR="006847BE" w:rsidRPr="29D08CD4">
        <w:rPr>
          <w:rFonts w:cs="Arial"/>
          <w:color w:val="000000" w:themeColor="text1"/>
          <w:sz w:val="22"/>
          <w:szCs w:val="22"/>
        </w:rPr>
        <w:t>convened Credit Rating Agencies, the</w:t>
      </w:r>
      <w:r w:rsidRPr="29D08CD4">
        <w:rPr>
          <w:rFonts w:cs="Arial"/>
          <w:color w:val="000000" w:themeColor="text1"/>
          <w:sz w:val="22"/>
          <w:szCs w:val="22"/>
        </w:rPr>
        <w:t xml:space="preserve"> </w:t>
      </w:r>
      <w:r w:rsidR="006847BE" w:rsidRPr="29D08CD4">
        <w:rPr>
          <w:rFonts w:cs="Arial"/>
          <w:color w:val="000000" w:themeColor="text1"/>
          <w:sz w:val="22"/>
          <w:szCs w:val="22"/>
        </w:rPr>
        <w:t>International Monetary Fund (IMF),</w:t>
      </w:r>
      <w:r w:rsidRPr="29D08CD4">
        <w:rPr>
          <w:rFonts w:cs="Arial"/>
          <w:color w:val="000000" w:themeColor="text1"/>
          <w:sz w:val="22"/>
          <w:szCs w:val="22"/>
        </w:rPr>
        <w:t xml:space="preserve"> </w:t>
      </w:r>
      <w:r w:rsidR="006847BE" w:rsidRPr="29D08CD4">
        <w:rPr>
          <w:rFonts w:cs="Arial"/>
          <w:color w:val="000000" w:themeColor="text1"/>
          <w:sz w:val="22"/>
          <w:szCs w:val="22"/>
        </w:rPr>
        <w:t>Multilateral Development Banks (MDBs)and Governments at the IMF/World Bank(WB) meetings</w:t>
      </w:r>
      <w:r w:rsidRPr="29D08CD4">
        <w:rPr>
          <w:rFonts w:cs="Arial"/>
          <w:color w:val="000000" w:themeColor="text1"/>
          <w:sz w:val="22"/>
          <w:szCs w:val="22"/>
        </w:rPr>
        <w:t xml:space="preserve"> to raise awareness of</w:t>
      </w:r>
      <w:r w:rsidR="00371EF4" w:rsidRPr="29D08CD4">
        <w:rPr>
          <w:rFonts w:cs="Arial"/>
          <w:color w:val="000000" w:themeColor="text1"/>
          <w:sz w:val="22"/>
          <w:szCs w:val="22"/>
        </w:rPr>
        <w:t xml:space="preserve"> potential</w:t>
      </w:r>
      <w:r w:rsidRPr="29D08CD4">
        <w:rPr>
          <w:rFonts w:cs="Arial"/>
          <w:color w:val="000000" w:themeColor="text1"/>
          <w:sz w:val="22"/>
          <w:szCs w:val="22"/>
        </w:rPr>
        <w:t xml:space="preserve"> debt</w:t>
      </w:r>
      <w:r w:rsidR="00371EF4" w:rsidRPr="29D08CD4">
        <w:rPr>
          <w:rFonts w:cs="Arial"/>
          <w:color w:val="000000" w:themeColor="text1"/>
          <w:sz w:val="22"/>
          <w:szCs w:val="22"/>
        </w:rPr>
        <w:t xml:space="preserve">-related financial instruments to support </w:t>
      </w:r>
      <w:r w:rsidR="00670D4A" w:rsidRPr="29D08CD4">
        <w:rPr>
          <w:rFonts w:cs="Arial"/>
          <w:color w:val="000000" w:themeColor="text1"/>
          <w:sz w:val="22"/>
          <w:szCs w:val="22"/>
        </w:rPr>
        <w:t>forest conservation and restoration.</w:t>
      </w:r>
      <w:r w:rsidRPr="29D08CD4">
        <w:rPr>
          <w:rFonts w:cs="Arial"/>
          <w:color w:val="000000" w:themeColor="text1"/>
          <w:sz w:val="22"/>
          <w:szCs w:val="22"/>
        </w:rPr>
        <w:t xml:space="preserve"> </w:t>
      </w:r>
    </w:p>
    <w:p w14:paraId="00C7B304" w14:textId="688517B4" w:rsidR="009F43A2" w:rsidRPr="00AD63FB" w:rsidRDefault="009F43A2" w:rsidP="009F43A2">
      <w:pPr>
        <w:jc w:val="both"/>
        <w:rPr>
          <w:rFonts w:cs="Arial"/>
          <w:b/>
          <w:bCs/>
          <w:color w:val="000000" w:themeColor="text1"/>
          <w:sz w:val="22"/>
          <w:szCs w:val="22"/>
        </w:rPr>
      </w:pPr>
      <w:r w:rsidRPr="29D08CD4">
        <w:rPr>
          <w:rFonts w:cs="Arial"/>
          <w:b/>
          <w:bCs/>
          <w:color w:val="000000" w:themeColor="text1"/>
          <w:sz w:val="22"/>
          <w:szCs w:val="22"/>
        </w:rPr>
        <w:t>Outcome 3: National forests &amp; climate action advanced</w:t>
      </w:r>
    </w:p>
    <w:p w14:paraId="65CB6B63" w14:textId="77F54CFD" w:rsidR="00223F80" w:rsidRDefault="00223F80" w:rsidP="009F43A2">
      <w:pPr>
        <w:jc w:val="both"/>
        <w:rPr>
          <w:rFonts w:cs="Arial"/>
          <w:color w:val="000000" w:themeColor="text1"/>
          <w:sz w:val="22"/>
          <w:szCs w:val="22"/>
        </w:rPr>
      </w:pPr>
      <w:r w:rsidRPr="29D08CD4">
        <w:rPr>
          <w:rFonts w:cs="Arial"/>
          <w:color w:val="000000" w:themeColor="text1"/>
          <w:sz w:val="22"/>
          <w:szCs w:val="22"/>
        </w:rPr>
        <w:t xml:space="preserve">Progress in 2024 on this outcome included: </w:t>
      </w:r>
    </w:p>
    <w:p w14:paraId="6377DD04" w14:textId="5BD2C7EE" w:rsidR="00390077" w:rsidRDefault="00390077" w:rsidP="00390077">
      <w:pPr>
        <w:pStyle w:val="ListParagraph"/>
        <w:numPr>
          <w:ilvl w:val="0"/>
          <w:numId w:val="25"/>
        </w:numPr>
        <w:jc w:val="both"/>
        <w:rPr>
          <w:rFonts w:cs="Arial"/>
          <w:color w:val="000000" w:themeColor="text1"/>
          <w:sz w:val="22"/>
          <w:szCs w:val="22"/>
        </w:rPr>
      </w:pPr>
      <w:r w:rsidRPr="29D08CD4">
        <w:rPr>
          <w:rFonts w:cs="Arial"/>
          <w:color w:val="000000" w:themeColor="text1"/>
          <w:sz w:val="22"/>
          <w:szCs w:val="22"/>
        </w:rPr>
        <w:t>FCLP Secretariat providing a working-level platform for information exchange between countries seeking to launch or further an existing Country Package for Forests, Nature and Climate, donors and partners through regular International Working Group meetings.</w:t>
      </w:r>
    </w:p>
    <w:p w14:paraId="0EDE4CF4" w14:textId="1B248D2B" w:rsidR="00223F80" w:rsidRDefault="00390077" w:rsidP="00390077">
      <w:pPr>
        <w:pStyle w:val="ListParagraph"/>
        <w:numPr>
          <w:ilvl w:val="0"/>
          <w:numId w:val="25"/>
        </w:numPr>
        <w:jc w:val="both"/>
        <w:rPr>
          <w:rFonts w:cs="Arial"/>
          <w:color w:val="000000" w:themeColor="text1"/>
          <w:sz w:val="22"/>
          <w:szCs w:val="22"/>
        </w:rPr>
      </w:pPr>
      <w:r w:rsidRPr="29D08CD4">
        <w:rPr>
          <w:rFonts w:cs="Arial"/>
          <w:color w:val="000000" w:themeColor="text1"/>
          <w:sz w:val="22"/>
          <w:szCs w:val="22"/>
        </w:rPr>
        <w:t>Engaging with and informing countries interested in establishing a country package, including the development of guidance documents.</w:t>
      </w:r>
    </w:p>
    <w:p w14:paraId="082B5488" w14:textId="44D7FCDA" w:rsidR="009F43A2" w:rsidRPr="00AD63FB" w:rsidRDefault="00390077" w:rsidP="00AD63FB">
      <w:pPr>
        <w:pStyle w:val="ListParagraph"/>
        <w:numPr>
          <w:ilvl w:val="0"/>
          <w:numId w:val="25"/>
        </w:numPr>
        <w:jc w:val="both"/>
        <w:rPr>
          <w:rFonts w:cs="Arial"/>
          <w:color w:val="000000" w:themeColor="text1"/>
          <w:sz w:val="22"/>
          <w:szCs w:val="22"/>
        </w:rPr>
      </w:pPr>
      <w:r w:rsidRPr="29D08CD4">
        <w:rPr>
          <w:rFonts w:cs="Arial"/>
          <w:color w:val="000000" w:themeColor="text1"/>
          <w:sz w:val="22"/>
          <w:szCs w:val="22"/>
        </w:rPr>
        <w:t>Supporting the continued develop</w:t>
      </w:r>
      <w:r w:rsidR="09A83F8E" w:rsidRPr="29D08CD4">
        <w:rPr>
          <w:rFonts w:cs="Arial"/>
          <w:color w:val="000000" w:themeColor="text1"/>
          <w:sz w:val="22"/>
          <w:szCs w:val="22"/>
        </w:rPr>
        <w:t>ment</w:t>
      </w:r>
      <w:r w:rsidRPr="29D08CD4">
        <w:rPr>
          <w:rFonts w:cs="Arial"/>
          <w:color w:val="000000" w:themeColor="text1"/>
          <w:sz w:val="22"/>
          <w:szCs w:val="22"/>
        </w:rPr>
        <w:t xml:space="preserve"> of the Country Packages announced in 2023 (Colombia, DRC, Republic of Congo, Ghana, Papua New Guinea) and the launch of a new Country Package in Gabon.</w:t>
      </w:r>
    </w:p>
    <w:p w14:paraId="0156A21A" w14:textId="53609CFA" w:rsidR="009F43A2" w:rsidRPr="00131B30" w:rsidRDefault="009F43A2" w:rsidP="009F43A2">
      <w:pPr>
        <w:jc w:val="both"/>
        <w:rPr>
          <w:rFonts w:cs="Arial"/>
          <w:b/>
          <w:bCs/>
          <w:color w:val="000000" w:themeColor="text1"/>
          <w:sz w:val="22"/>
          <w:szCs w:val="22"/>
        </w:rPr>
      </w:pPr>
      <w:r w:rsidRPr="29D08CD4">
        <w:rPr>
          <w:rFonts w:cs="Arial"/>
          <w:b/>
          <w:bCs/>
          <w:color w:val="000000" w:themeColor="text1"/>
          <w:sz w:val="22"/>
          <w:szCs w:val="22"/>
        </w:rPr>
        <w:t>Outcome 4: Enhanced accountability and FCLP impact demonstrated</w:t>
      </w:r>
    </w:p>
    <w:p w14:paraId="7395835D" w14:textId="4A85C2B6" w:rsidR="009F43A2" w:rsidRDefault="009F43A2" w:rsidP="009F43A2">
      <w:pPr>
        <w:jc w:val="both"/>
        <w:rPr>
          <w:rFonts w:cs="Arial"/>
          <w:color w:val="000000" w:themeColor="text1"/>
          <w:sz w:val="22"/>
          <w:szCs w:val="22"/>
        </w:rPr>
      </w:pPr>
      <w:r w:rsidRPr="29D08CD4">
        <w:rPr>
          <w:rFonts w:cs="Arial"/>
          <w:color w:val="000000" w:themeColor="text1"/>
          <w:sz w:val="22"/>
          <w:szCs w:val="22"/>
        </w:rPr>
        <w:t>Progress in 2024 on this outcome included:</w:t>
      </w:r>
    </w:p>
    <w:p w14:paraId="49DD8D05" w14:textId="44D827D4" w:rsidR="009F43A2" w:rsidRDefault="009F43A2" w:rsidP="009F43A2">
      <w:pPr>
        <w:pStyle w:val="ListParagraph"/>
        <w:numPr>
          <w:ilvl w:val="0"/>
          <w:numId w:val="22"/>
        </w:numPr>
        <w:jc w:val="both"/>
        <w:rPr>
          <w:rFonts w:cs="Arial"/>
          <w:color w:val="000000" w:themeColor="text1"/>
          <w:sz w:val="22"/>
          <w:szCs w:val="22"/>
        </w:rPr>
      </w:pPr>
      <w:r w:rsidRPr="29D08CD4">
        <w:rPr>
          <w:rFonts w:cs="Arial"/>
          <w:color w:val="000000" w:themeColor="text1"/>
          <w:sz w:val="22"/>
          <w:szCs w:val="22"/>
        </w:rPr>
        <w:t xml:space="preserve">The FCLP Secretariat collated and analysed data from all members of the Global Forest Finance Pledge (GFFP) for the 2023 calendar year and produced a public-facing report on progress against the GFFP target. </w:t>
      </w:r>
    </w:p>
    <w:p w14:paraId="5A2BEBED" w14:textId="766BD9B6" w:rsidR="000A3F53" w:rsidRPr="00AD63FB" w:rsidRDefault="009F43A2" w:rsidP="00AD63FB">
      <w:pPr>
        <w:pStyle w:val="ListParagraph"/>
        <w:numPr>
          <w:ilvl w:val="0"/>
          <w:numId w:val="22"/>
        </w:numPr>
        <w:jc w:val="both"/>
        <w:rPr>
          <w:rFonts w:cs="Arial"/>
          <w:color w:val="000000" w:themeColor="text1"/>
          <w:sz w:val="22"/>
          <w:szCs w:val="22"/>
        </w:rPr>
      </w:pPr>
      <w:r w:rsidRPr="29D08CD4">
        <w:rPr>
          <w:rFonts w:cs="Arial"/>
          <w:color w:val="000000" w:themeColor="text1"/>
          <w:sz w:val="22"/>
          <w:szCs w:val="22"/>
        </w:rPr>
        <w:t xml:space="preserve">FCLP Secretariat supported FCLP members to engage with work led by the Forest Declaration Assessment to develop a set of milestones to enable enhanced tracking for progress towards the 2030 goal to halt and reverse forest loss. </w:t>
      </w:r>
    </w:p>
    <w:p w14:paraId="0918CD29" w14:textId="7157D89C" w:rsidR="000A3F53" w:rsidRDefault="000A3F53" w:rsidP="003D7396">
      <w:pPr>
        <w:jc w:val="both"/>
        <w:rPr>
          <w:rFonts w:cs="Arial"/>
          <w:color w:val="000000" w:themeColor="text1"/>
          <w:sz w:val="22"/>
          <w:szCs w:val="22"/>
        </w:rPr>
      </w:pPr>
      <w:r w:rsidRPr="29D08CD4">
        <w:rPr>
          <w:rFonts w:cs="Arial"/>
          <w:color w:val="000000" w:themeColor="text1"/>
          <w:sz w:val="22"/>
          <w:szCs w:val="22"/>
        </w:rPr>
        <w:t>Key actions in 2025 include:</w:t>
      </w:r>
    </w:p>
    <w:p w14:paraId="11BC84C8" w14:textId="3B51CA2F" w:rsidR="000A3F53" w:rsidRDefault="000A3F53" w:rsidP="003D7396">
      <w:pPr>
        <w:pStyle w:val="ListParagraph"/>
        <w:numPr>
          <w:ilvl w:val="0"/>
          <w:numId w:val="20"/>
        </w:numPr>
        <w:jc w:val="both"/>
        <w:rPr>
          <w:rFonts w:cs="Arial"/>
          <w:color w:val="000000" w:themeColor="text1"/>
          <w:sz w:val="22"/>
          <w:szCs w:val="22"/>
        </w:rPr>
      </w:pPr>
      <w:r w:rsidRPr="29D08CD4">
        <w:rPr>
          <w:rFonts w:cs="Arial"/>
          <w:color w:val="000000" w:themeColor="text1"/>
          <w:sz w:val="22"/>
          <w:szCs w:val="22"/>
        </w:rPr>
        <w:t>Agreeing the programme logframe with the delivery partner, and the necessary reporting requirements to enable DESNZ to monitor progress against the logframe</w:t>
      </w:r>
      <w:r w:rsidR="003D7396" w:rsidRPr="29D08CD4">
        <w:rPr>
          <w:rFonts w:cs="Arial"/>
          <w:color w:val="000000" w:themeColor="text1"/>
          <w:sz w:val="22"/>
          <w:szCs w:val="22"/>
        </w:rPr>
        <w:t>.</w:t>
      </w:r>
    </w:p>
    <w:p w14:paraId="7A535919" w14:textId="62AD93AD" w:rsidR="000A3F53" w:rsidRDefault="6A972075" w:rsidP="003D7396">
      <w:pPr>
        <w:pStyle w:val="ListParagraph"/>
        <w:numPr>
          <w:ilvl w:val="0"/>
          <w:numId w:val="20"/>
        </w:numPr>
        <w:jc w:val="both"/>
        <w:rPr>
          <w:rFonts w:cs="Arial"/>
          <w:color w:val="000000" w:themeColor="text1"/>
          <w:sz w:val="22"/>
          <w:szCs w:val="22"/>
        </w:rPr>
      </w:pPr>
      <w:r w:rsidRPr="29D08CD4">
        <w:rPr>
          <w:rFonts w:cs="Arial"/>
          <w:color w:val="000000" w:themeColor="text1"/>
          <w:sz w:val="22"/>
          <w:szCs w:val="22"/>
        </w:rPr>
        <w:t xml:space="preserve">Appointing an Executive Director for the FCLP Secretariat, a position which has been vacant since </w:t>
      </w:r>
      <w:r w:rsidR="628EDE1A" w:rsidRPr="29D08CD4">
        <w:rPr>
          <w:rFonts w:cs="Arial"/>
          <w:color w:val="000000" w:themeColor="text1"/>
          <w:sz w:val="22"/>
          <w:szCs w:val="22"/>
        </w:rPr>
        <w:t xml:space="preserve">mid </w:t>
      </w:r>
      <w:r w:rsidRPr="29D08CD4">
        <w:rPr>
          <w:rFonts w:cs="Arial"/>
          <w:color w:val="000000" w:themeColor="text1"/>
          <w:sz w:val="22"/>
          <w:szCs w:val="22"/>
        </w:rPr>
        <w:t xml:space="preserve">2024 and for which it was not possible to commence recruitment until the DESNZ-UNOPS MoU governing the programme was </w:t>
      </w:r>
      <w:commentRangeStart w:id="9"/>
      <w:r w:rsidRPr="29D08CD4">
        <w:rPr>
          <w:rFonts w:cs="Arial"/>
          <w:color w:val="000000" w:themeColor="text1"/>
          <w:sz w:val="22"/>
          <w:szCs w:val="22"/>
        </w:rPr>
        <w:t>signed</w:t>
      </w:r>
      <w:commentRangeEnd w:id="9"/>
      <w:r w:rsidR="000A3F53" w:rsidRPr="29D08CD4">
        <w:rPr>
          <w:rStyle w:val="CommentReference"/>
          <w:rFonts w:cs="Arial"/>
          <w:color w:val="000000" w:themeColor="text1"/>
          <w:sz w:val="22"/>
          <w:szCs w:val="22"/>
        </w:rPr>
        <w:commentReference w:id="9"/>
      </w:r>
      <w:r w:rsidRPr="29D08CD4">
        <w:rPr>
          <w:rFonts w:cs="Arial"/>
          <w:color w:val="000000" w:themeColor="text1"/>
          <w:sz w:val="22"/>
          <w:szCs w:val="22"/>
        </w:rPr>
        <w:t>.</w:t>
      </w:r>
    </w:p>
    <w:p w14:paraId="32DF402B" w14:textId="330AF8F2" w:rsidR="000A3F53" w:rsidRDefault="000A3F53" w:rsidP="003D7396">
      <w:pPr>
        <w:pStyle w:val="ListParagraph"/>
        <w:numPr>
          <w:ilvl w:val="0"/>
          <w:numId w:val="20"/>
        </w:numPr>
        <w:jc w:val="both"/>
        <w:rPr>
          <w:rFonts w:cs="Arial"/>
          <w:color w:val="000000" w:themeColor="text1"/>
          <w:sz w:val="22"/>
          <w:szCs w:val="22"/>
        </w:rPr>
      </w:pPr>
      <w:r w:rsidRPr="29D08CD4">
        <w:rPr>
          <w:rFonts w:cs="Arial"/>
          <w:color w:val="000000" w:themeColor="text1"/>
          <w:sz w:val="22"/>
          <w:szCs w:val="22"/>
        </w:rPr>
        <w:t>An increased rhythm of ministerial and working-level meetings and activity to ensure that forests are at the heart of global discussions on climate and nature in 2025.</w:t>
      </w:r>
    </w:p>
    <w:p w14:paraId="6E0BF8B1" w14:textId="77777777" w:rsidR="000A3F53" w:rsidRPr="00D80C6C" w:rsidRDefault="000A3F53" w:rsidP="004D5FD5">
      <w:pPr>
        <w:jc w:val="both"/>
        <w:rPr>
          <w:rFonts w:cs="Arial"/>
          <w:sz w:val="22"/>
          <w:szCs w:val="22"/>
        </w:rPr>
      </w:pPr>
    </w:p>
    <w:p w14:paraId="20FA2EAF" w14:textId="1874CB53" w:rsidR="006B1CB1" w:rsidRDefault="00B34EB5" w:rsidP="32B552BF">
      <w:pPr>
        <w:contextualSpacing/>
        <w:jc w:val="both"/>
        <w:rPr>
          <w:rFonts w:cs="Arial"/>
          <w:sz w:val="22"/>
          <w:szCs w:val="22"/>
        </w:rPr>
      </w:pPr>
      <w:bookmarkStart w:id="11" w:name="_Toc192633488"/>
      <w:r w:rsidRPr="29D08CD4">
        <w:rPr>
          <w:rStyle w:val="Heading2Char"/>
        </w:rPr>
        <w:lastRenderedPageBreak/>
        <w:t>L</w:t>
      </w:r>
      <w:r w:rsidR="003D222C" w:rsidRPr="29D08CD4">
        <w:rPr>
          <w:rStyle w:val="Heading2Char"/>
        </w:rPr>
        <w:t>ogframe</w:t>
      </w:r>
      <w:r w:rsidRPr="29D08CD4">
        <w:rPr>
          <w:rStyle w:val="Heading2Char"/>
        </w:rPr>
        <w:t xml:space="preserve"> </w:t>
      </w:r>
      <w:r w:rsidR="003D222C" w:rsidRPr="29D08CD4">
        <w:rPr>
          <w:rStyle w:val="Heading2Char"/>
        </w:rPr>
        <w:t>update</w:t>
      </w:r>
      <w:r w:rsidRPr="29D08CD4">
        <w:rPr>
          <w:rStyle w:val="Heading2Char"/>
        </w:rPr>
        <w:t>s</w:t>
      </w:r>
      <w:r w:rsidR="003D222C" w:rsidRPr="29D08CD4">
        <w:rPr>
          <w:rStyle w:val="Heading2Char"/>
        </w:rPr>
        <w:t xml:space="preserve"> since the last review</w:t>
      </w:r>
      <w:bookmarkEnd w:id="11"/>
      <w:r w:rsidR="00F013F9" w:rsidRPr="29D08CD4">
        <w:rPr>
          <w:rFonts w:cs="Arial"/>
          <w:b/>
          <w:bCs/>
          <w:sz w:val="22"/>
          <w:szCs w:val="22"/>
        </w:rPr>
        <w:t xml:space="preserve"> </w:t>
      </w:r>
    </w:p>
    <w:p w14:paraId="0ACF7E8D" w14:textId="77777777" w:rsidR="003D222C" w:rsidRPr="00D80C6C" w:rsidRDefault="003D222C" w:rsidP="29D08CD4">
      <w:pPr>
        <w:jc w:val="both"/>
        <w:rPr>
          <w:rFonts w:cs="Arial"/>
          <w:i/>
          <w:iCs/>
          <w:sz w:val="22"/>
          <w:szCs w:val="22"/>
        </w:rPr>
      </w:pPr>
    </w:p>
    <w:p w14:paraId="66FA8F4A" w14:textId="4C7A33F5" w:rsidR="006B1CB1" w:rsidRDefault="006B1CB1" w:rsidP="006B1CB1">
      <w:pPr>
        <w:rPr>
          <w:rFonts w:eastAsia="Arial" w:cs="Arial"/>
        </w:rPr>
      </w:pPr>
      <w:r w:rsidRPr="29D08CD4">
        <w:rPr>
          <w:rFonts w:eastAsia="Arial" w:cs="Arial"/>
        </w:rPr>
        <w:t>Not applicable – this is the first review.</w:t>
      </w:r>
    </w:p>
    <w:p w14:paraId="63CDC9F3" w14:textId="68C950C2" w:rsidR="00CB2873" w:rsidRPr="006B1CB1" w:rsidRDefault="00CB2873" w:rsidP="004D5FD5">
      <w:pPr>
        <w:jc w:val="both"/>
        <w:rPr>
          <w:rFonts w:cs="Arial"/>
          <w:sz w:val="22"/>
          <w:szCs w:val="22"/>
          <w:lang w:eastAsia="en-GB"/>
        </w:rPr>
      </w:pPr>
    </w:p>
    <w:tbl>
      <w:tblPr>
        <w:tblStyle w:val="TableGrid"/>
        <w:tblW w:w="0" w:type="auto"/>
        <w:tblLook w:val="04A0" w:firstRow="1" w:lastRow="0" w:firstColumn="1" w:lastColumn="0" w:noHBand="0" w:noVBand="1"/>
      </w:tblPr>
      <w:tblGrid>
        <w:gridCol w:w="9016"/>
      </w:tblGrid>
      <w:tr w:rsidR="00CB2873" w14:paraId="13F66B93" w14:textId="77777777" w:rsidTr="29D08CD4">
        <w:tc>
          <w:tcPr>
            <w:tcW w:w="9016" w:type="dxa"/>
            <w:shd w:val="clear" w:color="auto" w:fill="DEEAF6" w:themeFill="accent5" w:themeFillTint="33"/>
          </w:tcPr>
          <w:p w14:paraId="3D58D529" w14:textId="06664D10" w:rsidR="00CB2873" w:rsidRDefault="00CB2873" w:rsidP="32B552BF">
            <w:pPr>
              <w:jc w:val="both"/>
              <w:rPr>
                <w:rStyle w:val="Heading1Char"/>
                <w:rFonts w:ascii="Arial" w:hAnsi="Arial" w:cs="Arial"/>
                <w:b/>
                <w:bCs/>
                <w:color w:val="auto"/>
              </w:rPr>
            </w:pPr>
            <w:bookmarkStart w:id="12" w:name="_Toc192633489"/>
            <w:r w:rsidRPr="29D08CD4">
              <w:rPr>
                <w:rStyle w:val="Heading1Char"/>
                <w:rFonts w:ascii="Arial" w:hAnsi="Arial" w:cs="Arial"/>
                <w:b/>
                <w:bCs/>
                <w:color w:val="auto"/>
              </w:rPr>
              <w:t xml:space="preserve">Section C: Output </w:t>
            </w:r>
            <w:r w:rsidR="4FB023D7" w:rsidRPr="29D08CD4">
              <w:rPr>
                <w:rStyle w:val="Heading1Char"/>
                <w:rFonts w:ascii="Arial" w:hAnsi="Arial" w:cs="Arial"/>
                <w:b/>
                <w:bCs/>
                <w:color w:val="auto"/>
              </w:rPr>
              <w:t>s</w:t>
            </w:r>
            <w:r w:rsidRPr="29D08CD4">
              <w:rPr>
                <w:rStyle w:val="Heading1Char"/>
                <w:rFonts w:ascii="Arial" w:hAnsi="Arial" w:cs="Arial"/>
                <w:b/>
                <w:bCs/>
                <w:color w:val="auto"/>
              </w:rPr>
              <w:t>coring</w:t>
            </w:r>
            <w:bookmarkEnd w:id="12"/>
          </w:p>
        </w:tc>
      </w:tr>
    </w:tbl>
    <w:p w14:paraId="452661DA" w14:textId="4C7D098A" w:rsidR="00953846" w:rsidRPr="00953846" w:rsidRDefault="00953846" w:rsidP="004D5FD5">
      <w:pPr>
        <w:pStyle w:val="Heading2"/>
        <w:jc w:val="both"/>
        <w:rPr>
          <w:sz w:val="24"/>
          <w:szCs w:val="24"/>
        </w:rPr>
      </w:pPr>
      <w:bookmarkStart w:id="13" w:name="_Toc192633490"/>
      <w:r>
        <w:t xml:space="preserve">Output 1: </w:t>
      </w:r>
      <w:r w:rsidR="005765E3">
        <w:t>FCLP members engage at highest level on forests, including at COP</w:t>
      </w:r>
      <w:bookmarkEnd w:id="13"/>
    </w:p>
    <w:p w14:paraId="055FDF8F" w14:textId="77777777" w:rsidR="00C22C27" w:rsidRPr="00D80C6C" w:rsidRDefault="00C22C27" w:rsidP="004D5FD5">
      <w:pPr>
        <w:jc w:val="both"/>
        <w:rPr>
          <w:rFonts w:cs="Arial"/>
          <w:sz w:val="22"/>
          <w:szCs w:val="22"/>
        </w:rPr>
      </w:pPr>
    </w:p>
    <w:tbl>
      <w:tblPr>
        <w:tblStyle w:val="TableGrid"/>
        <w:tblW w:w="9072" w:type="dxa"/>
        <w:tblInd w:w="-5" w:type="dxa"/>
        <w:tblLook w:val="04A0" w:firstRow="1" w:lastRow="0" w:firstColumn="1" w:lastColumn="0" w:noHBand="0" w:noVBand="1"/>
      </w:tblPr>
      <w:tblGrid>
        <w:gridCol w:w="1566"/>
        <w:gridCol w:w="616"/>
        <w:gridCol w:w="937"/>
        <w:gridCol w:w="2977"/>
        <w:gridCol w:w="2976"/>
      </w:tblGrid>
      <w:tr w:rsidR="007F4605" w:rsidRPr="00D80C6C" w14:paraId="2102EB17" w14:textId="77777777" w:rsidTr="29D08CD4">
        <w:trPr>
          <w:trHeight w:val="489"/>
        </w:trPr>
        <w:tc>
          <w:tcPr>
            <w:tcW w:w="1566"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A85D6B2" w14:textId="097EB2BF" w:rsidR="003D222C" w:rsidRPr="00D80C6C" w:rsidRDefault="003D222C" w:rsidP="004D5FD5">
            <w:pPr>
              <w:jc w:val="both"/>
              <w:rPr>
                <w:rFonts w:cs="Arial"/>
                <w:b/>
                <w:bCs/>
                <w:sz w:val="22"/>
                <w:szCs w:val="22"/>
              </w:rPr>
            </w:pPr>
            <w:r w:rsidRPr="29D08CD4">
              <w:rPr>
                <w:rFonts w:cs="Arial"/>
                <w:b/>
                <w:bCs/>
                <w:sz w:val="22"/>
                <w:szCs w:val="22"/>
              </w:rPr>
              <w:t xml:space="preserve">Output Title </w:t>
            </w:r>
          </w:p>
        </w:tc>
        <w:tc>
          <w:tcPr>
            <w:tcW w:w="750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5461AED" w14:textId="07A285DB" w:rsidR="00293AC3" w:rsidRPr="00293AC3" w:rsidRDefault="00293AC3" w:rsidP="00293AC3">
            <w:pPr>
              <w:rPr>
                <w:rFonts w:cs="Arial"/>
                <w:sz w:val="22"/>
                <w:szCs w:val="22"/>
              </w:rPr>
            </w:pPr>
            <w:r w:rsidRPr="29D08CD4">
              <w:rPr>
                <w:rFonts w:cs="Arial"/>
                <w:sz w:val="22"/>
                <w:szCs w:val="22"/>
              </w:rPr>
              <w:t>FCLP members engage at highest level on forests, including at COP</w:t>
            </w:r>
          </w:p>
          <w:p w14:paraId="1B8A3AEA" w14:textId="7B0234F5" w:rsidR="003D222C" w:rsidRPr="00D80C6C" w:rsidRDefault="003D222C" w:rsidP="29D08CD4">
            <w:pPr>
              <w:jc w:val="both"/>
              <w:rPr>
                <w:rFonts w:cs="Arial"/>
                <w:i/>
                <w:iCs/>
                <w:color w:val="FF0000"/>
                <w:sz w:val="22"/>
                <w:szCs w:val="22"/>
              </w:rPr>
            </w:pPr>
          </w:p>
        </w:tc>
      </w:tr>
      <w:tr w:rsidR="00431F13" w:rsidRPr="00D80C6C" w14:paraId="0CA17513" w14:textId="77777777" w:rsidTr="29D08CD4">
        <w:trPr>
          <w:trHeight w:val="347"/>
        </w:trPr>
        <w:tc>
          <w:tcPr>
            <w:tcW w:w="218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801A128" w14:textId="6D5992CC" w:rsidR="003D222C" w:rsidRPr="00D80C6C" w:rsidRDefault="003D222C" w:rsidP="32B552BF">
            <w:pPr>
              <w:jc w:val="both"/>
              <w:rPr>
                <w:rFonts w:cs="Arial"/>
                <w:sz w:val="22"/>
                <w:szCs w:val="22"/>
              </w:rPr>
            </w:pPr>
            <w:r w:rsidRPr="29D08CD4">
              <w:rPr>
                <w:rFonts w:cs="Arial"/>
                <w:sz w:val="22"/>
                <w:szCs w:val="22"/>
              </w:rPr>
              <w:t xml:space="preserve">Output number: </w:t>
            </w:r>
          </w:p>
        </w:tc>
        <w:tc>
          <w:tcPr>
            <w:tcW w:w="937" w:type="dxa"/>
            <w:tcBorders>
              <w:top w:val="single" w:sz="4" w:space="0" w:color="auto"/>
              <w:left w:val="single" w:sz="4" w:space="0" w:color="auto"/>
              <w:bottom w:val="single" w:sz="4" w:space="0" w:color="auto"/>
              <w:right w:val="single" w:sz="4" w:space="0" w:color="auto"/>
            </w:tcBorders>
          </w:tcPr>
          <w:p w14:paraId="4190402A" w14:textId="3B466632" w:rsidR="003D222C" w:rsidRPr="00D80C6C" w:rsidRDefault="00293AC3" w:rsidP="004D5FD5">
            <w:pPr>
              <w:jc w:val="both"/>
              <w:rPr>
                <w:rFonts w:cs="Arial"/>
                <w:sz w:val="22"/>
                <w:szCs w:val="22"/>
              </w:rPr>
            </w:pPr>
            <w:r w:rsidRPr="29D08CD4">
              <w:rPr>
                <w:rFonts w:cs="Arial"/>
                <w:sz w:val="22"/>
                <w:szCs w:val="22"/>
              </w:rPr>
              <w:t>1</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5FA73C8" w14:textId="6DDB6EDB" w:rsidR="003D222C" w:rsidRPr="00D80C6C" w:rsidRDefault="003D222C" w:rsidP="004D5FD5">
            <w:pPr>
              <w:jc w:val="both"/>
              <w:rPr>
                <w:rFonts w:cs="Arial"/>
                <w:sz w:val="22"/>
                <w:szCs w:val="22"/>
              </w:rPr>
            </w:pPr>
            <w:r w:rsidRPr="29D08CD4">
              <w:rPr>
                <w:rFonts w:cs="Arial"/>
                <w:sz w:val="22"/>
                <w:szCs w:val="22"/>
              </w:rPr>
              <w:t xml:space="preserve">Output Score: </w:t>
            </w:r>
          </w:p>
        </w:tc>
        <w:tc>
          <w:tcPr>
            <w:tcW w:w="2976" w:type="dxa"/>
            <w:tcBorders>
              <w:top w:val="single" w:sz="4" w:space="0" w:color="auto"/>
              <w:left w:val="single" w:sz="4" w:space="0" w:color="auto"/>
              <w:bottom w:val="single" w:sz="4" w:space="0" w:color="auto"/>
              <w:right w:val="single" w:sz="4" w:space="0" w:color="auto"/>
            </w:tcBorders>
          </w:tcPr>
          <w:p w14:paraId="0438A869" w14:textId="6D6246B8" w:rsidR="003D222C" w:rsidRPr="00AD63FB" w:rsidRDefault="00293AC3" w:rsidP="32B552BF">
            <w:pPr>
              <w:jc w:val="both"/>
              <w:rPr>
                <w:rFonts w:cs="Arial"/>
                <w:sz w:val="22"/>
                <w:szCs w:val="22"/>
              </w:rPr>
            </w:pPr>
            <w:r w:rsidRPr="29D08CD4">
              <w:rPr>
                <w:rFonts w:cs="Arial"/>
                <w:sz w:val="22"/>
                <w:szCs w:val="22"/>
              </w:rPr>
              <w:t>N/A</w:t>
            </w:r>
          </w:p>
        </w:tc>
      </w:tr>
      <w:tr w:rsidR="00431F13" w:rsidRPr="00D80C6C" w14:paraId="322D9463" w14:textId="77777777" w:rsidTr="29D08CD4">
        <w:trPr>
          <w:trHeight w:val="345"/>
        </w:trPr>
        <w:tc>
          <w:tcPr>
            <w:tcW w:w="218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91524D5" w14:textId="775283D7" w:rsidR="003D222C" w:rsidRPr="00D80C6C" w:rsidRDefault="003D222C" w:rsidP="004D5FD5">
            <w:pPr>
              <w:jc w:val="both"/>
              <w:rPr>
                <w:rFonts w:cs="Arial"/>
                <w:sz w:val="22"/>
                <w:szCs w:val="22"/>
              </w:rPr>
            </w:pPr>
            <w:r w:rsidRPr="29D08CD4">
              <w:rPr>
                <w:rFonts w:cs="Arial"/>
                <w:sz w:val="22"/>
                <w:szCs w:val="22"/>
              </w:rPr>
              <w:t xml:space="preserve">Impact weighting (%):  </w:t>
            </w:r>
          </w:p>
        </w:tc>
        <w:tc>
          <w:tcPr>
            <w:tcW w:w="937" w:type="dxa"/>
            <w:tcBorders>
              <w:top w:val="single" w:sz="4" w:space="0" w:color="auto"/>
              <w:left w:val="single" w:sz="4" w:space="0" w:color="auto"/>
              <w:bottom w:val="single" w:sz="4" w:space="0" w:color="auto"/>
              <w:right w:val="single" w:sz="4" w:space="0" w:color="auto"/>
            </w:tcBorders>
            <w:hideMark/>
          </w:tcPr>
          <w:p w14:paraId="2B32CB6F" w14:textId="1929911B" w:rsidR="003D222C" w:rsidRPr="00D80C6C" w:rsidRDefault="005765E3" w:rsidP="32B552BF">
            <w:pPr>
              <w:jc w:val="both"/>
              <w:rPr>
                <w:rFonts w:cs="Arial"/>
                <w:sz w:val="22"/>
                <w:szCs w:val="22"/>
              </w:rPr>
            </w:pPr>
            <w:r w:rsidRPr="29D08CD4">
              <w:rPr>
                <w:rFonts w:cs="Arial"/>
                <w:sz w:val="22"/>
                <w:szCs w:val="22"/>
              </w:rPr>
              <w:t>40%</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6B322CF" w14:textId="089CB0A9" w:rsidR="003D222C" w:rsidRPr="00D80C6C" w:rsidRDefault="003D222C" w:rsidP="32B552BF">
            <w:pPr>
              <w:jc w:val="both"/>
              <w:rPr>
                <w:rFonts w:cs="Arial"/>
                <w:sz w:val="22"/>
                <w:szCs w:val="22"/>
              </w:rPr>
            </w:pPr>
            <w:r w:rsidRPr="29D08CD4">
              <w:rPr>
                <w:rFonts w:cs="Arial"/>
                <w:sz w:val="22"/>
                <w:szCs w:val="22"/>
              </w:rPr>
              <w:t xml:space="preserve">Weighting revised since last AR? </w:t>
            </w:r>
          </w:p>
        </w:tc>
        <w:tc>
          <w:tcPr>
            <w:tcW w:w="2976" w:type="dxa"/>
            <w:tcBorders>
              <w:top w:val="single" w:sz="4" w:space="0" w:color="auto"/>
              <w:left w:val="single" w:sz="4" w:space="0" w:color="auto"/>
              <w:bottom w:val="single" w:sz="4" w:space="0" w:color="auto"/>
              <w:right w:val="single" w:sz="4" w:space="0" w:color="auto"/>
            </w:tcBorders>
          </w:tcPr>
          <w:p w14:paraId="314B55F6" w14:textId="5F7691D9" w:rsidR="003D222C" w:rsidRPr="00D80C6C" w:rsidRDefault="00292F00" w:rsidP="32B552BF">
            <w:pPr>
              <w:jc w:val="both"/>
              <w:rPr>
                <w:rFonts w:cs="Arial"/>
                <w:sz w:val="22"/>
                <w:szCs w:val="22"/>
              </w:rPr>
            </w:pPr>
            <w:r w:rsidRPr="29D08CD4">
              <w:rPr>
                <w:rFonts w:cs="Arial"/>
                <w:sz w:val="22"/>
                <w:szCs w:val="22"/>
              </w:rPr>
              <w:t>N/A</w:t>
            </w:r>
          </w:p>
        </w:tc>
      </w:tr>
      <w:tr w:rsidR="00431F13" w:rsidRPr="00D80C6C" w14:paraId="49FF75D8" w14:textId="77777777" w:rsidTr="29D08CD4">
        <w:trPr>
          <w:trHeight w:val="345"/>
        </w:trPr>
        <w:tc>
          <w:tcPr>
            <w:tcW w:w="218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9A26186" w14:textId="6CCCA53A" w:rsidR="00292F00" w:rsidRPr="00D80C6C" w:rsidRDefault="00292F00" w:rsidP="32B552BF">
            <w:pPr>
              <w:jc w:val="both"/>
              <w:rPr>
                <w:rFonts w:cs="Arial"/>
                <w:sz w:val="22"/>
                <w:szCs w:val="22"/>
              </w:rPr>
            </w:pPr>
            <w:r w:rsidRPr="29D08CD4">
              <w:rPr>
                <w:rFonts w:cs="Arial"/>
                <w:sz w:val="22"/>
                <w:szCs w:val="22"/>
              </w:rPr>
              <w:t>Risk rating:</w:t>
            </w:r>
          </w:p>
        </w:tc>
        <w:tc>
          <w:tcPr>
            <w:tcW w:w="937" w:type="dxa"/>
            <w:tcBorders>
              <w:top w:val="single" w:sz="4" w:space="0" w:color="auto"/>
              <w:left w:val="single" w:sz="4" w:space="0" w:color="auto"/>
              <w:bottom w:val="single" w:sz="4" w:space="0" w:color="auto"/>
              <w:right w:val="single" w:sz="4" w:space="0" w:color="auto"/>
            </w:tcBorders>
          </w:tcPr>
          <w:p w14:paraId="05841711" w14:textId="5DD22211" w:rsidR="00292F00" w:rsidRPr="00D80C6C" w:rsidRDefault="005765E3" w:rsidP="32B552BF">
            <w:pPr>
              <w:jc w:val="both"/>
              <w:rPr>
                <w:rFonts w:cs="Arial"/>
                <w:sz w:val="22"/>
                <w:szCs w:val="22"/>
              </w:rPr>
            </w:pPr>
            <w:r w:rsidRPr="29D08CD4">
              <w:rPr>
                <w:rFonts w:cs="Arial"/>
                <w:sz w:val="22"/>
                <w:szCs w:val="22"/>
              </w:rPr>
              <w:t>N/A</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75A24C" w14:textId="4B3AF975" w:rsidR="00292F00" w:rsidRPr="00D80C6C" w:rsidRDefault="00292F00" w:rsidP="32B552BF">
            <w:pPr>
              <w:jc w:val="both"/>
              <w:rPr>
                <w:rFonts w:cs="Arial"/>
                <w:sz w:val="22"/>
                <w:szCs w:val="22"/>
              </w:rPr>
            </w:pPr>
            <w:r w:rsidRPr="29D08CD4">
              <w:rPr>
                <w:rFonts w:cs="Arial"/>
                <w:sz w:val="22"/>
                <w:szCs w:val="22"/>
              </w:rPr>
              <w:t>Risk revised since last AR?</w:t>
            </w:r>
          </w:p>
        </w:tc>
        <w:tc>
          <w:tcPr>
            <w:tcW w:w="2976" w:type="dxa"/>
            <w:tcBorders>
              <w:top w:val="single" w:sz="4" w:space="0" w:color="auto"/>
              <w:left w:val="single" w:sz="4" w:space="0" w:color="auto"/>
              <w:bottom w:val="single" w:sz="4" w:space="0" w:color="auto"/>
              <w:right w:val="single" w:sz="4" w:space="0" w:color="auto"/>
            </w:tcBorders>
          </w:tcPr>
          <w:p w14:paraId="36DFFD26" w14:textId="5F67DDEF" w:rsidR="00292F00" w:rsidRPr="00D80C6C" w:rsidRDefault="00292F00" w:rsidP="32B552BF">
            <w:pPr>
              <w:jc w:val="both"/>
              <w:rPr>
                <w:rFonts w:cs="Arial"/>
                <w:sz w:val="22"/>
                <w:szCs w:val="22"/>
              </w:rPr>
            </w:pPr>
            <w:r w:rsidRPr="29D08CD4">
              <w:rPr>
                <w:rFonts w:cs="Arial"/>
                <w:sz w:val="22"/>
                <w:szCs w:val="22"/>
              </w:rPr>
              <w:t>N/A</w:t>
            </w:r>
          </w:p>
        </w:tc>
      </w:tr>
    </w:tbl>
    <w:p w14:paraId="6858AD8B" w14:textId="77777777" w:rsidR="003D222C" w:rsidRPr="00D80C6C" w:rsidRDefault="003D222C" w:rsidP="32B552BF">
      <w:pPr>
        <w:jc w:val="both"/>
        <w:rPr>
          <w:rFonts w:cs="Arial"/>
          <w:b/>
          <w:bCs/>
          <w:sz w:val="22"/>
          <w:szCs w:val="22"/>
        </w:rPr>
      </w:pPr>
    </w:p>
    <w:tbl>
      <w:tblPr>
        <w:tblStyle w:val="TableGrid"/>
        <w:tblpPr w:leftFromText="180" w:rightFromText="180" w:vertAnchor="text" w:horzAnchor="page" w:tblpX="1462" w:tblpY="-10"/>
        <w:tblOverlap w:val="never"/>
        <w:tblW w:w="9067" w:type="dxa"/>
        <w:tblLook w:val="04A0" w:firstRow="1" w:lastRow="0" w:firstColumn="1" w:lastColumn="0" w:noHBand="0" w:noVBand="1"/>
      </w:tblPr>
      <w:tblGrid>
        <w:gridCol w:w="2026"/>
        <w:gridCol w:w="2144"/>
        <w:gridCol w:w="4897"/>
      </w:tblGrid>
      <w:tr w:rsidR="003D222C" w:rsidRPr="00D80C6C" w14:paraId="2C0E4C57" w14:textId="77777777" w:rsidTr="29D08CD4">
        <w:trPr>
          <w:trHeight w:val="273"/>
        </w:trPr>
        <w:tc>
          <w:tcPr>
            <w:tcW w:w="2026"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D0691AD" w14:textId="4E8DA1DB" w:rsidR="003D222C" w:rsidRPr="00D80C6C" w:rsidRDefault="003D222C" w:rsidP="004D5FD5">
            <w:pPr>
              <w:jc w:val="both"/>
              <w:rPr>
                <w:rFonts w:cs="Arial"/>
                <w:b/>
                <w:bCs/>
                <w:sz w:val="22"/>
                <w:szCs w:val="22"/>
              </w:rPr>
            </w:pPr>
            <w:r w:rsidRPr="29D08CD4">
              <w:rPr>
                <w:rFonts w:cs="Arial"/>
                <w:b/>
                <w:bCs/>
                <w:sz w:val="22"/>
                <w:szCs w:val="22"/>
              </w:rPr>
              <w:t>Indicator(s)</w:t>
            </w:r>
          </w:p>
        </w:tc>
        <w:tc>
          <w:tcPr>
            <w:tcW w:w="214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00F6E10" w14:textId="4F7ABE4A" w:rsidR="003D222C" w:rsidRPr="00D80C6C" w:rsidRDefault="003D222C" w:rsidP="004D5FD5">
            <w:pPr>
              <w:jc w:val="both"/>
              <w:rPr>
                <w:rFonts w:cs="Arial"/>
                <w:b/>
                <w:bCs/>
                <w:sz w:val="22"/>
                <w:szCs w:val="22"/>
              </w:rPr>
            </w:pPr>
            <w:r w:rsidRPr="29D08CD4">
              <w:rPr>
                <w:rFonts w:cs="Arial"/>
                <w:b/>
                <w:bCs/>
                <w:sz w:val="22"/>
                <w:szCs w:val="22"/>
              </w:rPr>
              <w:t>Milestone(s) for this review</w:t>
            </w:r>
          </w:p>
        </w:tc>
        <w:tc>
          <w:tcPr>
            <w:tcW w:w="489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AFE6250" w14:textId="24CB041A" w:rsidR="003D222C" w:rsidRPr="00D80C6C" w:rsidRDefault="003D222C" w:rsidP="004D5FD5">
            <w:pPr>
              <w:jc w:val="both"/>
              <w:rPr>
                <w:rFonts w:cs="Arial"/>
                <w:b/>
                <w:bCs/>
                <w:sz w:val="22"/>
                <w:szCs w:val="22"/>
              </w:rPr>
            </w:pPr>
            <w:r w:rsidRPr="29D08CD4">
              <w:rPr>
                <w:rFonts w:cs="Arial"/>
                <w:b/>
                <w:bCs/>
                <w:sz w:val="22"/>
                <w:szCs w:val="22"/>
              </w:rPr>
              <w:t xml:space="preserve">Progress </w:t>
            </w:r>
          </w:p>
        </w:tc>
      </w:tr>
      <w:tr w:rsidR="0067751D" w:rsidRPr="00D80C6C" w14:paraId="4F7F057D" w14:textId="77777777" w:rsidTr="29D08CD4">
        <w:tc>
          <w:tcPr>
            <w:tcW w:w="2026" w:type="dxa"/>
            <w:tcBorders>
              <w:top w:val="single" w:sz="4" w:space="0" w:color="auto"/>
              <w:left w:val="single" w:sz="4" w:space="0" w:color="auto"/>
              <w:bottom w:val="single" w:sz="4" w:space="0" w:color="auto"/>
              <w:right w:val="single" w:sz="4" w:space="0" w:color="auto"/>
            </w:tcBorders>
          </w:tcPr>
          <w:p w14:paraId="3B935EB4" w14:textId="7AD5D551" w:rsidR="0067751D" w:rsidRPr="005276CF" w:rsidRDefault="005276CF" w:rsidP="0067751D">
            <w:pPr>
              <w:jc w:val="both"/>
              <w:rPr>
                <w:rFonts w:cs="Arial"/>
                <w:sz w:val="22"/>
                <w:szCs w:val="22"/>
              </w:rPr>
            </w:pPr>
            <w:r w:rsidRPr="29D08CD4">
              <w:rPr>
                <w:rFonts w:cs="Arial"/>
                <w:sz w:val="22"/>
                <w:szCs w:val="22"/>
              </w:rPr>
              <w:t>1.1 Number of external-facing leader and ministerial-level FCLP meetings (cumulative).</w:t>
            </w:r>
          </w:p>
        </w:tc>
        <w:tc>
          <w:tcPr>
            <w:tcW w:w="2144" w:type="dxa"/>
            <w:tcBorders>
              <w:top w:val="single" w:sz="4" w:space="0" w:color="auto"/>
              <w:left w:val="single" w:sz="4" w:space="0" w:color="auto"/>
              <w:bottom w:val="single" w:sz="4" w:space="0" w:color="auto"/>
              <w:right w:val="single" w:sz="4" w:space="0" w:color="auto"/>
            </w:tcBorders>
          </w:tcPr>
          <w:p w14:paraId="1FA4E29B" w14:textId="64CA9411" w:rsidR="0067751D" w:rsidRPr="00D80C6C" w:rsidRDefault="0067751D" w:rsidP="32B552BF">
            <w:pPr>
              <w:jc w:val="both"/>
              <w:rPr>
                <w:rFonts w:cs="Arial"/>
                <w:sz w:val="22"/>
                <w:szCs w:val="22"/>
              </w:rPr>
            </w:pPr>
            <w:r w:rsidRPr="29D08CD4">
              <w:rPr>
                <w:rFonts w:cs="Arial"/>
                <w:sz w:val="22"/>
                <w:szCs w:val="22"/>
              </w:rPr>
              <w:t>N/A</w:t>
            </w:r>
          </w:p>
        </w:tc>
        <w:tc>
          <w:tcPr>
            <w:tcW w:w="4897" w:type="dxa"/>
            <w:tcBorders>
              <w:top w:val="single" w:sz="4" w:space="0" w:color="auto"/>
              <w:left w:val="single" w:sz="4" w:space="0" w:color="auto"/>
              <w:bottom w:val="single" w:sz="4" w:space="0" w:color="auto"/>
              <w:right w:val="single" w:sz="4" w:space="0" w:color="auto"/>
            </w:tcBorders>
          </w:tcPr>
          <w:p w14:paraId="1DF15CBA" w14:textId="29E741FF" w:rsidR="0067751D" w:rsidRPr="00D80C6C" w:rsidRDefault="0067751D" w:rsidP="32B552BF">
            <w:pPr>
              <w:contextualSpacing/>
              <w:jc w:val="both"/>
              <w:rPr>
                <w:rFonts w:cs="Arial"/>
                <w:sz w:val="22"/>
                <w:szCs w:val="22"/>
              </w:rPr>
            </w:pPr>
            <w:r w:rsidRPr="29D08CD4">
              <w:rPr>
                <w:rFonts w:cs="Arial"/>
                <w:sz w:val="22"/>
                <w:szCs w:val="22"/>
              </w:rPr>
              <w:t>N/A</w:t>
            </w:r>
          </w:p>
        </w:tc>
      </w:tr>
      <w:tr w:rsidR="0067751D" w:rsidRPr="00D80C6C" w14:paraId="5FC9728D" w14:textId="77777777" w:rsidTr="29D08CD4">
        <w:tc>
          <w:tcPr>
            <w:tcW w:w="2026" w:type="dxa"/>
            <w:tcBorders>
              <w:top w:val="single" w:sz="4" w:space="0" w:color="auto"/>
              <w:left w:val="single" w:sz="4" w:space="0" w:color="auto"/>
              <w:bottom w:val="single" w:sz="4" w:space="0" w:color="auto"/>
              <w:right w:val="single" w:sz="4" w:space="0" w:color="auto"/>
            </w:tcBorders>
          </w:tcPr>
          <w:p w14:paraId="7962695B" w14:textId="11E2FB94" w:rsidR="0067751D" w:rsidRPr="00AD63FB" w:rsidRDefault="005276CF" w:rsidP="0067751D">
            <w:pPr>
              <w:jc w:val="both"/>
              <w:rPr>
                <w:rFonts w:cs="Arial"/>
                <w:sz w:val="22"/>
                <w:szCs w:val="22"/>
              </w:rPr>
            </w:pPr>
            <w:r w:rsidRPr="29D08CD4">
              <w:rPr>
                <w:rFonts w:cs="Arial"/>
                <w:sz w:val="22"/>
                <w:szCs w:val="22"/>
              </w:rPr>
              <w:t>1.2 Number of FCLP member announcements at COP featuring forests and land use (cumulative)</w:t>
            </w:r>
          </w:p>
        </w:tc>
        <w:tc>
          <w:tcPr>
            <w:tcW w:w="2144" w:type="dxa"/>
            <w:tcBorders>
              <w:top w:val="single" w:sz="4" w:space="0" w:color="auto"/>
              <w:left w:val="single" w:sz="4" w:space="0" w:color="auto"/>
              <w:bottom w:val="single" w:sz="4" w:space="0" w:color="auto"/>
              <w:right w:val="single" w:sz="4" w:space="0" w:color="auto"/>
            </w:tcBorders>
          </w:tcPr>
          <w:p w14:paraId="4F70BD3F" w14:textId="132E98F3" w:rsidR="0067751D" w:rsidRPr="00D80C6C" w:rsidRDefault="0067751D" w:rsidP="29D08CD4">
            <w:pPr>
              <w:jc w:val="both"/>
              <w:rPr>
                <w:rFonts w:cs="Arial"/>
                <w:i/>
                <w:iCs/>
                <w:sz w:val="22"/>
                <w:szCs w:val="22"/>
              </w:rPr>
            </w:pPr>
            <w:r w:rsidRPr="29D08CD4">
              <w:rPr>
                <w:rFonts w:cs="Arial"/>
                <w:sz w:val="22"/>
                <w:szCs w:val="22"/>
              </w:rPr>
              <w:t>N/A</w:t>
            </w:r>
          </w:p>
        </w:tc>
        <w:tc>
          <w:tcPr>
            <w:tcW w:w="4897" w:type="dxa"/>
            <w:tcBorders>
              <w:top w:val="single" w:sz="4" w:space="0" w:color="auto"/>
              <w:left w:val="single" w:sz="4" w:space="0" w:color="auto"/>
              <w:bottom w:val="single" w:sz="4" w:space="0" w:color="auto"/>
              <w:right w:val="single" w:sz="4" w:space="0" w:color="auto"/>
            </w:tcBorders>
          </w:tcPr>
          <w:p w14:paraId="3318F706" w14:textId="181F3CDB" w:rsidR="0067751D" w:rsidRPr="00D80C6C" w:rsidRDefault="0067751D" w:rsidP="29D08CD4">
            <w:pPr>
              <w:contextualSpacing/>
              <w:jc w:val="both"/>
              <w:rPr>
                <w:rFonts w:cs="Arial"/>
                <w:i/>
                <w:iCs/>
                <w:sz w:val="22"/>
                <w:szCs w:val="22"/>
              </w:rPr>
            </w:pPr>
            <w:r w:rsidRPr="29D08CD4">
              <w:rPr>
                <w:rFonts w:cs="Arial"/>
                <w:sz w:val="22"/>
                <w:szCs w:val="22"/>
              </w:rPr>
              <w:t>N/A</w:t>
            </w:r>
          </w:p>
        </w:tc>
      </w:tr>
      <w:tr w:rsidR="0067751D" w:rsidRPr="00D80C6C" w14:paraId="203A1FE8" w14:textId="77777777" w:rsidTr="29D08CD4">
        <w:tc>
          <w:tcPr>
            <w:tcW w:w="2026" w:type="dxa"/>
            <w:tcBorders>
              <w:top w:val="single" w:sz="4" w:space="0" w:color="auto"/>
              <w:left w:val="single" w:sz="4" w:space="0" w:color="auto"/>
              <w:bottom w:val="single" w:sz="4" w:space="0" w:color="auto"/>
              <w:right w:val="single" w:sz="4" w:space="0" w:color="auto"/>
            </w:tcBorders>
          </w:tcPr>
          <w:p w14:paraId="15EC0996" w14:textId="1AA97548" w:rsidR="005276CF" w:rsidRPr="005276CF" w:rsidRDefault="005276CF" w:rsidP="005276CF">
            <w:pPr>
              <w:jc w:val="both"/>
              <w:rPr>
                <w:rFonts w:cs="Arial"/>
                <w:sz w:val="22"/>
                <w:szCs w:val="22"/>
              </w:rPr>
            </w:pPr>
            <w:r w:rsidRPr="29D08CD4">
              <w:rPr>
                <w:rFonts w:cs="Arial"/>
                <w:sz w:val="22"/>
                <w:szCs w:val="22"/>
              </w:rPr>
              <w:t>1.3 Percentage of speakers of FCLP organised events who are women, from a country in the Global South, and/or indigenous peoples representatives (non-cumulative)</w:t>
            </w:r>
          </w:p>
          <w:p w14:paraId="40EF664B" w14:textId="77777777" w:rsidR="0067751D" w:rsidRPr="00D80C6C" w:rsidRDefault="0067751D" w:rsidP="29D08CD4">
            <w:pPr>
              <w:jc w:val="both"/>
              <w:rPr>
                <w:rFonts w:cs="Arial"/>
                <w:i/>
                <w:iCs/>
                <w:sz w:val="22"/>
                <w:szCs w:val="22"/>
              </w:rPr>
            </w:pPr>
          </w:p>
        </w:tc>
        <w:tc>
          <w:tcPr>
            <w:tcW w:w="2144" w:type="dxa"/>
            <w:tcBorders>
              <w:top w:val="single" w:sz="4" w:space="0" w:color="auto"/>
              <w:left w:val="single" w:sz="4" w:space="0" w:color="auto"/>
              <w:bottom w:val="single" w:sz="4" w:space="0" w:color="auto"/>
              <w:right w:val="single" w:sz="4" w:space="0" w:color="auto"/>
            </w:tcBorders>
          </w:tcPr>
          <w:p w14:paraId="3B341161" w14:textId="77777777" w:rsidR="0067751D" w:rsidRPr="00D80C6C" w:rsidRDefault="0067751D" w:rsidP="29D08CD4">
            <w:pPr>
              <w:jc w:val="both"/>
              <w:rPr>
                <w:rFonts w:cs="Arial"/>
                <w:i/>
                <w:iCs/>
                <w:sz w:val="22"/>
                <w:szCs w:val="22"/>
              </w:rPr>
            </w:pPr>
          </w:p>
        </w:tc>
        <w:tc>
          <w:tcPr>
            <w:tcW w:w="4897" w:type="dxa"/>
            <w:tcBorders>
              <w:top w:val="single" w:sz="4" w:space="0" w:color="auto"/>
              <w:left w:val="single" w:sz="4" w:space="0" w:color="auto"/>
              <w:bottom w:val="single" w:sz="4" w:space="0" w:color="auto"/>
              <w:right w:val="single" w:sz="4" w:space="0" w:color="auto"/>
            </w:tcBorders>
          </w:tcPr>
          <w:p w14:paraId="578B90AD" w14:textId="77777777" w:rsidR="0067751D" w:rsidRPr="00D80C6C" w:rsidRDefault="0067751D" w:rsidP="29D08CD4">
            <w:pPr>
              <w:contextualSpacing/>
              <w:jc w:val="both"/>
              <w:rPr>
                <w:rFonts w:cs="Arial"/>
                <w:i/>
                <w:iCs/>
                <w:sz w:val="22"/>
                <w:szCs w:val="22"/>
              </w:rPr>
            </w:pPr>
          </w:p>
        </w:tc>
      </w:tr>
    </w:tbl>
    <w:p w14:paraId="08AB1D93" w14:textId="1E3C7D0C" w:rsidR="003D222C" w:rsidRPr="00D80C6C" w:rsidRDefault="00C02966" w:rsidP="29D08CD4">
      <w:pPr>
        <w:jc w:val="both"/>
        <w:rPr>
          <w:rFonts w:cs="Arial"/>
          <w:b/>
          <w:bCs/>
          <w:i/>
          <w:iCs/>
          <w:sz w:val="22"/>
          <w:szCs w:val="22"/>
        </w:rPr>
      </w:pPr>
      <w:r w:rsidRPr="29D08CD4">
        <w:rPr>
          <w:b/>
          <w:bCs/>
          <w:i/>
          <w:iCs/>
          <w:sz w:val="28"/>
          <w:szCs w:val="28"/>
        </w:rPr>
        <w:t>O</w:t>
      </w:r>
      <w:r w:rsidR="003D222C" w:rsidRPr="29D08CD4">
        <w:rPr>
          <w:b/>
          <w:bCs/>
          <w:i/>
          <w:iCs/>
          <w:sz w:val="28"/>
          <w:szCs w:val="28"/>
        </w:rPr>
        <w:t>utput</w:t>
      </w:r>
      <w:r w:rsidRPr="29D08CD4">
        <w:rPr>
          <w:b/>
          <w:bCs/>
          <w:i/>
          <w:iCs/>
          <w:sz w:val="28"/>
          <w:szCs w:val="28"/>
        </w:rPr>
        <w:t xml:space="preserve"> summary</w:t>
      </w:r>
      <w:r w:rsidR="003D222C" w:rsidRPr="29D08CD4">
        <w:rPr>
          <w:b/>
          <w:bCs/>
          <w:i/>
          <w:iCs/>
          <w:sz w:val="28"/>
          <w:szCs w:val="28"/>
        </w:rPr>
        <w:t xml:space="preserve"> and supporting narrative for the score</w:t>
      </w:r>
    </w:p>
    <w:p w14:paraId="279A4EAB" w14:textId="01C02DF7" w:rsidR="003D222C" w:rsidRPr="00D80C6C" w:rsidRDefault="003D222C" w:rsidP="32B552BF">
      <w:pPr>
        <w:jc w:val="both"/>
        <w:rPr>
          <w:rFonts w:cs="Arial"/>
          <w:sz w:val="22"/>
          <w:szCs w:val="22"/>
        </w:rPr>
      </w:pPr>
    </w:p>
    <w:p w14:paraId="44B0209E" w14:textId="19D410F3" w:rsidR="00DE352C" w:rsidRDefault="006B1CB1" w:rsidP="004D5FD5">
      <w:pPr>
        <w:jc w:val="both"/>
        <w:rPr>
          <w:rFonts w:cs="Arial"/>
          <w:sz w:val="22"/>
          <w:szCs w:val="22"/>
        </w:rPr>
      </w:pPr>
      <w:r w:rsidRPr="29D08CD4">
        <w:rPr>
          <w:rFonts w:cs="Arial"/>
          <w:sz w:val="22"/>
          <w:szCs w:val="22"/>
        </w:rPr>
        <w:t>N/A</w:t>
      </w:r>
    </w:p>
    <w:p w14:paraId="09D949EC" w14:textId="77777777" w:rsidR="005276CF" w:rsidRPr="00D80C6C" w:rsidRDefault="005276CF" w:rsidP="004D5FD5">
      <w:pPr>
        <w:jc w:val="both"/>
        <w:rPr>
          <w:rFonts w:cs="Arial"/>
          <w:sz w:val="22"/>
          <w:szCs w:val="22"/>
        </w:rPr>
      </w:pPr>
    </w:p>
    <w:p w14:paraId="45AE6586" w14:textId="6531C232" w:rsidR="003D222C" w:rsidRPr="00D80C6C" w:rsidRDefault="003D222C" w:rsidP="32B552BF">
      <w:pPr>
        <w:jc w:val="both"/>
        <w:rPr>
          <w:rFonts w:cs="Arial"/>
          <w:sz w:val="22"/>
          <w:szCs w:val="22"/>
        </w:rPr>
      </w:pPr>
      <w:r w:rsidRPr="29D08CD4">
        <w:rPr>
          <w:rFonts w:cs="Arial"/>
          <w:sz w:val="22"/>
          <w:szCs w:val="22"/>
        </w:rPr>
        <w:t xml:space="preserve">  </w:t>
      </w:r>
    </w:p>
    <w:p w14:paraId="4E79AAE8" w14:textId="58C8F090" w:rsidR="003D222C" w:rsidRPr="00D80C6C" w:rsidRDefault="00C02966" w:rsidP="29D08CD4">
      <w:pPr>
        <w:jc w:val="both"/>
        <w:rPr>
          <w:rFonts w:cs="Arial"/>
          <w:i/>
          <w:iCs/>
          <w:sz w:val="22"/>
          <w:szCs w:val="22"/>
        </w:rPr>
      </w:pPr>
      <w:r w:rsidRPr="29D08CD4">
        <w:rPr>
          <w:b/>
          <w:bCs/>
          <w:i/>
          <w:iCs/>
          <w:sz w:val="28"/>
          <w:szCs w:val="28"/>
        </w:rPr>
        <w:t>C</w:t>
      </w:r>
      <w:r w:rsidR="003D222C" w:rsidRPr="29D08CD4">
        <w:rPr>
          <w:b/>
          <w:bCs/>
          <w:i/>
          <w:iCs/>
          <w:sz w:val="28"/>
          <w:szCs w:val="28"/>
        </w:rPr>
        <w:t xml:space="preserve">hanges </w:t>
      </w:r>
      <w:r w:rsidR="5AA7F347" w:rsidRPr="29D08CD4">
        <w:rPr>
          <w:b/>
          <w:bCs/>
          <w:i/>
          <w:iCs/>
          <w:sz w:val="28"/>
          <w:szCs w:val="28"/>
        </w:rPr>
        <w:t xml:space="preserve">to </w:t>
      </w:r>
      <w:r w:rsidR="003D222C" w:rsidRPr="29D08CD4">
        <w:rPr>
          <w:b/>
          <w:bCs/>
          <w:i/>
          <w:iCs/>
          <w:sz w:val="28"/>
          <w:szCs w:val="28"/>
        </w:rPr>
        <w:t>this output, and any planned changes as a result of this review</w:t>
      </w:r>
      <w:r w:rsidR="003D222C" w:rsidRPr="29D08CD4">
        <w:rPr>
          <w:rFonts w:cs="Arial"/>
          <w:b/>
          <w:bCs/>
          <w:i/>
          <w:iCs/>
          <w:sz w:val="22"/>
          <w:szCs w:val="22"/>
        </w:rPr>
        <w:t xml:space="preserve"> </w:t>
      </w:r>
    </w:p>
    <w:p w14:paraId="2C9E6F55" w14:textId="77777777" w:rsidR="003D222C" w:rsidRPr="00D80C6C" w:rsidRDefault="003D222C" w:rsidP="004D5FD5">
      <w:pPr>
        <w:jc w:val="both"/>
        <w:rPr>
          <w:rFonts w:cs="Arial"/>
          <w:sz w:val="22"/>
          <w:szCs w:val="22"/>
        </w:rPr>
      </w:pPr>
    </w:p>
    <w:p w14:paraId="3B6DED5E" w14:textId="239B1F57" w:rsidR="003D222C" w:rsidRPr="00D80C6C" w:rsidRDefault="006B1CB1" w:rsidP="004D5FD5">
      <w:pPr>
        <w:jc w:val="both"/>
        <w:rPr>
          <w:rFonts w:cs="Arial"/>
          <w:sz w:val="22"/>
          <w:szCs w:val="22"/>
        </w:rPr>
      </w:pPr>
      <w:r w:rsidRPr="29D08CD4">
        <w:rPr>
          <w:rFonts w:cs="Arial"/>
          <w:sz w:val="22"/>
          <w:szCs w:val="22"/>
        </w:rPr>
        <w:t>N/A</w:t>
      </w:r>
    </w:p>
    <w:p w14:paraId="033808EB" w14:textId="77777777" w:rsidR="003D222C" w:rsidRPr="00D80C6C" w:rsidRDefault="003D222C" w:rsidP="004D5FD5">
      <w:pPr>
        <w:jc w:val="both"/>
        <w:rPr>
          <w:rFonts w:cs="Arial"/>
          <w:sz w:val="22"/>
          <w:szCs w:val="22"/>
        </w:rPr>
      </w:pPr>
    </w:p>
    <w:p w14:paraId="17BAC3B7" w14:textId="369A5F94" w:rsidR="003D222C" w:rsidRPr="00D80C6C" w:rsidRDefault="003D222C" w:rsidP="32B552BF">
      <w:pPr>
        <w:jc w:val="both"/>
        <w:rPr>
          <w:rFonts w:cs="Arial"/>
          <w:sz w:val="22"/>
          <w:szCs w:val="22"/>
        </w:rPr>
      </w:pPr>
      <w:r w:rsidRPr="29D08CD4">
        <w:rPr>
          <w:b/>
          <w:bCs/>
          <w:i/>
          <w:iCs/>
          <w:sz w:val="28"/>
          <w:szCs w:val="28"/>
        </w:rPr>
        <w:lastRenderedPageBreak/>
        <w:t>Progress on recommendations from the previous AR</w:t>
      </w:r>
      <w:r w:rsidR="00690170" w:rsidRPr="29D08CD4">
        <w:rPr>
          <w:b/>
          <w:bCs/>
          <w:i/>
          <w:iCs/>
          <w:sz w:val="28"/>
          <w:szCs w:val="28"/>
        </w:rPr>
        <w:t xml:space="preserve">, </w:t>
      </w:r>
      <w:r w:rsidRPr="29D08CD4">
        <w:rPr>
          <w:b/>
          <w:bCs/>
          <w:i/>
          <w:iCs/>
          <w:sz w:val="28"/>
          <w:szCs w:val="28"/>
        </w:rPr>
        <w:t>lessons learned this year</w:t>
      </w:r>
      <w:r w:rsidR="00690170" w:rsidRPr="29D08CD4">
        <w:rPr>
          <w:b/>
          <w:bCs/>
          <w:i/>
          <w:iCs/>
          <w:sz w:val="28"/>
          <w:szCs w:val="28"/>
        </w:rPr>
        <w:t>,</w:t>
      </w:r>
      <w:r w:rsidRPr="29D08CD4">
        <w:rPr>
          <w:b/>
          <w:bCs/>
          <w:i/>
          <w:iCs/>
          <w:sz w:val="28"/>
          <w:szCs w:val="28"/>
        </w:rPr>
        <w:t xml:space="preserve"> and recommendations for the year ahead</w:t>
      </w:r>
      <w:r w:rsidRPr="29D08CD4">
        <w:rPr>
          <w:rFonts w:cs="Arial"/>
          <w:b/>
          <w:bCs/>
        </w:rPr>
        <w:t xml:space="preserve"> </w:t>
      </w:r>
    </w:p>
    <w:p w14:paraId="72F2FAA1" w14:textId="77777777" w:rsidR="003D222C" w:rsidRPr="00D80C6C" w:rsidRDefault="003D222C" w:rsidP="32B552BF">
      <w:pPr>
        <w:tabs>
          <w:tab w:val="left" w:pos="8352"/>
        </w:tabs>
        <w:jc w:val="both"/>
        <w:rPr>
          <w:rFonts w:cs="Arial"/>
          <w:sz w:val="22"/>
          <w:szCs w:val="22"/>
        </w:rPr>
      </w:pPr>
    </w:p>
    <w:p w14:paraId="4DDC8C92" w14:textId="23F40CFE" w:rsidR="003D222C" w:rsidRPr="00D80C6C" w:rsidRDefault="006B1CB1" w:rsidP="004D5FD5">
      <w:pPr>
        <w:jc w:val="both"/>
        <w:rPr>
          <w:rFonts w:cs="Arial"/>
          <w:sz w:val="22"/>
          <w:szCs w:val="22"/>
        </w:rPr>
      </w:pPr>
      <w:r w:rsidRPr="29D08CD4">
        <w:rPr>
          <w:rFonts w:cs="Arial"/>
          <w:sz w:val="22"/>
          <w:szCs w:val="22"/>
        </w:rPr>
        <w:t>N/A</w:t>
      </w:r>
    </w:p>
    <w:p w14:paraId="6614CA3C" w14:textId="21597B56" w:rsidR="00691842" w:rsidRPr="00691842" w:rsidRDefault="004A367B" w:rsidP="000D0E6C">
      <w:pPr>
        <w:pStyle w:val="Heading2"/>
        <w:jc w:val="both"/>
      </w:pPr>
      <w:bookmarkStart w:id="14" w:name="_Toc192633491"/>
      <w:r>
        <w:t xml:space="preserve">Output 2: </w:t>
      </w:r>
      <w:r w:rsidR="000D0E6C">
        <w:t>FCLP members deliver reforms focusing on the six policy action areas</w:t>
      </w:r>
      <w:bookmarkEnd w:id="14"/>
    </w:p>
    <w:tbl>
      <w:tblPr>
        <w:tblStyle w:val="TableGrid"/>
        <w:tblW w:w="9072" w:type="dxa"/>
        <w:tblInd w:w="-5" w:type="dxa"/>
        <w:tblLook w:val="04A0" w:firstRow="1" w:lastRow="0" w:firstColumn="1" w:lastColumn="0" w:noHBand="0" w:noVBand="1"/>
      </w:tblPr>
      <w:tblGrid>
        <w:gridCol w:w="1566"/>
        <w:gridCol w:w="616"/>
        <w:gridCol w:w="937"/>
        <w:gridCol w:w="2977"/>
        <w:gridCol w:w="2976"/>
      </w:tblGrid>
      <w:tr w:rsidR="002172E3" w:rsidRPr="00D80C6C" w14:paraId="41CE7F22" w14:textId="77777777" w:rsidTr="29D08CD4">
        <w:trPr>
          <w:trHeight w:val="489"/>
        </w:trPr>
        <w:tc>
          <w:tcPr>
            <w:tcW w:w="1566"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057EFC7" w14:textId="7A0B4930" w:rsidR="00691842" w:rsidRPr="00D80C6C" w:rsidRDefault="00691842">
            <w:pPr>
              <w:jc w:val="both"/>
              <w:rPr>
                <w:rFonts w:cs="Arial"/>
                <w:b/>
                <w:bCs/>
                <w:sz w:val="22"/>
                <w:szCs w:val="22"/>
              </w:rPr>
            </w:pPr>
            <w:r w:rsidRPr="29D08CD4">
              <w:rPr>
                <w:rFonts w:cs="Arial"/>
                <w:b/>
                <w:bCs/>
                <w:sz w:val="22"/>
                <w:szCs w:val="22"/>
              </w:rPr>
              <w:t xml:space="preserve">Output Title </w:t>
            </w:r>
          </w:p>
        </w:tc>
        <w:tc>
          <w:tcPr>
            <w:tcW w:w="750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8968739" w14:textId="10F2F72E" w:rsidR="00691842" w:rsidRPr="00AD63FB" w:rsidRDefault="000D0E6C" w:rsidP="32B552BF">
            <w:pPr>
              <w:jc w:val="both"/>
              <w:rPr>
                <w:rFonts w:cs="Arial"/>
                <w:color w:val="000000" w:themeColor="text1"/>
                <w:sz w:val="22"/>
                <w:szCs w:val="22"/>
              </w:rPr>
            </w:pPr>
            <w:r w:rsidRPr="29D08CD4">
              <w:rPr>
                <w:rFonts w:cs="Arial"/>
                <w:color w:val="000000" w:themeColor="text1"/>
                <w:sz w:val="22"/>
                <w:szCs w:val="22"/>
              </w:rPr>
              <w:t>FCLP members deliver reforms focusing on the six policy action areas</w:t>
            </w:r>
          </w:p>
        </w:tc>
      </w:tr>
      <w:tr w:rsidR="007F4605" w:rsidRPr="00D80C6C" w14:paraId="1A461D66" w14:textId="77777777" w:rsidTr="29D08CD4">
        <w:trPr>
          <w:trHeight w:val="347"/>
        </w:trPr>
        <w:tc>
          <w:tcPr>
            <w:tcW w:w="218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9F004B5" w14:textId="6152AE37" w:rsidR="00691842" w:rsidRPr="00D80C6C" w:rsidRDefault="00691842" w:rsidP="32B552BF">
            <w:pPr>
              <w:jc w:val="both"/>
              <w:rPr>
                <w:rFonts w:cs="Arial"/>
                <w:sz w:val="22"/>
                <w:szCs w:val="22"/>
              </w:rPr>
            </w:pPr>
            <w:r w:rsidRPr="29D08CD4">
              <w:rPr>
                <w:rFonts w:cs="Arial"/>
                <w:sz w:val="22"/>
                <w:szCs w:val="22"/>
              </w:rPr>
              <w:t xml:space="preserve">Output number: </w:t>
            </w:r>
          </w:p>
        </w:tc>
        <w:tc>
          <w:tcPr>
            <w:tcW w:w="937" w:type="dxa"/>
            <w:tcBorders>
              <w:top w:val="single" w:sz="4" w:space="0" w:color="auto"/>
              <w:left w:val="single" w:sz="4" w:space="0" w:color="auto"/>
              <w:bottom w:val="single" w:sz="4" w:space="0" w:color="auto"/>
              <w:right w:val="single" w:sz="4" w:space="0" w:color="auto"/>
            </w:tcBorders>
          </w:tcPr>
          <w:p w14:paraId="77F166EC" w14:textId="6C47D17D" w:rsidR="00691842" w:rsidRPr="00D80C6C" w:rsidRDefault="007E5A0A">
            <w:pPr>
              <w:jc w:val="both"/>
              <w:rPr>
                <w:rFonts w:cs="Arial"/>
                <w:sz w:val="22"/>
                <w:szCs w:val="22"/>
              </w:rPr>
            </w:pPr>
            <w:r w:rsidRPr="29D08CD4">
              <w:rPr>
                <w:rFonts w:cs="Arial"/>
                <w:sz w:val="22"/>
                <w:szCs w:val="22"/>
              </w:rPr>
              <w:t>25</w:t>
            </w:r>
            <w:r w:rsidR="000D0E6C" w:rsidRPr="29D08CD4">
              <w:rPr>
                <w:rFonts w:cs="Arial"/>
                <w:sz w:val="22"/>
                <w:szCs w:val="22"/>
              </w:rPr>
              <w:t>%</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3065D68" w14:textId="3B268E48" w:rsidR="00691842" w:rsidRPr="00D80C6C" w:rsidRDefault="00691842">
            <w:pPr>
              <w:jc w:val="both"/>
              <w:rPr>
                <w:rFonts w:cs="Arial"/>
                <w:sz w:val="22"/>
                <w:szCs w:val="22"/>
              </w:rPr>
            </w:pPr>
            <w:r w:rsidRPr="29D08CD4">
              <w:rPr>
                <w:rFonts w:cs="Arial"/>
                <w:sz w:val="22"/>
                <w:szCs w:val="22"/>
              </w:rPr>
              <w:t xml:space="preserve">Output Score: </w:t>
            </w:r>
          </w:p>
        </w:tc>
        <w:tc>
          <w:tcPr>
            <w:tcW w:w="2976" w:type="dxa"/>
            <w:tcBorders>
              <w:top w:val="single" w:sz="4" w:space="0" w:color="auto"/>
              <w:left w:val="single" w:sz="4" w:space="0" w:color="auto"/>
              <w:bottom w:val="single" w:sz="4" w:space="0" w:color="auto"/>
              <w:right w:val="single" w:sz="4" w:space="0" w:color="auto"/>
            </w:tcBorders>
          </w:tcPr>
          <w:p w14:paraId="263A0106" w14:textId="33A12378" w:rsidR="00691842" w:rsidRPr="00AD63FB" w:rsidRDefault="000D0E6C">
            <w:pPr>
              <w:jc w:val="both"/>
            </w:pPr>
            <w:r>
              <w:t>N/A</w:t>
            </w:r>
          </w:p>
        </w:tc>
      </w:tr>
      <w:tr w:rsidR="007F4605" w:rsidRPr="00D80C6C" w14:paraId="08DC1373" w14:textId="77777777" w:rsidTr="29D08CD4">
        <w:trPr>
          <w:trHeight w:val="345"/>
        </w:trPr>
        <w:tc>
          <w:tcPr>
            <w:tcW w:w="218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EE290D9" w14:textId="504CE165" w:rsidR="00292F00" w:rsidRPr="00D80C6C" w:rsidRDefault="00292F00" w:rsidP="00292F00">
            <w:pPr>
              <w:jc w:val="both"/>
              <w:rPr>
                <w:rFonts w:cs="Arial"/>
                <w:sz w:val="22"/>
                <w:szCs w:val="22"/>
              </w:rPr>
            </w:pPr>
            <w:r w:rsidRPr="29D08CD4">
              <w:rPr>
                <w:rFonts w:cs="Arial"/>
                <w:sz w:val="22"/>
                <w:szCs w:val="22"/>
              </w:rPr>
              <w:t xml:space="preserve">Impact weighting (%):  </w:t>
            </w:r>
          </w:p>
        </w:tc>
        <w:tc>
          <w:tcPr>
            <w:tcW w:w="937" w:type="dxa"/>
            <w:tcBorders>
              <w:top w:val="single" w:sz="4" w:space="0" w:color="auto"/>
              <w:left w:val="single" w:sz="4" w:space="0" w:color="auto"/>
              <w:bottom w:val="single" w:sz="4" w:space="0" w:color="auto"/>
              <w:right w:val="single" w:sz="4" w:space="0" w:color="auto"/>
            </w:tcBorders>
            <w:hideMark/>
          </w:tcPr>
          <w:p w14:paraId="24DB908D" w14:textId="77777777" w:rsidR="00292F00" w:rsidRPr="00D80C6C" w:rsidRDefault="00292F00" w:rsidP="32B552BF">
            <w:pPr>
              <w:jc w:val="both"/>
              <w:rPr>
                <w:rFonts w:cs="Arial"/>
                <w:sz w:val="22"/>
                <w:szCs w:val="22"/>
              </w:rPr>
            </w:pP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6454226" w14:textId="4B1D00EB" w:rsidR="00292F00" w:rsidRPr="00D80C6C" w:rsidRDefault="00292F00" w:rsidP="32B552BF">
            <w:pPr>
              <w:jc w:val="both"/>
              <w:rPr>
                <w:rFonts w:cs="Arial"/>
                <w:sz w:val="22"/>
                <w:szCs w:val="22"/>
              </w:rPr>
            </w:pPr>
            <w:r w:rsidRPr="29D08CD4">
              <w:rPr>
                <w:rFonts w:cs="Arial"/>
                <w:sz w:val="22"/>
                <w:szCs w:val="22"/>
              </w:rPr>
              <w:t xml:space="preserve">Weighting revised since last AR? </w:t>
            </w:r>
          </w:p>
        </w:tc>
        <w:tc>
          <w:tcPr>
            <w:tcW w:w="2976" w:type="dxa"/>
            <w:tcBorders>
              <w:top w:val="single" w:sz="4" w:space="0" w:color="auto"/>
              <w:left w:val="single" w:sz="4" w:space="0" w:color="auto"/>
              <w:bottom w:val="single" w:sz="4" w:space="0" w:color="auto"/>
              <w:right w:val="single" w:sz="4" w:space="0" w:color="auto"/>
            </w:tcBorders>
          </w:tcPr>
          <w:p w14:paraId="7A0765DF" w14:textId="43F7DA2B" w:rsidR="00292F00" w:rsidRPr="00D80C6C" w:rsidRDefault="00292F00" w:rsidP="32B552BF">
            <w:pPr>
              <w:jc w:val="both"/>
              <w:rPr>
                <w:rFonts w:cs="Arial"/>
                <w:sz w:val="22"/>
                <w:szCs w:val="22"/>
              </w:rPr>
            </w:pPr>
            <w:r w:rsidRPr="29D08CD4">
              <w:rPr>
                <w:rFonts w:cs="Arial"/>
                <w:sz w:val="22"/>
                <w:szCs w:val="22"/>
              </w:rPr>
              <w:t xml:space="preserve">N/A </w:t>
            </w:r>
          </w:p>
        </w:tc>
      </w:tr>
      <w:tr w:rsidR="007F4605" w:rsidRPr="00D80C6C" w14:paraId="2D4E6664" w14:textId="77777777" w:rsidTr="29D08CD4">
        <w:trPr>
          <w:trHeight w:val="345"/>
        </w:trPr>
        <w:tc>
          <w:tcPr>
            <w:tcW w:w="218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DE2EAEE" w14:textId="053D2341" w:rsidR="00292F00" w:rsidRPr="00D80C6C" w:rsidRDefault="00292F00" w:rsidP="32B552BF">
            <w:pPr>
              <w:jc w:val="both"/>
              <w:rPr>
                <w:rFonts w:cs="Arial"/>
                <w:sz w:val="22"/>
                <w:szCs w:val="22"/>
              </w:rPr>
            </w:pPr>
            <w:r w:rsidRPr="29D08CD4">
              <w:rPr>
                <w:rFonts w:cs="Arial"/>
                <w:sz w:val="22"/>
                <w:szCs w:val="22"/>
              </w:rPr>
              <w:t>Risk rating:</w:t>
            </w:r>
          </w:p>
        </w:tc>
        <w:tc>
          <w:tcPr>
            <w:tcW w:w="937" w:type="dxa"/>
            <w:tcBorders>
              <w:top w:val="single" w:sz="4" w:space="0" w:color="auto"/>
              <w:left w:val="single" w:sz="4" w:space="0" w:color="auto"/>
              <w:bottom w:val="single" w:sz="4" w:space="0" w:color="auto"/>
              <w:right w:val="single" w:sz="4" w:space="0" w:color="auto"/>
            </w:tcBorders>
          </w:tcPr>
          <w:p w14:paraId="055BA998" w14:textId="4393C6DA" w:rsidR="00292F00" w:rsidRPr="00D80C6C" w:rsidRDefault="000D0E6C" w:rsidP="32B552BF">
            <w:pPr>
              <w:jc w:val="both"/>
              <w:rPr>
                <w:rFonts w:cs="Arial"/>
                <w:sz w:val="22"/>
                <w:szCs w:val="22"/>
              </w:rPr>
            </w:pPr>
            <w:r w:rsidRPr="29D08CD4">
              <w:rPr>
                <w:rFonts w:cs="Arial"/>
                <w:sz w:val="22"/>
                <w:szCs w:val="22"/>
              </w:rPr>
              <w:t>N/A</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85ECE2" w14:textId="705167AF" w:rsidR="00292F00" w:rsidRPr="00D80C6C" w:rsidRDefault="00292F00" w:rsidP="32B552BF">
            <w:pPr>
              <w:jc w:val="both"/>
              <w:rPr>
                <w:rFonts w:cs="Arial"/>
                <w:sz w:val="22"/>
                <w:szCs w:val="22"/>
              </w:rPr>
            </w:pPr>
            <w:r w:rsidRPr="29D08CD4">
              <w:rPr>
                <w:rFonts w:cs="Arial"/>
                <w:sz w:val="22"/>
                <w:szCs w:val="22"/>
              </w:rPr>
              <w:t>Risk revised since last AR?</w:t>
            </w:r>
          </w:p>
        </w:tc>
        <w:tc>
          <w:tcPr>
            <w:tcW w:w="2976" w:type="dxa"/>
            <w:tcBorders>
              <w:top w:val="single" w:sz="4" w:space="0" w:color="auto"/>
              <w:left w:val="single" w:sz="4" w:space="0" w:color="auto"/>
              <w:bottom w:val="single" w:sz="4" w:space="0" w:color="auto"/>
              <w:right w:val="single" w:sz="4" w:space="0" w:color="auto"/>
            </w:tcBorders>
          </w:tcPr>
          <w:p w14:paraId="34DD6A93" w14:textId="28F3FC47" w:rsidR="00292F00" w:rsidRPr="00D80C6C" w:rsidRDefault="00292F00" w:rsidP="32B552BF">
            <w:pPr>
              <w:jc w:val="both"/>
              <w:rPr>
                <w:rFonts w:cs="Arial"/>
                <w:sz w:val="22"/>
                <w:szCs w:val="22"/>
              </w:rPr>
            </w:pPr>
            <w:r w:rsidRPr="29D08CD4">
              <w:rPr>
                <w:rFonts w:cs="Arial"/>
                <w:sz w:val="22"/>
                <w:szCs w:val="22"/>
              </w:rPr>
              <w:t>N/A</w:t>
            </w:r>
          </w:p>
        </w:tc>
      </w:tr>
    </w:tbl>
    <w:p w14:paraId="33BACDC4" w14:textId="77777777" w:rsidR="00691842" w:rsidRDefault="00691842" w:rsidP="32B552BF">
      <w:pPr>
        <w:jc w:val="both"/>
        <w:rPr>
          <w:rFonts w:cs="Arial"/>
          <w:b/>
          <w:bCs/>
          <w:sz w:val="22"/>
          <w:szCs w:val="22"/>
        </w:rPr>
      </w:pPr>
    </w:p>
    <w:tbl>
      <w:tblPr>
        <w:tblStyle w:val="TableGrid"/>
        <w:tblpPr w:leftFromText="180" w:rightFromText="180" w:vertAnchor="text" w:horzAnchor="page" w:tblpX="1462" w:tblpY="-10"/>
        <w:tblOverlap w:val="never"/>
        <w:tblW w:w="9067" w:type="dxa"/>
        <w:tblLook w:val="04A0" w:firstRow="1" w:lastRow="0" w:firstColumn="1" w:lastColumn="0" w:noHBand="0" w:noVBand="1"/>
      </w:tblPr>
      <w:tblGrid>
        <w:gridCol w:w="1427"/>
        <w:gridCol w:w="2254"/>
        <w:gridCol w:w="5386"/>
      </w:tblGrid>
      <w:tr w:rsidR="000D0E6C" w:rsidRPr="00D80C6C" w14:paraId="7A59F081" w14:textId="77777777" w:rsidTr="29D08CD4">
        <w:trPr>
          <w:trHeight w:val="273"/>
        </w:trPr>
        <w:tc>
          <w:tcPr>
            <w:tcW w:w="142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09C5F08" w14:textId="38144126" w:rsidR="000D0E6C" w:rsidRPr="00D80C6C" w:rsidRDefault="000D0E6C" w:rsidP="00814C37">
            <w:pPr>
              <w:jc w:val="both"/>
              <w:rPr>
                <w:rFonts w:cs="Arial"/>
                <w:b/>
                <w:bCs/>
                <w:sz w:val="22"/>
                <w:szCs w:val="22"/>
              </w:rPr>
            </w:pPr>
            <w:r w:rsidRPr="29D08CD4">
              <w:rPr>
                <w:rFonts w:cs="Arial"/>
                <w:b/>
                <w:bCs/>
                <w:sz w:val="22"/>
                <w:szCs w:val="22"/>
              </w:rPr>
              <w:t>Indicator(s)</w:t>
            </w:r>
          </w:p>
        </w:tc>
        <w:tc>
          <w:tcPr>
            <w:tcW w:w="225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9F6707F" w14:textId="5DA99C0F" w:rsidR="000D0E6C" w:rsidRPr="00D80C6C" w:rsidRDefault="000D0E6C" w:rsidP="00814C37">
            <w:pPr>
              <w:jc w:val="both"/>
              <w:rPr>
                <w:rFonts w:cs="Arial"/>
                <w:b/>
                <w:bCs/>
                <w:sz w:val="22"/>
                <w:szCs w:val="22"/>
              </w:rPr>
            </w:pPr>
            <w:r w:rsidRPr="29D08CD4">
              <w:rPr>
                <w:rFonts w:cs="Arial"/>
                <w:b/>
                <w:bCs/>
                <w:sz w:val="22"/>
                <w:szCs w:val="22"/>
              </w:rPr>
              <w:t>Milestone(s) for this review</w:t>
            </w:r>
          </w:p>
        </w:tc>
        <w:tc>
          <w:tcPr>
            <w:tcW w:w="5386"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E46B9FC" w14:textId="7E84FBBC" w:rsidR="000D0E6C" w:rsidRPr="00D80C6C" w:rsidRDefault="000D0E6C" w:rsidP="00814C37">
            <w:pPr>
              <w:jc w:val="both"/>
              <w:rPr>
                <w:rFonts w:cs="Arial"/>
                <w:b/>
                <w:bCs/>
                <w:sz w:val="22"/>
                <w:szCs w:val="22"/>
              </w:rPr>
            </w:pPr>
            <w:r w:rsidRPr="29D08CD4">
              <w:rPr>
                <w:rFonts w:cs="Arial"/>
                <w:b/>
                <w:bCs/>
                <w:sz w:val="22"/>
                <w:szCs w:val="22"/>
              </w:rPr>
              <w:t xml:space="preserve">Progress </w:t>
            </w:r>
          </w:p>
        </w:tc>
      </w:tr>
      <w:tr w:rsidR="0067751D" w:rsidRPr="00D80C6C" w14:paraId="4753D2F4" w14:textId="77777777" w:rsidTr="29D08CD4">
        <w:tc>
          <w:tcPr>
            <w:tcW w:w="1427" w:type="dxa"/>
            <w:tcBorders>
              <w:top w:val="single" w:sz="4" w:space="0" w:color="auto"/>
              <w:left w:val="single" w:sz="4" w:space="0" w:color="auto"/>
              <w:bottom w:val="single" w:sz="4" w:space="0" w:color="auto"/>
              <w:right w:val="single" w:sz="4" w:space="0" w:color="auto"/>
            </w:tcBorders>
          </w:tcPr>
          <w:p w14:paraId="676C7DB8" w14:textId="6DD6ADC1" w:rsidR="0067751D" w:rsidRPr="00D80C6C" w:rsidRDefault="00FC7BC9" w:rsidP="32B552BF">
            <w:pPr>
              <w:jc w:val="both"/>
              <w:rPr>
                <w:rFonts w:cs="Arial"/>
                <w:sz w:val="22"/>
                <w:szCs w:val="22"/>
              </w:rPr>
            </w:pPr>
            <w:r w:rsidRPr="29D08CD4">
              <w:rPr>
                <w:rFonts w:cs="Arial"/>
                <w:sz w:val="22"/>
                <w:szCs w:val="22"/>
              </w:rPr>
              <w:t xml:space="preserve">2.1 </w:t>
            </w:r>
            <w:r w:rsidR="00CF26FB" w:rsidRPr="29D08CD4">
              <w:rPr>
                <w:rFonts w:cs="Arial"/>
                <w:sz w:val="22"/>
                <w:szCs w:val="22"/>
              </w:rPr>
              <w:t>Progress against policy action areas, measured on a qualitative scale</w:t>
            </w:r>
            <w:r w:rsidR="00C40973" w:rsidRPr="29D08CD4">
              <w:rPr>
                <w:rFonts w:cs="Arial"/>
                <w:sz w:val="22"/>
                <w:szCs w:val="22"/>
              </w:rPr>
              <w:t>.</w:t>
            </w:r>
          </w:p>
        </w:tc>
        <w:tc>
          <w:tcPr>
            <w:tcW w:w="2254" w:type="dxa"/>
            <w:tcBorders>
              <w:top w:val="single" w:sz="4" w:space="0" w:color="auto"/>
              <w:left w:val="single" w:sz="4" w:space="0" w:color="auto"/>
              <w:bottom w:val="single" w:sz="4" w:space="0" w:color="auto"/>
              <w:right w:val="single" w:sz="4" w:space="0" w:color="auto"/>
            </w:tcBorders>
          </w:tcPr>
          <w:p w14:paraId="481FFB99" w14:textId="6244E4FD" w:rsidR="0067751D" w:rsidRPr="00D80C6C" w:rsidRDefault="0067751D" w:rsidP="32B552BF">
            <w:pPr>
              <w:jc w:val="both"/>
              <w:rPr>
                <w:rFonts w:cs="Arial"/>
                <w:sz w:val="22"/>
                <w:szCs w:val="22"/>
              </w:rPr>
            </w:pPr>
            <w:r w:rsidRPr="29D08CD4">
              <w:rPr>
                <w:rFonts w:cs="Arial"/>
                <w:sz w:val="22"/>
                <w:szCs w:val="22"/>
              </w:rPr>
              <w:t>N/A</w:t>
            </w:r>
          </w:p>
        </w:tc>
        <w:tc>
          <w:tcPr>
            <w:tcW w:w="5386" w:type="dxa"/>
            <w:tcBorders>
              <w:top w:val="single" w:sz="4" w:space="0" w:color="auto"/>
              <w:left w:val="single" w:sz="4" w:space="0" w:color="auto"/>
              <w:bottom w:val="single" w:sz="4" w:space="0" w:color="auto"/>
              <w:right w:val="single" w:sz="4" w:space="0" w:color="auto"/>
            </w:tcBorders>
          </w:tcPr>
          <w:p w14:paraId="0E03EACF" w14:textId="6917DA28" w:rsidR="0067751D" w:rsidRPr="00D80C6C" w:rsidRDefault="0067751D" w:rsidP="32B552BF">
            <w:pPr>
              <w:contextualSpacing/>
              <w:jc w:val="both"/>
              <w:rPr>
                <w:rFonts w:cs="Arial"/>
                <w:sz w:val="22"/>
                <w:szCs w:val="22"/>
              </w:rPr>
            </w:pPr>
            <w:r w:rsidRPr="29D08CD4">
              <w:rPr>
                <w:rFonts w:cs="Arial"/>
                <w:sz w:val="22"/>
                <w:szCs w:val="22"/>
              </w:rPr>
              <w:t>N/A</w:t>
            </w:r>
          </w:p>
        </w:tc>
      </w:tr>
      <w:tr w:rsidR="0067751D" w:rsidRPr="00D80C6C" w14:paraId="537EC45C" w14:textId="77777777" w:rsidTr="29D08CD4">
        <w:tc>
          <w:tcPr>
            <w:tcW w:w="1427" w:type="dxa"/>
            <w:tcBorders>
              <w:top w:val="single" w:sz="4" w:space="0" w:color="auto"/>
              <w:left w:val="single" w:sz="4" w:space="0" w:color="auto"/>
              <w:bottom w:val="single" w:sz="4" w:space="0" w:color="auto"/>
              <w:right w:val="single" w:sz="4" w:space="0" w:color="auto"/>
            </w:tcBorders>
          </w:tcPr>
          <w:p w14:paraId="75D0A69D" w14:textId="184D36E9" w:rsidR="0067751D" w:rsidRPr="00D80C6C" w:rsidRDefault="00FC7BC9" w:rsidP="32B552BF">
            <w:pPr>
              <w:jc w:val="both"/>
              <w:rPr>
                <w:rFonts w:cs="Arial"/>
                <w:sz w:val="22"/>
                <w:szCs w:val="22"/>
              </w:rPr>
            </w:pPr>
            <w:r w:rsidRPr="29D08CD4">
              <w:rPr>
                <w:rFonts w:cs="Arial"/>
                <w:sz w:val="22"/>
                <w:szCs w:val="22"/>
              </w:rPr>
              <w:t>2.2 Percentage of FCLP members actively participating in at least one working group throughout year</w:t>
            </w:r>
          </w:p>
        </w:tc>
        <w:tc>
          <w:tcPr>
            <w:tcW w:w="2254" w:type="dxa"/>
            <w:tcBorders>
              <w:top w:val="single" w:sz="4" w:space="0" w:color="auto"/>
              <w:left w:val="single" w:sz="4" w:space="0" w:color="auto"/>
              <w:bottom w:val="single" w:sz="4" w:space="0" w:color="auto"/>
              <w:right w:val="single" w:sz="4" w:space="0" w:color="auto"/>
            </w:tcBorders>
          </w:tcPr>
          <w:p w14:paraId="6094DC47" w14:textId="3F7D1178" w:rsidR="0067751D" w:rsidRPr="00D80C6C" w:rsidRDefault="0067751D" w:rsidP="32B552BF">
            <w:pPr>
              <w:jc w:val="both"/>
              <w:rPr>
                <w:rFonts w:cs="Arial"/>
                <w:sz w:val="22"/>
                <w:szCs w:val="22"/>
              </w:rPr>
            </w:pPr>
            <w:r w:rsidRPr="29D08CD4">
              <w:rPr>
                <w:rFonts w:cs="Arial"/>
                <w:sz w:val="22"/>
                <w:szCs w:val="22"/>
              </w:rPr>
              <w:t>N/A</w:t>
            </w:r>
          </w:p>
        </w:tc>
        <w:tc>
          <w:tcPr>
            <w:tcW w:w="5386" w:type="dxa"/>
            <w:tcBorders>
              <w:top w:val="single" w:sz="4" w:space="0" w:color="auto"/>
              <w:left w:val="single" w:sz="4" w:space="0" w:color="auto"/>
              <w:bottom w:val="single" w:sz="4" w:space="0" w:color="auto"/>
              <w:right w:val="single" w:sz="4" w:space="0" w:color="auto"/>
            </w:tcBorders>
          </w:tcPr>
          <w:p w14:paraId="49D38AC0" w14:textId="3922A4EE" w:rsidR="0067751D" w:rsidRPr="00D80C6C" w:rsidRDefault="0067751D" w:rsidP="32B552BF">
            <w:pPr>
              <w:contextualSpacing/>
              <w:jc w:val="both"/>
              <w:rPr>
                <w:rFonts w:cs="Arial"/>
                <w:sz w:val="22"/>
                <w:szCs w:val="22"/>
              </w:rPr>
            </w:pPr>
            <w:r w:rsidRPr="29D08CD4">
              <w:rPr>
                <w:rFonts w:cs="Arial"/>
                <w:sz w:val="22"/>
                <w:szCs w:val="22"/>
              </w:rPr>
              <w:t>N/A</w:t>
            </w:r>
          </w:p>
        </w:tc>
      </w:tr>
      <w:tr w:rsidR="00C40973" w:rsidRPr="00D80C6C" w14:paraId="02FB62BF" w14:textId="77777777" w:rsidTr="29D08CD4">
        <w:tc>
          <w:tcPr>
            <w:tcW w:w="1427" w:type="dxa"/>
            <w:tcBorders>
              <w:top w:val="single" w:sz="4" w:space="0" w:color="auto"/>
              <w:left w:val="single" w:sz="4" w:space="0" w:color="auto"/>
              <w:bottom w:val="single" w:sz="4" w:space="0" w:color="auto"/>
              <w:right w:val="single" w:sz="4" w:space="0" w:color="auto"/>
            </w:tcBorders>
          </w:tcPr>
          <w:p w14:paraId="3132D03F" w14:textId="34FF350E" w:rsidR="00C40973" w:rsidRDefault="00C40973" w:rsidP="32B552BF">
            <w:pPr>
              <w:jc w:val="both"/>
              <w:rPr>
                <w:rFonts w:cs="Arial"/>
                <w:sz w:val="22"/>
                <w:szCs w:val="22"/>
              </w:rPr>
            </w:pPr>
            <w:r w:rsidRPr="29D08CD4">
              <w:rPr>
                <w:rFonts w:cs="Arial"/>
                <w:sz w:val="22"/>
                <w:szCs w:val="22"/>
              </w:rPr>
              <w:t xml:space="preserve">2.3 </w:t>
            </w:r>
            <w:r w:rsidR="00AD25BD" w:rsidRPr="29D08CD4">
              <w:rPr>
                <w:rFonts w:cs="Arial"/>
                <w:sz w:val="22"/>
                <w:szCs w:val="22"/>
              </w:rPr>
              <w:t>Percentage of policy action areas that mainstream gender and social inclusion in workplans</w:t>
            </w:r>
          </w:p>
        </w:tc>
        <w:tc>
          <w:tcPr>
            <w:tcW w:w="2254" w:type="dxa"/>
            <w:tcBorders>
              <w:top w:val="single" w:sz="4" w:space="0" w:color="auto"/>
              <w:left w:val="single" w:sz="4" w:space="0" w:color="auto"/>
              <w:bottom w:val="single" w:sz="4" w:space="0" w:color="auto"/>
              <w:right w:val="single" w:sz="4" w:space="0" w:color="auto"/>
            </w:tcBorders>
          </w:tcPr>
          <w:p w14:paraId="056BCD3E" w14:textId="77777777" w:rsidR="00C40973" w:rsidRDefault="00C40973" w:rsidP="32B552BF">
            <w:pPr>
              <w:jc w:val="both"/>
              <w:rPr>
                <w:rFonts w:cs="Arial"/>
                <w:sz w:val="22"/>
                <w:szCs w:val="22"/>
              </w:rPr>
            </w:pPr>
          </w:p>
        </w:tc>
        <w:tc>
          <w:tcPr>
            <w:tcW w:w="5386" w:type="dxa"/>
            <w:tcBorders>
              <w:top w:val="single" w:sz="4" w:space="0" w:color="auto"/>
              <w:left w:val="single" w:sz="4" w:space="0" w:color="auto"/>
              <w:bottom w:val="single" w:sz="4" w:space="0" w:color="auto"/>
              <w:right w:val="single" w:sz="4" w:space="0" w:color="auto"/>
            </w:tcBorders>
          </w:tcPr>
          <w:p w14:paraId="13AD8606" w14:textId="77777777" w:rsidR="00C40973" w:rsidRDefault="00C40973" w:rsidP="32B552BF">
            <w:pPr>
              <w:contextualSpacing/>
              <w:jc w:val="both"/>
              <w:rPr>
                <w:rFonts w:cs="Arial"/>
                <w:sz w:val="22"/>
                <w:szCs w:val="22"/>
              </w:rPr>
            </w:pPr>
          </w:p>
        </w:tc>
      </w:tr>
    </w:tbl>
    <w:p w14:paraId="7F9AE86D" w14:textId="47128D6B" w:rsidR="002B698B" w:rsidRPr="00D80C6C" w:rsidRDefault="002B698B" w:rsidP="29D08CD4">
      <w:pPr>
        <w:jc w:val="both"/>
        <w:rPr>
          <w:rFonts w:cs="Arial"/>
          <w:b/>
          <w:bCs/>
          <w:i/>
          <w:iCs/>
          <w:sz w:val="22"/>
          <w:szCs w:val="22"/>
        </w:rPr>
      </w:pPr>
      <w:r w:rsidRPr="29D08CD4">
        <w:rPr>
          <w:b/>
          <w:bCs/>
          <w:i/>
          <w:iCs/>
          <w:sz w:val="28"/>
          <w:szCs w:val="28"/>
        </w:rPr>
        <w:t>Output summary and supporting narrative for the score</w:t>
      </w:r>
    </w:p>
    <w:p w14:paraId="74D3AAD6" w14:textId="77777777" w:rsidR="002B698B" w:rsidRPr="00D80C6C" w:rsidRDefault="002B698B" w:rsidP="32B552BF">
      <w:pPr>
        <w:jc w:val="both"/>
        <w:rPr>
          <w:rFonts w:cs="Arial"/>
          <w:sz w:val="22"/>
          <w:szCs w:val="22"/>
        </w:rPr>
      </w:pPr>
    </w:p>
    <w:p w14:paraId="774DBCB7" w14:textId="423A04BF" w:rsidR="002B698B" w:rsidRDefault="002B698B" w:rsidP="002B698B">
      <w:pPr>
        <w:jc w:val="both"/>
        <w:rPr>
          <w:rFonts w:cs="Arial"/>
          <w:sz w:val="22"/>
          <w:szCs w:val="22"/>
        </w:rPr>
      </w:pPr>
      <w:r w:rsidRPr="29D08CD4">
        <w:rPr>
          <w:rFonts w:cs="Arial"/>
          <w:sz w:val="22"/>
          <w:szCs w:val="22"/>
        </w:rPr>
        <w:t>N/A</w:t>
      </w:r>
    </w:p>
    <w:p w14:paraId="0F686EC1" w14:textId="77777777" w:rsidR="007B7F06" w:rsidRDefault="007B7F06" w:rsidP="002B698B">
      <w:pPr>
        <w:jc w:val="both"/>
        <w:rPr>
          <w:rFonts w:cs="Arial"/>
          <w:sz w:val="22"/>
          <w:szCs w:val="22"/>
        </w:rPr>
      </w:pPr>
    </w:p>
    <w:p w14:paraId="2BC66B6D" w14:textId="77777777" w:rsidR="007B7F06" w:rsidRPr="00D80C6C" w:rsidRDefault="007B7F06" w:rsidP="002B698B">
      <w:pPr>
        <w:jc w:val="both"/>
        <w:rPr>
          <w:rFonts w:cs="Arial"/>
          <w:sz w:val="22"/>
          <w:szCs w:val="22"/>
        </w:rPr>
      </w:pPr>
    </w:p>
    <w:p w14:paraId="7C4DA4C0" w14:textId="2AB8D0DD" w:rsidR="002B698B" w:rsidRPr="00D80C6C" w:rsidRDefault="002B698B" w:rsidP="32B552BF">
      <w:pPr>
        <w:jc w:val="both"/>
        <w:rPr>
          <w:rFonts w:cs="Arial"/>
          <w:sz w:val="22"/>
          <w:szCs w:val="22"/>
        </w:rPr>
      </w:pPr>
      <w:r w:rsidRPr="29D08CD4">
        <w:rPr>
          <w:rFonts w:cs="Arial"/>
          <w:sz w:val="22"/>
          <w:szCs w:val="22"/>
        </w:rPr>
        <w:t xml:space="preserve">  </w:t>
      </w:r>
    </w:p>
    <w:p w14:paraId="49B645B9" w14:textId="693E1193" w:rsidR="002B698B" w:rsidRPr="00D80C6C" w:rsidRDefault="002B698B" w:rsidP="29D08CD4">
      <w:pPr>
        <w:jc w:val="both"/>
        <w:rPr>
          <w:rFonts w:cs="Arial"/>
          <w:i/>
          <w:iCs/>
          <w:sz w:val="22"/>
          <w:szCs w:val="22"/>
        </w:rPr>
      </w:pPr>
      <w:r w:rsidRPr="29D08CD4">
        <w:rPr>
          <w:b/>
          <w:bCs/>
          <w:i/>
          <w:iCs/>
          <w:sz w:val="28"/>
          <w:szCs w:val="28"/>
        </w:rPr>
        <w:lastRenderedPageBreak/>
        <w:t>Changes to this output, and any planned changes as a result of this review</w:t>
      </w:r>
      <w:r w:rsidRPr="29D08CD4">
        <w:rPr>
          <w:rFonts w:cs="Arial"/>
          <w:b/>
          <w:bCs/>
          <w:i/>
          <w:iCs/>
          <w:sz w:val="22"/>
          <w:szCs w:val="22"/>
        </w:rPr>
        <w:t xml:space="preserve"> </w:t>
      </w:r>
    </w:p>
    <w:p w14:paraId="709D9A4E" w14:textId="77777777" w:rsidR="002B698B" w:rsidRPr="00D80C6C" w:rsidRDefault="002B698B" w:rsidP="002B698B">
      <w:pPr>
        <w:jc w:val="both"/>
        <w:rPr>
          <w:rFonts w:cs="Arial"/>
          <w:sz w:val="22"/>
          <w:szCs w:val="22"/>
        </w:rPr>
      </w:pPr>
    </w:p>
    <w:p w14:paraId="693582D7" w14:textId="4614E4E8" w:rsidR="002B698B" w:rsidRPr="00D80C6C" w:rsidRDefault="002B698B" w:rsidP="002B698B">
      <w:pPr>
        <w:jc w:val="both"/>
        <w:rPr>
          <w:rFonts w:cs="Arial"/>
          <w:sz w:val="22"/>
          <w:szCs w:val="22"/>
        </w:rPr>
      </w:pPr>
      <w:r w:rsidRPr="29D08CD4">
        <w:rPr>
          <w:rFonts w:cs="Arial"/>
          <w:sz w:val="22"/>
          <w:szCs w:val="22"/>
        </w:rPr>
        <w:t>N/A</w:t>
      </w:r>
    </w:p>
    <w:p w14:paraId="44E97082" w14:textId="77777777" w:rsidR="002B698B" w:rsidRPr="00D80C6C" w:rsidRDefault="002B698B" w:rsidP="002B698B">
      <w:pPr>
        <w:jc w:val="both"/>
        <w:rPr>
          <w:rFonts w:cs="Arial"/>
          <w:sz w:val="22"/>
          <w:szCs w:val="22"/>
        </w:rPr>
      </w:pPr>
    </w:p>
    <w:p w14:paraId="4A8E1579" w14:textId="13E66903" w:rsidR="002B698B" w:rsidRPr="00D80C6C" w:rsidRDefault="002B698B" w:rsidP="32B552BF">
      <w:pPr>
        <w:jc w:val="both"/>
        <w:rPr>
          <w:rFonts w:cs="Arial"/>
          <w:sz w:val="22"/>
          <w:szCs w:val="22"/>
        </w:rPr>
      </w:pPr>
      <w:r w:rsidRPr="29D08CD4">
        <w:rPr>
          <w:b/>
          <w:bCs/>
          <w:i/>
          <w:iCs/>
          <w:sz w:val="28"/>
          <w:szCs w:val="28"/>
        </w:rPr>
        <w:t>Progress on recommendations from the previous AR, lessons learned this year, and recommendations for the year ahead</w:t>
      </w:r>
      <w:r w:rsidRPr="29D08CD4">
        <w:rPr>
          <w:rFonts w:cs="Arial"/>
          <w:b/>
          <w:bCs/>
        </w:rPr>
        <w:t xml:space="preserve"> </w:t>
      </w:r>
    </w:p>
    <w:p w14:paraId="47DAB286" w14:textId="77777777" w:rsidR="002B698B" w:rsidRPr="00D80C6C" w:rsidRDefault="002B698B" w:rsidP="32B552BF">
      <w:pPr>
        <w:tabs>
          <w:tab w:val="left" w:pos="8352"/>
        </w:tabs>
        <w:jc w:val="both"/>
        <w:rPr>
          <w:rFonts w:cs="Arial"/>
          <w:sz w:val="22"/>
          <w:szCs w:val="22"/>
        </w:rPr>
      </w:pPr>
    </w:p>
    <w:p w14:paraId="2BFFAA47" w14:textId="381B93F8" w:rsidR="002B698B" w:rsidRPr="00D80C6C" w:rsidRDefault="002B698B" w:rsidP="002B698B">
      <w:pPr>
        <w:jc w:val="both"/>
        <w:rPr>
          <w:rFonts w:cs="Arial"/>
          <w:sz w:val="22"/>
          <w:szCs w:val="22"/>
        </w:rPr>
      </w:pPr>
      <w:r w:rsidRPr="29D08CD4">
        <w:rPr>
          <w:rFonts w:cs="Arial"/>
          <w:sz w:val="22"/>
          <w:szCs w:val="22"/>
        </w:rPr>
        <w:t>N/A</w:t>
      </w:r>
    </w:p>
    <w:p w14:paraId="438E6B39" w14:textId="77777777" w:rsidR="002B698B" w:rsidRPr="00D80C6C" w:rsidRDefault="002B698B" w:rsidP="32B552BF">
      <w:pPr>
        <w:jc w:val="both"/>
        <w:rPr>
          <w:rFonts w:cs="Arial"/>
          <w:b/>
          <w:bCs/>
          <w:sz w:val="22"/>
          <w:szCs w:val="22"/>
        </w:rPr>
      </w:pPr>
    </w:p>
    <w:p w14:paraId="7DBC845F" w14:textId="77777777" w:rsidR="00EF15C7" w:rsidRPr="00EF15C7" w:rsidRDefault="004A367B" w:rsidP="29D08CD4">
      <w:pPr>
        <w:rPr>
          <w:b/>
          <w:bCs/>
          <w:i/>
          <w:iCs/>
          <w:kern w:val="28"/>
          <w:sz w:val="28"/>
          <w:szCs w:val="28"/>
        </w:rPr>
      </w:pPr>
      <w:r w:rsidRPr="29D08CD4">
        <w:rPr>
          <w:b/>
          <w:bCs/>
          <w:i/>
          <w:iCs/>
          <w:kern w:val="28"/>
          <w:sz w:val="28"/>
          <w:szCs w:val="28"/>
        </w:rPr>
        <w:t xml:space="preserve">Output 3: </w:t>
      </w:r>
      <w:r w:rsidR="00EF15C7" w:rsidRPr="29D08CD4">
        <w:rPr>
          <w:b/>
          <w:bCs/>
          <w:i/>
          <w:iCs/>
          <w:kern w:val="28"/>
          <w:sz w:val="28"/>
          <w:szCs w:val="28"/>
        </w:rPr>
        <w:t>FCLP members advance national actions to achieve 2030 target of “halt and reverse deforestation”</w:t>
      </w:r>
    </w:p>
    <w:p w14:paraId="23CF0139" w14:textId="77777777" w:rsidR="00ED5FD4" w:rsidRPr="00ED5FD4" w:rsidRDefault="00ED5FD4" w:rsidP="00AD63FB">
      <w:pPr>
        <w:pStyle w:val="Heading2"/>
        <w:jc w:val="both"/>
      </w:pPr>
    </w:p>
    <w:tbl>
      <w:tblPr>
        <w:tblStyle w:val="TableGrid"/>
        <w:tblW w:w="9072" w:type="dxa"/>
        <w:tblInd w:w="-5" w:type="dxa"/>
        <w:tblLook w:val="04A0" w:firstRow="1" w:lastRow="0" w:firstColumn="1" w:lastColumn="0" w:noHBand="0" w:noVBand="1"/>
      </w:tblPr>
      <w:tblGrid>
        <w:gridCol w:w="1566"/>
        <w:gridCol w:w="616"/>
        <w:gridCol w:w="937"/>
        <w:gridCol w:w="2977"/>
        <w:gridCol w:w="2976"/>
      </w:tblGrid>
      <w:tr w:rsidR="002172E3" w:rsidRPr="00D80C6C" w14:paraId="343E8A59" w14:textId="77777777" w:rsidTr="29D08CD4">
        <w:trPr>
          <w:trHeight w:val="489"/>
        </w:trPr>
        <w:tc>
          <w:tcPr>
            <w:tcW w:w="1566"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F6358D7" w14:textId="7A413D4F" w:rsidR="00ED5FD4" w:rsidRPr="00D80C6C" w:rsidRDefault="00ED5FD4">
            <w:pPr>
              <w:jc w:val="both"/>
              <w:rPr>
                <w:rFonts w:cs="Arial"/>
                <w:b/>
                <w:bCs/>
                <w:sz w:val="22"/>
                <w:szCs w:val="22"/>
              </w:rPr>
            </w:pPr>
            <w:r w:rsidRPr="29D08CD4">
              <w:rPr>
                <w:rFonts w:cs="Arial"/>
                <w:b/>
                <w:bCs/>
                <w:sz w:val="22"/>
                <w:szCs w:val="22"/>
              </w:rPr>
              <w:t xml:space="preserve">Output Title </w:t>
            </w:r>
          </w:p>
        </w:tc>
        <w:tc>
          <w:tcPr>
            <w:tcW w:w="750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FFB599E" w14:textId="597ABCC8" w:rsidR="00EF15C7" w:rsidRPr="00AD63FB" w:rsidRDefault="00EF15C7" w:rsidP="32B552BF">
            <w:pPr>
              <w:rPr>
                <w:rFonts w:cs="Arial"/>
                <w:color w:val="000000" w:themeColor="text1"/>
                <w:sz w:val="22"/>
                <w:szCs w:val="22"/>
              </w:rPr>
            </w:pPr>
            <w:r w:rsidRPr="29D08CD4">
              <w:rPr>
                <w:rFonts w:cs="Arial"/>
                <w:color w:val="000000" w:themeColor="text1"/>
                <w:sz w:val="22"/>
                <w:szCs w:val="22"/>
              </w:rPr>
              <w:t>FCLP members advance national actions to achieve 2030 target to halt and reverse forest loss</w:t>
            </w:r>
          </w:p>
          <w:p w14:paraId="215425E5" w14:textId="77777777" w:rsidR="00ED5FD4" w:rsidRPr="00ED5FD4" w:rsidRDefault="00ED5FD4" w:rsidP="32B552BF">
            <w:pPr>
              <w:tabs>
                <w:tab w:val="left" w:pos="1450"/>
              </w:tabs>
              <w:jc w:val="both"/>
              <w:rPr>
                <w:rFonts w:cs="Arial"/>
                <w:color w:val="FF0000"/>
                <w:sz w:val="22"/>
                <w:szCs w:val="22"/>
              </w:rPr>
            </w:pPr>
          </w:p>
        </w:tc>
      </w:tr>
      <w:tr w:rsidR="007F4605" w:rsidRPr="00D80C6C" w14:paraId="0D129A7F" w14:textId="77777777" w:rsidTr="29D08CD4">
        <w:trPr>
          <w:trHeight w:val="347"/>
        </w:trPr>
        <w:tc>
          <w:tcPr>
            <w:tcW w:w="218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E4E4F19" w14:textId="6EFBBD1C" w:rsidR="00ED5FD4" w:rsidRPr="00D80C6C" w:rsidRDefault="00ED5FD4" w:rsidP="32B552BF">
            <w:pPr>
              <w:jc w:val="both"/>
              <w:rPr>
                <w:rFonts w:cs="Arial"/>
                <w:sz w:val="22"/>
                <w:szCs w:val="22"/>
              </w:rPr>
            </w:pPr>
            <w:r w:rsidRPr="29D08CD4">
              <w:rPr>
                <w:rFonts w:cs="Arial"/>
                <w:sz w:val="22"/>
                <w:szCs w:val="22"/>
              </w:rPr>
              <w:t xml:space="preserve">Output number: </w:t>
            </w:r>
          </w:p>
        </w:tc>
        <w:tc>
          <w:tcPr>
            <w:tcW w:w="937" w:type="dxa"/>
            <w:tcBorders>
              <w:top w:val="single" w:sz="4" w:space="0" w:color="auto"/>
              <w:left w:val="single" w:sz="4" w:space="0" w:color="auto"/>
              <w:bottom w:val="single" w:sz="4" w:space="0" w:color="auto"/>
              <w:right w:val="single" w:sz="4" w:space="0" w:color="auto"/>
            </w:tcBorders>
          </w:tcPr>
          <w:p w14:paraId="7D3D58F5" w14:textId="79C680C4" w:rsidR="00ED5FD4" w:rsidRPr="00D80C6C" w:rsidRDefault="00EF15C7">
            <w:pPr>
              <w:jc w:val="both"/>
              <w:rPr>
                <w:rFonts w:cs="Arial"/>
                <w:sz w:val="22"/>
                <w:szCs w:val="22"/>
              </w:rPr>
            </w:pPr>
            <w:r w:rsidRPr="29D08CD4">
              <w:rPr>
                <w:rFonts w:cs="Arial"/>
                <w:sz w:val="22"/>
                <w:szCs w:val="22"/>
              </w:rPr>
              <w:t>3</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58A97E8" w14:textId="17A32275" w:rsidR="00ED5FD4" w:rsidRPr="00D80C6C" w:rsidRDefault="00ED5FD4">
            <w:pPr>
              <w:jc w:val="both"/>
              <w:rPr>
                <w:rFonts w:cs="Arial"/>
                <w:sz w:val="22"/>
                <w:szCs w:val="22"/>
              </w:rPr>
            </w:pPr>
            <w:r w:rsidRPr="29D08CD4">
              <w:rPr>
                <w:rFonts w:cs="Arial"/>
                <w:sz w:val="22"/>
                <w:szCs w:val="22"/>
              </w:rPr>
              <w:t xml:space="preserve">Output Score: </w:t>
            </w:r>
          </w:p>
        </w:tc>
        <w:tc>
          <w:tcPr>
            <w:tcW w:w="2976" w:type="dxa"/>
            <w:tcBorders>
              <w:top w:val="single" w:sz="4" w:space="0" w:color="auto"/>
              <w:left w:val="single" w:sz="4" w:space="0" w:color="auto"/>
              <w:bottom w:val="single" w:sz="4" w:space="0" w:color="auto"/>
              <w:right w:val="single" w:sz="4" w:space="0" w:color="auto"/>
            </w:tcBorders>
          </w:tcPr>
          <w:p w14:paraId="20F25E26" w14:textId="3900BDCD" w:rsidR="00ED5FD4" w:rsidRPr="00AD63FB" w:rsidRDefault="00EF15C7" w:rsidP="32B552BF">
            <w:pPr>
              <w:jc w:val="both"/>
              <w:rPr>
                <w:rFonts w:cs="Arial"/>
                <w:sz w:val="22"/>
                <w:szCs w:val="22"/>
              </w:rPr>
            </w:pPr>
            <w:r w:rsidRPr="29D08CD4">
              <w:rPr>
                <w:rFonts w:cs="Arial"/>
                <w:sz w:val="22"/>
                <w:szCs w:val="22"/>
              </w:rPr>
              <w:t>N/A</w:t>
            </w:r>
          </w:p>
        </w:tc>
      </w:tr>
      <w:tr w:rsidR="007F4605" w:rsidRPr="00D80C6C" w14:paraId="71D6D4AA" w14:textId="77777777" w:rsidTr="29D08CD4">
        <w:trPr>
          <w:trHeight w:val="345"/>
        </w:trPr>
        <w:tc>
          <w:tcPr>
            <w:tcW w:w="218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DBDA094" w14:textId="7760D4EE" w:rsidR="00292F00" w:rsidRPr="00D80C6C" w:rsidRDefault="00292F00" w:rsidP="00292F00">
            <w:pPr>
              <w:jc w:val="both"/>
              <w:rPr>
                <w:rFonts w:cs="Arial"/>
                <w:sz w:val="22"/>
                <w:szCs w:val="22"/>
              </w:rPr>
            </w:pPr>
            <w:r w:rsidRPr="29D08CD4">
              <w:rPr>
                <w:rFonts w:cs="Arial"/>
                <w:sz w:val="22"/>
                <w:szCs w:val="22"/>
              </w:rPr>
              <w:t xml:space="preserve">Impact weighting (%):  </w:t>
            </w:r>
          </w:p>
        </w:tc>
        <w:tc>
          <w:tcPr>
            <w:tcW w:w="937" w:type="dxa"/>
            <w:tcBorders>
              <w:top w:val="single" w:sz="4" w:space="0" w:color="auto"/>
              <w:left w:val="single" w:sz="4" w:space="0" w:color="auto"/>
              <w:bottom w:val="single" w:sz="4" w:space="0" w:color="auto"/>
              <w:right w:val="single" w:sz="4" w:space="0" w:color="auto"/>
            </w:tcBorders>
            <w:hideMark/>
          </w:tcPr>
          <w:p w14:paraId="0EC60837" w14:textId="377F6DBD" w:rsidR="00292F00" w:rsidRPr="00D80C6C" w:rsidRDefault="00EF15C7" w:rsidP="32B552BF">
            <w:pPr>
              <w:jc w:val="both"/>
              <w:rPr>
                <w:rFonts w:cs="Arial"/>
                <w:sz w:val="22"/>
                <w:szCs w:val="22"/>
              </w:rPr>
            </w:pPr>
            <w:r w:rsidRPr="29D08CD4">
              <w:rPr>
                <w:rFonts w:cs="Arial"/>
                <w:sz w:val="22"/>
                <w:szCs w:val="22"/>
              </w:rPr>
              <w:t>2</w:t>
            </w:r>
            <w:r w:rsidR="007E5A0A" w:rsidRPr="29D08CD4">
              <w:rPr>
                <w:rFonts w:cs="Arial"/>
                <w:sz w:val="22"/>
                <w:szCs w:val="22"/>
              </w:rPr>
              <w:t>5</w:t>
            </w:r>
            <w:r w:rsidRPr="29D08CD4">
              <w:rPr>
                <w:rFonts w:cs="Arial"/>
                <w:sz w:val="22"/>
                <w:szCs w:val="22"/>
              </w:rPr>
              <w:t>%</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E35CD2B" w14:textId="1294BFC4" w:rsidR="00292F00" w:rsidRPr="00D80C6C" w:rsidRDefault="00292F00" w:rsidP="32B552BF">
            <w:pPr>
              <w:jc w:val="both"/>
              <w:rPr>
                <w:rFonts w:cs="Arial"/>
                <w:sz w:val="22"/>
                <w:szCs w:val="22"/>
              </w:rPr>
            </w:pPr>
            <w:r w:rsidRPr="29D08CD4">
              <w:rPr>
                <w:rFonts w:cs="Arial"/>
                <w:sz w:val="22"/>
                <w:szCs w:val="22"/>
              </w:rPr>
              <w:t xml:space="preserve">Weighting revised since last AR? </w:t>
            </w:r>
          </w:p>
        </w:tc>
        <w:tc>
          <w:tcPr>
            <w:tcW w:w="2976" w:type="dxa"/>
            <w:tcBorders>
              <w:top w:val="single" w:sz="4" w:space="0" w:color="auto"/>
              <w:left w:val="single" w:sz="4" w:space="0" w:color="auto"/>
              <w:bottom w:val="single" w:sz="4" w:space="0" w:color="auto"/>
              <w:right w:val="single" w:sz="4" w:space="0" w:color="auto"/>
            </w:tcBorders>
          </w:tcPr>
          <w:p w14:paraId="510CC462" w14:textId="297359E6" w:rsidR="00292F00" w:rsidRPr="00D80C6C" w:rsidRDefault="00292F00" w:rsidP="32B552BF">
            <w:pPr>
              <w:jc w:val="both"/>
              <w:rPr>
                <w:rFonts w:cs="Arial"/>
                <w:sz w:val="22"/>
                <w:szCs w:val="22"/>
              </w:rPr>
            </w:pPr>
            <w:r w:rsidRPr="29D08CD4">
              <w:rPr>
                <w:rFonts w:cs="Arial"/>
                <w:sz w:val="22"/>
                <w:szCs w:val="22"/>
              </w:rPr>
              <w:t xml:space="preserve">N/A </w:t>
            </w:r>
          </w:p>
        </w:tc>
      </w:tr>
      <w:tr w:rsidR="007F4605" w:rsidRPr="00D80C6C" w14:paraId="13EB579E" w14:textId="77777777" w:rsidTr="29D08CD4">
        <w:trPr>
          <w:trHeight w:val="345"/>
        </w:trPr>
        <w:tc>
          <w:tcPr>
            <w:tcW w:w="218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A981A1" w14:textId="7A8ED79B" w:rsidR="00292F00" w:rsidRPr="00D80C6C" w:rsidRDefault="00292F00" w:rsidP="32B552BF">
            <w:pPr>
              <w:jc w:val="both"/>
              <w:rPr>
                <w:rFonts w:cs="Arial"/>
                <w:sz w:val="22"/>
                <w:szCs w:val="22"/>
              </w:rPr>
            </w:pPr>
            <w:r w:rsidRPr="29D08CD4">
              <w:rPr>
                <w:rFonts w:cs="Arial"/>
                <w:sz w:val="22"/>
                <w:szCs w:val="22"/>
              </w:rPr>
              <w:t>Risk rating:</w:t>
            </w:r>
          </w:p>
        </w:tc>
        <w:tc>
          <w:tcPr>
            <w:tcW w:w="937" w:type="dxa"/>
            <w:tcBorders>
              <w:top w:val="single" w:sz="4" w:space="0" w:color="auto"/>
              <w:left w:val="single" w:sz="4" w:space="0" w:color="auto"/>
              <w:bottom w:val="single" w:sz="4" w:space="0" w:color="auto"/>
              <w:right w:val="single" w:sz="4" w:space="0" w:color="auto"/>
            </w:tcBorders>
          </w:tcPr>
          <w:p w14:paraId="56DEF1B3" w14:textId="704E6E05" w:rsidR="00292F00" w:rsidRPr="00D80C6C" w:rsidRDefault="00EF15C7" w:rsidP="32B552BF">
            <w:pPr>
              <w:jc w:val="both"/>
              <w:rPr>
                <w:rFonts w:cs="Arial"/>
                <w:sz w:val="22"/>
                <w:szCs w:val="22"/>
              </w:rPr>
            </w:pPr>
            <w:r w:rsidRPr="29D08CD4">
              <w:rPr>
                <w:rFonts w:cs="Arial"/>
                <w:sz w:val="22"/>
                <w:szCs w:val="22"/>
              </w:rPr>
              <w:t>N/A</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1EB55AA" w14:textId="2C3FC321" w:rsidR="00292F00" w:rsidRPr="00D80C6C" w:rsidRDefault="00292F00" w:rsidP="32B552BF">
            <w:pPr>
              <w:jc w:val="both"/>
              <w:rPr>
                <w:rFonts w:cs="Arial"/>
                <w:sz w:val="22"/>
                <w:szCs w:val="22"/>
              </w:rPr>
            </w:pPr>
            <w:r w:rsidRPr="29D08CD4">
              <w:rPr>
                <w:rFonts w:cs="Arial"/>
                <w:sz w:val="22"/>
                <w:szCs w:val="22"/>
              </w:rPr>
              <w:t>Risk revised since last AR?</w:t>
            </w:r>
          </w:p>
        </w:tc>
        <w:tc>
          <w:tcPr>
            <w:tcW w:w="2976" w:type="dxa"/>
            <w:tcBorders>
              <w:top w:val="single" w:sz="4" w:space="0" w:color="auto"/>
              <w:left w:val="single" w:sz="4" w:space="0" w:color="auto"/>
              <w:bottom w:val="single" w:sz="4" w:space="0" w:color="auto"/>
              <w:right w:val="single" w:sz="4" w:space="0" w:color="auto"/>
            </w:tcBorders>
          </w:tcPr>
          <w:p w14:paraId="7C423B56" w14:textId="763F98D7" w:rsidR="00292F00" w:rsidRPr="00D80C6C" w:rsidRDefault="00292F00" w:rsidP="32B552BF">
            <w:pPr>
              <w:jc w:val="both"/>
              <w:rPr>
                <w:rFonts w:cs="Arial"/>
                <w:sz w:val="22"/>
                <w:szCs w:val="22"/>
              </w:rPr>
            </w:pPr>
            <w:r w:rsidRPr="29D08CD4">
              <w:rPr>
                <w:rFonts w:cs="Arial"/>
                <w:sz w:val="22"/>
                <w:szCs w:val="22"/>
              </w:rPr>
              <w:t xml:space="preserve">N/A </w:t>
            </w:r>
          </w:p>
        </w:tc>
      </w:tr>
    </w:tbl>
    <w:p w14:paraId="468D082A" w14:textId="77777777" w:rsidR="00ED5FD4" w:rsidRPr="00D80C6C" w:rsidRDefault="00ED5FD4" w:rsidP="32B552BF">
      <w:pPr>
        <w:jc w:val="both"/>
        <w:rPr>
          <w:rFonts w:cs="Arial"/>
          <w:b/>
          <w:bCs/>
          <w:sz w:val="22"/>
          <w:szCs w:val="22"/>
        </w:rPr>
      </w:pPr>
    </w:p>
    <w:tbl>
      <w:tblPr>
        <w:tblStyle w:val="TableGrid"/>
        <w:tblpPr w:leftFromText="180" w:rightFromText="180" w:vertAnchor="text" w:horzAnchor="page" w:tblpX="1462" w:tblpY="-10"/>
        <w:tblOverlap w:val="never"/>
        <w:tblW w:w="9067" w:type="dxa"/>
        <w:tblLook w:val="04A0" w:firstRow="1" w:lastRow="0" w:firstColumn="1" w:lastColumn="0" w:noHBand="0" w:noVBand="1"/>
      </w:tblPr>
      <w:tblGrid>
        <w:gridCol w:w="1427"/>
        <w:gridCol w:w="2254"/>
        <w:gridCol w:w="5386"/>
      </w:tblGrid>
      <w:tr w:rsidR="00ED5FD4" w:rsidRPr="00D80C6C" w14:paraId="1DCF0917" w14:textId="77777777" w:rsidTr="29D08CD4">
        <w:trPr>
          <w:trHeight w:val="273"/>
        </w:trPr>
        <w:tc>
          <w:tcPr>
            <w:tcW w:w="142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B7EFCD7" w14:textId="12F39805" w:rsidR="00ED5FD4" w:rsidRPr="00D80C6C" w:rsidRDefault="00ED5FD4">
            <w:pPr>
              <w:jc w:val="both"/>
              <w:rPr>
                <w:rFonts w:cs="Arial"/>
                <w:b/>
                <w:bCs/>
                <w:sz w:val="22"/>
                <w:szCs w:val="22"/>
              </w:rPr>
            </w:pPr>
            <w:r w:rsidRPr="29D08CD4">
              <w:rPr>
                <w:rFonts w:cs="Arial"/>
                <w:b/>
                <w:bCs/>
                <w:sz w:val="22"/>
                <w:szCs w:val="22"/>
              </w:rPr>
              <w:lastRenderedPageBreak/>
              <w:t>Indicator(s)</w:t>
            </w:r>
          </w:p>
        </w:tc>
        <w:tc>
          <w:tcPr>
            <w:tcW w:w="225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1B685D1" w14:textId="79E28FDE" w:rsidR="00ED5FD4" w:rsidRPr="00D80C6C" w:rsidRDefault="00ED5FD4">
            <w:pPr>
              <w:jc w:val="both"/>
              <w:rPr>
                <w:rFonts w:cs="Arial"/>
                <w:b/>
                <w:bCs/>
                <w:sz w:val="22"/>
                <w:szCs w:val="22"/>
              </w:rPr>
            </w:pPr>
            <w:r w:rsidRPr="29D08CD4">
              <w:rPr>
                <w:rFonts w:cs="Arial"/>
                <w:b/>
                <w:bCs/>
                <w:sz w:val="22"/>
                <w:szCs w:val="22"/>
              </w:rPr>
              <w:t>Milestone(s) for this review</w:t>
            </w:r>
          </w:p>
        </w:tc>
        <w:tc>
          <w:tcPr>
            <w:tcW w:w="5386"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238883B" w14:textId="162D51DA" w:rsidR="00ED5FD4" w:rsidRPr="00D80C6C" w:rsidRDefault="00ED5FD4">
            <w:pPr>
              <w:jc w:val="both"/>
              <w:rPr>
                <w:rFonts w:cs="Arial"/>
                <w:b/>
                <w:bCs/>
                <w:sz w:val="22"/>
                <w:szCs w:val="22"/>
              </w:rPr>
            </w:pPr>
            <w:r w:rsidRPr="29D08CD4">
              <w:rPr>
                <w:rFonts w:cs="Arial"/>
                <w:b/>
                <w:bCs/>
                <w:sz w:val="22"/>
                <w:szCs w:val="22"/>
              </w:rPr>
              <w:t xml:space="preserve">Progress </w:t>
            </w:r>
          </w:p>
        </w:tc>
      </w:tr>
      <w:tr w:rsidR="0067751D" w:rsidRPr="00D80C6C" w14:paraId="0D9D6326" w14:textId="77777777" w:rsidTr="29D08CD4">
        <w:tc>
          <w:tcPr>
            <w:tcW w:w="1427" w:type="dxa"/>
            <w:tcBorders>
              <w:top w:val="single" w:sz="4" w:space="0" w:color="auto"/>
              <w:left w:val="single" w:sz="4" w:space="0" w:color="auto"/>
              <w:bottom w:val="single" w:sz="4" w:space="0" w:color="auto"/>
              <w:right w:val="single" w:sz="4" w:space="0" w:color="auto"/>
            </w:tcBorders>
          </w:tcPr>
          <w:p w14:paraId="25AFBEF9" w14:textId="5A2E4872" w:rsidR="0006636F" w:rsidRPr="0006636F" w:rsidRDefault="0006636F" w:rsidP="32B552BF">
            <w:pPr>
              <w:rPr>
                <w:rFonts w:cs="Arial"/>
                <w:sz w:val="22"/>
                <w:szCs w:val="22"/>
              </w:rPr>
            </w:pPr>
            <w:r w:rsidRPr="29D08CD4">
              <w:rPr>
                <w:rFonts w:cs="Arial"/>
                <w:sz w:val="22"/>
                <w:szCs w:val="22"/>
              </w:rPr>
              <w:t>3.1 Number of countries supported by UK TA for "Country Packages for Forests, Nature and Climate" (non-cumulative).</w:t>
            </w:r>
          </w:p>
          <w:p w14:paraId="2A9C800A" w14:textId="77777777" w:rsidR="0067751D" w:rsidRPr="00D80C6C" w:rsidRDefault="0067751D" w:rsidP="32B552BF">
            <w:pPr>
              <w:jc w:val="both"/>
              <w:rPr>
                <w:rFonts w:cs="Arial"/>
                <w:sz w:val="22"/>
                <w:szCs w:val="22"/>
              </w:rPr>
            </w:pPr>
          </w:p>
        </w:tc>
        <w:tc>
          <w:tcPr>
            <w:tcW w:w="2254" w:type="dxa"/>
            <w:tcBorders>
              <w:top w:val="single" w:sz="4" w:space="0" w:color="auto"/>
              <w:left w:val="single" w:sz="4" w:space="0" w:color="auto"/>
              <w:bottom w:val="single" w:sz="4" w:space="0" w:color="auto"/>
              <w:right w:val="single" w:sz="4" w:space="0" w:color="auto"/>
            </w:tcBorders>
          </w:tcPr>
          <w:p w14:paraId="50E8BA73" w14:textId="39A55873" w:rsidR="0067751D" w:rsidRPr="00D80C6C" w:rsidRDefault="0067751D" w:rsidP="32B552BF">
            <w:pPr>
              <w:jc w:val="both"/>
              <w:rPr>
                <w:rFonts w:cs="Arial"/>
                <w:sz w:val="22"/>
                <w:szCs w:val="22"/>
              </w:rPr>
            </w:pPr>
            <w:r w:rsidRPr="29D08CD4">
              <w:rPr>
                <w:rFonts w:cs="Arial"/>
                <w:sz w:val="22"/>
                <w:szCs w:val="22"/>
              </w:rPr>
              <w:t>N/A</w:t>
            </w:r>
          </w:p>
        </w:tc>
        <w:tc>
          <w:tcPr>
            <w:tcW w:w="5386" w:type="dxa"/>
            <w:tcBorders>
              <w:top w:val="single" w:sz="4" w:space="0" w:color="auto"/>
              <w:left w:val="single" w:sz="4" w:space="0" w:color="auto"/>
              <w:bottom w:val="single" w:sz="4" w:space="0" w:color="auto"/>
              <w:right w:val="single" w:sz="4" w:space="0" w:color="auto"/>
            </w:tcBorders>
          </w:tcPr>
          <w:p w14:paraId="0B45BE2C" w14:textId="4DDC10F8" w:rsidR="0067751D" w:rsidRPr="00D80C6C" w:rsidRDefault="0067751D" w:rsidP="32B552BF">
            <w:pPr>
              <w:contextualSpacing/>
              <w:jc w:val="both"/>
              <w:rPr>
                <w:rFonts w:cs="Arial"/>
                <w:sz w:val="22"/>
                <w:szCs w:val="22"/>
              </w:rPr>
            </w:pPr>
            <w:r w:rsidRPr="29D08CD4">
              <w:rPr>
                <w:rFonts w:cs="Arial"/>
                <w:sz w:val="22"/>
                <w:szCs w:val="22"/>
              </w:rPr>
              <w:t>N/A</w:t>
            </w:r>
          </w:p>
        </w:tc>
      </w:tr>
      <w:tr w:rsidR="0067751D" w:rsidRPr="00D80C6C" w14:paraId="1F90D51E" w14:textId="77777777" w:rsidTr="29D08CD4">
        <w:tc>
          <w:tcPr>
            <w:tcW w:w="1427" w:type="dxa"/>
            <w:tcBorders>
              <w:top w:val="single" w:sz="4" w:space="0" w:color="auto"/>
              <w:left w:val="single" w:sz="4" w:space="0" w:color="auto"/>
              <w:bottom w:val="single" w:sz="4" w:space="0" w:color="auto"/>
              <w:right w:val="single" w:sz="4" w:space="0" w:color="auto"/>
            </w:tcBorders>
          </w:tcPr>
          <w:p w14:paraId="69F14F04" w14:textId="3C0BAECD" w:rsidR="0067751D" w:rsidRPr="00D80C6C" w:rsidRDefault="0006636F" w:rsidP="32B552BF">
            <w:pPr>
              <w:jc w:val="both"/>
              <w:rPr>
                <w:rFonts w:cs="Arial"/>
                <w:sz w:val="22"/>
                <w:szCs w:val="22"/>
              </w:rPr>
            </w:pPr>
            <w:r w:rsidRPr="29D08CD4">
              <w:rPr>
                <w:rFonts w:cs="Arial"/>
                <w:sz w:val="22"/>
                <w:szCs w:val="22"/>
              </w:rPr>
              <w:t>3.2 Number of climate policies informed by UK TA for "Country Packages for Forests, Nature and Climate" (ICF TA KPI 3) (non-cumulative)</w:t>
            </w:r>
          </w:p>
        </w:tc>
        <w:tc>
          <w:tcPr>
            <w:tcW w:w="2254" w:type="dxa"/>
            <w:tcBorders>
              <w:top w:val="single" w:sz="4" w:space="0" w:color="auto"/>
              <w:left w:val="single" w:sz="4" w:space="0" w:color="auto"/>
              <w:bottom w:val="single" w:sz="4" w:space="0" w:color="auto"/>
              <w:right w:val="single" w:sz="4" w:space="0" w:color="auto"/>
            </w:tcBorders>
          </w:tcPr>
          <w:p w14:paraId="69713EB7" w14:textId="7B5250E0" w:rsidR="0067751D" w:rsidRPr="00D80C6C" w:rsidRDefault="0067751D" w:rsidP="32B552BF">
            <w:pPr>
              <w:jc w:val="both"/>
              <w:rPr>
                <w:rFonts w:cs="Arial"/>
                <w:sz w:val="22"/>
                <w:szCs w:val="22"/>
              </w:rPr>
            </w:pPr>
            <w:r w:rsidRPr="29D08CD4">
              <w:rPr>
                <w:rFonts w:cs="Arial"/>
                <w:sz w:val="22"/>
                <w:szCs w:val="22"/>
              </w:rPr>
              <w:t>N/A</w:t>
            </w:r>
          </w:p>
        </w:tc>
        <w:tc>
          <w:tcPr>
            <w:tcW w:w="5386" w:type="dxa"/>
            <w:tcBorders>
              <w:top w:val="single" w:sz="4" w:space="0" w:color="auto"/>
              <w:left w:val="single" w:sz="4" w:space="0" w:color="auto"/>
              <w:bottom w:val="single" w:sz="4" w:space="0" w:color="auto"/>
              <w:right w:val="single" w:sz="4" w:space="0" w:color="auto"/>
            </w:tcBorders>
          </w:tcPr>
          <w:p w14:paraId="387FF2C2" w14:textId="0DF4D61D" w:rsidR="0067751D" w:rsidRPr="00D80C6C" w:rsidRDefault="0067751D" w:rsidP="32B552BF">
            <w:pPr>
              <w:contextualSpacing/>
              <w:jc w:val="both"/>
              <w:rPr>
                <w:rFonts w:cs="Arial"/>
                <w:sz w:val="22"/>
                <w:szCs w:val="22"/>
              </w:rPr>
            </w:pPr>
            <w:r w:rsidRPr="29D08CD4">
              <w:rPr>
                <w:rFonts w:cs="Arial"/>
                <w:sz w:val="22"/>
                <w:szCs w:val="22"/>
              </w:rPr>
              <w:t>N/A</w:t>
            </w:r>
          </w:p>
        </w:tc>
      </w:tr>
      <w:tr w:rsidR="0067751D" w:rsidRPr="00D80C6C" w14:paraId="4413767D" w14:textId="77777777" w:rsidTr="29D08CD4">
        <w:tc>
          <w:tcPr>
            <w:tcW w:w="1427" w:type="dxa"/>
            <w:tcBorders>
              <w:top w:val="single" w:sz="4" w:space="0" w:color="auto"/>
              <w:left w:val="single" w:sz="4" w:space="0" w:color="auto"/>
              <w:bottom w:val="single" w:sz="4" w:space="0" w:color="auto"/>
              <w:right w:val="single" w:sz="4" w:space="0" w:color="auto"/>
            </w:tcBorders>
          </w:tcPr>
          <w:p w14:paraId="494A2335" w14:textId="16AD1819" w:rsidR="0067751D" w:rsidRPr="00D80C6C" w:rsidRDefault="0006636F" w:rsidP="32B552BF">
            <w:pPr>
              <w:jc w:val="both"/>
              <w:rPr>
                <w:rFonts w:cs="Arial"/>
                <w:sz w:val="22"/>
                <w:szCs w:val="22"/>
              </w:rPr>
            </w:pPr>
            <w:r w:rsidRPr="29D08CD4">
              <w:rPr>
                <w:rFonts w:cs="Arial"/>
                <w:sz w:val="22"/>
                <w:szCs w:val="22"/>
              </w:rPr>
              <w:t>3.3 Public and private finance (ICF KPI 11 and 12) mobilised through the Country Packages for Forests, Nature and Climate (cumulative)</w:t>
            </w:r>
          </w:p>
        </w:tc>
        <w:tc>
          <w:tcPr>
            <w:tcW w:w="2254" w:type="dxa"/>
            <w:tcBorders>
              <w:top w:val="single" w:sz="4" w:space="0" w:color="auto"/>
              <w:left w:val="single" w:sz="4" w:space="0" w:color="auto"/>
              <w:bottom w:val="single" w:sz="4" w:space="0" w:color="auto"/>
              <w:right w:val="single" w:sz="4" w:space="0" w:color="auto"/>
            </w:tcBorders>
          </w:tcPr>
          <w:p w14:paraId="3C358B29" w14:textId="16C3B1C4" w:rsidR="0067751D" w:rsidRDefault="0067751D" w:rsidP="32B552BF">
            <w:pPr>
              <w:jc w:val="both"/>
              <w:rPr>
                <w:rFonts w:cs="Arial"/>
                <w:sz w:val="22"/>
                <w:szCs w:val="22"/>
              </w:rPr>
            </w:pPr>
            <w:r w:rsidRPr="29D08CD4">
              <w:rPr>
                <w:rFonts w:cs="Arial"/>
                <w:sz w:val="22"/>
                <w:szCs w:val="22"/>
              </w:rPr>
              <w:t>N/A</w:t>
            </w:r>
          </w:p>
        </w:tc>
        <w:tc>
          <w:tcPr>
            <w:tcW w:w="5386" w:type="dxa"/>
            <w:tcBorders>
              <w:top w:val="single" w:sz="4" w:space="0" w:color="auto"/>
              <w:left w:val="single" w:sz="4" w:space="0" w:color="auto"/>
              <w:bottom w:val="single" w:sz="4" w:space="0" w:color="auto"/>
              <w:right w:val="single" w:sz="4" w:space="0" w:color="auto"/>
            </w:tcBorders>
          </w:tcPr>
          <w:p w14:paraId="6D2874BD" w14:textId="6D5993FA" w:rsidR="0067751D" w:rsidRDefault="0067751D" w:rsidP="32B552BF">
            <w:pPr>
              <w:contextualSpacing/>
              <w:jc w:val="both"/>
              <w:rPr>
                <w:rFonts w:cs="Arial"/>
                <w:sz w:val="22"/>
                <w:szCs w:val="22"/>
              </w:rPr>
            </w:pPr>
            <w:r w:rsidRPr="29D08CD4">
              <w:rPr>
                <w:rFonts w:cs="Arial"/>
                <w:sz w:val="22"/>
                <w:szCs w:val="22"/>
              </w:rPr>
              <w:t>N/A</w:t>
            </w:r>
          </w:p>
        </w:tc>
      </w:tr>
    </w:tbl>
    <w:p w14:paraId="634647CB" w14:textId="77777777" w:rsidR="0006636F" w:rsidRPr="0006636F" w:rsidRDefault="0006636F" w:rsidP="29D08CD4">
      <w:pPr>
        <w:jc w:val="both"/>
        <w:rPr>
          <w:b/>
          <w:bCs/>
          <w:i/>
          <w:iCs/>
          <w:sz w:val="28"/>
          <w:szCs w:val="28"/>
        </w:rPr>
      </w:pPr>
    </w:p>
    <w:p w14:paraId="77EF2E3C" w14:textId="236976EF" w:rsidR="002B698B" w:rsidRPr="00D80C6C" w:rsidRDefault="002B698B" w:rsidP="29D08CD4">
      <w:pPr>
        <w:jc w:val="both"/>
        <w:rPr>
          <w:rFonts w:cs="Arial"/>
          <w:b/>
          <w:bCs/>
          <w:i/>
          <w:iCs/>
          <w:sz w:val="22"/>
          <w:szCs w:val="22"/>
        </w:rPr>
      </w:pPr>
      <w:r w:rsidRPr="29D08CD4">
        <w:rPr>
          <w:b/>
          <w:bCs/>
          <w:i/>
          <w:iCs/>
          <w:sz w:val="28"/>
          <w:szCs w:val="28"/>
        </w:rPr>
        <w:t>Output summary and supporting narrative for the score</w:t>
      </w:r>
    </w:p>
    <w:p w14:paraId="2DCDBAAB" w14:textId="77777777" w:rsidR="002B698B" w:rsidRPr="00D80C6C" w:rsidRDefault="002B698B" w:rsidP="32B552BF">
      <w:pPr>
        <w:jc w:val="both"/>
        <w:rPr>
          <w:rFonts w:cs="Arial"/>
          <w:sz w:val="22"/>
          <w:szCs w:val="22"/>
        </w:rPr>
      </w:pPr>
    </w:p>
    <w:p w14:paraId="487F0A29" w14:textId="1022B792" w:rsidR="002B698B" w:rsidRPr="00D80C6C" w:rsidRDefault="002B698B" w:rsidP="002B698B">
      <w:pPr>
        <w:jc w:val="both"/>
        <w:rPr>
          <w:rFonts w:cs="Arial"/>
          <w:sz w:val="22"/>
          <w:szCs w:val="22"/>
        </w:rPr>
      </w:pPr>
      <w:r w:rsidRPr="29D08CD4">
        <w:rPr>
          <w:rFonts w:cs="Arial"/>
          <w:sz w:val="22"/>
          <w:szCs w:val="22"/>
        </w:rPr>
        <w:t>N/A</w:t>
      </w:r>
    </w:p>
    <w:p w14:paraId="4CB5B124" w14:textId="7AFB7608" w:rsidR="002B698B" w:rsidRPr="00D80C6C" w:rsidRDefault="002B698B" w:rsidP="32B552BF">
      <w:pPr>
        <w:jc w:val="both"/>
        <w:rPr>
          <w:rFonts w:cs="Arial"/>
          <w:sz w:val="22"/>
          <w:szCs w:val="22"/>
        </w:rPr>
      </w:pPr>
      <w:r w:rsidRPr="29D08CD4">
        <w:rPr>
          <w:rFonts w:cs="Arial"/>
          <w:sz w:val="22"/>
          <w:szCs w:val="22"/>
        </w:rPr>
        <w:t xml:space="preserve">  </w:t>
      </w:r>
    </w:p>
    <w:p w14:paraId="7159A1A5" w14:textId="66DBECB0" w:rsidR="002B698B" w:rsidRPr="00D80C6C" w:rsidRDefault="002B698B" w:rsidP="29D08CD4">
      <w:pPr>
        <w:jc w:val="both"/>
        <w:rPr>
          <w:rFonts w:cs="Arial"/>
          <w:i/>
          <w:iCs/>
          <w:sz w:val="22"/>
          <w:szCs w:val="22"/>
        </w:rPr>
      </w:pPr>
      <w:r w:rsidRPr="29D08CD4">
        <w:rPr>
          <w:b/>
          <w:bCs/>
          <w:i/>
          <w:iCs/>
          <w:sz w:val="28"/>
          <w:szCs w:val="28"/>
        </w:rPr>
        <w:t>Changes to this output, and any planned changes as a result of this review</w:t>
      </w:r>
      <w:r w:rsidRPr="29D08CD4">
        <w:rPr>
          <w:rFonts w:cs="Arial"/>
          <w:b/>
          <w:bCs/>
          <w:i/>
          <w:iCs/>
          <w:sz w:val="22"/>
          <w:szCs w:val="22"/>
        </w:rPr>
        <w:t xml:space="preserve"> </w:t>
      </w:r>
    </w:p>
    <w:p w14:paraId="169B228B" w14:textId="77777777" w:rsidR="002B698B" w:rsidRPr="00D80C6C" w:rsidRDefault="002B698B" w:rsidP="002B698B">
      <w:pPr>
        <w:jc w:val="both"/>
        <w:rPr>
          <w:rFonts w:cs="Arial"/>
          <w:sz w:val="22"/>
          <w:szCs w:val="22"/>
        </w:rPr>
      </w:pPr>
    </w:p>
    <w:p w14:paraId="5888DBAD" w14:textId="1C9158FA" w:rsidR="002B698B" w:rsidRPr="00D80C6C" w:rsidRDefault="002B698B" w:rsidP="002B698B">
      <w:pPr>
        <w:jc w:val="both"/>
        <w:rPr>
          <w:rFonts w:cs="Arial"/>
          <w:sz w:val="22"/>
          <w:szCs w:val="22"/>
        </w:rPr>
      </w:pPr>
      <w:r w:rsidRPr="29D08CD4">
        <w:rPr>
          <w:rFonts w:cs="Arial"/>
          <w:sz w:val="22"/>
          <w:szCs w:val="22"/>
        </w:rPr>
        <w:t>N/A</w:t>
      </w:r>
    </w:p>
    <w:p w14:paraId="156069FF" w14:textId="77777777" w:rsidR="002B698B" w:rsidRPr="00D80C6C" w:rsidRDefault="002B698B" w:rsidP="002B698B">
      <w:pPr>
        <w:jc w:val="both"/>
        <w:rPr>
          <w:rFonts w:cs="Arial"/>
          <w:sz w:val="22"/>
          <w:szCs w:val="22"/>
        </w:rPr>
      </w:pPr>
    </w:p>
    <w:p w14:paraId="2ECF0F90" w14:textId="6D7AC021" w:rsidR="002B698B" w:rsidRPr="00D80C6C" w:rsidRDefault="002B698B" w:rsidP="32B552BF">
      <w:pPr>
        <w:jc w:val="both"/>
        <w:rPr>
          <w:rFonts w:cs="Arial"/>
          <w:sz w:val="22"/>
          <w:szCs w:val="22"/>
        </w:rPr>
      </w:pPr>
      <w:r w:rsidRPr="29D08CD4">
        <w:rPr>
          <w:b/>
          <w:bCs/>
          <w:i/>
          <w:iCs/>
          <w:sz w:val="28"/>
          <w:szCs w:val="28"/>
        </w:rPr>
        <w:t>Progress on recommendations from the previous AR, lessons learned this year, and recommendations for the year ahead</w:t>
      </w:r>
      <w:r w:rsidRPr="29D08CD4">
        <w:rPr>
          <w:rFonts w:cs="Arial"/>
          <w:b/>
          <w:bCs/>
        </w:rPr>
        <w:t xml:space="preserve"> </w:t>
      </w:r>
    </w:p>
    <w:p w14:paraId="5894DC6E" w14:textId="77777777" w:rsidR="002B698B" w:rsidRPr="00D80C6C" w:rsidRDefault="002B698B" w:rsidP="32B552BF">
      <w:pPr>
        <w:tabs>
          <w:tab w:val="left" w:pos="8352"/>
        </w:tabs>
        <w:jc w:val="both"/>
        <w:rPr>
          <w:rFonts w:cs="Arial"/>
          <w:sz w:val="22"/>
          <w:szCs w:val="22"/>
        </w:rPr>
      </w:pPr>
    </w:p>
    <w:p w14:paraId="61D94EFC" w14:textId="5652C42A" w:rsidR="002B698B" w:rsidRPr="00D80C6C" w:rsidRDefault="002B698B" w:rsidP="002B698B">
      <w:pPr>
        <w:jc w:val="both"/>
        <w:rPr>
          <w:rFonts w:cs="Arial"/>
          <w:sz w:val="22"/>
          <w:szCs w:val="22"/>
        </w:rPr>
      </w:pPr>
      <w:r w:rsidRPr="29D08CD4">
        <w:rPr>
          <w:rFonts w:cs="Arial"/>
          <w:sz w:val="22"/>
          <w:szCs w:val="22"/>
        </w:rPr>
        <w:t>N/A</w:t>
      </w:r>
    </w:p>
    <w:p w14:paraId="0548DD77" w14:textId="7B9EAB8B" w:rsidR="002B698B" w:rsidRDefault="002B698B" w:rsidP="002B698B">
      <w:pPr>
        <w:pStyle w:val="Heading2"/>
        <w:jc w:val="both"/>
      </w:pPr>
      <w:bookmarkStart w:id="15" w:name="_Toc192633492"/>
      <w:r>
        <w:lastRenderedPageBreak/>
        <w:t xml:space="preserve">Output 4: </w:t>
      </w:r>
      <w:r w:rsidR="00232D74">
        <w:t>FCLP members demonstrate impact and accountability</w:t>
      </w:r>
      <w:bookmarkEnd w:id="15"/>
    </w:p>
    <w:p w14:paraId="5764DCB8" w14:textId="77777777" w:rsidR="002B698B" w:rsidRPr="00ED5FD4" w:rsidRDefault="002B698B" w:rsidP="002B698B"/>
    <w:tbl>
      <w:tblPr>
        <w:tblStyle w:val="TableGrid"/>
        <w:tblW w:w="9072" w:type="dxa"/>
        <w:tblInd w:w="-5" w:type="dxa"/>
        <w:tblLook w:val="04A0" w:firstRow="1" w:lastRow="0" w:firstColumn="1" w:lastColumn="0" w:noHBand="0" w:noVBand="1"/>
      </w:tblPr>
      <w:tblGrid>
        <w:gridCol w:w="1566"/>
        <w:gridCol w:w="616"/>
        <w:gridCol w:w="937"/>
        <w:gridCol w:w="2977"/>
        <w:gridCol w:w="2976"/>
      </w:tblGrid>
      <w:tr w:rsidR="002172E3" w:rsidRPr="00D80C6C" w14:paraId="07FBC9F2" w14:textId="77777777" w:rsidTr="29D08CD4">
        <w:trPr>
          <w:trHeight w:val="489"/>
        </w:trPr>
        <w:tc>
          <w:tcPr>
            <w:tcW w:w="1566"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3746B6A" w14:textId="32C98B84" w:rsidR="002B698B" w:rsidRPr="00D80C6C" w:rsidRDefault="002B698B">
            <w:pPr>
              <w:jc w:val="both"/>
              <w:rPr>
                <w:rFonts w:cs="Arial"/>
                <w:b/>
                <w:bCs/>
                <w:sz w:val="22"/>
                <w:szCs w:val="22"/>
              </w:rPr>
            </w:pPr>
            <w:r w:rsidRPr="29D08CD4">
              <w:rPr>
                <w:rFonts w:cs="Arial"/>
                <w:b/>
                <w:bCs/>
                <w:sz w:val="22"/>
                <w:szCs w:val="22"/>
              </w:rPr>
              <w:t xml:space="preserve">Output Title </w:t>
            </w:r>
          </w:p>
        </w:tc>
        <w:tc>
          <w:tcPr>
            <w:tcW w:w="750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449A2EA" w14:textId="2AE796BE" w:rsidR="002B698B" w:rsidRPr="00AD63FB" w:rsidRDefault="00232D74" w:rsidP="32B552BF">
            <w:pPr>
              <w:jc w:val="both"/>
              <w:rPr>
                <w:rFonts w:cs="Arial"/>
                <w:color w:val="000000" w:themeColor="text1"/>
                <w:sz w:val="22"/>
                <w:szCs w:val="22"/>
              </w:rPr>
            </w:pPr>
            <w:r w:rsidRPr="29D08CD4">
              <w:rPr>
                <w:rFonts w:cs="Arial"/>
                <w:color w:val="000000" w:themeColor="text1"/>
                <w:sz w:val="22"/>
                <w:szCs w:val="22"/>
              </w:rPr>
              <w:t>FCLP members demonstrate impact and accountability</w:t>
            </w:r>
          </w:p>
        </w:tc>
      </w:tr>
      <w:tr w:rsidR="007F4605" w:rsidRPr="00D80C6C" w14:paraId="45A8539D" w14:textId="77777777" w:rsidTr="29D08CD4">
        <w:trPr>
          <w:trHeight w:val="347"/>
        </w:trPr>
        <w:tc>
          <w:tcPr>
            <w:tcW w:w="218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17F01B5" w14:textId="5F8D2658" w:rsidR="002B698B" w:rsidRPr="00D80C6C" w:rsidRDefault="002B698B" w:rsidP="32B552BF">
            <w:pPr>
              <w:jc w:val="both"/>
              <w:rPr>
                <w:rFonts w:cs="Arial"/>
                <w:sz w:val="22"/>
                <w:szCs w:val="22"/>
              </w:rPr>
            </w:pPr>
            <w:r w:rsidRPr="29D08CD4">
              <w:rPr>
                <w:rFonts w:cs="Arial"/>
                <w:sz w:val="22"/>
                <w:szCs w:val="22"/>
              </w:rPr>
              <w:t xml:space="preserve">Output number: </w:t>
            </w:r>
          </w:p>
        </w:tc>
        <w:tc>
          <w:tcPr>
            <w:tcW w:w="937" w:type="dxa"/>
            <w:tcBorders>
              <w:top w:val="single" w:sz="4" w:space="0" w:color="auto"/>
              <w:left w:val="single" w:sz="4" w:space="0" w:color="auto"/>
              <w:bottom w:val="single" w:sz="4" w:space="0" w:color="auto"/>
              <w:right w:val="single" w:sz="4" w:space="0" w:color="auto"/>
            </w:tcBorders>
          </w:tcPr>
          <w:p w14:paraId="607170D1" w14:textId="1326D20E" w:rsidR="002B698B" w:rsidRPr="00D80C6C" w:rsidRDefault="0063184B">
            <w:pPr>
              <w:jc w:val="both"/>
              <w:rPr>
                <w:rFonts w:cs="Arial"/>
                <w:sz w:val="22"/>
                <w:szCs w:val="22"/>
              </w:rPr>
            </w:pPr>
            <w:r w:rsidRPr="29D08CD4">
              <w:rPr>
                <w:rFonts w:cs="Arial"/>
                <w:sz w:val="22"/>
                <w:szCs w:val="22"/>
              </w:rPr>
              <w:t>4</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B01E9A0" w14:textId="7A28DABF" w:rsidR="002B698B" w:rsidRPr="00D80C6C" w:rsidRDefault="002B698B">
            <w:pPr>
              <w:jc w:val="both"/>
              <w:rPr>
                <w:rFonts w:cs="Arial"/>
                <w:sz w:val="22"/>
                <w:szCs w:val="22"/>
              </w:rPr>
            </w:pPr>
            <w:r w:rsidRPr="29D08CD4">
              <w:rPr>
                <w:rFonts w:cs="Arial"/>
                <w:sz w:val="22"/>
                <w:szCs w:val="22"/>
              </w:rPr>
              <w:t xml:space="preserve">Output Score: </w:t>
            </w:r>
          </w:p>
        </w:tc>
        <w:tc>
          <w:tcPr>
            <w:tcW w:w="2976" w:type="dxa"/>
            <w:tcBorders>
              <w:top w:val="single" w:sz="4" w:space="0" w:color="auto"/>
              <w:left w:val="single" w:sz="4" w:space="0" w:color="auto"/>
              <w:bottom w:val="single" w:sz="4" w:space="0" w:color="auto"/>
              <w:right w:val="single" w:sz="4" w:space="0" w:color="auto"/>
            </w:tcBorders>
          </w:tcPr>
          <w:p w14:paraId="136C87F4" w14:textId="04C2B9FA" w:rsidR="002B698B" w:rsidRPr="00AD63FB" w:rsidRDefault="00EF15C7" w:rsidP="32B552BF">
            <w:pPr>
              <w:jc w:val="both"/>
              <w:rPr>
                <w:rFonts w:cs="Arial"/>
                <w:sz w:val="22"/>
                <w:szCs w:val="22"/>
              </w:rPr>
            </w:pPr>
            <w:r w:rsidRPr="29D08CD4">
              <w:rPr>
                <w:rFonts w:cs="Arial"/>
                <w:sz w:val="22"/>
                <w:szCs w:val="22"/>
              </w:rPr>
              <w:t>N/A</w:t>
            </w:r>
          </w:p>
        </w:tc>
      </w:tr>
      <w:tr w:rsidR="007F4605" w:rsidRPr="00D80C6C" w14:paraId="50A2EA2A" w14:textId="77777777" w:rsidTr="29D08CD4">
        <w:trPr>
          <w:trHeight w:val="345"/>
        </w:trPr>
        <w:tc>
          <w:tcPr>
            <w:tcW w:w="218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59C7BCF" w14:textId="01111ACB" w:rsidR="00292F00" w:rsidRPr="00D80C6C" w:rsidRDefault="00292F00" w:rsidP="00292F00">
            <w:pPr>
              <w:jc w:val="both"/>
              <w:rPr>
                <w:rFonts w:cs="Arial"/>
                <w:sz w:val="22"/>
                <w:szCs w:val="22"/>
              </w:rPr>
            </w:pPr>
            <w:r w:rsidRPr="29D08CD4">
              <w:rPr>
                <w:rFonts w:cs="Arial"/>
                <w:sz w:val="22"/>
                <w:szCs w:val="22"/>
              </w:rPr>
              <w:t xml:space="preserve">Impact weighting (%):  </w:t>
            </w:r>
          </w:p>
        </w:tc>
        <w:tc>
          <w:tcPr>
            <w:tcW w:w="937" w:type="dxa"/>
            <w:tcBorders>
              <w:top w:val="single" w:sz="4" w:space="0" w:color="auto"/>
              <w:left w:val="single" w:sz="4" w:space="0" w:color="auto"/>
              <w:bottom w:val="single" w:sz="4" w:space="0" w:color="auto"/>
              <w:right w:val="single" w:sz="4" w:space="0" w:color="auto"/>
            </w:tcBorders>
            <w:hideMark/>
          </w:tcPr>
          <w:p w14:paraId="3F46A2DE" w14:textId="5945E64A" w:rsidR="00292F00" w:rsidRPr="00D80C6C" w:rsidRDefault="00EF15C7" w:rsidP="32B552BF">
            <w:pPr>
              <w:jc w:val="both"/>
              <w:rPr>
                <w:rFonts w:cs="Arial"/>
                <w:sz w:val="22"/>
                <w:szCs w:val="22"/>
              </w:rPr>
            </w:pPr>
            <w:r w:rsidRPr="29D08CD4">
              <w:rPr>
                <w:rFonts w:cs="Arial"/>
                <w:sz w:val="22"/>
                <w:szCs w:val="22"/>
              </w:rPr>
              <w:t>10%</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3E3035B" w14:textId="40C7494E" w:rsidR="00292F00" w:rsidRPr="00D80C6C" w:rsidRDefault="00292F00" w:rsidP="32B552BF">
            <w:pPr>
              <w:jc w:val="both"/>
              <w:rPr>
                <w:rFonts w:cs="Arial"/>
                <w:sz w:val="22"/>
                <w:szCs w:val="22"/>
              </w:rPr>
            </w:pPr>
            <w:r w:rsidRPr="29D08CD4">
              <w:rPr>
                <w:rFonts w:cs="Arial"/>
                <w:sz w:val="22"/>
                <w:szCs w:val="22"/>
              </w:rPr>
              <w:t xml:space="preserve">Weighting revised since last AR? </w:t>
            </w:r>
          </w:p>
        </w:tc>
        <w:tc>
          <w:tcPr>
            <w:tcW w:w="2976" w:type="dxa"/>
            <w:tcBorders>
              <w:top w:val="single" w:sz="4" w:space="0" w:color="auto"/>
              <w:left w:val="single" w:sz="4" w:space="0" w:color="auto"/>
              <w:bottom w:val="single" w:sz="4" w:space="0" w:color="auto"/>
              <w:right w:val="single" w:sz="4" w:space="0" w:color="auto"/>
            </w:tcBorders>
          </w:tcPr>
          <w:p w14:paraId="07047255" w14:textId="31CDDE4D" w:rsidR="00292F00" w:rsidRPr="00D80C6C" w:rsidRDefault="00292F00" w:rsidP="32B552BF">
            <w:pPr>
              <w:jc w:val="both"/>
              <w:rPr>
                <w:rFonts w:cs="Arial"/>
                <w:sz w:val="22"/>
                <w:szCs w:val="22"/>
              </w:rPr>
            </w:pPr>
            <w:r w:rsidRPr="29D08CD4">
              <w:rPr>
                <w:rFonts w:cs="Arial"/>
                <w:sz w:val="22"/>
                <w:szCs w:val="22"/>
              </w:rPr>
              <w:t xml:space="preserve">N/A </w:t>
            </w:r>
          </w:p>
        </w:tc>
      </w:tr>
      <w:tr w:rsidR="007F4605" w:rsidRPr="00D80C6C" w14:paraId="4DA0F461" w14:textId="77777777" w:rsidTr="29D08CD4">
        <w:trPr>
          <w:trHeight w:val="345"/>
        </w:trPr>
        <w:tc>
          <w:tcPr>
            <w:tcW w:w="218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4FE2B72" w14:textId="3DA41E51" w:rsidR="00292F00" w:rsidRPr="00D80C6C" w:rsidRDefault="00292F00" w:rsidP="32B552BF">
            <w:pPr>
              <w:jc w:val="both"/>
              <w:rPr>
                <w:rFonts w:cs="Arial"/>
                <w:sz w:val="22"/>
                <w:szCs w:val="22"/>
              </w:rPr>
            </w:pPr>
            <w:r w:rsidRPr="29D08CD4">
              <w:rPr>
                <w:rFonts w:cs="Arial"/>
                <w:sz w:val="22"/>
                <w:szCs w:val="22"/>
              </w:rPr>
              <w:t>Risk rating:</w:t>
            </w:r>
          </w:p>
        </w:tc>
        <w:tc>
          <w:tcPr>
            <w:tcW w:w="937" w:type="dxa"/>
            <w:tcBorders>
              <w:top w:val="single" w:sz="4" w:space="0" w:color="auto"/>
              <w:left w:val="single" w:sz="4" w:space="0" w:color="auto"/>
              <w:bottom w:val="single" w:sz="4" w:space="0" w:color="auto"/>
              <w:right w:val="single" w:sz="4" w:space="0" w:color="auto"/>
            </w:tcBorders>
          </w:tcPr>
          <w:p w14:paraId="75D57440" w14:textId="00C545EE" w:rsidR="00292F00" w:rsidRPr="00D80C6C" w:rsidRDefault="00EF15C7" w:rsidP="32B552BF">
            <w:pPr>
              <w:jc w:val="both"/>
              <w:rPr>
                <w:rFonts w:cs="Arial"/>
                <w:sz w:val="22"/>
                <w:szCs w:val="22"/>
              </w:rPr>
            </w:pPr>
            <w:r w:rsidRPr="29D08CD4">
              <w:rPr>
                <w:rFonts w:cs="Arial"/>
                <w:sz w:val="22"/>
                <w:szCs w:val="22"/>
              </w:rPr>
              <w:t>N/A</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8D9B22A" w14:textId="7222BA8C" w:rsidR="00292F00" w:rsidRPr="00D80C6C" w:rsidRDefault="00292F00" w:rsidP="32B552BF">
            <w:pPr>
              <w:jc w:val="both"/>
              <w:rPr>
                <w:rFonts w:cs="Arial"/>
                <w:sz w:val="22"/>
                <w:szCs w:val="22"/>
              </w:rPr>
            </w:pPr>
            <w:r w:rsidRPr="29D08CD4">
              <w:rPr>
                <w:rFonts w:cs="Arial"/>
                <w:sz w:val="22"/>
                <w:szCs w:val="22"/>
              </w:rPr>
              <w:t>Risk revised since last AR?</w:t>
            </w:r>
          </w:p>
        </w:tc>
        <w:tc>
          <w:tcPr>
            <w:tcW w:w="2976" w:type="dxa"/>
            <w:tcBorders>
              <w:top w:val="single" w:sz="4" w:space="0" w:color="auto"/>
              <w:left w:val="single" w:sz="4" w:space="0" w:color="auto"/>
              <w:bottom w:val="single" w:sz="4" w:space="0" w:color="auto"/>
              <w:right w:val="single" w:sz="4" w:space="0" w:color="auto"/>
            </w:tcBorders>
          </w:tcPr>
          <w:p w14:paraId="7294B2EC" w14:textId="20914F4A" w:rsidR="00292F00" w:rsidRPr="00D80C6C" w:rsidRDefault="00292F00" w:rsidP="32B552BF">
            <w:pPr>
              <w:jc w:val="both"/>
              <w:rPr>
                <w:rFonts w:cs="Arial"/>
                <w:sz w:val="22"/>
                <w:szCs w:val="22"/>
              </w:rPr>
            </w:pPr>
            <w:r w:rsidRPr="29D08CD4">
              <w:rPr>
                <w:rFonts w:cs="Arial"/>
                <w:sz w:val="22"/>
                <w:szCs w:val="22"/>
              </w:rPr>
              <w:t xml:space="preserve">N/A </w:t>
            </w:r>
          </w:p>
        </w:tc>
      </w:tr>
    </w:tbl>
    <w:p w14:paraId="32CC15C4" w14:textId="77777777" w:rsidR="002B698B" w:rsidRPr="00D80C6C" w:rsidRDefault="002B698B" w:rsidP="32B552BF">
      <w:pPr>
        <w:jc w:val="both"/>
        <w:rPr>
          <w:rFonts w:cs="Arial"/>
          <w:b/>
          <w:bCs/>
          <w:sz w:val="22"/>
          <w:szCs w:val="22"/>
        </w:rPr>
      </w:pPr>
    </w:p>
    <w:tbl>
      <w:tblPr>
        <w:tblStyle w:val="TableGrid"/>
        <w:tblpPr w:leftFromText="180" w:rightFromText="180" w:vertAnchor="text" w:horzAnchor="page" w:tblpX="1462" w:tblpY="-10"/>
        <w:tblOverlap w:val="never"/>
        <w:tblW w:w="9067" w:type="dxa"/>
        <w:tblLook w:val="04A0" w:firstRow="1" w:lastRow="0" w:firstColumn="1" w:lastColumn="0" w:noHBand="0" w:noVBand="1"/>
      </w:tblPr>
      <w:tblGrid>
        <w:gridCol w:w="1843"/>
        <w:gridCol w:w="2191"/>
        <w:gridCol w:w="5033"/>
      </w:tblGrid>
      <w:tr w:rsidR="002B698B" w:rsidRPr="00D80C6C" w14:paraId="0F64065A" w14:textId="77777777" w:rsidTr="29D08CD4">
        <w:trPr>
          <w:trHeight w:val="273"/>
        </w:trPr>
        <w:tc>
          <w:tcPr>
            <w:tcW w:w="142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A6BC297" w14:textId="1484C4BA" w:rsidR="002B698B" w:rsidRPr="00D80C6C" w:rsidRDefault="002B698B">
            <w:pPr>
              <w:jc w:val="both"/>
              <w:rPr>
                <w:rFonts w:cs="Arial"/>
                <w:b/>
                <w:bCs/>
                <w:sz w:val="22"/>
                <w:szCs w:val="22"/>
              </w:rPr>
            </w:pPr>
            <w:r w:rsidRPr="29D08CD4">
              <w:rPr>
                <w:rFonts w:cs="Arial"/>
                <w:b/>
                <w:bCs/>
                <w:sz w:val="22"/>
                <w:szCs w:val="22"/>
              </w:rPr>
              <w:t>Indicator(s)</w:t>
            </w:r>
          </w:p>
        </w:tc>
        <w:tc>
          <w:tcPr>
            <w:tcW w:w="225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314F225" w14:textId="612670AC" w:rsidR="002B698B" w:rsidRPr="00D80C6C" w:rsidRDefault="002B698B">
            <w:pPr>
              <w:jc w:val="both"/>
              <w:rPr>
                <w:rFonts w:cs="Arial"/>
                <w:b/>
                <w:bCs/>
                <w:sz w:val="22"/>
                <w:szCs w:val="22"/>
              </w:rPr>
            </w:pPr>
            <w:r w:rsidRPr="29D08CD4">
              <w:rPr>
                <w:rFonts w:cs="Arial"/>
                <w:b/>
                <w:bCs/>
                <w:sz w:val="22"/>
                <w:szCs w:val="22"/>
              </w:rPr>
              <w:t>Milestone(s) for this review</w:t>
            </w:r>
          </w:p>
        </w:tc>
        <w:tc>
          <w:tcPr>
            <w:tcW w:w="5386"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59A66BD" w14:textId="6AC542CA" w:rsidR="002B698B" w:rsidRPr="00D80C6C" w:rsidRDefault="002B698B">
            <w:pPr>
              <w:jc w:val="both"/>
              <w:rPr>
                <w:rFonts w:cs="Arial"/>
                <w:b/>
                <w:bCs/>
                <w:sz w:val="22"/>
                <w:szCs w:val="22"/>
              </w:rPr>
            </w:pPr>
            <w:r w:rsidRPr="29D08CD4">
              <w:rPr>
                <w:rFonts w:cs="Arial"/>
                <w:b/>
                <w:bCs/>
                <w:sz w:val="22"/>
                <w:szCs w:val="22"/>
              </w:rPr>
              <w:t xml:space="preserve">Progress </w:t>
            </w:r>
          </w:p>
        </w:tc>
      </w:tr>
      <w:tr w:rsidR="002B698B" w:rsidRPr="00D80C6C" w14:paraId="0F680861" w14:textId="77777777" w:rsidTr="29D08CD4">
        <w:tc>
          <w:tcPr>
            <w:tcW w:w="1427" w:type="dxa"/>
            <w:tcBorders>
              <w:top w:val="single" w:sz="4" w:space="0" w:color="auto"/>
              <w:left w:val="single" w:sz="4" w:space="0" w:color="auto"/>
              <w:bottom w:val="single" w:sz="4" w:space="0" w:color="auto"/>
              <w:right w:val="single" w:sz="4" w:space="0" w:color="auto"/>
            </w:tcBorders>
          </w:tcPr>
          <w:p w14:paraId="2461B728" w14:textId="32D62A23" w:rsidR="00F33810" w:rsidRPr="00F33810" w:rsidRDefault="007B7F06" w:rsidP="32B552BF">
            <w:pPr>
              <w:rPr>
                <w:rFonts w:cs="Arial"/>
                <w:sz w:val="22"/>
                <w:szCs w:val="22"/>
              </w:rPr>
            </w:pPr>
            <w:r w:rsidRPr="29D08CD4">
              <w:rPr>
                <w:rFonts w:cs="Arial"/>
                <w:sz w:val="22"/>
                <w:szCs w:val="22"/>
              </w:rPr>
              <w:t xml:space="preserve">4.1 </w:t>
            </w:r>
            <w:r w:rsidR="00F33810" w:rsidRPr="29D08CD4">
              <w:rPr>
                <w:rFonts w:cs="Arial"/>
                <w:sz w:val="22"/>
                <w:szCs w:val="22"/>
              </w:rPr>
              <w:t>Number of commitments made by FCLP members (revised NDCs, announcements, policy reform) judged to have a positive impact on the 2030 GLD target which are actioned by member governments (cumulative)</w:t>
            </w:r>
          </w:p>
          <w:p w14:paraId="0B546C30" w14:textId="77777777" w:rsidR="002B698B" w:rsidRPr="00D80C6C" w:rsidRDefault="002B698B" w:rsidP="32B552BF">
            <w:pPr>
              <w:jc w:val="both"/>
              <w:rPr>
                <w:rFonts w:cs="Arial"/>
                <w:sz w:val="22"/>
                <w:szCs w:val="22"/>
              </w:rPr>
            </w:pPr>
          </w:p>
        </w:tc>
        <w:tc>
          <w:tcPr>
            <w:tcW w:w="2254" w:type="dxa"/>
            <w:tcBorders>
              <w:top w:val="single" w:sz="4" w:space="0" w:color="auto"/>
              <w:left w:val="single" w:sz="4" w:space="0" w:color="auto"/>
              <w:bottom w:val="single" w:sz="4" w:space="0" w:color="auto"/>
              <w:right w:val="single" w:sz="4" w:space="0" w:color="auto"/>
            </w:tcBorders>
          </w:tcPr>
          <w:p w14:paraId="40C71779" w14:textId="49CF8DE3" w:rsidR="002B698B" w:rsidRPr="00D80C6C" w:rsidRDefault="0067751D" w:rsidP="32B552BF">
            <w:pPr>
              <w:jc w:val="both"/>
              <w:rPr>
                <w:rFonts w:cs="Arial"/>
                <w:sz w:val="22"/>
                <w:szCs w:val="22"/>
              </w:rPr>
            </w:pPr>
            <w:r w:rsidRPr="29D08CD4">
              <w:rPr>
                <w:rFonts w:cs="Arial"/>
                <w:sz w:val="22"/>
                <w:szCs w:val="22"/>
              </w:rPr>
              <w:t>N/A</w:t>
            </w:r>
          </w:p>
        </w:tc>
        <w:tc>
          <w:tcPr>
            <w:tcW w:w="5386" w:type="dxa"/>
            <w:tcBorders>
              <w:top w:val="single" w:sz="4" w:space="0" w:color="auto"/>
              <w:left w:val="single" w:sz="4" w:space="0" w:color="auto"/>
              <w:bottom w:val="single" w:sz="4" w:space="0" w:color="auto"/>
              <w:right w:val="single" w:sz="4" w:space="0" w:color="auto"/>
            </w:tcBorders>
          </w:tcPr>
          <w:p w14:paraId="30DC52FA" w14:textId="5ACF92FD" w:rsidR="002B698B" w:rsidRPr="00D80C6C" w:rsidRDefault="0067751D" w:rsidP="32B552BF">
            <w:pPr>
              <w:contextualSpacing/>
              <w:jc w:val="both"/>
              <w:rPr>
                <w:rFonts w:cs="Arial"/>
                <w:sz w:val="22"/>
                <w:szCs w:val="22"/>
              </w:rPr>
            </w:pPr>
            <w:r w:rsidRPr="29D08CD4">
              <w:rPr>
                <w:rFonts w:cs="Arial"/>
                <w:sz w:val="22"/>
                <w:szCs w:val="22"/>
              </w:rPr>
              <w:t>N/A</w:t>
            </w:r>
          </w:p>
        </w:tc>
      </w:tr>
      <w:tr w:rsidR="002B698B" w:rsidRPr="00D80C6C" w14:paraId="475ECBA3" w14:textId="77777777" w:rsidTr="29D08CD4">
        <w:tc>
          <w:tcPr>
            <w:tcW w:w="1427" w:type="dxa"/>
            <w:tcBorders>
              <w:top w:val="single" w:sz="4" w:space="0" w:color="auto"/>
              <w:left w:val="single" w:sz="4" w:space="0" w:color="auto"/>
              <w:bottom w:val="single" w:sz="4" w:space="0" w:color="auto"/>
              <w:right w:val="single" w:sz="4" w:space="0" w:color="auto"/>
            </w:tcBorders>
          </w:tcPr>
          <w:p w14:paraId="347A4A85" w14:textId="1E42E514" w:rsidR="002B698B" w:rsidRDefault="007B7F06" w:rsidP="32B552BF">
            <w:pPr>
              <w:jc w:val="both"/>
              <w:rPr>
                <w:rFonts w:cs="Arial"/>
                <w:sz w:val="22"/>
                <w:szCs w:val="22"/>
              </w:rPr>
            </w:pPr>
            <w:r w:rsidRPr="29D08CD4">
              <w:rPr>
                <w:rFonts w:cs="Arial"/>
                <w:sz w:val="22"/>
                <w:szCs w:val="22"/>
              </w:rPr>
              <w:t xml:space="preserve">4.2 </w:t>
            </w:r>
            <w:r w:rsidR="0067751D" w:rsidRPr="29D08CD4">
              <w:rPr>
                <w:rFonts w:cs="Arial"/>
                <w:sz w:val="22"/>
                <w:szCs w:val="22"/>
              </w:rPr>
              <w:t>Number of progress reports tracking 2030 goals developed or supported by FCLP (non-cumulative).</w:t>
            </w:r>
          </w:p>
          <w:p w14:paraId="251636A0" w14:textId="77777777" w:rsidR="0067751D" w:rsidRPr="00D80C6C" w:rsidRDefault="0067751D" w:rsidP="32B552BF">
            <w:pPr>
              <w:jc w:val="both"/>
              <w:rPr>
                <w:rFonts w:cs="Arial"/>
                <w:sz w:val="22"/>
                <w:szCs w:val="22"/>
              </w:rPr>
            </w:pPr>
          </w:p>
        </w:tc>
        <w:tc>
          <w:tcPr>
            <w:tcW w:w="2254" w:type="dxa"/>
            <w:tcBorders>
              <w:top w:val="single" w:sz="4" w:space="0" w:color="auto"/>
              <w:left w:val="single" w:sz="4" w:space="0" w:color="auto"/>
              <w:bottom w:val="single" w:sz="4" w:space="0" w:color="auto"/>
              <w:right w:val="single" w:sz="4" w:space="0" w:color="auto"/>
            </w:tcBorders>
          </w:tcPr>
          <w:p w14:paraId="603A533E" w14:textId="252193BB" w:rsidR="002B698B" w:rsidRPr="00D80C6C" w:rsidRDefault="0067751D" w:rsidP="32B552BF">
            <w:pPr>
              <w:jc w:val="both"/>
              <w:rPr>
                <w:rFonts w:cs="Arial"/>
                <w:sz w:val="22"/>
                <w:szCs w:val="22"/>
              </w:rPr>
            </w:pPr>
            <w:r w:rsidRPr="29D08CD4">
              <w:rPr>
                <w:rFonts w:cs="Arial"/>
                <w:sz w:val="22"/>
                <w:szCs w:val="22"/>
              </w:rPr>
              <w:t>N/A</w:t>
            </w:r>
          </w:p>
        </w:tc>
        <w:tc>
          <w:tcPr>
            <w:tcW w:w="5386" w:type="dxa"/>
            <w:tcBorders>
              <w:top w:val="single" w:sz="4" w:space="0" w:color="auto"/>
              <w:left w:val="single" w:sz="4" w:space="0" w:color="auto"/>
              <w:bottom w:val="single" w:sz="4" w:space="0" w:color="auto"/>
              <w:right w:val="single" w:sz="4" w:space="0" w:color="auto"/>
            </w:tcBorders>
          </w:tcPr>
          <w:p w14:paraId="3898576D" w14:textId="7D698D9B" w:rsidR="002B698B" w:rsidRPr="00D80C6C" w:rsidRDefault="0067751D" w:rsidP="32B552BF">
            <w:pPr>
              <w:contextualSpacing/>
              <w:jc w:val="both"/>
              <w:rPr>
                <w:rFonts w:cs="Arial"/>
                <w:sz w:val="22"/>
                <w:szCs w:val="22"/>
              </w:rPr>
            </w:pPr>
            <w:r w:rsidRPr="29D08CD4">
              <w:rPr>
                <w:rFonts w:cs="Arial"/>
                <w:sz w:val="22"/>
                <w:szCs w:val="22"/>
              </w:rPr>
              <w:t>N/A</w:t>
            </w:r>
          </w:p>
        </w:tc>
      </w:tr>
    </w:tbl>
    <w:p w14:paraId="1AB6FA4B" w14:textId="18C0235E" w:rsidR="002B698B" w:rsidRPr="00D80C6C" w:rsidRDefault="002B698B" w:rsidP="29D08CD4">
      <w:pPr>
        <w:jc w:val="both"/>
        <w:rPr>
          <w:rFonts w:cs="Arial"/>
          <w:b/>
          <w:bCs/>
          <w:i/>
          <w:iCs/>
          <w:sz w:val="22"/>
          <w:szCs w:val="22"/>
        </w:rPr>
      </w:pPr>
      <w:r w:rsidRPr="29D08CD4">
        <w:rPr>
          <w:b/>
          <w:bCs/>
          <w:i/>
          <w:iCs/>
          <w:sz w:val="28"/>
          <w:szCs w:val="28"/>
        </w:rPr>
        <w:t>Output summary and supporting narrative for the score</w:t>
      </w:r>
    </w:p>
    <w:p w14:paraId="78ACCD0F" w14:textId="77777777" w:rsidR="002B698B" w:rsidRPr="00D80C6C" w:rsidRDefault="002B698B" w:rsidP="32B552BF">
      <w:pPr>
        <w:jc w:val="both"/>
        <w:rPr>
          <w:rFonts w:cs="Arial"/>
          <w:sz w:val="22"/>
          <w:szCs w:val="22"/>
        </w:rPr>
      </w:pPr>
    </w:p>
    <w:p w14:paraId="1843B309" w14:textId="179AF178" w:rsidR="002B698B" w:rsidRPr="00D80C6C" w:rsidRDefault="002B698B" w:rsidP="002B698B">
      <w:pPr>
        <w:jc w:val="both"/>
        <w:rPr>
          <w:rFonts w:cs="Arial"/>
          <w:sz w:val="22"/>
          <w:szCs w:val="22"/>
        </w:rPr>
      </w:pPr>
      <w:r w:rsidRPr="29D08CD4">
        <w:rPr>
          <w:rFonts w:cs="Arial"/>
          <w:sz w:val="22"/>
          <w:szCs w:val="22"/>
        </w:rPr>
        <w:t>N/A</w:t>
      </w:r>
    </w:p>
    <w:p w14:paraId="78381A09" w14:textId="2D26741F" w:rsidR="002B698B" w:rsidRPr="00D80C6C" w:rsidRDefault="002B698B" w:rsidP="32B552BF">
      <w:pPr>
        <w:jc w:val="both"/>
        <w:rPr>
          <w:rFonts w:cs="Arial"/>
          <w:sz w:val="22"/>
          <w:szCs w:val="22"/>
        </w:rPr>
      </w:pPr>
      <w:r w:rsidRPr="29D08CD4">
        <w:rPr>
          <w:rFonts w:cs="Arial"/>
          <w:sz w:val="22"/>
          <w:szCs w:val="22"/>
        </w:rPr>
        <w:t xml:space="preserve">  </w:t>
      </w:r>
    </w:p>
    <w:p w14:paraId="1B4BCD33" w14:textId="59959814" w:rsidR="002B698B" w:rsidRPr="00D80C6C" w:rsidRDefault="002B698B" w:rsidP="29D08CD4">
      <w:pPr>
        <w:jc w:val="both"/>
        <w:rPr>
          <w:rFonts w:cs="Arial"/>
          <w:i/>
          <w:iCs/>
          <w:sz w:val="22"/>
          <w:szCs w:val="22"/>
        </w:rPr>
      </w:pPr>
      <w:r w:rsidRPr="29D08CD4">
        <w:rPr>
          <w:b/>
          <w:bCs/>
          <w:i/>
          <w:iCs/>
          <w:sz w:val="28"/>
          <w:szCs w:val="28"/>
        </w:rPr>
        <w:t>Changes to this output, and any planned changes as a result of this review</w:t>
      </w:r>
      <w:r w:rsidRPr="29D08CD4">
        <w:rPr>
          <w:rFonts w:cs="Arial"/>
          <w:b/>
          <w:bCs/>
          <w:i/>
          <w:iCs/>
          <w:sz w:val="22"/>
          <w:szCs w:val="22"/>
        </w:rPr>
        <w:t xml:space="preserve"> </w:t>
      </w:r>
    </w:p>
    <w:p w14:paraId="460BCFCE" w14:textId="77777777" w:rsidR="002B698B" w:rsidRPr="00D80C6C" w:rsidRDefault="002B698B" w:rsidP="002B698B">
      <w:pPr>
        <w:jc w:val="both"/>
        <w:rPr>
          <w:rFonts w:cs="Arial"/>
          <w:sz w:val="22"/>
          <w:szCs w:val="22"/>
        </w:rPr>
      </w:pPr>
    </w:p>
    <w:p w14:paraId="4E2FE71B" w14:textId="40B729CA" w:rsidR="002B698B" w:rsidRPr="00D80C6C" w:rsidRDefault="002B698B" w:rsidP="002B698B">
      <w:pPr>
        <w:jc w:val="both"/>
        <w:rPr>
          <w:rFonts w:cs="Arial"/>
          <w:sz w:val="22"/>
          <w:szCs w:val="22"/>
        </w:rPr>
      </w:pPr>
      <w:r w:rsidRPr="29D08CD4">
        <w:rPr>
          <w:rFonts w:cs="Arial"/>
          <w:sz w:val="22"/>
          <w:szCs w:val="22"/>
        </w:rPr>
        <w:t>N/A</w:t>
      </w:r>
    </w:p>
    <w:p w14:paraId="1EC1C569" w14:textId="77777777" w:rsidR="002B698B" w:rsidRPr="00D80C6C" w:rsidRDefault="002B698B" w:rsidP="002B698B">
      <w:pPr>
        <w:jc w:val="both"/>
        <w:rPr>
          <w:rFonts w:cs="Arial"/>
          <w:sz w:val="22"/>
          <w:szCs w:val="22"/>
        </w:rPr>
      </w:pPr>
    </w:p>
    <w:p w14:paraId="0ABF1561" w14:textId="377C4AE4" w:rsidR="002B698B" w:rsidRPr="00D80C6C" w:rsidRDefault="002B698B" w:rsidP="32B552BF">
      <w:pPr>
        <w:jc w:val="both"/>
        <w:rPr>
          <w:rFonts w:cs="Arial"/>
          <w:sz w:val="22"/>
          <w:szCs w:val="22"/>
        </w:rPr>
      </w:pPr>
      <w:r w:rsidRPr="29D08CD4">
        <w:rPr>
          <w:b/>
          <w:bCs/>
          <w:i/>
          <w:iCs/>
          <w:sz w:val="28"/>
          <w:szCs w:val="28"/>
        </w:rPr>
        <w:t>Progress on recommendations from the previous AR, lessons learned this year, and recommendations for the year ahead</w:t>
      </w:r>
      <w:r w:rsidRPr="29D08CD4">
        <w:rPr>
          <w:rFonts w:cs="Arial"/>
          <w:b/>
          <w:bCs/>
        </w:rPr>
        <w:t xml:space="preserve"> </w:t>
      </w:r>
    </w:p>
    <w:p w14:paraId="5FA3E19C" w14:textId="77777777" w:rsidR="002B698B" w:rsidRPr="00D80C6C" w:rsidRDefault="002B698B" w:rsidP="32B552BF">
      <w:pPr>
        <w:tabs>
          <w:tab w:val="left" w:pos="8352"/>
        </w:tabs>
        <w:jc w:val="both"/>
        <w:rPr>
          <w:rFonts w:cs="Arial"/>
          <w:sz w:val="22"/>
          <w:szCs w:val="22"/>
        </w:rPr>
      </w:pPr>
    </w:p>
    <w:p w14:paraId="2D13006E" w14:textId="78A2411B" w:rsidR="002B698B" w:rsidRPr="00D80C6C" w:rsidRDefault="002B698B" w:rsidP="002B698B">
      <w:pPr>
        <w:jc w:val="both"/>
        <w:rPr>
          <w:rFonts w:cs="Arial"/>
          <w:sz w:val="22"/>
          <w:szCs w:val="22"/>
        </w:rPr>
      </w:pPr>
      <w:r w:rsidRPr="29D08CD4">
        <w:rPr>
          <w:rFonts w:cs="Arial"/>
          <w:sz w:val="22"/>
          <w:szCs w:val="22"/>
        </w:rPr>
        <w:t>N/A</w:t>
      </w:r>
    </w:p>
    <w:p w14:paraId="5E0FEB33" w14:textId="77777777" w:rsidR="002B698B" w:rsidRDefault="002B698B" w:rsidP="004D5FD5">
      <w:pPr>
        <w:jc w:val="both"/>
        <w:rPr>
          <w:rFonts w:cs="Arial"/>
          <w:sz w:val="22"/>
          <w:szCs w:val="22"/>
        </w:rPr>
      </w:pPr>
    </w:p>
    <w:p w14:paraId="398D2C74" w14:textId="77777777" w:rsidR="002B698B" w:rsidRDefault="002B698B" w:rsidP="004D5FD5">
      <w:pPr>
        <w:jc w:val="both"/>
        <w:rPr>
          <w:rFonts w:cs="Arial"/>
          <w:sz w:val="22"/>
          <w:szCs w:val="22"/>
        </w:rPr>
      </w:pPr>
    </w:p>
    <w:tbl>
      <w:tblPr>
        <w:tblStyle w:val="TableGrid"/>
        <w:tblW w:w="0" w:type="auto"/>
        <w:tblLook w:val="04A0" w:firstRow="1" w:lastRow="0" w:firstColumn="1" w:lastColumn="0" w:noHBand="0" w:noVBand="1"/>
      </w:tblPr>
      <w:tblGrid>
        <w:gridCol w:w="9016"/>
      </w:tblGrid>
      <w:tr w:rsidR="00CB2873" w14:paraId="625A7711" w14:textId="77777777" w:rsidTr="29D08CD4">
        <w:tc>
          <w:tcPr>
            <w:tcW w:w="9016" w:type="dxa"/>
            <w:shd w:val="clear" w:color="auto" w:fill="DEEAF6" w:themeFill="accent5" w:themeFillTint="33"/>
          </w:tcPr>
          <w:p w14:paraId="78474CCE" w14:textId="09EF6444" w:rsidR="00CB2873" w:rsidRDefault="2C7057B1" w:rsidP="32B552BF">
            <w:pPr>
              <w:jc w:val="both"/>
              <w:rPr>
                <w:rStyle w:val="Heading1Char"/>
                <w:rFonts w:ascii="Arial" w:hAnsi="Arial" w:cs="Arial"/>
                <w:b/>
                <w:bCs/>
                <w:color w:val="auto"/>
              </w:rPr>
            </w:pPr>
            <w:bookmarkStart w:id="16" w:name="_Toc192633493"/>
            <w:r w:rsidRPr="29D08CD4">
              <w:rPr>
                <w:rStyle w:val="Heading1Char"/>
                <w:rFonts w:ascii="Arial" w:hAnsi="Arial" w:cs="Arial"/>
                <w:b/>
                <w:bCs/>
                <w:color w:val="auto"/>
              </w:rPr>
              <w:t>Section D: Pro</w:t>
            </w:r>
            <w:r w:rsidR="001330CE" w:rsidRPr="29D08CD4">
              <w:rPr>
                <w:rStyle w:val="Heading1Char"/>
                <w:rFonts w:ascii="Arial" w:hAnsi="Arial" w:cs="Arial"/>
                <w:b/>
                <w:bCs/>
                <w:color w:val="auto"/>
              </w:rPr>
              <w:t xml:space="preserve">gramme </w:t>
            </w:r>
            <w:r w:rsidRPr="29D08CD4">
              <w:rPr>
                <w:rStyle w:val="Heading1Char"/>
                <w:rFonts w:ascii="Arial" w:hAnsi="Arial" w:cs="Arial"/>
                <w:b/>
                <w:bCs/>
                <w:color w:val="auto"/>
              </w:rPr>
              <w:t>performance not captured by outputs</w:t>
            </w:r>
            <w:bookmarkEnd w:id="16"/>
          </w:p>
        </w:tc>
      </w:tr>
    </w:tbl>
    <w:p w14:paraId="4DC50BD5" w14:textId="10AD3CAB" w:rsidR="003D222C" w:rsidRDefault="003D222C" w:rsidP="004D5FD5">
      <w:pPr>
        <w:jc w:val="both"/>
        <w:rPr>
          <w:rFonts w:cs="Arial"/>
          <w:sz w:val="22"/>
          <w:szCs w:val="22"/>
        </w:rPr>
      </w:pPr>
    </w:p>
    <w:p w14:paraId="4D13815B" w14:textId="4C03F11E" w:rsidR="003D7396" w:rsidRDefault="003D7396" w:rsidP="004D5FD5">
      <w:pPr>
        <w:jc w:val="both"/>
        <w:rPr>
          <w:rFonts w:cs="Arial"/>
          <w:sz w:val="22"/>
          <w:szCs w:val="22"/>
        </w:rPr>
      </w:pPr>
      <w:r w:rsidRPr="29D08CD4">
        <w:rPr>
          <w:rFonts w:cs="Arial"/>
          <w:sz w:val="22"/>
          <w:szCs w:val="22"/>
        </w:rPr>
        <w:t xml:space="preserve">As set out above, the programme’s outputs were not measured in 2024 as the </w:t>
      </w:r>
      <w:r w:rsidR="00CE417F" w:rsidRPr="29D08CD4">
        <w:rPr>
          <w:rFonts w:cs="Arial"/>
          <w:sz w:val="22"/>
          <w:szCs w:val="22"/>
        </w:rPr>
        <w:t xml:space="preserve">UK’s funding for FCLP was in its inception phase, although FCLP has been active through the support of other funders since 2022 </w:t>
      </w:r>
      <w:r w:rsidRPr="29D08CD4">
        <w:rPr>
          <w:rFonts w:cs="Arial"/>
          <w:sz w:val="22"/>
          <w:szCs w:val="22"/>
        </w:rPr>
        <w:t xml:space="preserve">Key milestones in 2024 are outlined in Section A. </w:t>
      </w:r>
    </w:p>
    <w:p w14:paraId="0A8A4C54" w14:textId="77777777" w:rsidR="003D7396" w:rsidRDefault="003D7396" w:rsidP="004D5FD5">
      <w:pPr>
        <w:jc w:val="both"/>
        <w:rPr>
          <w:rFonts w:cs="Arial"/>
          <w:sz w:val="22"/>
          <w:szCs w:val="22"/>
        </w:rPr>
      </w:pPr>
    </w:p>
    <w:p w14:paraId="38E1CA16" w14:textId="2D83439E" w:rsidR="003D7396" w:rsidRPr="00D80C6C" w:rsidRDefault="003D7396" w:rsidP="004D5FD5">
      <w:pPr>
        <w:jc w:val="both"/>
        <w:rPr>
          <w:rFonts w:cs="Arial"/>
          <w:sz w:val="22"/>
          <w:szCs w:val="22"/>
        </w:rPr>
      </w:pPr>
      <w:r w:rsidRPr="29D08CD4">
        <w:rPr>
          <w:rFonts w:cs="Arial"/>
          <w:sz w:val="22"/>
          <w:szCs w:val="22"/>
        </w:rPr>
        <w:t xml:space="preserve">Although this programme comprising the UK’s funding for the FCLP secretariat commenced in 2024, the FCLP has been active since COP27 through support from other governments. In 2024 FCLP conducted work </w:t>
      </w:r>
      <w:r w:rsidR="00550C1C" w:rsidRPr="29D08CD4">
        <w:rPr>
          <w:rFonts w:cs="Arial"/>
          <w:sz w:val="22"/>
          <w:szCs w:val="22"/>
        </w:rPr>
        <w:t>across its priorities as outlined in Section B.</w:t>
      </w:r>
      <w:r w:rsidRPr="29D08CD4">
        <w:rPr>
          <w:rFonts w:cs="Arial"/>
          <w:sz w:val="22"/>
          <w:szCs w:val="22"/>
        </w:rPr>
        <w:t xml:space="preserve"> This is not captured in the outputs and is not covered by this programme as activity took place prior to the UK commencing its funding for the FCLP secretariat, but it indicates that FCLP is already demonstrating its role to convene governments to identify and take action to halt and reverse forest loss. </w:t>
      </w:r>
    </w:p>
    <w:p w14:paraId="1B63C618" w14:textId="4396A74F" w:rsidR="003D222C" w:rsidRDefault="003D222C" w:rsidP="004D5FD5">
      <w:pPr>
        <w:jc w:val="both"/>
        <w:rPr>
          <w:rFonts w:cs="Arial"/>
          <w:sz w:val="22"/>
          <w:szCs w:val="22"/>
        </w:rPr>
      </w:pPr>
    </w:p>
    <w:tbl>
      <w:tblPr>
        <w:tblStyle w:val="TableGrid"/>
        <w:tblW w:w="0" w:type="auto"/>
        <w:tblLook w:val="04A0" w:firstRow="1" w:lastRow="0" w:firstColumn="1" w:lastColumn="0" w:noHBand="0" w:noVBand="1"/>
      </w:tblPr>
      <w:tblGrid>
        <w:gridCol w:w="9016"/>
      </w:tblGrid>
      <w:tr w:rsidR="00CB2873" w14:paraId="406A1DDB" w14:textId="77777777" w:rsidTr="29D08CD4">
        <w:tc>
          <w:tcPr>
            <w:tcW w:w="9016" w:type="dxa"/>
            <w:shd w:val="clear" w:color="auto" w:fill="DEEAF6" w:themeFill="accent5" w:themeFillTint="33"/>
          </w:tcPr>
          <w:p w14:paraId="5F18405D" w14:textId="28042918" w:rsidR="00CB2873" w:rsidRDefault="2C7057B1" w:rsidP="32B552BF">
            <w:pPr>
              <w:jc w:val="both"/>
              <w:rPr>
                <w:rStyle w:val="Heading1Char"/>
                <w:rFonts w:ascii="Arial" w:hAnsi="Arial" w:cs="Arial"/>
                <w:b/>
                <w:bCs/>
                <w:color w:val="auto"/>
              </w:rPr>
            </w:pPr>
            <w:bookmarkStart w:id="17" w:name="_Toc192633494"/>
            <w:r w:rsidRPr="29D08CD4">
              <w:rPr>
                <w:rStyle w:val="Heading1Char"/>
                <w:rFonts w:ascii="Arial" w:hAnsi="Arial" w:cs="Arial"/>
                <w:b/>
                <w:bCs/>
                <w:color w:val="auto"/>
              </w:rPr>
              <w:t>Section E: Risk</w:t>
            </w:r>
            <w:bookmarkEnd w:id="17"/>
          </w:p>
        </w:tc>
      </w:tr>
    </w:tbl>
    <w:p w14:paraId="7D07A5C2" w14:textId="77777777" w:rsidR="003D222C" w:rsidRPr="00D80C6C" w:rsidRDefault="003D222C" w:rsidP="004D5FD5">
      <w:pPr>
        <w:jc w:val="both"/>
        <w:rPr>
          <w:rFonts w:cs="Arial"/>
          <w:b/>
          <w:bCs/>
          <w:sz w:val="22"/>
          <w:szCs w:val="22"/>
        </w:rPr>
      </w:pPr>
    </w:p>
    <w:p w14:paraId="7CBD3830" w14:textId="10A50BCA" w:rsidR="00B74143" w:rsidRPr="00D80C6C" w:rsidRDefault="00B74143" w:rsidP="32B552BF">
      <w:pPr>
        <w:contextualSpacing/>
        <w:jc w:val="both"/>
        <w:rPr>
          <w:rFonts w:cs="Arial"/>
          <w:b/>
          <w:bCs/>
          <w:sz w:val="22"/>
          <w:szCs w:val="22"/>
        </w:rPr>
      </w:pPr>
      <w:bookmarkStart w:id="18" w:name="_Toc192633495"/>
      <w:r w:rsidRPr="29D08CD4">
        <w:rPr>
          <w:rStyle w:val="Heading2Char"/>
        </w:rPr>
        <w:t>Overall risk rating</w:t>
      </w:r>
      <w:bookmarkEnd w:id="18"/>
      <w:r w:rsidRPr="29D08CD4">
        <w:rPr>
          <w:rFonts w:cs="Arial"/>
          <w:b/>
          <w:bCs/>
          <w:sz w:val="22"/>
          <w:szCs w:val="22"/>
        </w:rPr>
        <w:t xml:space="preserve">: </w:t>
      </w:r>
      <w:r w:rsidR="00052527" w:rsidRPr="29D08CD4">
        <w:rPr>
          <w:rFonts w:cs="Arial"/>
          <w:b/>
          <w:bCs/>
          <w:i/>
          <w:iCs/>
          <w:sz w:val="28"/>
          <w:szCs w:val="28"/>
        </w:rPr>
        <w:t>Moderate</w:t>
      </w:r>
    </w:p>
    <w:p w14:paraId="026FB9FF" w14:textId="77777777" w:rsidR="00D0302B" w:rsidRDefault="00D0302B" w:rsidP="32B552BF">
      <w:pPr>
        <w:contextualSpacing/>
        <w:jc w:val="both"/>
        <w:rPr>
          <w:rFonts w:cs="Arial"/>
          <w:sz w:val="22"/>
          <w:szCs w:val="22"/>
        </w:rPr>
      </w:pPr>
    </w:p>
    <w:p w14:paraId="72C0F6CA" w14:textId="4ACAF4BC" w:rsidR="009C1839" w:rsidRDefault="00052527" w:rsidP="32B552BF">
      <w:pPr>
        <w:contextualSpacing/>
        <w:jc w:val="both"/>
        <w:rPr>
          <w:rFonts w:cs="Arial"/>
          <w:sz w:val="22"/>
          <w:szCs w:val="22"/>
        </w:rPr>
      </w:pPr>
      <w:r w:rsidRPr="29D08CD4">
        <w:rPr>
          <w:rFonts w:cs="Arial"/>
          <w:sz w:val="22"/>
          <w:szCs w:val="22"/>
        </w:rPr>
        <w:t>Overall, the risk is Moderate to the programme</w:t>
      </w:r>
      <w:r w:rsidR="32874D25" w:rsidRPr="29D08CD4">
        <w:rPr>
          <w:rFonts w:cs="Arial"/>
          <w:sz w:val="22"/>
          <w:szCs w:val="22"/>
        </w:rPr>
        <w:t>,</w:t>
      </w:r>
      <w:r w:rsidRPr="29D08CD4">
        <w:rPr>
          <w:rFonts w:cs="Arial"/>
          <w:sz w:val="22"/>
          <w:szCs w:val="22"/>
        </w:rPr>
        <w:t xml:space="preserve"> mainly driven by geopolitical uncertainties, pressures to deliver while maintaining an inclusive approach, but there are strong mitigation plans in place to manage these risks. </w:t>
      </w:r>
    </w:p>
    <w:p w14:paraId="7E4FADC9" w14:textId="77777777" w:rsidR="009C1839" w:rsidRDefault="009C1839" w:rsidP="32B552BF">
      <w:pPr>
        <w:contextualSpacing/>
        <w:jc w:val="both"/>
        <w:rPr>
          <w:rFonts w:cs="Arial"/>
          <w:sz w:val="22"/>
          <w:szCs w:val="22"/>
        </w:rPr>
      </w:pPr>
    </w:p>
    <w:p w14:paraId="65434644" w14:textId="7AB22A6F" w:rsidR="00052527" w:rsidRDefault="4E61405C" w:rsidP="32B552BF">
      <w:pPr>
        <w:contextualSpacing/>
        <w:jc w:val="both"/>
        <w:rPr>
          <w:rFonts w:cs="Arial"/>
          <w:sz w:val="22"/>
          <w:szCs w:val="22"/>
        </w:rPr>
      </w:pPr>
      <w:r w:rsidRPr="29D08CD4">
        <w:rPr>
          <w:rFonts w:cs="Arial"/>
          <w:sz w:val="22"/>
          <w:szCs w:val="22"/>
        </w:rPr>
        <w:t>The success of the Forest and Climate Leaders’ Partnership is wholly dependent on the participation of its members</w:t>
      </w:r>
      <w:r w:rsidR="00D87218" w:rsidRPr="29D08CD4">
        <w:rPr>
          <w:rFonts w:cs="Arial"/>
          <w:sz w:val="22"/>
          <w:szCs w:val="22"/>
        </w:rPr>
        <w:t>;</w:t>
      </w:r>
      <w:r w:rsidRPr="29D08CD4">
        <w:rPr>
          <w:rFonts w:cs="Arial"/>
          <w:sz w:val="22"/>
          <w:szCs w:val="22"/>
        </w:rPr>
        <w:t xml:space="preserve"> without their buy-in the FCLP is unable to meet its aims and objectives. As a member of the FCLP, the UK taps into its policy expertise - particularly on mobilising effective climate finance </w:t>
      </w:r>
      <w:r w:rsidR="4CEC4033" w:rsidRPr="29D08CD4">
        <w:rPr>
          <w:rFonts w:cs="Arial"/>
          <w:sz w:val="22"/>
          <w:szCs w:val="22"/>
        </w:rPr>
        <w:t>–</w:t>
      </w:r>
      <w:r w:rsidRPr="29D08CD4">
        <w:rPr>
          <w:rFonts w:cs="Arial"/>
          <w:sz w:val="22"/>
          <w:szCs w:val="22"/>
        </w:rPr>
        <w:t xml:space="preserve"> </w:t>
      </w:r>
      <w:r w:rsidR="4CEC4033" w:rsidRPr="29D08CD4">
        <w:rPr>
          <w:rFonts w:cs="Arial"/>
          <w:sz w:val="22"/>
          <w:szCs w:val="22"/>
        </w:rPr>
        <w:t xml:space="preserve">its </w:t>
      </w:r>
      <w:r w:rsidRPr="29D08CD4">
        <w:rPr>
          <w:rFonts w:cs="Arial"/>
          <w:sz w:val="22"/>
          <w:szCs w:val="22"/>
        </w:rPr>
        <w:t>diplomatic network</w:t>
      </w:r>
      <w:r w:rsidR="4CEC4033" w:rsidRPr="29D08CD4">
        <w:rPr>
          <w:rFonts w:cs="Arial"/>
          <w:sz w:val="22"/>
          <w:szCs w:val="22"/>
        </w:rPr>
        <w:t>,</w:t>
      </w:r>
      <w:r w:rsidRPr="29D08CD4">
        <w:rPr>
          <w:rFonts w:cs="Arial"/>
          <w:sz w:val="22"/>
          <w:szCs w:val="22"/>
        </w:rPr>
        <w:t xml:space="preserve"> and existing relationships with other members to support the delivery of the FCLP goals and broader GLD objectives. </w:t>
      </w:r>
    </w:p>
    <w:p w14:paraId="72F1F0D4" w14:textId="77777777" w:rsidR="009C1839" w:rsidRDefault="009C1839" w:rsidP="32B552BF">
      <w:pPr>
        <w:contextualSpacing/>
        <w:jc w:val="both"/>
        <w:rPr>
          <w:rFonts w:cs="Arial"/>
          <w:sz w:val="22"/>
          <w:szCs w:val="22"/>
        </w:rPr>
      </w:pPr>
    </w:p>
    <w:p w14:paraId="0EAACC6F" w14:textId="67AB7552" w:rsidR="009C1839" w:rsidRDefault="009C1839" w:rsidP="32B552BF">
      <w:pPr>
        <w:contextualSpacing/>
        <w:jc w:val="both"/>
        <w:rPr>
          <w:rFonts w:cs="Arial"/>
          <w:sz w:val="22"/>
          <w:szCs w:val="22"/>
        </w:rPr>
      </w:pPr>
      <w:r w:rsidRPr="29D08CD4">
        <w:rPr>
          <w:rFonts w:cs="Arial"/>
          <w:sz w:val="22"/>
          <w:szCs w:val="22"/>
        </w:rPr>
        <w:t>The UK assumed the role of co-chair of the FCLP, alongside Guyana, at COP29, for a two-year term in 2025 and 2026.</w:t>
      </w:r>
      <w:r w:rsidR="00883CFD" w:rsidRPr="29D08CD4">
        <w:rPr>
          <w:rFonts w:cs="Arial"/>
          <w:sz w:val="22"/>
          <w:szCs w:val="22"/>
        </w:rPr>
        <w:t xml:space="preserve"> This will enable the UK to drive progress and ambition, and promote a closer working relationship with the FCLP </w:t>
      </w:r>
      <w:r w:rsidR="00CE417F" w:rsidRPr="29D08CD4">
        <w:rPr>
          <w:rFonts w:cs="Arial"/>
          <w:sz w:val="22"/>
          <w:szCs w:val="22"/>
        </w:rPr>
        <w:t>S</w:t>
      </w:r>
      <w:r w:rsidR="00883CFD" w:rsidRPr="29D08CD4">
        <w:rPr>
          <w:rFonts w:cs="Arial"/>
          <w:sz w:val="22"/>
          <w:szCs w:val="22"/>
        </w:rPr>
        <w:t>ecretariat to monitor progress, risk and take action to mitigate risks where necessary.</w:t>
      </w:r>
    </w:p>
    <w:p w14:paraId="3C5CF6C8" w14:textId="77777777" w:rsidR="00B74143" w:rsidRPr="00D80C6C" w:rsidRDefault="00B74143" w:rsidP="004D5FD5">
      <w:pPr>
        <w:jc w:val="both"/>
        <w:rPr>
          <w:rFonts w:cs="Arial"/>
          <w:b/>
          <w:bCs/>
          <w:sz w:val="22"/>
          <w:szCs w:val="22"/>
        </w:rPr>
      </w:pPr>
    </w:p>
    <w:p w14:paraId="55743C55" w14:textId="10608EC6" w:rsidR="00B74143" w:rsidRPr="00D80C6C" w:rsidRDefault="00B74143" w:rsidP="004D5FD5">
      <w:pPr>
        <w:jc w:val="both"/>
        <w:rPr>
          <w:rFonts w:cs="Arial"/>
          <w:sz w:val="22"/>
          <w:szCs w:val="22"/>
        </w:rPr>
      </w:pPr>
      <w:bookmarkStart w:id="19" w:name="_Toc192633496"/>
      <w:r w:rsidRPr="29D08CD4">
        <w:rPr>
          <w:rStyle w:val="Heading2Char"/>
        </w:rPr>
        <w:t>Overview of risk management</w:t>
      </w:r>
      <w:bookmarkEnd w:id="19"/>
      <w:r w:rsidRPr="29D08CD4">
        <w:rPr>
          <w:rFonts w:cs="Arial"/>
          <w:sz w:val="22"/>
          <w:szCs w:val="22"/>
        </w:rPr>
        <w:t xml:space="preserve"> </w:t>
      </w:r>
    </w:p>
    <w:p w14:paraId="673B755F" w14:textId="77777777" w:rsidR="00B74143" w:rsidRPr="00D80C6C" w:rsidRDefault="00B74143" w:rsidP="004D5FD5">
      <w:pPr>
        <w:jc w:val="both"/>
        <w:rPr>
          <w:rFonts w:cs="Arial"/>
          <w:sz w:val="22"/>
          <w:szCs w:val="22"/>
        </w:rPr>
      </w:pPr>
    </w:p>
    <w:p w14:paraId="7E0BF857" w14:textId="520EA35A" w:rsidR="00BF2857" w:rsidRDefault="00BF2857" w:rsidP="004D5FD5">
      <w:pPr>
        <w:jc w:val="both"/>
        <w:rPr>
          <w:rFonts w:cs="Arial"/>
          <w:sz w:val="22"/>
          <w:szCs w:val="22"/>
        </w:rPr>
      </w:pPr>
      <w:r w:rsidRPr="29D08CD4">
        <w:rPr>
          <w:rFonts w:cs="Arial"/>
          <w:sz w:val="22"/>
          <w:szCs w:val="22"/>
        </w:rPr>
        <w:t xml:space="preserve">As the programme has been in its inception phase, risk management to date has focused on identifying risks to programme delivery and developing mitigation strategies to manage these risks, working closely with the delivery partner to agree an approach to ensuring risks remain within acceptable tolerances for the programme. </w:t>
      </w:r>
    </w:p>
    <w:p w14:paraId="2840BF41" w14:textId="77777777" w:rsidR="00BF2857" w:rsidRDefault="00BF2857" w:rsidP="004D5FD5">
      <w:pPr>
        <w:jc w:val="both"/>
        <w:rPr>
          <w:rFonts w:cs="Arial"/>
          <w:sz w:val="22"/>
          <w:szCs w:val="22"/>
        </w:rPr>
      </w:pPr>
    </w:p>
    <w:p w14:paraId="25CE2FDA" w14:textId="4FEF4EDE" w:rsidR="00BF2857" w:rsidRDefault="00BF2857" w:rsidP="004D5FD5">
      <w:pPr>
        <w:jc w:val="both"/>
        <w:rPr>
          <w:rFonts w:cs="Arial"/>
          <w:sz w:val="22"/>
          <w:szCs w:val="22"/>
        </w:rPr>
      </w:pPr>
      <w:r w:rsidRPr="29D08CD4">
        <w:rPr>
          <w:rFonts w:cs="Arial"/>
          <w:sz w:val="22"/>
          <w:szCs w:val="22"/>
        </w:rPr>
        <w:t>As a relatively small International Climate Finance programme with a single delivery partner which works on a remote basis, rather than implementing activities in particular countries/regions, a proportionate approach to risk management will be taken</w:t>
      </w:r>
      <w:r w:rsidR="00D87218" w:rsidRPr="29D08CD4">
        <w:rPr>
          <w:rFonts w:cs="Arial"/>
          <w:sz w:val="22"/>
          <w:szCs w:val="22"/>
        </w:rPr>
        <w:t>,</w:t>
      </w:r>
    </w:p>
    <w:p w14:paraId="2F4863DD" w14:textId="77777777" w:rsidR="00BF2857" w:rsidRDefault="00BF2857" w:rsidP="004D5FD5">
      <w:pPr>
        <w:jc w:val="both"/>
        <w:rPr>
          <w:rFonts w:cs="Arial"/>
          <w:sz w:val="22"/>
          <w:szCs w:val="22"/>
        </w:rPr>
      </w:pPr>
    </w:p>
    <w:p w14:paraId="24562A01" w14:textId="58B5931A" w:rsidR="00BF2857" w:rsidRDefault="00BF2857" w:rsidP="004D5FD5">
      <w:pPr>
        <w:jc w:val="both"/>
        <w:rPr>
          <w:rFonts w:cs="Arial"/>
          <w:sz w:val="22"/>
          <w:szCs w:val="22"/>
        </w:rPr>
      </w:pPr>
      <w:r w:rsidRPr="29D08CD4">
        <w:rPr>
          <w:rFonts w:cs="Arial"/>
          <w:sz w:val="22"/>
          <w:szCs w:val="22"/>
        </w:rPr>
        <w:t xml:space="preserve">Risks are monitored and assessed on a monthly basis as part of DESNZ programme management activity, and weekly meetings with the FCLP </w:t>
      </w:r>
      <w:r w:rsidR="00D87218" w:rsidRPr="29D08CD4">
        <w:rPr>
          <w:rFonts w:cs="Arial"/>
          <w:sz w:val="22"/>
          <w:szCs w:val="22"/>
        </w:rPr>
        <w:t>S</w:t>
      </w:r>
      <w:r w:rsidRPr="29D08CD4">
        <w:rPr>
          <w:rFonts w:cs="Arial"/>
          <w:sz w:val="22"/>
          <w:szCs w:val="22"/>
        </w:rPr>
        <w:t>ecretariat provide a regular touchpoint to raise and agree mitigation plans for new, emerging or changing risks to programme delivery.</w:t>
      </w:r>
    </w:p>
    <w:p w14:paraId="6553C2DF" w14:textId="1EF44F76" w:rsidR="00B74143" w:rsidRPr="00D80C6C" w:rsidRDefault="00B74143" w:rsidP="004D5FD5">
      <w:pPr>
        <w:pStyle w:val="Heading2"/>
        <w:jc w:val="both"/>
      </w:pPr>
      <w:bookmarkStart w:id="20" w:name="_Toc192633497"/>
      <w:r>
        <w:t>Current risks</w:t>
      </w:r>
      <w:bookmarkEnd w:id="20"/>
    </w:p>
    <w:p w14:paraId="5967C405" w14:textId="7261890B" w:rsidR="00B74143" w:rsidRPr="00D80C6C" w:rsidRDefault="00B74143" w:rsidP="32B552BF">
      <w:pPr>
        <w:contextualSpacing/>
        <w:jc w:val="both"/>
        <w:rPr>
          <w:rFonts w:cs="Arial"/>
          <w:sz w:val="22"/>
          <w:szCs w:val="22"/>
        </w:rPr>
      </w:pPr>
      <w:r w:rsidRPr="29D08CD4">
        <w:rPr>
          <w:rFonts w:cs="Arial"/>
          <w:sz w:val="22"/>
          <w:szCs w:val="22"/>
        </w:rPr>
        <w:t xml:space="preserve">A description of current risks </w:t>
      </w:r>
      <w:r w:rsidR="00BF2857" w:rsidRPr="29D08CD4">
        <w:rPr>
          <w:rFonts w:cs="Arial"/>
          <w:sz w:val="22"/>
          <w:szCs w:val="22"/>
        </w:rPr>
        <w:t>is</w:t>
      </w:r>
      <w:r w:rsidRPr="29D08CD4">
        <w:rPr>
          <w:rFonts w:cs="Arial"/>
          <w:sz w:val="22"/>
          <w:szCs w:val="22"/>
        </w:rPr>
        <w:t xml:space="preserve"> set out below.</w:t>
      </w:r>
    </w:p>
    <w:p w14:paraId="7CD7D9F1" w14:textId="77777777" w:rsidR="00B74143" w:rsidRPr="00D80C6C" w:rsidRDefault="00B74143" w:rsidP="29D08CD4">
      <w:pPr>
        <w:contextualSpacing/>
        <w:jc w:val="both"/>
        <w:rPr>
          <w:rFonts w:cs="Arial"/>
          <w:i/>
          <w:iCs/>
          <w:sz w:val="22"/>
          <w:szCs w:val="22"/>
        </w:rPr>
      </w:pPr>
    </w:p>
    <w:tbl>
      <w:tblPr>
        <w:tblStyle w:val="TableGrid"/>
        <w:tblW w:w="0" w:type="auto"/>
        <w:jc w:val="center"/>
        <w:tblLook w:val="04A0" w:firstRow="1" w:lastRow="0" w:firstColumn="1" w:lastColumn="0" w:noHBand="0" w:noVBand="1"/>
      </w:tblPr>
      <w:tblGrid>
        <w:gridCol w:w="2122"/>
        <w:gridCol w:w="4677"/>
        <w:gridCol w:w="2217"/>
      </w:tblGrid>
      <w:tr w:rsidR="00B74143" w:rsidRPr="00D80C6C" w14:paraId="44DB7905" w14:textId="77777777" w:rsidTr="29D08CD4">
        <w:trPr>
          <w:jc w:val="center"/>
        </w:trPr>
        <w:tc>
          <w:tcPr>
            <w:tcW w:w="2122" w:type="dxa"/>
            <w:shd w:val="clear" w:color="auto" w:fill="DEEAF6" w:themeFill="accent5" w:themeFillTint="33"/>
          </w:tcPr>
          <w:p w14:paraId="7FD0E27D" w14:textId="79BCF81B" w:rsidR="00B74143" w:rsidRPr="00D80C6C" w:rsidRDefault="00B74143" w:rsidP="32B552BF">
            <w:pPr>
              <w:contextualSpacing/>
              <w:jc w:val="both"/>
              <w:rPr>
                <w:rFonts w:cs="Arial"/>
                <w:b/>
                <w:bCs/>
                <w:sz w:val="22"/>
                <w:szCs w:val="22"/>
              </w:rPr>
            </w:pPr>
            <w:r w:rsidRPr="29D08CD4">
              <w:rPr>
                <w:rFonts w:cs="Arial"/>
                <w:b/>
                <w:bCs/>
                <w:sz w:val="22"/>
                <w:szCs w:val="22"/>
              </w:rPr>
              <w:t xml:space="preserve">Risk description </w:t>
            </w:r>
          </w:p>
        </w:tc>
        <w:tc>
          <w:tcPr>
            <w:tcW w:w="4677" w:type="dxa"/>
            <w:shd w:val="clear" w:color="auto" w:fill="DEEAF6" w:themeFill="accent5" w:themeFillTint="33"/>
          </w:tcPr>
          <w:p w14:paraId="0B8DE401" w14:textId="6AE419C2" w:rsidR="00B74143" w:rsidRPr="00D80C6C" w:rsidRDefault="00B74143" w:rsidP="32B552BF">
            <w:pPr>
              <w:contextualSpacing/>
              <w:jc w:val="both"/>
              <w:rPr>
                <w:rFonts w:cs="Arial"/>
                <w:b/>
                <w:bCs/>
                <w:sz w:val="22"/>
                <w:szCs w:val="22"/>
              </w:rPr>
            </w:pPr>
            <w:r w:rsidRPr="29D08CD4">
              <w:rPr>
                <w:rFonts w:cs="Arial"/>
                <w:b/>
                <w:bCs/>
                <w:sz w:val="22"/>
                <w:szCs w:val="22"/>
              </w:rPr>
              <w:t xml:space="preserve">Mitigation strategy </w:t>
            </w:r>
          </w:p>
        </w:tc>
        <w:tc>
          <w:tcPr>
            <w:tcW w:w="2217" w:type="dxa"/>
            <w:shd w:val="clear" w:color="auto" w:fill="DEEAF6" w:themeFill="accent5" w:themeFillTint="33"/>
          </w:tcPr>
          <w:p w14:paraId="5D70A0F3" w14:textId="25D69D3F" w:rsidR="00B74143" w:rsidRPr="00D80C6C" w:rsidRDefault="00B74143" w:rsidP="32B552BF">
            <w:pPr>
              <w:contextualSpacing/>
              <w:jc w:val="both"/>
              <w:rPr>
                <w:rFonts w:cs="Arial"/>
                <w:b/>
                <w:bCs/>
                <w:sz w:val="22"/>
                <w:szCs w:val="22"/>
              </w:rPr>
            </w:pPr>
            <w:r w:rsidRPr="29D08CD4">
              <w:rPr>
                <w:rFonts w:cs="Arial"/>
                <w:b/>
                <w:bCs/>
                <w:sz w:val="22"/>
                <w:szCs w:val="22"/>
              </w:rPr>
              <w:t>Residual Risk rating</w:t>
            </w:r>
          </w:p>
        </w:tc>
      </w:tr>
      <w:tr w:rsidR="00B74143" w:rsidRPr="00D80C6C" w14:paraId="38C3D524" w14:textId="77777777" w:rsidTr="29D08CD4">
        <w:trPr>
          <w:jc w:val="center"/>
        </w:trPr>
        <w:tc>
          <w:tcPr>
            <w:tcW w:w="2122" w:type="dxa"/>
          </w:tcPr>
          <w:p w14:paraId="00DF9970" w14:textId="4DDCE572" w:rsidR="007B1B9B" w:rsidRPr="007B1B9B" w:rsidRDefault="007B1B9B" w:rsidP="32B552BF">
            <w:pPr>
              <w:contextualSpacing/>
              <w:rPr>
                <w:rFonts w:cs="Arial"/>
                <w:sz w:val="22"/>
                <w:szCs w:val="22"/>
              </w:rPr>
            </w:pPr>
            <w:r w:rsidRPr="29D08CD4">
              <w:rPr>
                <w:rFonts w:cs="Arial"/>
                <w:sz w:val="22"/>
                <w:szCs w:val="22"/>
              </w:rPr>
              <w:t xml:space="preserve">Deforestation within FCLP </w:t>
            </w:r>
            <w:r w:rsidRPr="29D08CD4">
              <w:rPr>
                <w:rFonts w:cs="Arial"/>
                <w:sz w:val="22"/>
                <w:szCs w:val="22"/>
              </w:rPr>
              <w:lastRenderedPageBreak/>
              <w:t>member states continues to rise</w:t>
            </w:r>
          </w:p>
          <w:p w14:paraId="32BEA07D" w14:textId="77777777" w:rsidR="00B74143" w:rsidRPr="007B1B9B" w:rsidRDefault="00B74143" w:rsidP="32B552BF">
            <w:pPr>
              <w:contextualSpacing/>
              <w:rPr>
                <w:rFonts w:cs="Arial"/>
                <w:sz w:val="22"/>
                <w:szCs w:val="22"/>
              </w:rPr>
            </w:pPr>
          </w:p>
        </w:tc>
        <w:tc>
          <w:tcPr>
            <w:tcW w:w="4677" w:type="dxa"/>
          </w:tcPr>
          <w:p w14:paraId="18967011" w14:textId="3870809D" w:rsidR="006B2D7E" w:rsidRPr="006B2D7E" w:rsidRDefault="006B2D7E" w:rsidP="006B2D7E">
            <w:pPr>
              <w:pStyle w:val="ListParagraph"/>
              <w:numPr>
                <w:ilvl w:val="0"/>
                <w:numId w:val="21"/>
              </w:numPr>
              <w:rPr>
                <w:rFonts w:cs="Arial"/>
                <w:sz w:val="22"/>
                <w:szCs w:val="22"/>
              </w:rPr>
            </w:pPr>
            <w:r w:rsidRPr="29D08CD4">
              <w:rPr>
                <w:rFonts w:cs="Arial"/>
                <w:sz w:val="22"/>
                <w:szCs w:val="22"/>
              </w:rPr>
              <w:lastRenderedPageBreak/>
              <w:t xml:space="preserve">Work with FCLP Secretariat to ensure overall 2030 workplan is as effective as </w:t>
            </w:r>
            <w:r w:rsidRPr="29D08CD4">
              <w:rPr>
                <w:rFonts w:cs="Arial"/>
                <w:sz w:val="22"/>
                <w:szCs w:val="22"/>
              </w:rPr>
              <w:lastRenderedPageBreak/>
              <w:t xml:space="preserve">possible and links are maintained with the GLD goals.  </w:t>
            </w:r>
          </w:p>
          <w:p w14:paraId="21730FDE" w14:textId="27C2EE57" w:rsidR="006B2D7E" w:rsidRPr="006B2D7E" w:rsidRDefault="006B2D7E" w:rsidP="006B2D7E">
            <w:pPr>
              <w:pStyle w:val="ListParagraph"/>
              <w:numPr>
                <w:ilvl w:val="0"/>
                <w:numId w:val="21"/>
              </w:numPr>
              <w:rPr>
                <w:rFonts w:cs="Arial"/>
                <w:sz w:val="22"/>
                <w:szCs w:val="22"/>
              </w:rPr>
            </w:pPr>
            <w:r w:rsidRPr="29D08CD4">
              <w:rPr>
                <w:rFonts w:cs="Arial"/>
                <w:sz w:val="22"/>
                <w:szCs w:val="22"/>
              </w:rPr>
              <w:t xml:space="preserve">Work together with FCLP Steering Committee members to ensure the overall objective of FCLP is always front and centre of decision making.   </w:t>
            </w:r>
          </w:p>
          <w:p w14:paraId="384B6AC4" w14:textId="19031993" w:rsidR="006B2D7E" w:rsidRPr="006B2D7E" w:rsidRDefault="006B2D7E" w:rsidP="006B2D7E">
            <w:pPr>
              <w:pStyle w:val="ListParagraph"/>
              <w:numPr>
                <w:ilvl w:val="0"/>
                <w:numId w:val="21"/>
              </w:numPr>
              <w:rPr>
                <w:rFonts w:cs="Arial"/>
                <w:sz w:val="22"/>
                <w:szCs w:val="22"/>
              </w:rPr>
            </w:pPr>
            <w:r w:rsidRPr="29D08CD4">
              <w:rPr>
                <w:rFonts w:cs="Arial"/>
                <w:sz w:val="22"/>
                <w:szCs w:val="22"/>
              </w:rPr>
              <w:t xml:space="preserve">Ensure Annual Progress Report, delivered at UNFCCC COPs are prioritised for delivery and shape the overall planning for Action Areas so initiatives being developed and prioritised for delivery remain ambitious and relevant for FCLP members.  </w:t>
            </w:r>
          </w:p>
          <w:p w14:paraId="561FB5EC" w14:textId="244CEFC4" w:rsidR="00B74143" w:rsidRPr="006B2D7E" w:rsidRDefault="006B2D7E" w:rsidP="006B2D7E">
            <w:pPr>
              <w:pStyle w:val="ListParagraph"/>
              <w:numPr>
                <w:ilvl w:val="0"/>
                <w:numId w:val="21"/>
              </w:numPr>
              <w:rPr>
                <w:rFonts w:cs="Arial"/>
                <w:sz w:val="22"/>
                <w:szCs w:val="22"/>
              </w:rPr>
            </w:pPr>
            <w:r w:rsidRPr="29D08CD4">
              <w:rPr>
                <w:rFonts w:cs="Arial"/>
                <w:sz w:val="22"/>
                <w:szCs w:val="22"/>
              </w:rPr>
              <w:t>Ensure successful programme management to identify issues to programme delivery.</w:t>
            </w:r>
          </w:p>
        </w:tc>
        <w:tc>
          <w:tcPr>
            <w:tcW w:w="2217" w:type="dxa"/>
            <w:shd w:val="clear" w:color="auto" w:fill="FF0000"/>
          </w:tcPr>
          <w:p w14:paraId="199308C3" w14:textId="2B7DD975" w:rsidR="00B74143" w:rsidRPr="00D80C6C" w:rsidRDefault="00BF2857" w:rsidP="32B552BF">
            <w:pPr>
              <w:contextualSpacing/>
              <w:jc w:val="both"/>
              <w:rPr>
                <w:rFonts w:cs="Arial"/>
                <w:sz w:val="22"/>
                <w:szCs w:val="22"/>
              </w:rPr>
            </w:pPr>
            <w:r w:rsidRPr="29D08CD4">
              <w:rPr>
                <w:rFonts w:cs="Arial"/>
                <w:sz w:val="22"/>
                <w:szCs w:val="22"/>
              </w:rPr>
              <w:lastRenderedPageBreak/>
              <w:t>Major</w:t>
            </w:r>
          </w:p>
        </w:tc>
      </w:tr>
      <w:tr w:rsidR="007B1B9B" w:rsidRPr="00D80C6C" w14:paraId="0A8F18EB" w14:textId="77777777" w:rsidTr="29D08CD4">
        <w:trPr>
          <w:jc w:val="center"/>
        </w:trPr>
        <w:tc>
          <w:tcPr>
            <w:tcW w:w="2122" w:type="dxa"/>
          </w:tcPr>
          <w:p w14:paraId="36FA05F7" w14:textId="326DD507" w:rsidR="007B1B9B" w:rsidRPr="007B1B9B" w:rsidRDefault="007B1B9B" w:rsidP="32B552BF">
            <w:pPr>
              <w:contextualSpacing/>
              <w:rPr>
                <w:rFonts w:cs="Arial"/>
                <w:sz w:val="22"/>
                <w:szCs w:val="22"/>
              </w:rPr>
            </w:pPr>
            <w:r w:rsidRPr="29D08CD4">
              <w:rPr>
                <w:rFonts w:cs="Arial"/>
                <w:sz w:val="22"/>
                <w:szCs w:val="22"/>
              </w:rPr>
              <w:t>Waning interests from FCLP membership due to too much/too little information being shared by the FCLP Secretariat. Initiatives being delivered too slowly/too quickly for members to engage effectively.</w:t>
            </w:r>
          </w:p>
          <w:p w14:paraId="30018737" w14:textId="77777777" w:rsidR="007B1B9B" w:rsidRPr="007B1B9B" w:rsidRDefault="007B1B9B" w:rsidP="32B552BF">
            <w:pPr>
              <w:contextualSpacing/>
              <w:rPr>
                <w:rFonts w:cs="Arial"/>
                <w:sz w:val="22"/>
                <w:szCs w:val="22"/>
              </w:rPr>
            </w:pPr>
          </w:p>
        </w:tc>
        <w:tc>
          <w:tcPr>
            <w:tcW w:w="4677" w:type="dxa"/>
          </w:tcPr>
          <w:p w14:paraId="7DB188FE" w14:textId="4A298FC9" w:rsidR="00BF2857" w:rsidRPr="00BF2857" w:rsidRDefault="00BF2857" w:rsidP="32B552BF">
            <w:pPr>
              <w:contextualSpacing/>
              <w:rPr>
                <w:rFonts w:cs="Arial"/>
                <w:sz w:val="22"/>
                <w:szCs w:val="22"/>
              </w:rPr>
            </w:pPr>
            <w:r w:rsidRPr="29D08CD4">
              <w:rPr>
                <w:rFonts w:cs="Arial"/>
                <w:sz w:val="22"/>
                <w:szCs w:val="22"/>
              </w:rPr>
              <w:t xml:space="preserve">The UK is working closely with the FCLP Secretariat to ensure that country engagement is built into the heart of delivering its objectives. </w:t>
            </w:r>
          </w:p>
          <w:p w14:paraId="1EE163CC" w14:textId="77777777" w:rsidR="00BF2857" w:rsidRPr="00BF2857" w:rsidRDefault="00BF2857" w:rsidP="32B552BF">
            <w:pPr>
              <w:contextualSpacing/>
              <w:rPr>
                <w:rFonts w:cs="Arial"/>
                <w:sz w:val="22"/>
                <w:szCs w:val="22"/>
              </w:rPr>
            </w:pPr>
          </w:p>
          <w:p w14:paraId="47BE55C3" w14:textId="4E01A7B0" w:rsidR="00BF2857" w:rsidRPr="00BF2857" w:rsidRDefault="00BF2857" w:rsidP="32B552BF">
            <w:pPr>
              <w:contextualSpacing/>
              <w:rPr>
                <w:rFonts w:cs="Arial"/>
                <w:sz w:val="22"/>
                <w:szCs w:val="22"/>
              </w:rPr>
            </w:pPr>
            <w:r w:rsidRPr="29D08CD4">
              <w:rPr>
                <w:rFonts w:cs="Arial"/>
                <w:sz w:val="22"/>
                <w:szCs w:val="22"/>
              </w:rPr>
              <w:t xml:space="preserve">Each working group co-lead has a clear responsibility to ensure members are actively engaged and playing an active role in developing the road plan for the delivery of their initiative.  </w:t>
            </w:r>
          </w:p>
          <w:p w14:paraId="6BECECB5" w14:textId="77777777" w:rsidR="00BF2857" w:rsidRPr="00BF2857" w:rsidRDefault="00BF2857" w:rsidP="32B552BF">
            <w:pPr>
              <w:contextualSpacing/>
              <w:rPr>
                <w:rFonts w:cs="Arial"/>
                <w:sz w:val="22"/>
                <w:szCs w:val="22"/>
              </w:rPr>
            </w:pPr>
          </w:p>
          <w:p w14:paraId="45AD03E0" w14:textId="215B21F5" w:rsidR="007B1B9B" w:rsidRPr="00BF2857" w:rsidRDefault="00BF2857" w:rsidP="32B552BF">
            <w:pPr>
              <w:contextualSpacing/>
              <w:rPr>
                <w:rFonts w:cs="Arial"/>
                <w:sz w:val="22"/>
                <w:szCs w:val="22"/>
              </w:rPr>
            </w:pPr>
            <w:r w:rsidRPr="29D08CD4">
              <w:rPr>
                <w:rFonts w:cs="Arial"/>
                <w:sz w:val="22"/>
                <w:szCs w:val="22"/>
              </w:rPr>
              <w:t>The UK is actively feeding back to the FCLP Secretariat as co-chair on the experience of being a member</w:t>
            </w:r>
            <w:r w:rsidR="00D87218" w:rsidRPr="29D08CD4">
              <w:rPr>
                <w:rFonts w:cs="Arial"/>
                <w:sz w:val="22"/>
                <w:szCs w:val="22"/>
              </w:rPr>
              <w:t xml:space="preserve"> and working with the Secretariat to improve the approach to internal communications with members.</w:t>
            </w:r>
          </w:p>
        </w:tc>
        <w:tc>
          <w:tcPr>
            <w:tcW w:w="2217" w:type="dxa"/>
            <w:shd w:val="clear" w:color="auto" w:fill="FF0000"/>
          </w:tcPr>
          <w:p w14:paraId="197A7960" w14:textId="6C199276" w:rsidR="007B1B9B" w:rsidRPr="00D80C6C" w:rsidRDefault="00BF2857" w:rsidP="32B552BF">
            <w:pPr>
              <w:contextualSpacing/>
              <w:jc w:val="both"/>
              <w:rPr>
                <w:rFonts w:cs="Arial"/>
                <w:sz w:val="22"/>
                <w:szCs w:val="22"/>
              </w:rPr>
            </w:pPr>
            <w:r w:rsidRPr="29D08CD4">
              <w:rPr>
                <w:rFonts w:cs="Arial"/>
                <w:sz w:val="22"/>
                <w:szCs w:val="22"/>
              </w:rPr>
              <w:t>Major</w:t>
            </w:r>
          </w:p>
        </w:tc>
      </w:tr>
      <w:tr w:rsidR="007B1B9B" w:rsidRPr="00D80C6C" w14:paraId="5A221B1C" w14:textId="77777777" w:rsidTr="29D08CD4">
        <w:trPr>
          <w:jc w:val="center"/>
        </w:trPr>
        <w:tc>
          <w:tcPr>
            <w:tcW w:w="2122" w:type="dxa"/>
          </w:tcPr>
          <w:p w14:paraId="7BB88243" w14:textId="494D5E32" w:rsidR="007B1B9B" w:rsidRPr="007B1B9B" w:rsidRDefault="007B1B9B" w:rsidP="32B552BF">
            <w:pPr>
              <w:contextualSpacing/>
              <w:rPr>
                <w:rFonts w:cs="Arial"/>
                <w:sz w:val="22"/>
                <w:szCs w:val="22"/>
              </w:rPr>
            </w:pPr>
            <w:r w:rsidRPr="29D08CD4">
              <w:rPr>
                <w:rFonts w:cs="Arial"/>
                <w:sz w:val="22"/>
                <w:szCs w:val="22"/>
              </w:rPr>
              <w:t xml:space="preserve">Maintaining leader-level engagement and complexity of managing a multi-country coalition including the challenges of building practical consensus. </w:t>
            </w:r>
          </w:p>
          <w:p w14:paraId="0B815F69" w14:textId="77777777" w:rsidR="007B1B9B" w:rsidRPr="007B1B9B" w:rsidRDefault="007B1B9B" w:rsidP="32B552BF">
            <w:pPr>
              <w:contextualSpacing/>
              <w:rPr>
                <w:rFonts w:cs="Arial"/>
                <w:sz w:val="22"/>
                <w:szCs w:val="22"/>
              </w:rPr>
            </w:pPr>
          </w:p>
        </w:tc>
        <w:tc>
          <w:tcPr>
            <w:tcW w:w="4677" w:type="dxa"/>
          </w:tcPr>
          <w:p w14:paraId="00AEE44B" w14:textId="2AA016B1" w:rsidR="00BF2857" w:rsidRPr="00BF2857" w:rsidRDefault="00BF2857" w:rsidP="32B552BF">
            <w:pPr>
              <w:contextualSpacing/>
              <w:rPr>
                <w:rFonts w:cs="Arial"/>
                <w:sz w:val="22"/>
                <w:szCs w:val="22"/>
              </w:rPr>
            </w:pPr>
            <w:r w:rsidRPr="29D08CD4">
              <w:rPr>
                <w:rFonts w:cs="Arial"/>
                <w:sz w:val="22"/>
                <w:szCs w:val="22"/>
              </w:rPr>
              <w:t xml:space="preserve">The FCLP Secretariat will develop an engagement strategy with a dedicated engagement officer to target FCLP partners to ensure that momentum and interest is maintained through the year and not just at UNFCCC COPs.  </w:t>
            </w:r>
          </w:p>
          <w:p w14:paraId="5078BDAE" w14:textId="77777777" w:rsidR="00BF2857" w:rsidRPr="00BF2857" w:rsidRDefault="00BF2857" w:rsidP="32B552BF">
            <w:pPr>
              <w:contextualSpacing/>
              <w:rPr>
                <w:rFonts w:cs="Arial"/>
                <w:sz w:val="22"/>
                <w:szCs w:val="22"/>
              </w:rPr>
            </w:pPr>
          </w:p>
          <w:p w14:paraId="43118B09" w14:textId="67E9E650" w:rsidR="00BF2857" w:rsidRPr="00BF2857" w:rsidRDefault="00BF2857" w:rsidP="32B552BF">
            <w:pPr>
              <w:contextualSpacing/>
              <w:rPr>
                <w:rFonts w:cs="Arial"/>
                <w:sz w:val="22"/>
                <w:szCs w:val="22"/>
              </w:rPr>
            </w:pPr>
            <w:r w:rsidRPr="29D08CD4">
              <w:rPr>
                <w:rFonts w:cs="Arial"/>
                <w:sz w:val="22"/>
                <w:szCs w:val="22"/>
              </w:rPr>
              <w:t xml:space="preserve">The engagement officer will also be responsible for ensuring that members participate in a meaningful way to build a meaningful coalition. </w:t>
            </w:r>
          </w:p>
          <w:p w14:paraId="2EB98D52" w14:textId="77777777" w:rsidR="00BF2857" w:rsidRPr="00BF2857" w:rsidRDefault="00BF2857" w:rsidP="32B552BF">
            <w:pPr>
              <w:contextualSpacing/>
              <w:rPr>
                <w:rFonts w:cs="Arial"/>
                <w:sz w:val="22"/>
                <w:szCs w:val="22"/>
              </w:rPr>
            </w:pPr>
          </w:p>
          <w:p w14:paraId="1F6F4E18" w14:textId="303CF4E8" w:rsidR="00BF2857" w:rsidRPr="00BF2857" w:rsidRDefault="00BF2857" w:rsidP="32B552BF">
            <w:pPr>
              <w:contextualSpacing/>
              <w:rPr>
                <w:rFonts w:cs="Arial"/>
                <w:sz w:val="22"/>
                <w:szCs w:val="22"/>
              </w:rPr>
            </w:pPr>
            <w:r w:rsidRPr="29D08CD4">
              <w:rPr>
                <w:rFonts w:cs="Arial"/>
                <w:sz w:val="22"/>
                <w:szCs w:val="22"/>
              </w:rPr>
              <w:t xml:space="preserve">Members’ buy in will be assessed on an annual basis by the number of members participating on an annual basis at the Leaders’ Level summit to showcase progress made.  </w:t>
            </w:r>
          </w:p>
          <w:p w14:paraId="0C13B741" w14:textId="77777777" w:rsidR="00BF2857" w:rsidRPr="00BF2857" w:rsidRDefault="00BF2857" w:rsidP="32B552BF">
            <w:pPr>
              <w:contextualSpacing/>
              <w:rPr>
                <w:rFonts w:cs="Arial"/>
                <w:sz w:val="22"/>
                <w:szCs w:val="22"/>
              </w:rPr>
            </w:pPr>
          </w:p>
          <w:p w14:paraId="7D35EA3A" w14:textId="1E7D38E8" w:rsidR="007B1B9B" w:rsidRPr="00BF2857" w:rsidRDefault="00BF2857" w:rsidP="32B552BF">
            <w:pPr>
              <w:contextualSpacing/>
              <w:rPr>
                <w:rFonts w:cs="Arial"/>
                <w:sz w:val="22"/>
                <w:szCs w:val="22"/>
              </w:rPr>
            </w:pPr>
            <w:r w:rsidRPr="29D08CD4">
              <w:rPr>
                <w:rFonts w:cs="Arial"/>
                <w:sz w:val="22"/>
                <w:szCs w:val="22"/>
              </w:rPr>
              <w:t>Ministers to keep State Leaders informed on progress achieved to secure their engagement</w:t>
            </w:r>
            <w:r w:rsidR="00506A8E" w:rsidRPr="29D08CD4">
              <w:rPr>
                <w:rFonts w:cs="Arial"/>
                <w:sz w:val="22"/>
                <w:szCs w:val="22"/>
              </w:rPr>
              <w:t>.</w:t>
            </w:r>
          </w:p>
        </w:tc>
        <w:tc>
          <w:tcPr>
            <w:tcW w:w="2217" w:type="dxa"/>
            <w:shd w:val="clear" w:color="auto" w:fill="FF0000"/>
          </w:tcPr>
          <w:p w14:paraId="18679DEC" w14:textId="7A921F89" w:rsidR="007B1B9B" w:rsidRPr="00D80C6C" w:rsidRDefault="00BF2857" w:rsidP="32B552BF">
            <w:pPr>
              <w:contextualSpacing/>
              <w:jc w:val="both"/>
              <w:rPr>
                <w:rFonts w:cs="Arial"/>
                <w:sz w:val="22"/>
                <w:szCs w:val="22"/>
              </w:rPr>
            </w:pPr>
            <w:r w:rsidRPr="29D08CD4">
              <w:rPr>
                <w:rFonts w:cs="Arial"/>
                <w:sz w:val="22"/>
                <w:szCs w:val="22"/>
              </w:rPr>
              <w:t>Major</w:t>
            </w:r>
          </w:p>
        </w:tc>
      </w:tr>
      <w:tr w:rsidR="00610EA6" w:rsidRPr="00D80C6C" w14:paraId="20C81A8A" w14:textId="77777777" w:rsidTr="29D08CD4">
        <w:trPr>
          <w:jc w:val="center"/>
        </w:trPr>
        <w:tc>
          <w:tcPr>
            <w:tcW w:w="2122" w:type="dxa"/>
          </w:tcPr>
          <w:p w14:paraId="5F28BD67" w14:textId="23628460" w:rsidR="00610EA6" w:rsidRPr="007B1B9B" w:rsidRDefault="00610EA6" w:rsidP="32B552BF">
            <w:pPr>
              <w:contextualSpacing/>
              <w:rPr>
                <w:rFonts w:cs="Arial"/>
                <w:sz w:val="22"/>
                <w:szCs w:val="22"/>
              </w:rPr>
            </w:pPr>
            <w:r w:rsidRPr="29D08CD4">
              <w:rPr>
                <w:rFonts w:cs="Arial"/>
                <w:sz w:val="22"/>
                <w:szCs w:val="22"/>
              </w:rPr>
              <w:t xml:space="preserve">Low capability of the FCLP Secretariat to </w:t>
            </w:r>
            <w:r w:rsidRPr="29D08CD4">
              <w:rPr>
                <w:rFonts w:cs="Arial"/>
                <w:sz w:val="22"/>
                <w:szCs w:val="22"/>
              </w:rPr>
              <w:lastRenderedPageBreak/>
              <w:t>support FCLP members to implement meaningful policy changes to reduce deforestation in-country.</w:t>
            </w:r>
          </w:p>
          <w:p w14:paraId="3E451E3A" w14:textId="77777777" w:rsidR="00610EA6" w:rsidRPr="007B1B9B" w:rsidRDefault="00610EA6" w:rsidP="32B552BF">
            <w:pPr>
              <w:contextualSpacing/>
              <w:rPr>
                <w:rFonts w:cs="Arial"/>
                <w:sz w:val="22"/>
                <w:szCs w:val="22"/>
              </w:rPr>
            </w:pPr>
          </w:p>
        </w:tc>
        <w:tc>
          <w:tcPr>
            <w:tcW w:w="4677" w:type="dxa"/>
          </w:tcPr>
          <w:p w14:paraId="38F6F136" w14:textId="044F5E95" w:rsidR="00610EA6" w:rsidRPr="00BF2857" w:rsidRDefault="00610EA6" w:rsidP="32B552BF">
            <w:pPr>
              <w:contextualSpacing/>
              <w:rPr>
                <w:rFonts w:cs="Arial"/>
                <w:sz w:val="22"/>
                <w:szCs w:val="22"/>
              </w:rPr>
            </w:pPr>
            <w:r w:rsidRPr="29D08CD4">
              <w:rPr>
                <w:rFonts w:cs="Arial"/>
                <w:sz w:val="22"/>
                <w:szCs w:val="22"/>
              </w:rPr>
              <w:lastRenderedPageBreak/>
              <w:t xml:space="preserve">Continue to monitor programme with FCLP Secretariat to ensure they are adequately resourced to support FCLP members. </w:t>
            </w:r>
          </w:p>
          <w:p w14:paraId="74906FD8" w14:textId="77777777" w:rsidR="00610EA6" w:rsidRPr="00BF2857" w:rsidRDefault="00610EA6" w:rsidP="32B552BF">
            <w:pPr>
              <w:contextualSpacing/>
              <w:rPr>
                <w:rFonts w:cs="Arial"/>
                <w:sz w:val="22"/>
                <w:szCs w:val="22"/>
              </w:rPr>
            </w:pPr>
          </w:p>
          <w:p w14:paraId="7CA577F3" w14:textId="7AD35B8A" w:rsidR="00610EA6" w:rsidRPr="00BF2857" w:rsidRDefault="00610EA6" w:rsidP="32B552BF">
            <w:pPr>
              <w:contextualSpacing/>
              <w:rPr>
                <w:rFonts w:cs="Arial"/>
                <w:sz w:val="22"/>
                <w:szCs w:val="22"/>
              </w:rPr>
            </w:pPr>
            <w:r w:rsidRPr="29D08CD4">
              <w:rPr>
                <w:rFonts w:cs="Arial"/>
                <w:sz w:val="22"/>
                <w:szCs w:val="22"/>
              </w:rPr>
              <w:t>Annual reviews and reviews of reports will allow identification of issues and escalating them accordingly to the Steering Committee.</w:t>
            </w:r>
          </w:p>
        </w:tc>
        <w:tc>
          <w:tcPr>
            <w:tcW w:w="2217" w:type="dxa"/>
            <w:shd w:val="clear" w:color="auto" w:fill="FFC000" w:themeFill="accent4"/>
          </w:tcPr>
          <w:p w14:paraId="72F7A028" w14:textId="54F61702" w:rsidR="00610EA6" w:rsidRDefault="00610EA6" w:rsidP="32B552BF">
            <w:pPr>
              <w:contextualSpacing/>
              <w:jc w:val="both"/>
              <w:rPr>
                <w:rFonts w:cs="Arial"/>
                <w:sz w:val="22"/>
                <w:szCs w:val="22"/>
              </w:rPr>
            </w:pPr>
            <w:r w:rsidRPr="29D08CD4">
              <w:rPr>
                <w:rFonts w:cs="Arial"/>
                <w:sz w:val="22"/>
                <w:szCs w:val="22"/>
              </w:rPr>
              <w:lastRenderedPageBreak/>
              <w:t>Moderate</w:t>
            </w:r>
          </w:p>
        </w:tc>
      </w:tr>
      <w:tr w:rsidR="00610EA6" w:rsidRPr="00D80C6C" w14:paraId="44AC6D67" w14:textId="77777777" w:rsidTr="29D08CD4">
        <w:trPr>
          <w:jc w:val="center"/>
        </w:trPr>
        <w:tc>
          <w:tcPr>
            <w:tcW w:w="2122" w:type="dxa"/>
          </w:tcPr>
          <w:p w14:paraId="69A18DC3" w14:textId="1B0B7844" w:rsidR="00610EA6" w:rsidRPr="007B1B9B" w:rsidRDefault="00610EA6" w:rsidP="32B552BF">
            <w:pPr>
              <w:contextualSpacing/>
              <w:rPr>
                <w:rFonts w:cs="Arial"/>
                <w:sz w:val="22"/>
                <w:szCs w:val="22"/>
              </w:rPr>
            </w:pPr>
            <w:r w:rsidRPr="29D08CD4">
              <w:rPr>
                <w:rFonts w:cs="Arial"/>
                <w:sz w:val="22"/>
                <w:szCs w:val="22"/>
              </w:rPr>
              <w:t xml:space="preserve">Delivery delays, performance issues, lack of disbursement capacity/capability means funding is not effectively utilised or improper use. </w:t>
            </w:r>
          </w:p>
          <w:p w14:paraId="52FA6091" w14:textId="77777777" w:rsidR="00610EA6" w:rsidRPr="007B1B9B" w:rsidRDefault="00610EA6" w:rsidP="32B552BF">
            <w:pPr>
              <w:contextualSpacing/>
              <w:rPr>
                <w:rFonts w:cs="Arial"/>
                <w:sz w:val="22"/>
                <w:szCs w:val="22"/>
              </w:rPr>
            </w:pPr>
          </w:p>
        </w:tc>
        <w:tc>
          <w:tcPr>
            <w:tcW w:w="4677" w:type="dxa"/>
          </w:tcPr>
          <w:p w14:paraId="6A576FCB" w14:textId="5DA47054" w:rsidR="00610EA6" w:rsidRPr="00BF2857" w:rsidRDefault="00610EA6" w:rsidP="32B552BF">
            <w:pPr>
              <w:contextualSpacing/>
              <w:rPr>
                <w:rFonts w:cs="Arial"/>
                <w:sz w:val="22"/>
                <w:szCs w:val="22"/>
              </w:rPr>
            </w:pPr>
            <w:r w:rsidRPr="29D08CD4">
              <w:rPr>
                <w:rFonts w:cs="Arial"/>
                <w:sz w:val="22"/>
                <w:szCs w:val="22"/>
              </w:rPr>
              <w:t>FCLP Secretariat will be required to send a full budget along with an update on spending along outcomes on a quarterly basis to the Secretariat Board, of which the UK is a member, to have effective oversight on delivery and identify any performance issues early on.</w:t>
            </w:r>
          </w:p>
        </w:tc>
        <w:tc>
          <w:tcPr>
            <w:tcW w:w="2217" w:type="dxa"/>
            <w:shd w:val="clear" w:color="auto" w:fill="FFC000" w:themeFill="accent4"/>
          </w:tcPr>
          <w:p w14:paraId="3768A5C6" w14:textId="709913BB" w:rsidR="00610EA6" w:rsidRPr="00D80C6C" w:rsidRDefault="00610EA6" w:rsidP="32B552BF">
            <w:pPr>
              <w:contextualSpacing/>
              <w:jc w:val="both"/>
              <w:rPr>
                <w:rFonts w:cs="Arial"/>
                <w:sz w:val="22"/>
                <w:szCs w:val="22"/>
              </w:rPr>
            </w:pPr>
            <w:r w:rsidRPr="29D08CD4">
              <w:rPr>
                <w:rFonts w:cs="Arial"/>
                <w:sz w:val="22"/>
                <w:szCs w:val="22"/>
              </w:rPr>
              <w:t>Moderate</w:t>
            </w:r>
          </w:p>
        </w:tc>
      </w:tr>
      <w:tr w:rsidR="00610EA6" w:rsidRPr="00D80C6C" w14:paraId="0FD14156" w14:textId="77777777" w:rsidTr="29D08CD4">
        <w:trPr>
          <w:jc w:val="center"/>
        </w:trPr>
        <w:tc>
          <w:tcPr>
            <w:tcW w:w="2122" w:type="dxa"/>
          </w:tcPr>
          <w:p w14:paraId="14E69684" w14:textId="6EDE6B21" w:rsidR="00610EA6" w:rsidRPr="007B1B9B" w:rsidRDefault="00610EA6" w:rsidP="32B552BF">
            <w:pPr>
              <w:contextualSpacing/>
              <w:rPr>
                <w:rFonts w:cs="Arial"/>
                <w:sz w:val="22"/>
                <w:szCs w:val="22"/>
              </w:rPr>
            </w:pPr>
            <w:r w:rsidRPr="29D08CD4">
              <w:rPr>
                <w:rFonts w:cs="Arial"/>
                <w:sz w:val="22"/>
                <w:szCs w:val="22"/>
              </w:rPr>
              <w:t xml:space="preserve">Funds are not used for their intended purpose </w:t>
            </w:r>
          </w:p>
          <w:p w14:paraId="66A08F86" w14:textId="77777777" w:rsidR="00610EA6" w:rsidRPr="007B1B9B" w:rsidRDefault="00610EA6" w:rsidP="32B552BF">
            <w:pPr>
              <w:contextualSpacing/>
              <w:rPr>
                <w:rFonts w:cs="Arial"/>
                <w:sz w:val="22"/>
                <w:szCs w:val="22"/>
              </w:rPr>
            </w:pPr>
          </w:p>
        </w:tc>
        <w:tc>
          <w:tcPr>
            <w:tcW w:w="4677" w:type="dxa"/>
          </w:tcPr>
          <w:p w14:paraId="4FB9A208" w14:textId="57777924" w:rsidR="00610EA6" w:rsidRPr="006B2D7E" w:rsidRDefault="00610EA6" w:rsidP="32B552BF">
            <w:pPr>
              <w:contextualSpacing/>
              <w:rPr>
                <w:rFonts w:cs="Arial"/>
                <w:sz w:val="22"/>
                <w:szCs w:val="22"/>
              </w:rPr>
            </w:pPr>
            <w:r w:rsidRPr="29D08CD4">
              <w:rPr>
                <w:rFonts w:cs="Arial"/>
                <w:sz w:val="22"/>
                <w:szCs w:val="22"/>
              </w:rPr>
              <w:t xml:space="preserve">The MoU with the delivery partner sets out clear provisions for addressing any potential cases of misuse of programme funding including the expectation that DESNZ will claw back any such funding where possible, and provisions for DESNZ to exit the agreement and provide no further funding in case of serious misdemeanours, significant underperformance or changes to circumstances that seriously jeopardise the likelihood of the programme delivering its intended benefits. </w:t>
            </w:r>
          </w:p>
          <w:p w14:paraId="1F89F715" w14:textId="77777777" w:rsidR="00610EA6" w:rsidRPr="006B2D7E" w:rsidRDefault="00610EA6" w:rsidP="32B552BF">
            <w:pPr>
              <w:contextualSpacing/>
              <w:rPr>
                <w:rFonts w:cs="Arial"/>
                <w:sz w:val="22"/>
                <w:szCs w:val="22"/>
              </w:rPr>
            </w:pPr>
          </w:p>
          <w:p w14:paraId="38AEE2DE" w14:textId="710D1C13" w:rsidR="00610EA6" w:rsidRPr="006B2D7E" w:rsidRDefault="00610EA6" w:rsidP="32B552BF">
            <w:pPr>
              <w:contextualSpacing/>
              <w:rPr>
                <w:rFonts w:cs="Arial"/>
                <w:sz w:val="22"/>
                <w:szCs w:val="22"/>
              </w:rPr>
            </w:pPr>
            <w:r w:rsidRPr="29D08CD4">
              <w:rPr>
                <w:rFonts w:cs="Arial"/>
                <w:sz w:val="22"/>
                <w:szCs w:val="22"/>
              </w:rPr>
              <w:t>The programme will be reviewed on an annual basis and the delivery partner will also be required to produce annual audited accounts in line with International Standards of Auditing (ISA). DESNZ will also have scope to request audits/financial investigations outside this annual schedule to respond to any concerns or discrepancies.</w:t>
            </w:r>
          </w:p>
        </w:tc>
        <w:tc>
          <w:tcPr>
            <w:tcW w:w="2217" w:type="dxa"/>
            <w:shd w:val="clear" w:color="auto" w:fill="FFC000" w:themeFill="accent4"/>
          </w:tcPr>
          <w:p w14:paraId="28423AAA" w14:textId="42570990" w:rsidR="00610EA6" w:rsidRPr="00D80C6C" w:rsidRDefault="00610EA6" w:rsidP="32B552BF">
            <w:pPr>
              <w:contextualSpacing/>
              <w:jc w:val="both"/>
              <w:rPr>
                <w:rFonts w:cs="Arial"/>
                <w:sz w:val="22"/>
                <w:szCs w:val="22"/>
              </w:rPr>
            </w:pPr>
            <w:r w:rsidRPr="29D08CD4">
              <w:rPr>
                <w:rFonts w:cs="Arial"/>
                <w:sz w:val="22"/>
                <w:szCs w:val="22"/>
              </w:rPr>
              <w:t>Moderate</w:t>
            </w:r>
          </w:p>
        </w:tc>
      </w:tr>
      <w:tr w:rsidR="00610EA6" w:rsidRPr="00D80C6C" w14:paraId="347AFC14" w14:textId="77777777" w:rsidTr="29D08CD4">
        <w:trPr>
          <w:jc w:val="center"/>
        </w:trPr>
        <w:tc>
          <w:tcPr>
            <w:tcW w:w="2122" w:type="dxa"/>
          </w:tcPr>
          <w:p w14:paraId="0226265E" w14:textId="7D8EF549" w:rsidR="00610EA6" w:rsidRPr="007B1B9B" w:rsidRDefault="00610EA6" w:rsidP="32B552BF">
            <w:pPr>
              <w:contextualSpacing/>
              <w:rPr>
                <w:rFonts w:cs="Arial"/>
                <w:sz w:val="22"/>
                <w:szCs w:val="22"/>
              </w:rPr>
            </w:pPr>
            <w:r w:rsidRPr="29D08CD4">
              <w:rPr>
                <w:rFonts w:cs="Arial"/>
                <w:sz w:val="22"/>
                <w:szCs w:val="22"/>
              </w:rPr>
              <w:t>Programme expenditure does not represent good VfM </w:t>
            </w:r>
          </w:p>
          <w:p w14:paraId="6BABEED6" w14:textId="77777777" w:rsidR="00610EA6" w:rsidRPr="007B1B9B" w:rsidRDefault="00610EA6" w:rsidP="32B552BF">
            <w:pPr>
              <w:contextualSpacing/>
              <w:rPr>
                <w:rFonts w:cs="Arial"/>
                <w:sz w:val="22"/>
                <w:szCs w:val="22"/>
              </w:rPr>
            </w:pPr>
          </w:p>
        </w:tc>
        <w:tc>
          <w:tcPr>
            <w:tcW w:w="4677" w:type="dxa"/>
          </w:tcPr>
          <w:p w14:paraId="3DF678BC" w14:textId="3BE0B749" w:rsidR="00610EA6" w:rsidRPr="006B2D7E" w:rsidRDefault="00610EA6" w:rsidP="32B552BF">
            <w:pPr>
              <w:contextualSpacing/>
              <w:rPr>
                <w:rFonts w:cs="Arial"/>
                <w:sz w:val="22"/>
                <w:szCs w:val="22"/>
              </w:rPr>
            </w:pPr>
            <w:r w:rsidRPr="29D08CD4">
              <w:rPr>
                <w:rFonts w:cs="Arial"/>
                <w:sz w:val="22"/>
                <w:szCs w:val="22"/>
              </w:rPr>
              <w:t>A full programme review will be conducted by DESNZ on an annual basis including a VfM assessment. If VfM is no longer being delivered, corrective action will be taken, which could include changing or stopping specific elements of the programme and will be reflected it in the grant agreement.</w:t>
            </w:r>
          </w:p>
        </w:tc>
        <w:tc>
          <w:tcPr>
            <w:tcW w:w="2217" w:type="dxa"/>
            <w:shd w:val="clear" w:color="auto" w:fill="FFC000" w:themeFill="accent4"/>
          </w:tcPr>
          <w:p w14:paraId="33829AD7" w14:textId="27F1A5FE" w:rsidR="00610EA6" w:rsidRPr="00D80C6C" w:rsidRDefault="00610EA6" w:rsidP="32B552BF">
            <w:pPr>
              <w:contextualSpacing/>
              <w:jc w:val="both"/>
              <w:rPr>
                <w:rFonts w:cs="Arial"/>
                <w:sz w:val="22"/>
                <w:szCs w:val="22"/>
              </w:rPr>
            </w:pPr>
            <w:r w:rsidRPr="29D08CD4">
              <w:rPr>
                <w:rFonts w:cs="Arial"/>
                <w:sz w:val="22"/>
                <w:szCs w:val="22"/>
              </w:rPr>
              <w:t>Moderate</w:t>
            </w:r>
          </w:p>
        </w:tc>
      </w:tr>
      <w:tr w:rsidR="00610EA6" w:rsidRPr="00D80C6C" w14:paraId="1C8771E2" w14:textId="77777777" w:rsidTr="29D08CD4">
        <w:trPr>
          <w:jc w:val="center"/>
        </w:trPr>
        <w:tc>
          <w:tcPr>
            <w:tcW w:w="2122" w:type="dxa"/>
          </w:tcPr>
          <w:p w14:paraId="1DC8092C" w14:textId="114748F8" w:rsidR="00610EA6" w:rsidRDefault="00610EA6" w:rsidP="32B552BF">
            <w:pPr>
              <w:contextualSpacing/>
              <w:rPr>
                <w:rFonts w:cs="Arial"/>
                <w:sz w:val="22"/>
                <w:szCs w:val="22"/>
              </w:rPr>
            </w:pPr>
            <w:r w:rsidRPr="29D08CD4">
              <w:rPr>
                <w:rFonts w:cs="Arial"/>
                <w:sz w:val="22"/>
                <w:szCs w:val="22"/>
              </w:rPr>
              <w:t xml:space="preserve">Downstream administrative and fiduciary costs are higher than anticipated </w:t>
            </w:r>
          </w:p>
          <w:p w14:paraId="7D799FA5" w14:textId="1A8E4F40" w:rsidR="00610EA6" w:rsidRPr="007B1B9B" w:rsidRDefault="00610EA6" w:rsidP="32B552BF">
            <w:pPr>
              <w:contextualSpacing/>
              <w:rPr>
                <w:rFonts w:cs="Arial"/>
                <w:sz w:val="22"/>
                <w:szCs w:val="22"/>
              </w:rPr>
            </w:pPr>
          </w:p>
        </w:tc>
        <w:tc>
          <w:tcPr>
            <w:tcW w:w="4677" w:type="dxa"/>
          </w:tcPr>
          <w:p w14:paraId="3DEE6E02" w14:textId="1F72C2EE" w:rsidR="00610EA6" w:rsidRPr="00D80C6C" w:rsidRDefault="00610EA6" w:rsidP="32B552BF">
            <w:pPr>
              <w:contextualSpacing/>
              <w:rPr>
                <w:rFonts w:cs="Arial"/>
                <w:b/>
                <w:bCs/>
                <w:sz w:val="22"/>
                <w:szCs w:val="22"/>
              </w:rPr>
            </w:pPr>
            <w:r w:rsidRPr="29D08CD4">
              <w:rPr>
                <w:rFonts w:cs="Arial"/>
                <w:sz w:val="22"/>
                <w:szCs w:val="22"/>
              </w:rPr>
              <w:t xml:space="preserve">FCLP Secretariat and DESNZ have weekly meetings and DESNZ is closely involved during the setup of the programmes. Should the downstream fiduciary fees exceed the planned for amounts, we will be informed prior to formalisation of downstream contract, allowing for DESNZ to resolve funding concerns.  </w:t>
            </w:r>
          </w:p>
        </w:tc>
        <w:tc>
          <w:tcPr>
            <w:tcW w:w="2217" w:type="dxa"/>
            <w:shd w:val="clear" w:color="auto" w:fill="FFC000" w:themeFill="accent4"/>
          </w:tcPr>
          <w:p w14:paraId="7EFF204F" w14:textId="03426836" w:rsidR="00610EA6" w:rsidRPr="00D80C6C" w:rsidRDefault="00610EA6" w:rsidP="32B552BF">
            <w:pPr>
              <w:contextualSpacing/>
              <w:rPr>
                <w:rFonts w:cs="Arial"/>
                <w:sz w:val="22"/>
                <w:szCs w:val="22"/>
              </w:rPr>
            </w:pPr>
            <w:r w:rsidRPr="29D08CD4">
              <w:rPr>
                <w:rFonts w:cs="Arial"/>
                <w:sz w:val="22"/>
                <w:szCs w:val="22"/>
              </w:rPr>
              <w:t>Moderate</w:t>
            </w:r>
          </w:p>
        </w:tc>
      </w:tr>
      <w:tr w:rsidR="00610EA6" w:rsidRPr="00D80C6C" w14:paraId="2C755D3E" w14:textId="77777777" w:rsidTr="29D08CD4">
        <w:trPr>
          <w:jc w:val="center"/>
        </w:trPr>
        <w:tc>
          <w:tcPr>
            <w:tcW w:w="2122" w:type="dxa"/>
          </w:tcPr>
          <w:p w14:paraId="59A97EA1" w14:textId="21DD322D" w:rsidR="00610EA6" w:rsidRPr="007B1B9B" w:rsidRDefault="00610EA6" w:rsidP="32B552BF">
            <w:pPr>
              <w:contextualSpacing/>
              <w:rPr>
                <w:rFonts w:cs="Arial"/>
                <w:sz w:val="22"/>
                <w:szCs w:val="22"/>
              </w:rPr>
            </w:pPr>
            <w:r w:rsidRPr="29D08CD4">
              <w:rPr>
                <w:rFonts w:cs="Arial"/>
                <w:sz w:val="22"/>
                <w:szCs w:val="22"/>
              </w:rPr>
              <w:t>Insufficient resources for the FCLP secretariat</w:t>
            </w:r>
          </w:p>
        </w:tc>
        <w:tc>
          <w:tcPr>
            <w:tcW w:w="4677" w:type="dxa"/>
          </w:tcPr>
          <w:p w14:paraId="0BBF27FD" w14:textId="730C6E44" w:rsidR="00610EA6" w:rsidRPr="006B2D7E" w:rsidRDefault="00610EA6" w:rsidP="32B552BF">
            <w:pPr>
              <w:contextualSpacing/>
              <w:rPr>
                <w:rFonts w:cs="Arial"/>
                <w:sz w:val="22"/>
                <w:szCs w:val="22"/>
              </w:rPr>
            </w:pPr>
            <w:r w:rsidRPr="29D08CD4">
              <w:rPr>
                <w:rFonts w:cs="Arial"/>
                <w:sz w:val="22"/>
                <w:szCs w:val="22"/>
              </w:rPr>
              <w:t xml:space="preserve">As a co-chair, a role of the UK is to mobilise sufficient resource for the FCLP Secretariat. </w:t>
            </w:r>
          </w:p>
          <w:p w14:paraId="3F6DBCC6" w14:textId="77777777" w:rsidR="00610EA6" w:rsidRPr="006B2D7E" w:rsidRDefault="00610EA6" w:rsidP="32B552BF">
            <w:pPr>
              <w:contextualSpacing/>
              <w:rPr>
                <w:rFonts w:cs="Arial"/>
                <w:sz w:val="22"/>
                <w:szCs w:val="22"/>
              </w:rPr>
            </w:pPr>
          </w:p>
          <w:p w14:paraId="566BD1DC" w14:textId="50767CCA" w:rsidR="00610EA6" w:rsidRPr="006B2D7E" w:rsidRDefault="00610EA6" w:rsidP="32B552BF">
            <w:pPr>
              <w:contextualSpacing/>
              <w:rPr>
                <w:rFonts w:cs="Arial"/>
                <w:sz w:val="22"/>
                <w:szCs w:val="22"/>
              </w:rPr>
            </w:pPr>
            <w:r w:rsidRPr="29D08CD4">
              <w:rPr>
                <w:rFonts w:cs="Arial"/>
                <w:sz w:val="22"/>
                <w:szCs w:val="22"/>
              </w:rPr>
              <w:lastRenderedPageBreak/>
              <w:t xml:space="preserve">The secretariat will work with Co-chairs on resource mobilisation with a diverse funding profile, including FCLP members and philanthropic organisations. </w:t>
            </w:r>
          </w:p>
        </w:tc>
        <w:tc>
          <w:tcPr>
            <w:tcW w:w="2217" w:type="dxa"/>
            <w:shd w:val="clear" w:color="auto" w:fill="FFC000" w:themeFill="accent4"/>
          </w:tcPr>
          <w:p w14:paraId="015EC9EE" w14:textId="56B7079A" w:rsidR="00610EA6" w:rsidRPr="00D80C6C" w:rsidRDefault="00610EA6" w:rsidP="32B552BF">
            <w:pPr>
              <w:contextualSpacing/>
              <w:jc w:val="both"/>
              <w:rPr>
                <w:rFonts w:cs="Arial"/>
                <w:sz w:val="22"/>
                <w:szCs w:val="22"/>
              </w:rPr>
            </w:pPr>
            <w:r w:rsidRPr="29D08CD4">
              <w:rPr>
                <w:rFonts w:cs="Arial"/>
                <w:sz w:val="22"/>
                <w:szCs w:val="22"/>
              </w:rPr>
              <w:lastRenderedPageBreak/>
              <w:t>Moderate</w:t>
            </w:r>
          </w:p>
        </w:tc>
      </w:tr>
      <w:tr w:rsidR="00610EA6" w:rsidRPr="00D80C6C" w14:paraId="240D9836" w14:textId="77777777" w:rsidTr="29D08CD4">
        <w:trPr>
          <w:jc w:val="center"/>
        </w:trPr>
        <w:tc>
          <w:tcPr>
            <w:tcW w:w="2122" w:type="dxa"/>
          </w:tcPr>
          <w:p w14:paraId="5AE59E38" w14:textId="27C6AF64" w:rsidR="00610EA6" w:rsidRPr="007B1B9B" w:rsidRDefault="00610EA6" w:rsidP="32B552BF">
            <w:pPr>
              <w:contextualSpacing/>
              <w:rPr>
                <w:rFonts w:cs="Arial"/>
                <w:sz w:val="22"/>
                <w:szCs w:val="22"/>
              </w:rPr>
            </w:pPr>
            <w:r w:rsidRPr="29D08CD4">
              <w:rPr>
                <w:rFonts w:cs="Arial"/>
                <w:sz w:val="22"/>
                <w:szCs w:val="22"/>
              </w:rPr>
              <w:t xml:space="preserve">Slow disbursement of Grant </w:t>
            </w:r>
          </w:p>
          <w:p w14:paraId="356FC2FA" w14:textId="77777777" w:rsidR="00610EA6" w:rsidRDefault="00610EA6" w:rsidP="32B552BF">
            <w:pPr>
              <w:contextualSpacing/>
              <w:rPr>
                <w:rFonts w:cs="Arial"/>
                <w:sz w:val="22"/>
                <w:szCs w:val="22"/>
              </w:rPr>
            </w:pPr>
          </w:p>
        </w:tc>
        <w:tc>
          <w:tcPr>
            <w:tcW w:w="4677" w:type="dxa"/>
          </w:tcPr>
          <w:p w14:paraId="1B97B23C" w14:textId="694D5DBA" w:rsidR="00610EA6" w:rsidRDefault="00610EA6" w:rsidP="32B552BF">
            <w:pPr>
              <w:contextualSpacing/>
              <w:rPr>
                <w:rFonts w:cs="Arial"/>
                <w:sz w:val="22"/>
                <w:szCs w:val="22"/>
              </w:rPr>
            </w:pPr>
            <w:r w:rsidRPr="29D08CD4">
              <w:rPr>
                <w:rFonts w:cs="Arial"/>
                <w:sz w:val="22"/>
                <w:szCs w:val="22"/>
              </w:rPr>
              <w:t>DESNZ programme team will work with the FCLP Secretariat to ensure timely delivery of activities and disbursement of funding, as well as developing an appropriate schedule to forecast expenditure allowing for quicker payments.</w:t>
            </w:r>
          </w:p>
        </w:tc>
        <w:tc>
          <w:tcPr>
            <w:tcW w:w="2217" w:type="dxa"/>
            <w:shd w:val="clear" w:color="auto" w:fill="92D050"/>
          </w:tcPr>
          <w:p w14:paraId="259D713B" w14:textId="488C6C0B" w:rsidR="00610EA6" w:rsidRDefault="00610EA6" w:rsidP="32B552BF">
            <w:pPr>
              <w:contextualSpacing/>
              <w:jc w:val="both"/>
              <w:rPr>
                <w:rFonts w:cs="Arial"/>
                <w:sz w:val="22"/>
                <w:szCs w:val="22"/>
              </w:rPr>
            </w:pPr>
            <w:r w:rsidRPr="29D08CD4">
              <w:rPr>
                <w:rFonts w:cs="Arial"/>
                <w:sz w:val="22"/>
                <w:szCs w:val="22"/>
              </w:rPr>
              <w:t>Minor</w:t>
            </w:r>
          </w:p>
        </w:tc>
      </w:tr>
      <w:tr w:rsidR="00610EA6" w:rsidRPr="00D80C6C" w14:paraId="4B0AEA42" w14:textId="77777777" w:rsidTr="29D08CD4">
        <w:trPr>
          <w:jc w:val="center"/>
        </w:trPr>
        <w:tc>
          <w:tcPr>
            <w:tcW w:w="2122" w:type="dxa"/>
          </w:tcPr>
          <w:p w14:paraId="54FDB372" w14:textId="11534067" w:rsidR="00610EA6" w:rsidRPr="007B1B9B" w:rsidRDefault="00610EA6" w:rsidP="32B552BF">
            <w:pPr>
              <w:contextualSpacing/>
              <w:rPr>
                <w:rFonts w:cs="Arial"/>
                <w:sz w:val="22"/>
                <w:szCs w:val="22"/>
              </w:rPr>
            </w:pPr>
            <w:r w:rsidRPr="29D08CD4">
              <w:rPr>
                <w:rFonts w:cs="Arial"/>
                <w:sz w:val="22"/>
                <w:szCs w:val="22"/>
              </w:rPr>
              <w:t>The UK loses control on how its funding is being used</w:t>
            </w:r>
          </w:p>
          <w:p w14:paraId="0A650CEC" w14:textId="02258D4F" w:rsidR="00610EA6" w:rsidRPr="007B1B9B" w:rsidRDefault="00610EA6" w:rsidP="32B552BF">
            <w:pPr>
              <w:contextualSpacing/>
              <w:rPr>
                <w:rFonts w:cs="Arial"/>
                <w:sz w:val="22"/>
                <w:szCs w:val="22"/>
              </w:rPr>
            </w:pPr>
          </w:p>
        </w:tc>
        <w:tc>
          <w:tcPr>
            <w:tcW w:w="4677" w:type="dxa"/>
          </w:tcPr>
          <w:p w14:paraId="5ABE4163" w14:textId="6E0C8A04" w:rsidR="00610EA6" w:rsidRPr="006B2D7E" w:rsidRDefault="00610EA6" w:rsidP="32B552BF">
            <w:pPr>
              <w:contextualSpacing/>
              <w:rPr>
                <w:rFonts w:cs="Arial"/>
                <w:sz w:val="22"/>
                <w:szCs w:val="22"/>
              </w:rPr>
            </w:pPr>
            <w:r w:rsidRPr="29D08CD4">
              <w:rPr>
                <w:rFonts w:cs="Arial"/>
                <w:sz w:val="22"/>
                <w:szCs w:val="22"/>
              </w:rPr>
              <w:t xml:space="preserve">We have specified in the MoU with the delivery partner that UK funding is to be used for specific activities subject to an agreed workplan and budget with the FCLP Steering Committee. </w:t>
            </w:r>
          </w:p>
          <w:p w14:paraId="4FDF4D67" w14:textId="77777777" w:rsidR="00610EA6" w:rsidRPr="006B2D7E" w:rsidRDefault="00610EA6" w:rsidP="32B552BF">
            <w:pPr>
              <w:contextualSpacing/>
              <w:rPr>
                <w:rFonts w:cs="Arial"/>
                <w:sz w:val="22"/>
                <w:szCs w:val="22"/>
              </w:rPr>
            </w:pPr>
          </w:p>
          <w:p w14:paraId="61AD7154" w14:textId="45FF96F0" w:rsidR="00610EA6" w:rsidRPr="00D80C6C" w:rsidRDefault="00610EA6" w:rsidP="32B552BF">
            <w:pPr>
              <w:contextualSpacing/>
              <w:rPr>
                <w:rFonts w:cs="Arial"/>
                <w:b/>
                <w:bCs/>
                <w:sz w:val="22"/>
                <w:szCs w:val="22"/>
              </w:rPr>
            </w:pPr>
            <w:r w:rsidRPr="29D08CD4">
              <w:rPr>
                <w:rFonts w:cs="Arial"/>
                <w:sz w:val="22"/>
                <w:szCs w:val="22"/>
              </w:rPr>
              <w:t>The FCLP Secretariat will be required to provide a breakdown of spending on a quarterly basis to the Secretariat Board, which the UK is a member of, in order to monitor spending.</w:t>
            </w:r>
          </w:p>
        </w:tc>
        <w:tc>
          <w:tcPr>
            <w:tcW w:w="2217" w:type="dxa"/>
            <w:shd w:val="clear" w:color="auto" w:fill="92D050"/>
          </w:tcPr>
          <w:p w14:paraId="55E19B2D" w14:textId="60883587" w:rsidR="00610EA6" w:rsidRPr="00D80C6C" w:rsidRDefault="00610EA6" w:rsidP="32B552BF">
            <w:pPr>
              <w:contextualSpacing/>
              <w:jc w:val="both"/>
              <w:rPr>
                <w:rFonts w:cs="Arial"/>
                <w:sz w:val="22"/>
                <w:szCs w:val="22"/>
              </w:rPr>
            </w:pPr>
            <w:r w:rsidRPr="29D08CD4">
              <w:rPr>
                <w:rFonts w:cs="Arial"/>
                <w:sz w:val="22"/>
                <w:szCs w:val="22"/>
              </w:rPr>
              <w:t>Minor</w:t>
            </w:r>
          </w:p>
        </w:tc>
      </w:tr>
      <w:tr w:rsidR="00610EA6" w:rsidRPr="00D80C6C" w14:paraId="46978DE4" w14:textId="77777777" w:rsidTr="29D08CD4">
        <w:trPr>
          <w:jc w:val="center"/>
        </w:trPr>
        <w:tc>
          <w:tcPr>
            <w:tcW w:w="2122" w:type="dxa"/>
          </w:tcPr>
          <w:p w14:paraId="670915A6" w14:textId="2EC10825" w:rsidR="00610EA6" w:rsidRPr="007B1B9B" w:rsidRDefault="00610EA6" w:rsidP="32B552BF">
            <w:pPr>
              <w:contextualSpacing/>
              <w:rPr>
                <w:rFonts w:cs="Arial"/>
                <w:sz w:val="22"/>
                <w:szCs w:val="22"/>
              </w:rPr>
            </w:pPr>
            <w:r w:rsidRPr="29D08CD4">
              <w:rPr>
                <w:rFonts w:cs="Arial"/>
                <w:sz w:val="22"/>
                <w:szCs w:val="22"/>
              </w:rPr>
              <w:t>Currency risk</w:t>
            </w:r>
          </w:p>
        </w:tc>
        <w:tc>
          <w:tcPr>
            <w:tcW w:w="4677" w:type="dxa"/>
          </w:tcPr>
          <w:p w14:paraId="62906389" w14:textId="62081316" w:rsidR="00610EA6" w:rsidRPr="006B2D7E" w:rsidRDefault="00610EA6" w:rsidP="32B552BF">
            <w:pPr>
              <w:contextualSpacing/>
              <w:rPr>
                <w:rFonts w:cs="Arial"/>
                <w:sz w:val="22"/>
                <w:szCs w:val="22"/>
              </w:rPr>
            </w:pPr>
            <w:r w:rsidRPr="29D08CD4">
              <w:rPr>
                <w:rFonts w:cs="Arial"/>
                <w:sz w:val="22"/>
                <w:szCs w:val="22"/>
              </w:rPr>
              <w:t>DESNZ will not accept any currency risk; in the case of adverse foreign currency movements, we will not be expected to contribute any additional funding. This is agreed with the FCLP Secretariat as part of the funding agreement.</w:t>
            </w:r>
          </w:p>
        </w:tc>
        <w:tc>
          <w:tcPr>
            <w:tcW w:w="2217" w:type="dxa"/>
            <w:shd w:val="clear" w:color="auto" w:fill="92D050"/>
          </w:tcPr>
          <w:p w14:paraId="58476917" w14:textId="6FC23844" w:rsidR="00610EA6" w:rsidRPr="00D80C6C" w:rsidRDefault="00610EA6" w:rsidP="32B552BF">
            <w:pPr>
              <w:contextualSpacing/>
              <w:jc w:val="both"/>
              <w:rPr>
                <w:rFonts w:cs="Arial"/>
                <w:sz w:val="22"/>
                <w:szCs w:val="22"/>
              </w:rPr>
            </w:pPr>
            <w:r w:rsidRPr="29D08CD4">
              <w:rPr>
                <w:rFonts w:cs="Arial"/>
                <w:sz w:val="22"/>
                <w:szCs w:val="22"/>
              </w:rPr>
              <w:t>Minor</w:t>
            </w:r>
          </w:p>
        </w:tc>
      </w:tr>
    </w:tbl>
    <w:p w14:paraId="68B30AF7" w14:textId="77777777" w:rsidR="00D0302B" w:rsidRDefault="00D0302B" w:rsidP="32B552BF">
      <w:pPr>
        <w:contextualSpacing/>
        <w:jc w:val="both"/>
        <w:rPr>
          <w:rStyle w:val="Heading2Char"/>
        </w:rPr>
      </w:pPr>
    </w:p>
    <w:p w14:paraId="0D6C7F7D" w14:textId="730FE774" w:rsidR="00BF2857" w:rsidRDefault="00B74143" w:rsidP="32B552BF">
      <w:pPr>
        <w:contextualSpacing/>
        <w:jc w:val="both"/>
        <w:rPr>
          <w:rFonts w:cs="Arial"/>
          <w:sz w:val="22"/>
          <w:szCs w:val="22"/>
        </w:rPr>
      </w:pPr>
      <w:bookmarkStart w:id="21" w:name="_Toc192633498"/>
      <w:r w:rsidRPr="29D08CD4">
        <w:rPr>
          <w:rStyle w:val="Heading2Char"/>
        </w:rPr>
        <w:t>Outstanding actions from risk assessment</w:t>
      </w:r>
      <w:bookmarkEnd w:id="21"/>
      <w:r w:rsidRPr="29D08CD4">
        <w:rPr>
          <w:rFonts w:cs="Arial"/>
          <w:b/>
          <w:bCs/>
          <w:sz w:val="22"/>
          <w:szCs w:val="22"/>
        </w:rPr>
        <w:t xml:space="preserve"> </w:t>
      </w:r>
    </w:p>
    <w:p w14:paraId="040EAC95" w14:textId="77777777" w:rsidR="00BF2857" w:rsidRDefault="00BF2857" w:rsidP="32B552BF">
      <w:pPr>
        <w:contextualSpacing/>
        <w:jc w:val="both"/>
        <w:rPr>
          <w:rFonts w:cs="Arial"/>
          <w:sz w:val="22"/>
          <w:szCs w:val="22"/>
        </w:rPr>
      </w:pPr>
    </w:p>
    <w:p w14:paraId="42867710" w14:textId="220F554E" w:rsidR="003D222C" w:rsidRPr="00D0302B" w:rsidRDefault="00CF2576" w:rsidP="32B552BF">
      <w:pPr>
        <w:contextualSpacing/>
        <w:jc w:val="both"/>
        <w:rPr>
          <w:rFonts w:cs="Arial"/>
          <w:sz w:val="22"/>
          <w:szCs w:val="22"/>
        </w:rPr>
      </w:pPr>
      <w:r w:rsidRPr="29D08CD4">
        <w:rPr>
          <w:rFonts w:cs="Arial"/>
          <w:sz w:val="22"/>
          <w:szCs w:val="22"/>
        </w:rPr>
        <w:t>A number of actions identified to manage risk in the business case have been addressed by ensuring the MoU with the delivery partner includes sufficient provisions to manage risk. Risk management will be ongoing throughout the programme lifetime.</w:t>
      </w:r>
    </w:p>
    <w:p w14:paraId="4ED4E9FA" w14:textId="59210279" w:rsidR="00CB2873" w:rsidRDefault="00CB2873" w:rsidP="32B552BF">
      <w:pPr>
        <w:jc w:val="both"/>
        <w:rPr>
          <w:rFonts w:cs="Arial"/>
          <w:sz w:val="22"/>
          <w:szCs w:val="22"/>
        </w:rPr>
      </w:pPr>
    </w:p>
    <w:tbl>
      <w:tblPr>
        <w:tblStyle w:val="TableGrid"/>
        <w:tblW w:w="0" w:type="auto"/>
        <w:tblLook w:val="04A0" w:firstRow="1" w:lastRow="0" w:firstColumn="1" w:lastColumn="0" w:noHBand="0" w:noVBand="1"/>
      </w:tblPr>
      <w:tblGrid>
        <w:gridCol w:w="9016"/>
      </w:tblGrid>
      <w:tr w:rsidR="00CB2873" w14:paraId="3775346F" w14:textId="77777777" w:rsidTr="29D08CD4">
        <w:tc>
          <w:tcPr>
            <w:tcW w:w="9016" w:type="dxa"/>
            <w:shd w:val="clear" w:color="auto" w:fill="DEEAF6" w:themeFill="accent5" w:themeFillTint="33"/>
          </w:tcPr>
          <w:p w14:paraId="64B9656F" w14:textId="7E2713CA" w:rsidR="00CB2873" w:rsidRDefault="2C7057B1" w:rsidP="32B552BF">
            <w:pPr>
              <w:jc w:val="both"/>
              <w:rPr>
                <w:rStyle w:val="Heading1Char"/>
                <w:rFonts w:ascii="Arial" w:hAnsi="Arial" w:cs="Arial"/>
                <w:b/>
                <w:bCs/>
                <w:color w:val="auto"/>
              </w:rPr>
            </w:pPr>
            <w:bookmarkStart w:id="22" w:name="_Toc192633499"/>
            <w:r w:rsidRPr="29D08CD4">
              <w:rPr>
                <w:rStyle w:val="Heading1Char"/>
                <w:rFonts w:ascii="Arial" w:hAnsi="Arial" w:cs="Arial"/>
                <w:b/>
                <w:bCs/>
                <w:color w:val="auto"/>
              </w:rPr>
              <w:t>Section F: Programme management: delivery, VfM, commercial and financial performance</w:t>
            </w:r>
            <w:bookmarkEnd w:id="22"/>
          </w:p>
        </w:tc>
      </w:tr>
    </w:tbl>
    <w:p w14:paraId="6268AFF3" w14:textId="7623B8C4" w:rsidR="00CB2873" w:rsidRDefault="00CB2873" w:rsidP="32B552BF">
      <w:pPr>
        <w:jc w:val="both"/>
        <w:rPr>
          <w:rFonts w:cs="Arial"/>
          <w:sz w:val="22"/>
          <w:szCs w:val="22"/>
        </w:rPr>
      </w:pPr>
    </w:p>
    <w:p w14:paraId="3B873EA5" w14:textId="0F2E1283" w:rsidR="003D222C" w:rsidRPr="00D80C6C" w:rsidRDefault="003D222C" w:rsidP="004D5FD5">
      <w:pPr>
        <w:jc w:val="both"/>
        <w:rPr>
          <w:rFonts w:cs="Arial"/>
          <w:b/>
          <w:bCs/>
          <w:sz w:val="22"/>
          <w:szCs w:val="22"/>
        </w:rPr>
      </w:pPr>
      <w:bookmarkStart w:id="23" w:name="_Toc192633500"/>
      <w:r w:rsidRPr="29D08CD4">
        <w:rPr>
          <w:rStyle w:val="Heading2Char"/>
        </w:rPr>
        <w:t>Summa</w:t>
      </w:r>
      <w:r w:rsidR="00272DF1" w:rsidRPr="29D08CD4">
        <w:rPr>
          <w:rStyle w:val="Heading2Char"/>
        </w:rPr>
        <w:t>ry of</w:t>
      </w:r>
      <w:r w:rsidRPr="29D08CD4">
        <w:rPr>
          <w:rStyle w:val="Heading2Char"/>
        </w:rPr>
        <w:t xml:space="preserve"> the performance of partners and </w:t>
      </w:r>
      <w:r w:rsidR="00BF633B" w:rsidRPr="29D08CD4">
        <w:rPr>
          <w:rStyle w:val="Heading2Char"/>
        </w:rPr>
        <w:t>DESNZ</w:t>
      </w:r>
      <w:r w:rsidRPr="29D08CD4">
        <w:rPr>
          <w:rStyle w:val="Heading2Char"/>
        </w:rPr>
        <w:t>, notably on commercial and financial issues, and including consideration of VfM.</w:t>
      </w:r>
      <w:bookmarkEnd w:id="23"/>
    </w:p>
    <w:p w14:paraId="2C3EF177" w14:textId="77777777" w:rsidR="00D0302B" w:rsidRDefault="00D0302B" w:rsidP="32B552BF">
      <w:pPr>
        <w:jc w:val="both"/>
        <w:rPr>
          <w:rFonts w:cs="Arial"/>
          <w:sz w:val="22"/>
          <w:szCs w:val="22"/>
        </w:rPr>
      </w:pPr>
    </w:p>
    <w:p w14:paraId="0799F4F4" w14:textId="4506E6E8" w:rsidR="004803AC" w:rsidRPr="004803AC" w:rsidRDefault="004803AC" w:rsidP="004803AC">
      <w:pPr>
        <w:jc w:val="both"/>
        <w:rPr>
          <w:rFonts w:cs="Arial"/>
          <w:b/>
          <w:bCs/>
          <w:sz w:val="22"/>
          <w:szCs w:val="22"/>
        </w:rPr>
      </w:pPr>
    </w:p>
    <w:p w14:paraId="5A7C5C3A" w14:textId="3E8FFE24" w:rsidR="00DB4C35" w:rsidRPr="00DB4C35" w:rsidRDefault="00DB4C35" w:rsidP="00DB4C35">
      <w:pPr>
        <w:jc w:val="both"/>
        <w:rPr>
          <w:rFonts w:cs="Arial"/>
          <w:b/>
          <w:bCs/>
          <w:sz w:val="22"/>
          <w:szCs w:val="22"/>
        </w:rPr>
      </w:pPr>
      <w:r w:rsidRPr="29D08CD4">
        <w:rPr>
          <w:rFonts w:cs="Arial"/>
          <w:b/>
          <w:bCs/>
          <w:sz w:val="22"/>
          <w:szCs w:val="22"/>
        </w:rPr>
        <w:t>Delivery Performance</w:t>
      </w:r>
    </w:p>
    <w:p w14:paraId="6FEB000C" w14:textId="7F806C26" w:rsidR="00DB4C35" w:rsidRPr="00DB4C35" w:rsidRDefault="1C6003B3" w:rsidP="201EFFDD">
      <w:pPr>
        <w:jc w:val="both"/>
        <w:rPr>
          <w:rFonts w:cs="Arial"/>
          <w:sz w:val="22"/>
          <w:szCs w:val="22"/>
        </w:rPr>
      </w:pPr>
      <w:r w:rsidRPr="29D08CD4">
        <w:rPr>
          <w:rFonts w:cs="Arial"/>
          <w:sz w:val="22"/>
          <w:szCs w:val="22"/>
        </w:rPr>
        <w:t>The FCLP Secretariat was originally built around the UNDP being the formal long-term host. Germany was the first donor to contribute to the FCLP, providing approximately £1.3m to the UNDP for the initial set up. In July 2024, the UNDP stepped down as the formal long-term host due to budget constraints and governance issues. UNDP continued as interim host until December 2024, when the Steering Committee appointed UNOPS as the new primary host. This obviates the need for a second delivery partner.</w:t>
      </w:r>
    </w:p>
    <w:p w14:paraId="270EC0DC" w14:textId="183131F3" w:rsidR="00DB4C35" w:rsidRDefault="00DB4C35" w:rsidP="32B552BF">
      <w:pPr>
        <w:jc w:val="both"/>
        <w:rPr>
          <w:rFonts w:cs="Arial"/>
          <w:sz w:val="22"/>
          <w:szCs w:val="22"/>
        </w:rPr>
      </w:pPr>
      <w:r w:rsidRPr="29D08CD4">
        <w:rPr>
          <w:rFonts w:cs="Arial"/>
          <w:sz w:val="22"/>
          <w:szCs w:val="22"/>
        </w:rPr>
        <w:t xml:space="preserve">As the MoU governing the programme was signed in October 2024, there is limited evidence of performance of partners and DESNZ to assess in this Annual Review. As the UK took on the role of FCLP co-chair in November 2024, this provides increased opportunity for dialogue, with the FCLP Secretariat delivering the programme through weekly coordination calls. No monitoring and evaluation (M&amp;E) activities took place in 2024 as the FCLP is in its inception phase. There is no dedicated line in the budget for M&amp;E due to the FCLP’s small and low-risk </w:t>
      </w:r>
      <w:r w:rsidRPr="29D08CD4">
        <w:rPr>
          <w:rFonts w:cs="Arial"/>
          <w:sz w:val="22"/>
          <w:szCs w:val="22"/>
        </w:rPr>
        <w:lastRenderedPageBreak/>
        <w:t>nature, but the UK will develop an approach to M&amp;E in 2025, ready for the 2025 Annual Review.</w:t>
      </w:r>
    </w:p>
    <w:p w14:paraId="5B2C10BE" w14:textId="77777777" w:rsidR="00610EA6" w:rsidRPr="00FC2DA0" w:rsidRDefault="00610EA6" w:rsidP="32B552BF">
      <w:pPr>
        <w:jc w:val="both"/>
        <w:rPr>
          <w:rFonts w:cs="Arial"/>
          <w:sz w:val="22"/>
          <w:szCs w:val="22"/>
        </w:rPr>
      </w:pPr>
    </w:p>
    <w:p w14:paraId="17134EE4" w14:textId="1C270E4F" w:rsidR="00DB4C35" w:rsidRPr="00DB4C35" w:rsidRDefault="00DB4C35" w:rsidP="00DB4C35">
      <w:pPr>
        <w:jc w:val="both"/>
        <w:rPr>
          <w:rFonts w:cs="Arial"/>
          <w:b/>
          <w:bCs/>
          <w:sz w:val="22"/>
          <w:szCs w:val="22"/>
        </w:rPr>
      </w:pPr>
      <w:r w:rsidRPr="29D08CD4">
        <w:rPr>
          <w:rFonts w:cs="Arial"/>
          <w:b/>
          <w:bCs/>
          <w:sz w:val="22"/>
          <w:szCs w:val="22"/>
        </w:rPr>
        <w:t>Value for Money (VfM)</w:t>
      </w:r>
    </w:p>
    <w:p w14:paraId="5AC64516" w14:textId="2C1978F7" w:rsidR="00DB4C35" w:rsidRPr="00DB4C35" w:rsidRDefault="00DB4C35" w:rsidP="32B552BF">
      <w:pPr>
        <w:jc w:val="both"/>
        <w:rPr>
          <w:rFonts w:cs="Arial"/>
          <w:sz w:val="22"/>
          <w:szCs w:val="22"/>
        </w:rPr>
      </w:pPr>
      <w:r w:rsidRPr="29D08CD4">
        <w:rPr>
          <w:rFonts w:cs="Arial"/>
          <w:sz w:val="22"/>
          <w:szCs w:val="22"/>
        </w:rPr>
        <w:t>It is too early to determine whether the UK’s contribution to the programme has deviated significantly from the original VfM expectations set out in the Business Case. The FCLP is in its preliminary phase, and as such is not scoring against any outputs currently, with the logframe finalised in March 2025. However, early indications from the original delivery partner, UNDP—which was not UK-funded—and initial work from the UK-funded delivery partner UNOPS, offers positive insights. The following VfM assessment outlines key updates on VfM since the Business Case was completed.</w:t>
      </w:r>
    </w:p>
    <w:p w14:paraId="3993EF19" w14:textId="77777777" w:rsidR="00DB4C35" w:rsidRDefault="00DB4C35" w:rsidP="00DB4C35">
      <w:pPr>
        <w:jc w:val="both"/>
        <w:rPr>
          <w:rFonts w:cs="Arial"/>
          <w:b/>
          <w:bCs/>
          <w:sz w:val="22"/>
          <w:szCs w:val="22"/>
        </w:rPr>
      </w:pPr>
    </w:p>
    <w:p w14:paraId="0355490B" w14:textId="1759592B" w:rsidR="00DB4C35" w:rsidRPr="00DB4C35" w:rsidRDefault="00DB4C35" w:rsidP="00DB4C35">
      <w:pPr>
        <w:jc w:val="both"/>
        <w:rPr>
          <w:rFonts w:cs="Arial"/>
          <w:b/>
          <w:bCs/>
          <w:sz w:val="22"/>
          <w:szCs w:val="22"/>
        </w:rPr>
      </w:pPr>
      <w:r w:rsidRPr="29D08CD4">
        <w:rPr>
          <w:rFonts w:cs="Arial"/>
          <w:b/>
          <w:bCs/>
          <w:sz w:val="22"/>
          <w:szCs w:val="22"/>
        </w:rPr>
        <w:t>Economy</w:t>
      </w:r>
    </w:p>
    <w:p w14:paraId="79DFDB9F" w14:textId="2921D685" w:rsidR="00DB4C35" w:rsidRPr="00DB4C35" w:rsidRDefault="00DB4C35" w:rsidP="32B552BF">
      <w:pPr>
        <w:jc w:val="both"/>
        <w:rPr>
          <w:rFonts w:cs="Arial"/>
          <w:sz w:val="22"/>
          <w:szCs w:val="22"/>
        </w:rPr>
      </w:pPr>
      <w:r w:rsidRPr="29D08CD4">
        <w:rPr>
          <w:rFonts w:cs="Arial"/>
          <w:sz w:val="22"/>
          <w:szCs w:val="22"/>
        </w:rPr>
        <w:t xml:space="preserve">UNOPS </w:t>
      </w:r>
      <w:r w:rsidR="74270B6B" w:rsidRPr="29D08CD4">
        <w:rPr>
          <w:rFonts w:cs="Arial"/>
          <w:sz w:val="22"/>
          <w:szCs w:val="22"/>
        </w:rPr>
        <w:t xml:space="preserve">The UK </w:t>
      </w:r>
      <w:r w:rsidRPr="29D08CD4">
        <w:rPr>
          <w:rFonts w:cs="Arial"/>
          <w:sz w:val="22"/>
          <w:szCs w:val="22"/>
        </w:rPr>
        <w:t xml:space="preserve">has committed £6m (excluding VAT) to FCLP from 2024-2030, with an initial £1m ringfenced for Country Packages design. In August 2024, the UK made its first FCLP payment to UNOPS of £1.6m as well as in-kind resources. Other </w:t>
      </w:r>
      <w:r w:rsidR="48F9B804" w:rsidRPr="29D08CD4">
        <w:rPr>
          <w:rFonts w:cs="Arial"/>
          <w:sz w:val="22"/>
          <w:szCs w:val="22"/>
        </w:rPr>
        <w:t>contributions</w:t>
      </w:r>
      <w:r w:rsidRPr="29D08CD4">
        <w:rPr>
          <w:rFonts w:cs="Arial"/>
          <w:sz w:val="22"/>
          <w:szCs w:val="22"/>
        </w:rPr>
        <w:t xml:space="preserve"> came from Canada, Germany, Norway, USA, and South Korea, totalling USD 2.8m.</w:t>
      </w:r>
    </w:p>
    <w:p w14:paraId="1BF95E8C" w14:textId="02DF253D" w:rsidR="00DB4C35" w:rsidRPr="00DB4C35" w:rsidRDefault="00DB4C35" w:rsidP="7DA80FDE">
      <w:pPr>
        <w:jc w:val="both"/>
        <w:rPr>
          <w:rFonts w:cs="Arial"/>
          <w:sz w:val="22"/>
          <w:szCs w:val="22"/>
        </w:rPr>
      </w:pPr>
      <w:r w:rsidRPr="29D08CD4">
        <w:rPr>
          <w:rFonts w:cs="Arial"/>
          <w:sz w:val="22"/>
          <w:szCs w:val="22"/>
        </w:rPr>
        <w:t>Due to prioritising the remaining UNDP budget, only 15.41% of the UNOPS budget was used in 2024. The transfer of staff to UNOPS started on January 1</w:t>
      </w:r>
      <w:r w:rsidRPr="29D08CD4">
        <w:rPr>
          <w:rFonts w:cs="Arial"/>
          <w:sz w:val="22"/>
          <w:szCs w:val="22"/>
          <w:vertAlign w:val="superscript"/>
        </w:rPr>
        <w:t xml:space="preserve">st </w:t>
      </w:r>
      <w:r w:rsidRPr="29D08CD4">
        <w:rPr>
          <w:rFonts w:cs="Arial"/>
          <w:sz w:val="22"/>
          <w:szCs w:val="22"/>
        </w:rPr>
        <w:t>2025 to consume remaining funds under UNDP. The total UNOPS budget for 2024 was USD 348,988, with actual spending at USD 53,769. While it is likely that the UK funded a significant portion of this amount, the Republic of Korea also contributed USD 140,000</w:t>
      </w:r>
      <w:r w:rsidR="1B2BD53F" w:rsidRPr="29D08CD4">
        <w:rPr>
          <w:rFonts w:cs="Arial"/>
          <w:sz w:val="22"/>
          <w:szCs w:val="22"/>
        </w:rPr>
        <w:t xml:space="preserve">. </w:t>
      </w:r>
      <w:r w:rsidRPr="29D08CD4">
        <w:rPr>
          <w:rFonts w:cs="Arial"/>
          <w:sz w:val="22"/>
          <w:szCs w:val="22"/>
        </w:rPr>
        <w:t>Without a disaggregated breakdown, which the Secretariat was not able to provide, it is difficult to determine exact contributions from each donor. Therefore, whilst UK payments were processed to UNOPS in 2024, most impacts cannot be directly attributed to UK funding, despite the UK's endorsement of projects through the Steering Committee.</w:t>
      </w:r>
    </w:p>
    <w:p w14:paraId="48ACEE1C" w14:textId="77777777" w:rsidR="00DB4C35" w:rsidRPr="00DB4C35" w:rsidRDefault="00DB4C35" w:rsidP="32B552BF">
      <w:pPr>
        <w:jc w:val="both"/>
        <w:rPr>
          <w:rFonts w:cs="Arial"/>
          <w:sz w:val="22"/>
          <w:szCs w:val="22"/>
        </w:rPr>
      </w:pPr>
    </w:p>
    <w:p w14:paraId="2D378C6D" w14:textId="7CE44891" w:rsidR="00DB4C35" w:rsidRPr="00DB4C35" w:rsidRDefault="00DB4C35" w:rsidP="514F6847">
      <w:pPr>
        <w:jc w:val="both"/>
        <w:rPr>
          <w:rFonts w:cs="Arial"/>
          <w:sz w:val="22"/>
          <w:szCs w:val="22"/>
        </w:rPr>
      </w:pPr>
      <w:r w:rsidRPr="29D08CD4">
        <w:rPr>
          <w:rFonts w:cs="Arial"/>
          <w:sz w:val="22"/>
          <w:szCs w:val="22"/>
        </w:rPr>
        <w:t xml:space="preserve">UNOPS contributions in 2024 (UK-funded) totalled USD 53,769, encompassing 55.65% (USD 29,925) for operations of staff, 6.54% (USD 3,518) for indirect costs, 2.36% (USD 1,267.59) for core Secretariat staff, and 35.44% (USD 19,058.97) for policy and country support experts. Initial reports from other UK-funded programmes such as FACT indicate overall spending patterns are similar, with 40-50% of the budget allocated to forum (operation) costs and remaining expenditure on staff, translation, and other expenses. </w:t>
      </w:r>
      <w:r w:rsidR="1AC9AB48" w:rsidRPr="29D08CD4">
        <w:rPr>
          <w:rFonts w:cs="Arial"/>
          <w:sz w:val="22"/>
          <w:szCs w:val="22"/>
        </w:rPr>
        <w:t>The</w:t>
      </w:r>
      <w:r w:rsidRPr="29D08CD4">
        <w:rPr>
          <w:rFonts w:cs="Arial"/>
          <w:sz w:val="22"/>
          <w:szCs w:val="22"/>
        </w:rPr>
        <w:t xml:space="preserve"> </w:t>
      </w:r>
      <w:r w:rsidR="5974CF0B" w:rsidRPr="29D08CD4">
        <w:rPr>
          <w:rFonts w:cs="Arial"/>
          <w:sz w:val="22"/>
          <w:szCs w:val="22"/>
        </w:rPr>
        <w:t xml:space="preserve">original </w:t>
      </w:r>
      <w:r w:rsidRPr="29D08CD4">
        <w:rPr>
          <w:rFonts w:cs="Arial"/>
          <w:sz w:val="22"/>
          <w:szCs w:val="22"/>
        </w:rPr>
        <w:t xml:space="preserve">Business Case’s planned expenditure </w:t>
      </w:r>
      <w:r w:rsidR="10CF1F40" w:rsidRPr="29D08CD4">
        <w:rPr>
          <w:rFonts w:cs="Arial"/>
          <w:sz w:val="22"/>
          <w:szCs w:val="22"/>
        </w:rPr>
        <w:t xml:space="preserve">was as follows: </w:t>
      </w:r>
      <w:r w:rsidRPr="29D08CD4">
        <w:rPr>
          <w:rFonts w:cs="Arial"/>
          <w:sz w:val="22"/>
          <w:szCs w:val="22"/>
        </w:rPr>
        <w:t>policy work was expected to constitute 50% of DESNZ contributions, events 32%, staff 12.5%, travel 3% and services 1.5%. With only partial UK-funded UNOPS contributions effectively “topping up” UNDP contributions, an effective comparison of VfM is challenging (although UNOPS’ 7.75% administration fee is in line with other UK-funded providers). The UK’s 2024 £1.6m contribution will thus predominantly go towards future FCLP funding</w:t>
      </w:r>
      <w:r w:rsidR="6FB0782D" w:rsidRPr="29D08CD4">
        <w:rPr>
          <w:rFonts w:cs="Arial"/>
          <w:sz w:val="22"/>
          <w:szCs w:val="22"/>
        </w:rPr>
        <w:t>.</w:t>
      </w:r>
    </w:p>
    <w:p w14:paraId="57FAAEFC" w14:textId="77777777" w:rsidR="00DB4C35" w:rsidRDefault="00DB4C35" w:rsidP="00DB4C35">
      <w:pPr>
        <w:jc w:val="both"/>
        <w:rPr>
          <w:rFonts w:cs="Arial"/>
          <w:b/>
          <w:bCs/>
          <w:sz w:val="22"/>
          <w:szCs w:val="22"/>
        </w:rPr>
      </w:pPr>
    </w:p>
    <w:p w14:paraId="47130CC9" w14:textId="2BE8F26C" w:rsidR="00DB4C35" w:rsidRPr="00DB4C35" w:rsidRDefault="00DB4C35" w:rsidP="00DB4C35">
      <w:pPr>
        <w:jc w:val="both"/>
        <w:rPr>
          <w:rFonts w:cs="Arial"/>
          <w:b/>
          <w:bCs/>
          <w:sz w:val="22"/>
          <w:szCs w:val="22"/>
        </w:rPr>
      </w:pPr>
      <w:r w:rsidRPr="29D08CD4">
        <w:rPr>
          <w:rFonts w:cs="Arial"/>
          <w:b/>
          <w:bCs/>
          <w:sz w:val="22"/>
          <w:szCs w:val="22"/>
        </w:rPr>
        <w:t>Efficiency</w:t>
      </w:r>
    </w:p>
    <w:p w14:paraId="40DE5708" w14:textId="14E3B031" w:rsidR="00DB4C35" w:rsidRPr="00DB4C35" w:rsidRDefault="00DB4C35" w:rsidP="32B552BF">
      <w:pPr>
        <w:jc w:val="both"/>
        <w:rPr>
          <w:rFonts w:cs="Arial"/>
          <w:sz w:val="22"/>
          <w:szCs w:val="22"/>
        </w:rPr>
      </w:pPr>
      <w:r w:rsidRPr="29D08CD4">
        <w:rPr>
          <w:rFonts w:cs="Arial"/>
          <w:sz w:val="22"/>
          <w:szCs w:val="22"/>
        </w:rPr>
        <w:t>Whilst still in its early stages, FCLP’s initial work on the UK and non-UK funded aspects of the programme provide positive insights. In 2024, FCLP made significant strides in building alliances, engaging stakeholders, and participating in high-level events. This included the FAO WoodforGlobe event in Rome, where they made tangible progress on a Ministerial “Call to Action” from XV World Forest Congress, and the Global Alliance for Territorial Communities, where they called for binding commitments to expand land tenure rights. This aligns with Outputs 1.1 and 1.2. FCLP members also made significant strides in policy reforms through establishing a working group on debt, nature, and climate, and the organisation of technical webinars to implement financial instruments (Outputs 2.1 and 2.2). FCLP also influenced building code updates in Kenya and Costa Rica via a policy scan across 17 countries to identify best practices in sustainable wood construction.</w:t>
      </w:r>
    </w:p>
    <w:p w14:paraId="74519E3E" w14:textId="77777777" w:rsidR="00814C37" w:rsidRDefault="00814C37" w:rsidP="32B552BF">
      <w:pPr>
        <w:jc w:val="both"/>
        <w:rPr>
          <w:rFonts w:cs="Arial"/>
          <w:sz w:val="22"/>
          <w:szCs w:val="22"/>
        </w:rPr>
      </w:pPr>
    </w:p>
    <w:p w14:paraId="2CBDA9D8" w14:textId="751F6C9E" w:rsidR="00DB4C35" w:rsidRPr="00DB4C35" w:rsidRDefault="00DB4C35" w:rsidP="0038C730">
      <w:pPr>
        <w:jc w:val="both"/>
        <w:rPr>
          <w:rFonts w:cs="Arial"/>
          <w:sz w:val="22"/>
          <w:szCs w:val="22"/>
        </w:rPr>
      </w:pPr>
      <w:r w:rsidRPr="29D08CD4">
        <w:rPr>
          <w:rFonts w:cs="Arial"/>
          <w:sz w:val="22"/>
          <w:szCs w:val="22"/>
        </w:rPr>
        <w:t>National actions towards the 2030 deforestation target (Output 3) saw the announcement of initial country packages focusing on topics such as conserving high-value forests and scaling up protected areas in the DRC, Ghana, PNG, and ROC at COP28 in Dubai.</w:t>
      </w:r>
      <w:r w:rsidR="720FC528" w:rsidRPr="29D08CD4">
        <w:rPr>
          <w:rFonts w:cs="Arial"/>
          <w:sz w:val="22"/>
          <w:szCs w:val="22"/>
        </w:rPr>
        <w:t xml:space="preserve"> However,</w:t>
      </w:r>
      <w:r w:rsidRPr="29D08CD4">
        <w:rPr>
          <w:rFonts w:cs="Arial"/>
          <w:sz w:val="22"/>
          <w:szCs w:val="22"/>
        </w:rPr>
        <w:t xml:space="preserve"> the UK </w:t>
      </w:r>
      <w:r w:rsidRPr="29D08CD4">
        <w:rPr>
          <w:rFonts w:cs="Arial"/>
          <w:sz w:val="22"/>
          <w:szCs w:val="22"/>
        </w:rPr>
        <w:lastRenderedPageBreak/>
        <w:t>has not directly supported Country Packages in 2024, as these will only be ringfenced in 2025 and tracked and reported individually</w:t>
      </w:r>
      <w:r w:rsidR="674F03FF" w:rsidRPr="29D08CD4">
        <w:rPr>
          <w:rFonts w:cs="Arial"/>
          <w:sz w:val="22"/>
          <w:szCs w:val="22"/>
        </w:rPr>
        <w:t>.</w:t>
      </w:r>
    </w:p>
    <w:p w14:paraId="5DDB6A25" w14:textId="77777777" w:rsidR="00814C37" w:rsidRDefault="00814C37" w:rsidP="32B552BF">
      <w:pPr>
        <w:jc w:val="both"/>
        <w:rPr>
          <w:rFonts w:cs="Arial"/>
          <w:sz w:val="22"/>
          <w:szCs w:val="22"/>
        </w:rPr>
      </w:pPr>
    </w:p>
    <w:p w14:paraId="03299871" w14:textId="6E0754D9" w:rsidR="00DB4C35" w:rsidRPr="00DB4C35" w:rsidRDefault="00DB4C35" w:rsidP="5A9DDF99">
      <w:pPr>
        <w:jc w:val="both"/>
        <w:rPr>
          <w:rFonts w:cs="Arial"/>
          <w:sz w:val="22"/>
          <w:szCs w:val="22"/>
        </w:rPr>
      </w:pPr>
      <w:r w:rsidRPr="29D08CD4">
        <w:rPr>
          <w:rFonts w:cs="Arial"/>
          <w:sz w:val="22"/>
          <w:szCs w:val="22"/>
        </w:rPr>
        <w:t xml:space="preserve">Aligning with Output 4, FCLP members have demonstrated impact/accountability via three forest-related pledges: the Global Forest Finance Pledge (GFFP), the Congo Basin Pledge, and the Indigenous Peoples and Local Communities Forest Tenure Pledge. In 2024, significant financial commitments for such pledges were met, with USD 10bn out of the 2025 goal of USD 13bn of the GFFP commitment provided, and the Congo Basin Pledge exceeding its USD 1.5bn target. Furthermore, the UK has co-financed contributions valued at USD 140,000 by the Republic of Korea in December 2024, with a further USD 140,000 expected in </w:t>
      </w:r>
      <w:r w:rsidR="48F9B804" w:rsidRPr="29D08CD4">
        <w:rPr>
          <w:rFonts w:cs="Arial"/>
          <w:sz w:val="22"/>
          <w:szCs w:val="22"/>
        </w:rPr>
        <w:t>December</w:t>
      </w:r>
      <w:r w:rsidRPr="29D08CD4">
        <w:rPr>
          <w:rFonts w:cs="Arial"/>
          <w:sz w:val="22"/>
          <w:szCs w:val="22"/>
        </w:rPr>
        <w:t xml:space="preserve"> 2025. Although most impacts cannot be attributed directly to UK funding, the UK has been instrumental in such early achievements, with their financial support, role in the Steering Committee, and in-kind people resources. The transition from two delivery partners to one, with UNOPS becoming the primary host, has also led to efficiency gains by streamlining operations and reducing administrative overheads.</w:t>
      </w:r>
    </w:p>
    <w:p w14:paraId="47362A3B" w14:textId="77777777" w:rsidR="00814C37" w:rsidRDefault="00814C37" w:rsidP="00DB4C35">
      <w:pPr>
        <w:jc w:val="both"/>
        <w:rPr>
          <w:rFonts w:cs="Arial"/>
          <w:b/>
          <w:bCs/>
          <w:sz w:val="22"/>
          <w:szCs w:val="22"/>
        </w:rPr>
      </w:pPr>
    </w:p>
    <w:p w14:paraId="6DC9D9C6" w14:textId="7CB39E0C" w:rsidR="00DB4C35" w:rsidRPr="00DB4C35" w:rsidRDefault="00DB4C35" w:rsidP="00DB4C35">
      <w:pPr>
        <w:jc w:val="both"/>
        <w:rPr>
          <w:rFonts w:cs="Arial"/>
          <w:b/>
          <w:bCs/>
          <w:sz w:val="22"/>
          <w:szCs w:val="22"/>
        </w:rPr>
      </w:pPr>
      <w:r w:rsidRPr="29D08CD4">
        <w:rPr>
          <w:rFonts w:cs="Arial"/>
          <w:b/>
          <w:bCs/>
          <w:sz w:val="22"/>
          <w:szCs w:val="22"/>
        </w:rPr>
        <w:t>Effectiveness and Cost-Effectiveness</w:t>
      </w:r>
    </w:p>
    <w:p w14:paraId="73B48002" w14:textId="0616388A" w:rsidR="00DB4C35" w:rsidRPr="00DB4C35" w:rsidRDefault="00DB4C35" w:rsidP="73579E3A">
      <w:pPr>
        <w:jc w:val="both"/>
        <w:rPr>
          <w:rFonts w:cs="Arial"/>
          <w:sz w:val="22"/>
          <w:szCs w:val="22"/>
        </w:rPr>
      </w:pPr>
      <w:r w:rsidRPr="29D08CD4">
        <w:rPr>
          <w:rFonts w:cs="Arial"/>
          <w:sz w:val="22"/>
          <w:szCs w:val="22"/>
        </w:rPr>
        <w:t xml:space="preserve">In general, outcomes are considered as maintaining political attention on forests, driving outcomes across global policy action areas, advancing national forests and climate action, and demonstrating impact. Given the FCLP’s preliminary phase, there is limited data on how well outputs have currently translated into effective outcomes. In 2024, the FCLP members prioritised scaling action on debt, nature, and climate, recognising the need for innovative financial instruments to support forest conservation and restoration. To maintain high-level political attention on forests, several significant political-level events were organised. A ministerial-level event at CBD COP16 was hosted by the COP16 President, Susana Muhamad of Colombia, and a leader-level event at COP29 was hosted by the President of Ghana. These events were crucial in maintaining high-level political attention on forests. Notably, the COP29 event was the only leader-level event on forests and nature at COP29, underscoring its priority for the COP29 President. These events facilitated discussions on forest carbon finance, with ministers coming together at COP28 and COP29 to outline a shared vision for Forest Carbon Markets. The launch of the “Roadmap to Scale” investment in forest carbon results and credits at COP29 highlighted the commitment to accelerating forest carbon payments and promoting stakeholder inclusion. These efforts demonstrate the FCLP's role in fostering high-level political engagement and advancing GLD goals. </w:t>
      </w:r>
    </w:p>
    <w:p w14:paraId="7182177E" w14:textId="77777777" w:rsidR="00814C37" w:rsidRDefault="00814C37" w:rsidP="00DB4C35">
      <w:pPr>
        <w:jc w:val="both"/>
        <w:rPr>
          <w:rFonts w:cs="Arial"/>
          <w:b/>
          <w:bCs/>
          <w:sz w:val="22"/>
          <w:szCs w:val="22"/>
        </w:rPr>
      </w:pPr>
    </w:p>
    <w:p w14:paraId="6E9FC00A" w14:textId="0946ED2D" w:rsidR="00DB4C35" w:rsidRPr="00DB4C35" w:rsidRDefault="00DB4C35" w:rsidP="00DB4C35">
      <w:pPr>
        <w:jc w:val="both"/>
        <w:rPr>
          <w:rFonts w:cs="Arial"/>
          <w:b/>
          <w:bCs/>
          <w:sz w:val="22"/>
          <w:szCs w:val="22"/>
        </w:rPr>
      </w:pPr>
      <w:r w:rsidRPr="29D08CD4">
        <w:rPr>
          <w:rFonts w:cs="Arial"/>
          <w:b/>
          <w:bCs/>
          <w:sz w:val="22"/>
          <w:szCs w:val="22"/>
        </w:rPr>
        <w:t>Equity</w:t>
      </w:r>
    </w:p>
    <w:p w14:paraId="01972E75" w14:textId="2AB22FE9" w:rsidR="00DB4C35" w:rsidRPr="00DB4C35" w:rsidRDefault="00DB4C35" w:rsidP="00DB4C35">
      <w:pPr>
        <w:jc w:val="both"/>
        <w:rPr>
          <w:rFonts w:cs="Arial"/>
          <w:b/>
          <w:bCs/>
          <w:sz w:val="22"/>
          <w:szCs w:val="22"/>
        </w:rPr>
      </w:pPr>
      <w:r w:rsidRPr="29D08CD4">
        <w:rPr>
          <w:rFonts w:cs="Arial"/>
          <w:sz w:val="22"/>
          <w:szCs w:val="22"/>
        </w:rPr>
        <w:t xml:space="preserve">UNOPS, as a delivery partner, has a strategy in place to ensure Gender Equality and Social Inclusion (GESI) is streamlined into all programme delivery, through three objectives. Firstly, it mandates all projects adopt a comprehensive GESI approach. Secondly, it focuses on building institutional capacity to strengthen GESI mainstreaming in projects. Lastly, it ensures projects contribute to sustainable and inclusive results by aligning with corporate initiatives and goals. The UK has also affirmed their position on equity in the updated logframe, with Output 2.3 stating “the % of policy initiatives that mainstream gender and social inclusion (e.g. inclusion of Indigenous Peoples and Local Communities). </w:t>
      </w:r>
    </w:p>
    <w:p w14:paraId="7672A5BB" w14:textId="77777777" w:rsidR="00814C37" w:rsidRDefault="00814C37" w:rsidP="32B552BF">
      <w:pPr>
        <w:jc w:val="both"/>
        <w:rPr>
          <w:rFonts w:cs="Arial"/>
          <w:sz w:val="22"/>
          <w:szCs w:val="22"/>
        </w:rPr>
      </w:pPr>
    </w:p>
    <w:p w14:paraId="1FDDE47F" w14:textId="67AFC6C8" w:rsidR="00DB4C35" w:rsidRPr="00DB4C35" w:rsidRDefault="00DB4C35" w:rsidP="00DB4C35">
      <w:pPr>
        <w:jc w:val="both"/>
        <w:rPr>
          <w:rFonts w:cs="Arial"/>
          <w:b/>
          <w:bCs/>
          <w:sz w:val="22"/>
          <w:szCs w:val="22"/>
        </w:rPr>
      </w:pPr>
      <w:r w:rsidRPr="29D08CD4">
        <w:rPr>
          <w:rFonts w:cs="Arial"/>
          <w:sz w:val="22"/>
          <w:szCs w:val="22"/>
        </w:rPr>
        <w:t>Aligning with this, FCLP has supported IPLCs, facilitating a Ministerial Roundtable at CBD COP16 on the needs of Indigenous Leaders, and highlighted the importance of land tenure rights at the FCLP Leaders’ Summit event at COP29. Impacts are again not directly attributable to UK funding; however, the UK did play a strong role in endorsing such projects in their position at the FCLP. These impacts show positive early signs if the effectiveness of the intervention also holds for UK funding.</w:t>
      </w:r>
    </w:p>
    <w:p w14:paraId="0083F462" w14:textId="77777777" w:rsidR="00814C37" w:rsidRDefault="00814C37" w:rsidP="00DB4C35">
      <w:pPr>
        <w:jc w:val="both"/>
        <w:rPr>
          <w:rFonts w:cs="Arial"/>
          <w:b/>
          <w:bCs/>
          <w:sz w:val="22"/>
          <w:szCs w:val="22"/>
        </w:rPr>
      </w:pPr>
    </w:p>
    <w:p w14:paraId="1E939323" w14:textId="61439E2F" w:rsidR="00DB4C35" w:rsidRPr="00DB4C35" w:rsidRDefault="00DB4C35" w:rsidP="32B552BF">
      <w:pPr>
        <w:jc w:val="both"/>
        <w:rPr>
          <w:rFonts w:cs="Arial"/>
          <w:sz w:val="22"/>
          <w:szCs w:val="22"/>
        </w:rPr>
      </w:pPr>
      <w:r w:rsidRPr="29D08CD4">
        <w:rPr>
          <w:rFonts w:cs="Arial"/>
          <w:b/>
          <w:bCs/>
          <w:sz w:val="22"/>
          <w:szCs w:val="22"/>
        </w:rPr>
        <w:t>Summary of VfM</w:t>
      </w:r>
    </w:p>
    <w:p w14:paraId="1E807122" w14:textId="59450375" w:rsidR="00DB4C35" w:rsidRPr="00DB4C35" w:rsidRDefault="00DB4C35" w:rsidP="32B552BF">
      <w:pPr>
        <w:jc w:val="both"/>
        <w:rPr>
          <w:rFonts w:cs="Arial"/>
          <w:sz w:val="22"/>
          <w:szCs w:val="22"/>
        </w:rPr>
      </w:pPr>
      <w:r w:rsidRPr="29D08CD4">
        <w:rPr>
          <w:rFonts w:cs="Arial"/>
          <w:sz w:val="22"/>
          <w:szCs w:val="22"/>
        </w:rPr>
        <w:t xml:space="preserve">The FCLP programme is still in its early stages, being only two years into its implementation. As of now, there is limited reports against outputs, complicating measures of intervention effectiveness. No M&amp;E activities took place in 2024, with the absence of a dedicated M&amp;E budget line, further limiting ability to assess FCLP effectiveness and make data-driven </w:t>
      </w:r>
      <w:r w:rsidRPr="29D08CD4">
        <w:rPr>
          <w:rFonts w:cs="Arial"/>
          <w:sz w:val="22"/>
          <w:szCs w:val="22"/>
        </w:rPr>
        <w:lastRenderedPageBreak/>
        <w:t>decisions. Moreover, the transition from UNDP to UNOPS as the delivery partner has further complicated the assessment of the UK's contributions, making it challenging to draw definitive conclusions about the VfM of UK contributions. Despite this, the UK's contributions have shown good potential for leveraging additional funding, outputs, and resources.</w:t>
      </w:r>
    </w:p>
    <w:p w14:paraId="586F2175" w14:textId="77777777" w:rsidR="00814C37" w:rsidRDefault="00814C37" w:rsidP="00DB4C35">
      <w:pPr>
        <w:jc w:val="both"/>
        <w:rPr>
          <w:rFonts w:cs="Arial"/>
          <w:b/>
          <w:bCs/>
          <w:sz w:val="22"/>
          <w:szCs w:val="22"/>
        </w:rPr>
      </w:pPr>
    </w:p>
    <w:p w14:paraId="4080E527" w14:textId="3D6031AE" w:rsidR="00DB4C35" w:rsidRPr="00DB4C35" w:rsidRDefault="00DB4C35" w:rsidP="00DB4C35">
      <w:pPr>
        <w:jc w:val="both"/>
        <w:rPr>
          <w:rFonts w:cs="Arial"/>
          <w:b/>
          <w:bCs/>
          <w:sz w:val="22"/>
          <w:szCs w:val="22"/>
        </w:rPr>
      </w:pPr>
      <w:r w:rsidRPr="29D08CD4">
        <w:rPr>
          <w:rFonts w:cs="Arial"/>
          <w:b/>
          <w:bCs/>
          <w:sz w:val="22"/>
          <w:szCs w:val="22"/>
        </w:rPr>
        <w:t>Recommendations</w:t>
      </w:r>
    </w:p>
    <w:p w14:paraId="2BE3E96A" w14:textId="2ADD5CB3" w:rsidR="00DB4C35" w:rsidRPr="00DB4C35" w:rsidRDefault="00DB4C35" w:rsidP="32B552BF">
      <w:pPr>
        <w:jc w:val="both"/>
        <w:rPr>
          <w:rFonts w:cs="Arial"/>
          <w:sz w:val="22"/>
          <w:szCs w:val="22"/>
        </w:rPr>
      </w:pPr>
      <w:r w:rsidRPr="29D08CD4">
        <w:rPr>
          <w:rFonts w:cs="Arial"/>
          <w:sz w:val="22"/>
          <w:szCs w:val="22"/>
        </w:rPr>
        <w:t xml:space="preserve">To improve VfM for next year, FCLP should focus on several key areas. Firstly, FCLP should prioritise data-driven decision-making once the logframe is finalised and clearly report against established outputs and outcomes. Secondly, FCLP must allocate resources to develop and implement a comprehensive M&amp;E plan, including KPIs, regular data collection, and periodic evaluations. Additionally, the UK should collaborate with the FCLP Secretariat to obtain a disaggregated breakdown of contributions from different donors to ensure accurate attribution. This will enhance transparency and understanding of each donor’s impact. Moreover, UNOPs must collaborate with the Secretariat to ensure alignment and support for VfM initiatives. The delivery partner should regularly review their progress, making necessary adjustments to help stay on track with VfM goals. By implementing these measures, FCLP can significantly improve its VfM assessment next year, demonstrating efficient and effective use of resources to achieve desired outcomes. </w:t>
      </w:r>
    </w:p>
    <w:p w14:paraId="7B7A20F5" w14:textId="77777777" w:rsidR="00DB4C35" w:rsidRDefault="00DB4C35" w:rsidP="32B552BF">
      <w:pPr>
        <w:jc w:val="both"/>
        <w:rPr>
          <w:rFonts w:cs="Arial"/>
          <w:sz w:val="22"/>
          <w:szCs w:val="22"/>
        </w:rPr>
      </w:pPr>
    </w:p>
    <w:p w14:paraId="2E0B0245" w14:textId="597862FA" w:rsidR="24958D28" w:rsidRDefault="007B1B9B" w:rsidP="662399CC">
      <w:pPr>
        <w:tabs>
          <w:tab w:val="right" w:leader="dot" w:pos="9710"/>
        </w:tabs>
        <w:jc w:val="both"/>
        <w:rPr>
          <w:rFonts w:eastAsia="Arial" w:cs="Arial"/>
          <w:color w:val="000000" w:themeColor="text1"/>
          <w:sz w:val="22"/>
          <w:szCs w:val="22"/>
        </w:rPr>
      </w:pPr>
      <w:r w:rsidRPr="29D08CD4">
        <w:rPr>
          <w:rFonts w:eastAsia="Arial" w:cs="Arial"/>
          <w:color w:val="000000" w:themeColor="text1"/>
          <w:sz w:val="22"/>
          <w:szCs w:val="22"/>
        </w:rPr>
        <w:t xml:space="preserve">Compliance against the Paris Agreement has been assessed below. </w:t>
      </w:r>
    </w:p>
    <w:p w14:paraId="270C84CF" w14:textId="650732B8" w:rsidR="24958D28" w:rsidRDefault="24958D28" w:rsidP="32B552BF">
      <w:pPr>
        <w:tabs>
          <w:tab w:val="right" w:leader="dot" w:pos="9710"/>
        </w:tabs>
        <w:contextualSpacing/>
        <w:jc w:val="both"/>
        <w:rPr>
          <w:rFonts w:eastAsia="Arial" w:cs="Arial"/>
          <w:color w:val="000000" w:themeColor="text1"/>
          <w:sz w:val="22"/>
          <w:szCs w:val="22"/>
        </w:rPr>
      </w:pPr>
    </w:p>
    <w:p w14:paraId="4F23DEC2" w14:textId="503DC027" w:rsidR="3F76CE01" w:rsidRDefault="3F76CE01" w:rsidP="32B552BF">
      <w:pPr>
        <w:tabs>
          <w:tab w:val="right" w:leader="dot" w:pos="9710"/>
        </w:tabs>
        <w:contextualSpacing/>
        <w:jc w:val="both"/>
        <w:rPr>
          <w:rFonts w:eastAsia="Arial" w:cs="Arial"/>
          <w:b/>
          <w:bCs/>
          <w:color w:val="000000" w:themeColor="text1"/>
          <w:sz w:val="22"/>
          <w:szCs w:val="22"/>
        </w:rPr>
      </w:pPr>
      <w:r w:rsidRPr="29D08CD4">
        <w:rPr>
          <w:rFonts w:eastAsia="Arial" w:cs="Arial"/>
          <w:b/>
          <w:bCs/>
          <w:color w:val="000000" w:themeColor="text1"/>
          <w:sz w:val="22"/>
          <w:szCs w:val="22"/>
        </w:rPr>
        <w:t>Compliance table</w:t>
      </w:r>
    </w:p>
    <w:p w14:paraId="06930E73" w14:textId="77777777" w:rsidR="00883CFD" w:rsidRPr="00883CFD" w:rsidRDefault="00883CFD" w:rsidP="32B552BF">
      <w:pPr>
        <w:tabs>
          <w:tab w:val="right" w:leader="dot" w:pos="9710"/>
        </w:tabs>
        <w:contextualSpacing/>
        <w:jc w:val="both"/>
        <w:rPr>
          <w:rFonts w:eastAsia="Arial" w:cs="Arial"/>
          <w:b/>
          <w:bCs/>
          <w:color w:val="000000" w:themeColor="text1"/>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508"/>
        <w:gridCol w:w="4508"/>
      </w:tblGrid>
      <w:tr w:rsidR="24958D28" w14:paraId="36D3E058" w14:textId="77777777" w:rsidTr="29D08CD4">
        <w:trPr>
          <w:trHeight w:val="300"/>
        </w:trPr>
        <w:tc>
          <w:tcPr>
            <w:tcW w:w="4508"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3A09DD08" w14:textId="73E5562D" w:rsidR="24958D28" w:rsidRDefault="24958D28" w:rsidP="662399CC">
            <w:pPr>
              <w:spacing w:line="276" w:lineRule="auto"/>
              <w:rPr>
                <w:rFonts w:eastAsia="Arial" w:cs="Arial"/>
                <w:color w:val="212121"/>
                <w:sz w:val="22"/>
                <w:szCs w:val="22"/>
              </w:rPr>
            </w:pPr>
            <w:r w:rsidRPr="29D08CD4">
              <w:rPr>
                <w:rFonts w:eastAsia="Arial" w:cs="Arial"/>
                <w:b/>
                <w:bCs/>
                <w:color w:val="212121"/>
                <w:sz w:val="22"/>
                <w:szCs w:val="22"/>
              </w:rPr>
              <w:t>Paris alignment pillar</w:t>
            </w:r>
          </w:p>
        </w:tc>
        <w:tc>
          <w:tcPr>
            <w:tcW w:w="4508"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5BAE3890" w14:textId="14C191C5" w:rsidR="24958D28" w:rsidRDefault="24958D28" w:rsidP="662399CC">
            <w:pPr>
              <w:spacing w:line="276" w:lineRule="auto"/>
              <w:rPr>
                <w:rFonts w:eastAsia="Arial" w:cs="Arial"/>
                <w:color w:val="212121"/>
                <w:sz w:val="22"/>
                <w:szCs w:val="22"/>
              </w:rPr>
            </w:pPr>
            <w:r w:rsidRPr="29D08CD4">
              <w:rPr>
                <w:rFonts w:eastAsia="Arial" w:cs="Arial"/>
                <w:b/>
                <w:bCs/>
                <w:color w:val="212121"/>
                <w:sz w:val="22"/>
                <w:szCs w:val="22"/>
              </w:rPr>
              <w:t>Description of activity</w:t>
            </w:r>
          </w:p>
        </w:tc>
      </w:tr>
      <w:tr w:rsidR="24958D28" w14:paraId="74634EF1" w14:textId="77777777" w:rsidTr="29D08CD4">
        <w:trPr>
          <w:trHeight w:val="300"/>
        </w:trPr>
        <w:tc>
          <w:tcPr>
            <w:tcW w:w="4508"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74026F1A" w14:textId="0DFE7D6E" w:rsidR="24958D28" w:rsidRDefault="24958D28" w:rsidP="662399CC">
            <w:pPr>
              <w:spacing w:line="276" w:lineRule="auto"/>
              <w:rPr>
                <w:rFonts w:eastAsia="Arial" w:cs="Arial"/>
                <w:color w:val="212121"/>
                <w:sz w:val="22"/>
                <w:szCs w:val="22"/>
              </w:rPr>
            </w:pPr>
            <w:r w:rsidRPr="29D08CD4">
              <w:rPr>
                <w:rFonts w:eastAsia="Arial" w:cs="Arial"/>
                <w:color w:val="212121"/>
                <w:sz w:val="22"/>
                <w:szCs w:val="22"/>
              </w:rPr>
              <w:t>How have you taken a proportional approach to climate and environment risk assurance?</w:t>
            </w:r>
          </w:p>
        </w:tc>
        <w:tc>
          <w:tcPr>
            <w:tcW w:w="4508"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206AEC96" w14:textId="086FA5E9" w:rsidR="24958D28" w:rsidRDefault="00145F4F" w:rsidP="662399CC">
            <w:pPr>
              <w:spacing w:line="276" w:lineRule="auto"/>
              <w:rPr>
                <w:rFonts w:eastAsia="Arial" w:cs="Arial"/>
                <w:color w:val="212121"/>
                <w:sz w:val="22"/>
                <w:szCs w:val="22"/>
              </w:rPr>
            </w:pPr>
            <w:r w:rsidRPr="29D08CD4">
              <w:rPr>
                <w:rFonts w:eastAsia="Arial" w:cs="Arial"/>
                <w:color w:val="212121"/>
                <w:sz w:val="22"/>
                <w:szCs w:val="22"/>
              </w:rPr>
              <w:t>The Climate and Environment Risk Screening Tool was used as part of Business Case development, and concluded the programme did not face significant climate or environment risks. The analysis has been reviewed as part of the Annual Review process and the risk level has not changed.</w:t>
            </w:r>
          </w:p>
        </w:tc>
      </w:tr>
      <w:tr w:rsidR="24958D28" w14:paraId="24F160CD" w14:textId="77777777" w:rsidTr="29D08CD4">
        <w:trPr>
          <w:trHeight w:val="300"/>
        </w:trPr>
        <w:tc>
          <w:tcPr>
            <w:tcW w:w="4508"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37F94F6E" w14:textId="2A334C47" w:rsidR="24958D28" w:rsidRDefault="24958D28" w:rsidP="662399CC">
            <w:pPr>
              <w:spacing w:line="276" w:lineRule="auto"/>
              <w:rPr>
                <w:rFonts w:eastAsia="Arial" w:cs="Arial"/>
                <w:color w:val="212121"/>
                <w:sz w:val="22"/>
                <w:szCs w:val="22"/>
              </w:rPr>
            </w:pPr>
            <w:r w:rsidRPr="29D08CD4">
              <w:rPr>
                <w:rFonts w:eastAsia="Arial" w:cs="Arial"/>
                <w:color w:val="212121"/>
                <w:sz w:val="22"/>
                <w:szCs w:val="22"/>
              </w:rPr>
              <w:t>How have you taken a proportional approach to using shadow carbon pricing?</w:t>
            </w:r>
          </w:p>
        </w:tc>
        <w:tc>
          <w:tcPr>
            <w:tcW w:w="4508"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1043457E" w14:textId="2BF77127" w:rsidR="24958D28" w:rsidRDefault="00105706" w:rsidP="662399CC">
            <w:pPr>
              <w:spacing w:line="276" w:lineRule="auto"/>
              <w:rPr>
                <w:rFonts w:eastAsia="Arial" w:cs="Arial"/>
                <w:color w:val="212121"/>
                <w:sz w:val="22"/>
                <w:szCs w:val="22"/>
              </w:rPr>
            </w:pPr>
            <w:r w:rsidRPr="29D08CD4">
              <w:rPr>
                <w:rFonts w:eastAsia="Arial" w:cs="Arial"/>
                <w:color w:val="212121"/>
                <w:sz w:val="22"/>
                <w:szCs w:val="22"/>
              </w:rPr>
              <w:t>Not applicable to this programme.</w:t>
            </w:r>
            <w:r w:rsidR="24958D28" w:rsidRPr="29D08CD4">
              <w:rPr>
                <w:rFonts w:eastAsia="Arial" w:cs="Arial"/>
                <w:color w:val="212121"/>
                <w:sz w:val="22"/>
                <w:szCs w:val="22"/>
              </w:rPr>
              <w:t xml:space="preserve"> </w:t>
            </w:r>
          </w:p>
        </w:tc>
      </w:tr>
      <w:tr w:rsidR="24958D28" w:rsidRPr="004306C3" w14:paraId="3A0589D5" w14:textId="77777777" w:rsidTr="29D08CD4">
        <w:trPr>
          <w:trHeight w:val="300"/>
        </w:trPr>
        <w:tc>
          <w:tcPr>
            <w:tcW w:w="4508"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51F4163E" w14:textId="2D221E2B" w:rsidR="24958D28" w:rsidRDefault="24958D28" w:rsidP="662399CC">
            <w:pPr>
              <w:spacing w:line="276" w:lineRule="auto"/>
              <w:rPr>
                <w:rFonts w:eastAsia="Arial" w:cs="Arial"/>
                <w:color w:val="212121"/>
                <w:sz w:val="22"/>
                <w:szCs w:val="22"/>
              </w:rPr>
            </w:pPr>
            <w:r w:rsidRPr="29D08CD4">
              <w:rPr>
                <w:rFonts w:eastAsia="Arial" w:cs="Arial"/>
                <w:color w:val="212121"/>
                <w:sz w:val="22"/>
                <w:szCs w:val="22"/>
              </w:rPr>
              <w:t>Does the programme adhere to HMG’s fossil fuel policy?</w:t>
            </w:r>
          </w:p>
        </w:tc>
        <w:tc>
          <w:tcPr>
            <w:tcW w:w="4508"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4D99C99B" w14:textId="31D7EBEE" w:rsidR="24958D28" w:rsidRPr="004306C3" w:rsidRDefault="00105706" w:rsidP="662399CC">
            <w:pPr>
              <w:spacing w:line="276" w:lineRule="auto"/>
              <w:rPr>
                <w:rFonts w:eastAsia="Arial" w:cs="Arial"/>
                <w:color w:val="212121"/>
                <w:sz w:val="22"/>
                <w:szCs w:val="22"/>
              </w:rPr>
            </w:pPr>
            <w:r w:rsidRPr="29D08CD4">
              <w:rPr>
                <w:rFonts w:eastAsia="Arial" w:cs="Arial"/>
                <w:color w:val="212121"/>
                <w:sz w:val="22"/>
                <w:szCs w:val="22"/>
              </w:rPr>
              <w:t>Not applicable to this programme.</w:t>
            </w:r>
          </w:p>
        </w:tc>
      </w:tr>
      <w:tr w:rsidR="24958D28" w14:paraId="5AFB0C88" w14:textId="77777777" w:rsidTr="29D08CD4">
        <w:trPr>
          <w:trHeight w:val="990"/>
        </w:trPr>
        <w:tc>
          <w:tcPr>
            <w:tcW w:w="4508"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046BB519" w14:textId="61E966E2" w:rsidR="24958D28" w:rsidRDefault="24958D28" w:rsidP="662399CC">
            <w:pPr>
              <w:spacing w:line="276" w:lineRule="auto"/>
              <w:rPr>
                <w:rFonts w:eastAsia="Arial" w:cs="Arial"/>
                <w:color w:val="212121"/>
                <w:sz w:val="22"/>
                <w:szCs w:val="22"/>
              </w:rPr>
            </w:pPr>
            <w:r w:rsidRPr="29D08CD4">
              <w:rPr>
                <w:rFonts w:eastAsia="Arial" w:cs="Arial"/>
                <w:color w:val="212121"/>
                <w:sz w:val="22"/>
                <w:szCs w:val="22"/>
              </w:rPr>
              <w:t>Are you ensuring the programme does not undermine impacted countries climate plans?</w:t>
            </w:r>
          </w:p>
        </w:tc>
        <w:tc>
          <w:tcPr>
            <w:tcW w:w="4508"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6B3574C7" w14:textId="311EC395" w:rsidR="24958D28" w:rsidRDefault="00105706" w:rsidP="662399CC">
            <w:pPr>
              <w:spacing w:line="276" w:lineRule="auto"/>
              <w:rPr>
                <w:rFonts w:eastAsia="Arial" w:cs="Arial"/>
                <w:color w:val="212121"/>
                <w:sz w:val="22"/>
                <w:szCs w:val="22"/>
              </w:rPr>
            </w:pPr>
            <w:r w:rsidRPr="29D08CD4">
              <w:rPr>
                <w:rFonts w:eastAsia="Arial" w:cs="Arial"/>
                <w:color w:val="212121"/>
                <w:sz w:val="22"/>
                <w:szCs w:val="22"/>
              </w:rPr>
              <w:t>Yes. The programme is aiding ODA countries to meet their climate goals through a strong focus on International Climate Finance, which seeks to achieve transformational change.</w:t>
            </w:r>
          </w:p>
        </w:tc>
      </w:tr>
    </w:tbl>
    <w:p w14:paraId="54553C26" w14:textId="50981ECF" w:rsidR="24958D28" w:rsidRDefault="24958D28" w:rsidP="24958D28">
      <w:pPr>
        <w:jc w:val="both"/>
        <w:rPr>
          <w:rFonts w:cs="Arial"/>
          <w:sz w:val="22"/>
          <w:szCs w:val="22"/>
        </w:rPr>
      </w:pPr>
    </w:p>
    <w:p w14:paraId="31875769" w14:textId="07D42045" w:rsidR="24958D28" w:rsidRDefault="24958D28" w:rsidP="24958D28">
      <w:pPr>
        <w:jc w:val="both"/>
        <w:rPr>
          <w:rFonts w:cs="Arial"/>
          <w:sz w:val="22"/>
          <w:szCs w:val="22"/>
        </w:rPr>
      </w:pPr>
    </w:p>
    <w:tbl>
      <w:tblPr>
        <w:tblStyle w:val="TableGrid"/>
        <w:tblW w:w="5000" w:type="pct"/>
        <w:tblLook w:val="04A0" w:firstRow="1" w:lastRow="0" w:firstColumn="1" w:lastColumn="0" w:noHBand="0" w:noVBand="1"/>
      </w:tblPr>
      <w:tblGrid>
        <w:gridCol w:w="4248"/>
        <w:gridCol w:w="4768"/>
      </w:tblGrid>
      <w:tr w:rsidR="003D222C" w:rsidRPr="00D80C6C" w14:paraId="237FE329" w14:textId="77777777" w:rsidTr="29D08CD4">
        <w:tc>
          <w:tcPr>
            <w:tcW w:w="2356"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1FF5132" w14:textId="598F9DE6" w:rsidR="003D222C" w:rsidRPr="00D80C6C" w:rsidRDefault="003D222C" w:rsidP="004D5FD5">
            <w:pPr>
              <w:jc w:val="both"/>
              <w:rPr>
                <w:rFonts w:cs="Arial"/>
                <w:sz w:val="22"/>
                <w:szCs w:val="22"/>
              </w:rPr>
            </w:pPr>
            <w:r w:rsidRPr="29D08CD4">
              <w:rPr>
                <w:rFonts w:cs="Arial"/>
                <w:sz w:val="22"/>
                <w:szCs w:val="22"/>
              </w:rPr>
              <w:t>Date of last narrative financial report</w:t>
            </w:r>
          </w:p>
        </w:tc>
        <w:tc>
          <w:tcPr>
            <w:tcW w:w="2644" w:type="pct"/>
            <w:tcBorders>
              <w:top w:val="single" w:sz="4" w:space="0" w:color="auto"/>
              <w:left w:val="single" w:sz="4" w:space="0" w:color="auto"/>
              <w:bottom w:val="single" w:sz="4" w:space="0" w:color="auto"/>
              <w:right w:val="single" w:sz="4" w:space="0" w:color="auto"/>
            </w:tcBorders>
          </w:tcPr>
          <w:p w14:paraId="2ADAB5DF" w14:textId="4AFCFA05" w:rsidR="003D222C" w:rsidRPr="00D80C6C" w:rsidRDefault="00883CFD" w:rsidP="004D5FD5">
            <w:pPr>
              <w:jc w:val="both"/>
              <w:rPr>
                <w:rFonts w:cs="Arial"/>
                <w:sz w:val="22"/>
                <w:szCs w:val="22"/>
              </w:rPr>
            </w:pPr>
            <w:r w:rsidRPr="29D08CD4">
              <w:rPr>
                <w:rFonts w:cs="Arial"/>
                <w:sz w:val="22"/>
                <w:szCs w:val="22"/>
              </w:rPr>
              <w:t>N/A due to recency of programme launch</w:t>
            </w:r>
          </w:p>
        </w:tc>
      </w:tr>
      <w:tr w:rsidR="00883CFD" w:rsidRPr="00D80C6C" w14:paraId="1FE89B21" w14:textId="77777777" w:rsidTr="29D08CD4">
        <w:tc>
          <w:tcPr>
            <w:tcW w:w="2356"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C3A69BE" w14:textId="4925C3DE" w:rsidR="00883CFD" w:rsidRPr="00D80C6C" w:rsidRDefault="00883CFD" w:rsidP="00883CFD">
            <w:pPr>
              <w:jc w:val="both"/>
              <w:rPr>
                <w:rFonts w:cs="Arial"/>
                <w:sz w:val="22"/>
                <w:szCs w:val="22"/>
              </w:rPr>
            </w:pPr>
            <w:r w:rsidRPr="29D08CD4">
              <w:rPr>
                <w:rFonts w:cs="Arial"/>
                <w:sz w:val="22"/>
                <w:szCs w:val="22"/>
              </w:rPr>
              <w:t>Date of last audited annual statement</w:t>
            </w:r>
          </w:p>
        </w:tc>
        <w:tc>
          <w:tcPr>
            <w:tcW w:w="2644" w:type="pct"/>
            <w:tcBorders>
              <w:top w:val="single" w:sz="4" w:space="0" w:color="auto"/>
              <w:left w:val="single" w:sz="4" w:space="0" w:color="auto"/>
              <w:bottom w:val="single" w:sz="4" w:space="0" w:color="auto"/>
              <w:right w:val="single" w:sz="4" w:space="0" w:color="auto"/>
            </w:tcBorders>
          </w:tcPr>
          <w:p w14:paraId="67F793A9" w14:textId="7B570195" w:rsidR="00883CFD" w:rsidRPr="00D80C6C" w:rsidRDefault="00883CFD" w:rsidP="00883CFD">
            <w:pPr>
              <w:jc w:val="both"/>
              <w:rPr>
                <w:rFonts w:cs="Arial"/>
                <w:sz w:val="22"/>
                <w:szCs w:val="22"/>
              </w:rPr>
            </w:pPr>
            <w:r w:rsidRPr="29D08CD4">
              <w:rPr>
                <w:rFonts w:cs="Arial"/>
                <w:sz w:val="22"/>
                <w:szCs w:val="22"/>
              </w:rPr>
              <w:t>N/A due to recency of programme launch</w:t>
            </w:r>
          </w:p>
        </w:tc>
      </w:tr>
    </w:tbl>
    <w:p w14:paraId="4AB97E44" w14:textId="77777777" w:rsidR="003D222C" w:rsidRPr="00D80C6C" w:rsidRDefault="003D222C" w:rsidP="004D5FD5">
      <w:pPr>
        <w:jc w:val="both"/>
        <w:rPr>
          <w:rFonts w:cs="Arial"/>
          <w:sz w:val="22"/>
          <w:szCs w:val="22"/>
        </w:rPr>
      </w:pPr>
    </w:p>
    <w:sectPr w:rsidR="003D222C" w:rsidRPr="00D80C6C" w:rsidSect="001C6CE4">
      <w:headerReference w:type="default" r:id="rId22"/>
      <w:footerReference w:type="default" r:id="rId23"/>
      <w:headerReference w:type="first" r:id="rId24"/>
      <w:footerReference w:type="first" r:id="rId25"/>
      <w:pgSz w:w="11906" w:h="16838"/>
      <w:pgMar w:top="709" w:right="1440" w:bottom="709" w:left="144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Macrae, Joanna (Energy Security)" w:date="2025-11-30T16:37:00Z" w:initials="JM">
    <w:p w14:paraId="16A97163" w14:textId="5274BE83" w:rsidR="005D296D" w:rsidRDefault="005D296D" w:rsidP="005D296D">
      <w:pPr>
        <w:pStyle w:val="CommentText"/>
      </w:pPr>
      <w:r>
        <w:rPr>
          <w:rStyle w:val="CommentReference"/>
        </w:rPr>
        <w:annotationRef/>
      </w:r>
      <w:r>
        <w:fldChar w:fldCharType="begin"/>
      </w:r>
      <w:r>
        <w:instrText>HYPERLINK "mailto:Ed.Lewis@energysecurity.gov.uk"</w:instrText>
      </w:r>
      <w:bookmarkStart w:id="10" w:name="_@_5FA34749CCE64D56A4DFBEED5FEEB1B8Z"/>
      <w:r>
        <w:fldChar w:fldCharType="separate"/>
      </w:r>
      <w:bookmarkEnd w:id="10"/>
      <w:r w:rsidRPr="005D296D">
        <w:rPr>
          <w:rStyle w:val="Mention"/>
          <w:noProof/>
        </w:rPr>
        <w:t>@Lewis, Ed (Energy Security)</w:t>
      </w:r>
      <w:r>
        <w:fldChar w:fldCharType="end"/>
      </w:r>
      <w:r>
        <w:t xml:space="preserve">  to note I’ve amended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A971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9AAAE7" w16cex:dateUtc="2025-11-30T16:37:00Z">
    <w16cex:extLst>
      <w16:ext w16:uri="{CE6994B0-6A32-4C9F-8C6B-6E91EDA988CE}">
        <cr:reactions xmlns:cr="http://schemas.microsoft.com/office/comments/2020/reactions">
          <cr:reaction reactionType="1">
            <cr:reactionInfo dateUtc="2025-12-01T15:30:16Z">
              <cr:user userId="S::ed.lewis@energysecurity.gov.uk::fdae5de0-2f9a-4c30-b49f-0fd35c1e8a37" userProvider="AD" userName="Lewis, Ed (Energy Security)"/>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A97163" w16cid:durableId="0F9AAA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92EB5" w14:textId="77777777" w:rsidR="00C62DED" w:rsidRDefault="00C62DED" w:rsidP="003D222C">
      <w:r>
        <w:separator/>
      </w:r>
    </w:p>
  </w:endnote>
  <w:endnote w:type="continuationSeparator" w:id="0">
    <w:p w14:paraId="03713FAA" w14:textId="77777777" w:rsidR="00C62DED" w:rsidRDefault="00C62DED" w:rsidP="003D222C">
      <w:r>
        <w:continuationSeparator/>
      </w:r>
    </w:p>
  </w:endnote>
  <w:endnote w:type="continuationNotice" w:id="1">
    <w:p w14:paraId="747F8EEA" w14:textId="77777777" w:rsidR="00C62DED" w:rsidRDefault="00C62D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4779427"/>
      <w:docPartObj>
        <w:docPartGallery w:val="Page Numbers (Bottom of Page)"/>
        <w:docPartUnique/>
      </w:docPartObj>
    </w:sdtPr>
    <w:sdtEndPr>
      <w:rPr>
        <w:noProof/>
      </w:rPr>
    </w:sdtEndPr>
    <w:sdtContent>
      <w:p w14:paraId="6505D46B" w14:textId="26A3B61B" w:rsidR="00920D19" w:rsidRDefault="00920D1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872792" w14:textId="77777777" w:rsidR="00920D19" w:rsidRDefault="00920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DDCA5" w14:textId="6FF9DB3B" w:rsidR="00090217" w:rsidRDefault="00E51969" w:rsidP="00090217">
    <w:pPr>
      <w:pStyle w:val="BEISDate"/>
    </w:pPr>
    <w:r>
      <w:t xml:space="preserve">March </w:t>
    </w:r>
    <w:r w:rsidR="00090217">
      <w:t>20</w:t>
    </w:r>
    <w:r>
      <w:t>25</w:t>
    </w:r>
  </w:p>
  <w:p w14:paraId="4E83EFA8" w14:textId="77777777" w:rsidR="00090217" w:rsidRDefault="00090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2B065" w14:textId="77777777" w:rsidR="00C62DED" w:rsidRDefault="00C62DED" w:rsidP="003D222C">
      <w:r>
        <w:separator/>
      </w:r>
    </w:p>
  </w:footnote>
  <w:footnote w:type="continuationSeparator" w:id="0">
    <w:p w14:paraId="468852B4" w14:textId="77777777" w:rsidR="00C62DED" w:rsidRDefault="00C62DED" w:rsidP="003D222C">
      <w:r>
        <w:continuationSeparator/>
      </w:r>
    </w:p>
  </w:footnote>
  <w:footnote w:type="continuationNotice" w:id="1">
    <w:p w14:paraId="12C87C39" w14:textId="77777777" w:rsidR="00C62DED" w:rsidRDefault="00C62DED"/>
  </w:footnote>
  <w:footnote w:id="2">
    <w:p w14:paraId="4403DB4F" w14:textId="77777777" w:rsidR="001359FF" w:rsidRDefault="001359FF" w:rsidP="001359FF">
      <w:pPr>
        <w:pStyle w:val="FootnoteText"/>
      </w:pPr>
      <w:r>
        <w:rPr>
          <w:rStyle w:val="FootnoteReference"/>
        </w:rPr>
        <w:footnoteRef/>
      </w:r>
      <w:r>
        <w:t xml:space="preserve"> FCLP activities in 2024 were delivered through UNDP funding, which did not include any funding from the United Kingdom.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91CB9" w14:textId="5BCF4A1C" w:rsidR="00164467" w:rsidRDefault="00853EEE">
    <w:pPr>
      <w:pStyle w:val="Header"/>
    </w:pPr>
    <w:r>
      <w:rPr>
        <w:color w:val="041E42"/>
        <w:sz w:val="22"/>
      </w:rPr>
      <w:t>Forests and Climate Leaders’ Partnership (FCLP) Annual Review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BA78C" w14:textId="2ECCA5CD" w:rsidR="00C67FEB" w:rsidRDefault="00E64702">
    <w:pPr>
      <w:pStyle w:val="Header"/>
    </w:pPr>
    <w:r>
      <w:rPr>
        <w:noProof/>
      </w:rPr>
      <w:drawing>
        <wp:inline distT="0" distB="0" distL="0" distR="0" wp14:anchorId="653BEA8C" wp14:editId="2F7827DB">
          <wp:extent cx="2131029" cy="936702"/>
          <wp:effectExtent l="0" t="0" r="0" b="0"/>
          <wp:docPr id="1165208529" name="Picture 1165208529"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208529"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7930" cy="9441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CDC1"/>
    <w:multiLevelType w:val="hybridMultilevel"/>
    <w:tmpl w:val="FFFFFFFF"/>
    <w:lvl w:ilvl="0" w:tplc="1660B43A">
      <w:start w:val="1"/>
      <w:numFmt w:val="bullet"/>
      <w:lvlText w:val=""/>
      <w:lvlJc w:val="left"/>
      <w:pPr>
        <w:ind w:left="720" w:hanging="360"/>
      </w:pPr>
      <w:rPr>
        <w:rFonts w:ascii="Symbol" w:hAnsi="Symbol" w:hint="default"/>
      </w:rPr>
    </w:lvl>
    <w:lvl w:ilvl="1" w:tplc="91005948">
      <w:start w:val="1"/>
      <w:numFmt w:val="bullet"/>
      <w:lvlText w:val="o"/>
      <w:lvlJc w:val="left"/>
      <w:pPr>
        <w:ind w:left="1009" w:hanging="363"/>
      </w:pPr>
      <w:rPr>
        <w:rFonts w:ascii="Courier New" w:hAnsi="Courier New" w:hint="default"/>
      </w:rPr>
    </w:lvl>
    <w:lvl w:ilvl="2" w:tplc="8F6A8264">
      <w:start w:val="1"/>
      <w:numFmt w:val="bullet"/>
      <w:lvlText w:val=""/>
      <w:lvlJc w:val="left"/>
      <w:pPr>
        <w:ind w:left="2160" w:hanging="360"/>
      </w:pPr>
      <w:rPr>
        <w:rFonts w:ascii="Wingdings" w:hAnsi="Wingdings" w:hint="default"/>
      </w:rPr>
    </w:lvl>
    <w:lvl w:ilvl="3" w:tplc="C33C9152">
      <w:start w:val="1"/>
      <w:numFmt w:val="bullet"/>
      <w:lvlText w:val=""/>
      <w:lvlJc w:val="left"/>
      <w:pPr>
        <w:ind w:left="2880" w:hanging="360"/>
      </w:pPr>
      <w:rPr>
        <w:rFonts w:ascii="Symbol" w:hAnsi="Symbol" w:hint="default"/>
      </w:rPr>
    </w:lvl>
    <w:lvl w:ilvl="4" w:tplc="91001D70">
      <w:start w:val="1"/>
      <w:numFmt w:val="bullet"/>
      <w:lvlText w:val="o"/>
      <w:lvlJc w:val="left"/>
      <w:pPr>
        <w:ind w:left="3600" w:hanging="360"/>
      </w:pPr>
      <w:rPr>
        <w:rFonts w:ascii="Courier New" w:hAnsi="Courier New" w:hint="default"/>
      </w:rPr>
    </w:lvl>
    <w:lvl w:ilvl="5" w:tplc="A634C5A2">
      <w:start w:val="1"/>
      <w:numFmt w:val="bullet"/>
      <w:lvlText w:val=""/>
      <w:lvlJc w:val="left"/>
      <w:pPr>
        <w:ind w:left="4320" w:hanging="360"/>
      </w:pPr>
      <w:rPr>
        <w:rFonts w:ascii="Wingdings" w:hAnsi="Wingdings" w:hint="default"/>
      </w:rPr>
    </w:lvl>
    <w:lvl w:ilvl="6" w:tplc="78E8C1B6">
      <w:start w:val="1"/>
      <w:numFmt w:val="bullet"/>
      <w:lvlText w:val=""/>
      <w:lvlJc w:val="left"/>
      <w:pPr>
        <w:ind w:left="5040" w:hanging="360"/>
      </w:pPr>
      <w:rPr>
        <w:rFonts w:ascii="Symbol" w:hAnsi="Symbol" w:hint="default"/>
      </w:rPr>
    </w:lvl>
    <w:lvl w:ilvl="7" w:tplc="F3245FA2">
      <w:start w:val="1"/>
      <w:numFmt w:val="bullet"/>
      <w:lvlText w:val="o"/>
      <w:lvlJc w:val="left"/>
      <w:pPr>
        <w:ind w:left="5760" w:hanging="360"/>
      </w:pPr>
      <w:rPr>
        <w:rFonts w:ascii="Courier New" w:hAnsi="Courier New" w:hint="default"/>
      </w:rPr>
    </w:lvl>
    <w:lvl w:ilvl="8" w:tplc="3FFADDC4">
      <w:start w:val="1"/>
      <w:numFmt w:val="bullet"/>
      <w:lvlText w:val=""/>
      <w:lvlJc w:val="left"/>
      <w:pPr>
        <w:ind w:left="6480" w:hanging="360"/>
      </w:pPr>
      <w:rPr>
        <w:rFonts w:ascii="Wingdings" w:hAnsi="Wingdings" w:hint="default"/>
      </w:rPr>
    </w:lvl>
  </w:abstractNum>
  <w:abstractNum w:abstractNumId="1" w15:restartNumberingAfterBreak="0">
    <w:nsid w:val="123D2261"/>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6353527"/>
    <w:multiLevelType w:val="hybridMultilevel"/>
    <w:tmpl w:val="C5862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C35234"/>
    <w:multiLevelType w:val="hybridMultilevel"/>
    <w:tmpl w:val="C9B84288"/>
    <w:lvl w:ilvl="0" w:tplc="D63693FC">
      <w:start w:val="1"/>
      <w:numFmt w:val="bullet"/>
      <w:lvlText w:val="-"/>
      <w:lvlJc w:val="left"/>
      <w:pPr>
        <w:ind w:left="1080" w:hanging="360"/>
      </w:pPr>
      <w:rPr>
        <w:rFonts w:ascii="Courier New" w:hAnsi="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D862167"/>
    <w:multiLevelType w:val="multilevel"/>
    <w:tmpl w:val="FFFFFFFF"/>
    <w:lvl w:ilvl="0">
      <w:start w:val="1"/>
      <w:numFmt w:val="decimal"/>
      <w:lvlText w:val="%1."/>
      <w:lvlJc w:val="left"/>
      <w:pPr>
        <w:ind w:left="-360" w:hanging="360"/>
      </w:p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5" w15:restartNumberingAfterBreak="0">
    <w:nsid w:val="21B13E5F"/>
    <w:multiLevelType w:val="hybridMultilevel"/>
    <w:tmpl w:val="1EDE7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356490D"/>
    <w:multiLevelType w:val="hybridMultilevel"/>
    <w:tmpl w:val="90A452C8"/>
    <w:lvl w:ilvl="0" w:tplc="D63693FC">
      <w:start w:val="1"/>
      <w:numFmt w:val="bullet"/>
      <w:lvlText w:val="-"/>
      <w:lvlJc w:val="left"/>
      <w:pPr>
        <w:ind w:left="1080" w:hanging="360"/>
      </w:pPr>
      <w:rPr>
        <w:rFonts w:ascii="Courier New" w:hAnsi="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87063C7"/>
    <w:multiLevelType w:val="multilevel"/>
    <w:tmpl w:val="FFFFFFFF"/>
    <w:lvl w:ilvl="0">
      <w:start w:val="3"/>
      <w:numFmt w:val="decimal"/>
      <w:lvlText w:val="%1."/>
      <w:lvlJc w:val="left"/>
      <w:pPr>
        <w:ind w:left="-360" w:hanging="360"/>
      </w:p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8" w15:restartNumberingAfterBreak="0">
    <w:nsid w:val="2C12A8B1"/>
    <w:multiLevelType w:val="hybridMultilevel"/>
    <w:tmpl w:val="FFFFFFFF"/>
    <w:lvl w:ilvl="0" w:tplc="ADA042A8">
      <w:start w:val="1"/>
      <w:numFmt w:val="bullet"/>
      <w:lvlText w:val=""/>
      <w:lvlJc w:val="left"/>
      <w:pPr>
        <w:ind w:left="855" w:hanging="360"/>
      </w:pPr>
      <w:rPr>
        <w:rFonts w:ascii="Symbol" w:hAnsi="Symbol" w:hint="default"/>
      </w:rPr>
    </w:lvl>
    <w:lvl w:ilvl="1" w:tplc="B3D8DE5C">
      <w:start w:val="1"/>
      <w:numFmt w:val="bullet"/>
      <w:lvlText w:val="o"/>
      <w:lvlJc w:val="left"/>
      <w:pPr>
        <w:ind w:left="1440" w:hanging="360"/>
      </w:pPr>
      <w:rPr>
        <w:rFonts w:ascii="Courier New" w:hAnsi="Courier New" w:hint="default"/>
      </w:rPr>
    </w:lvl>
    <w:lvl w:ilvl="2" w:tplc="EB966FB2">
      <w:start w:val="1"/>
      <w:numFmt w:val="bullet"/>
      <w:lvlText w:val=""/>
      <w:lvlJc w:val="left"/>
      <w:pPr>
        <w:ind w:left="2160" w:hanging="360"/>
      </w:pPr>
      <w:rPr>
        <w:rFonts w:ascii="Wingdings" w:hAnsi="Wingdings" w:hint="default"/>
      </w:rPr>
    </w:lvl>
    <w:lvl w:ilvl="3" w:tplc="8A26432C">
      <w:start w:val="1"/>
      <w:numFmt w:val="bullet"/>
      <w:lvlText w:val=""/>
      <w:lvlJc w:val="left"/>
      <w:pPr>
        <w:ind w:left="2880" w:hanging="360"/>
      </w:pPr>
      <w:rPr>
        <w:rFonts w:ascii="Symbol" w:hAnsi="Symbol" w:hint="default"/>
      </w:rPr>
    </w:lvl>
    <w:lvl w:ilvl="4" w:tplc="663A5348">
      <w:start w:val="1"/>
      <w:numFmt w:val="bullet"/>
      <w:lvlText w:val="o"/>
      <w:lvlJc w:val="left"/>
      <w:pPr>
        <w:ind w:left="3600" w:hanging="360"/>
      </w:pPr>
      <w:rPr>
        <w:rFonts w:ascii="Courier New" w:hAnsi="Courier New" w:hint="default"/>
      </w:rPr>
    </w:lvl>
    <w:lvl w:ilvl="5" w:tplc="6C0EDF9E">
      <w:start w:val="1"/>
      <w:numFmt w:val="bullet"/>
      <w:lvlText w:val=""/>
      <w:lvlJc w:val="left"/>
      <w:pPr>
        <w:ind w:left="4320" w:hanging="360"/>
      </w:pPr>
      <w:rPr>
        <w:rFonts w:ascii="Wingdings" w:hAnsi="Wingdings" w:hint="default"/>
      </w:rPr>
    </w:lvl>
    <w:lvl w:ilvl="6" w:tplc="3ACADAFC">
      <w:start w:val="1"/>
      <w:numFmt w:val="bullet"/>
      <w:lvlText w:val=""/>
      <w:lvlJc w:val="left"/>
      <w:pPr>
        <w:ind w:left="5040" w:hanging="360"/>
      </w:pPr>
      <w:rPr>
        <w:rFonts w:ascii="Symbol" w:hAnsi="Symbol" w:hint="default"/>
      </w:rPr>
    </w:lvl>
    <w:lvl w:ilvl="7" w:tplc="93B0552C">
      <w:start w:val="1"/>
      <w:numFmt w:val="bullet"/>
      <w:lvlText w:val="o"/>
      <w:lvlJc w:val="left"/>
      <w:pPr>
        <w:ind w:left="5760" w:hanging="360"/>
      </w:pPr>
      <w:rPr>
        <w:rFonts w:ascii="Courier New" w:hAnsi="Courier New" w:hint="default"/>
      </w:rPr>
    </w:lvl>
    <w:lvl w:ilvl="8" w:tplc="F61657F4">
      <w:start w:val="1"/>
      <w:numFmt w:val="bullet"/>
      <w:lvlText w:val=""/>
      <w:lvlJc w:val="left"/>
      <w:pPr>
        <w:ind w:left="6480" w:hanging="360"/>
      </w:pPr>
      <w:rPr>
        <w:rFonts w:ascii="Wingdings" w:hAnsi="Wingdings" w:hint="default"/>
      </w:rPr>
    </w:lvl>
  </w:abstractNum>
  <w:abstractNum w:abstractNumId="9" w15:restartNumberingAfterBreak="0">
    <w:nsid w:val="31774C53"/>
    <w:multiLevelType w:val="multilevel"/>
    <w:tmpl w:val="FFFFFFFF"/>
    <w:lvl w:ilvl="0">
      <w:start w:val="4"/>
      <w:numFmt w:val="decimal"/>
      <w:lvlText w:val="%1."/>
      <w:lvlJc w:val="left"/>
      <w:pPr>
        <w:ind w:left="-360" w:hanging="360"/>
      </w:p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10" w15:restartNumberingAfterBreak="0">
    <w:nsid w:val="345426D5"/>
    <w:multiLevelType w:val="hybridMultilevel"/>
    <w:tmpl w:val="99ACD0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8C445E"/>
    <w:multiLevelType w:val="multilevel"/>
    <w:tmpl w:val="FFFFFFFF"/>
    <w:lvl w:ilvl="0">
      <w:start w:val="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10B1514"/>
    <w:multiLevelType w:val="multilevel"/>
    <w:tmpl w:val="FFFFFFFF"/>
    <w:lvl w:ilvl="0">
      <w:start w:val="2"/>
      <w:numFmt w:val="decimal"/>
      <w:lvlText w:val="%1."/>
      <w:lvlJc w:val="left"/>
      <w:pPr>
        <w:ind w:left="-360" w:hanging="360"/>
      </w:p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13" w15:restartNumberingAfterBreak="0">
    <w:nsid w:val="424224D3"/>
    <w:multiLevelType w:val="hybridMultilevel"/>
    <w:tmpl w:val="DFFE9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A9E51D"/>
    <w:multiLevelType w:val="multilevel"/>
    <w:tmpl w:val="FFFFFFFF"/>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4467EE2"/>
    <w:multiLevelType w:val="hybridMultilevel"/>
    <w:tmpl w:val="148C98AA"/>
    <w:lvl w:ilvl="0" w:tplc="D63693FC">
      <w:start w:val="1"/>
      <w:numFmt w:val="bullet"/>
      <w:lvlText w:val="-"/>
      <w:lvlJc w:val="left"/>
      <w:pPr>
        <w:ind w:left="1080" w:hanging="360"/>
      </w:pPr>
      <w:rPr>
        <w:rFonts w:ascii="Courier New" w:hAnsi="Courier New" w:hint="default"/>
      </w:rPr>
    </w:lvl>
    <w:lvl w:ilvl="1" w:tplc="D63693FC">
      <w:start w:val="1"/>
      <w:numFmt w:val="bullet"/>
      <w:lvlText w:val="-"/>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6F97A37"/>
    <w:multiLevelType w:val="hybridMultilevel"/>
    <w:tmpl w:val="B3068798"/>
    <w:lvl w:ilvl="0" w:tplc="D63693FC">
      <w:start w:val="1"/>
      <w:numFmt w:val="bullet"/>
      <w:lvlText w:val="-"/>
      <w:lvlJc w:val="left"/>
      <w:pPr>
        <w:ind w:left="1080" w:hanging="360"/>
      </w:pPr>
      <w:rPr>
        <w:rFonts w:ascii="Courier New" w:hAnsi="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819228A"/>
    <w:multiLevelType w:val="hybridMultilevel"/>
    <w:tmpl w:val="913079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FA71AA"/>
    <w:multiLevelType w:val="hybridMultilevel"/>
    <w:tmpl w:val="A5ECC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A00103"/>
    <w:multiLevelType w:val="hybridMultilevel"/>
    <w:tmpl w:val="0396F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001B62"/>
    <w:multiLevelType w:val="hybridMultilevel"/>
    <w:tmpl w:val="735AD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C8E66B"/>
    <w:multiLevelType w:val="multilevel"/>
    <w:tmpl w:val="FFFFFFFF"/>
    <w:lvl w:ilvl="0">
      <w:start w:val="4"/>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A841F3C"/>
    <w:multiLevelType w:val="hybridMultilevel"/>
    <w:tmpl w:val="EB1E8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B659C7"/>
    <w:multiLevelType w:val="hybridMultilevel"/>
    <w:tmpl w:val="FFFFFFFF"/>
    <w:lvl w:ilvl="0" w:tplc="5852A780">
      <w:start w:val="1"/>
      <w:numFmt w:val="bullet"/>
      <w:lvlText w:val=""/>
      <w:lvlJc w:val="left"/>
      <w:pPr>
        <w:ind w:left="720" w:hanging="360"/>
      </w:pPr>
      <w:rPr>
        <w:rFonts w:ascii="Symbol" w:hAnsi="Symbol" w:hint="default"/>
      </w:rPr>
    </w:lvl>
    <w:lvl w:ilvl="1" w:tplc="83469120">
      <w:start w:val="1"/>
      <w:numFmt w:val="bullet"/>
      <w:lvlText w:val="o"/>
      <w:lvlJc w:val="left"/>
      <w:pPr>
        <w:ind w:left="1009" w:hanging="363"/>
      </w:pPr>
      <w:rPr>
        <w:rFonts w:ascii="Courier New" w:hAnsi="Courier New" w:hint="default"/>
      </w:rPr>
    </w:lvl>
    <w:lvl w:ilvl="2" w:tplc="09E026D8">
      <w:start w:val="1"/>
      <w:numFmt w:val="bullet"/>
      <w:lvlText w:val=""/>
      <w:lvlJc w:val="left"/>
      <w:pPr>
        <w:ind w:left="2160" w:hanging="360"/>
      </w:pPr>
      <w:rPr>
        <w:rFonts w:ascii="Wingdings" w:hAnsi="Wingdings" w:hint="default"/>
      </w:rPr>
    </w:lvl>
    <w:lvl w:ilvl="3" w:tplc="A26A6ADA">
      <w:start w:val="1"/>
      <w:numFmt w:val="bullet"/>
      <w:lvlText w:val=""/>
      <w:lvlJc w:val="left"/>
      <w:pPr>
        <w:ind w:left="2880" w:hanging="360"/>
      </w:pPr>
      <w:rPr>
        <w:rFonts w:ascii="Symbol" w:hAnsi="Symbol" w:hint="default"/>
      </w:rPr>
    </w:lvl>
    <w:lvl w:ilvl="4" w:tplc="A2865FF8">
      <w:start w:val="1"/>
      <w:numFmt w:val="bullet"/>
      <w:lvlText w:val="o"/>
      <w:lvlJc w:val="left"/>
      <w:pPr>
        <w:ind w:left="3600" w:hanging="360"/>
      </w:pPr>
      <w:rPr>
        <w:rFonts w:ascii="Courier New" w:hAnsi="Courier New" w:hint="default"/>
      </w:rPr>
    </w:lvl>
    <w:lvl w:ilvl="5" w:tplc="47060242">
      <w:start w:val="1"/>
      <w:numFmt w:val="bullet"/>
      <w:lvlText w:val=""/>
      <w:lvlJc w:val="left"/>
      <w:pPr>
        <w:ind w:left="4320" w:hanging="360"/>
      </w:pPr>
      <w:rPr>
        <w:rFonts w:ascii="Wingdings" w:hAnsi="Wingdings" w:hint="default"/>
      </w:rPr>
    </w:lvl>
    <w:lvl w:ilvl="6" w:tplc="F97E15C2">
      <w:start w:val="1"/>
      <w:numFmt w:val="bullet"/>
      <w:lvlText w:val=""/>
      <w:lvlJc w:val="left"/>
      <w:pPr>
        <w:ind w:left="5040" w:hanging="360"/>
      </w:pPr>
      <w:rPr>
        <w:rFonts w:ascii="Symbol" w:hAnsi="Symbol" w:hint="default"/>
      </w:rPr>
    </w:lvl>
    <w:lvl w:ilvl="7" w:tplc="2280FEEC">
      <w:start w:val="1"/>
      <w:numFmt w:val="bullet"/>
      <w:lvlText w:val="o"/>
      <w:lvlJc w:val="left"/>
      <w:pPr>
        <w:ind w:left="5760" w:hanging="360"/>
      </w:pPr>
      <w:rPr>
        <w:rFonts w:ascii="Courier New" w:hAnsi="Courier New" w:hint="default"/>
      </w:rPr>
    </w:lvl>
    <w:lvl w:ilvl="8" w:tplc="2B76BFF8">
      <w:start w:val="1"/>
      <w:numFmt w:val="bullet"/>
      <w:lvlText w:val=""/>
      <w:lvlJc w:val="left"/>
      <w:pPr>
        <w:ind w:left="6480" w:hanging="360"/>
      </w:pPr>
      <w:rPr>
        <w:rFonts w:ascii="Wingdings" w:hAnsi="Wingdings" w:hint="default"/>
      </w:rPr>
    </w:lvl>
  </w:abstractNum>
  <w:abstractNum w:abstractNumId="24" w15:restartNumberingAfterBreak="0">
    <w:nsid w:val="7346855F"/>
    <w:multiLevelType w:val="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183397702">
    <w:abstractNumId w:val="0"/>
  </w:num>
  <w:num w:numId="2" w16cid:durableId="1315063852">
    <w:abstractNumId w:val="8"/>
  </w:num>
  <w:num w:numId="3" w16cid:durableId="910627168">
    <w:abstractNumId w:val="21"/>
  </w:num>
  <w:num w:numId="4" w16cid:durableId="1441491218">
    <w:abstractNumId w:val="11"/>
  </w:num>
  <w:num w:numId="5" w16cid:durableId="1547137026">
    <w:abstractNumId w:val="14"/>
  </w:num>
  <w:num w:numId="6" w16cid:durableId="1776631928">
    <w:abstractNumId w:val="1"/>
  </w:num>
  <w:num w:numId="7" w16cid:durableId="1851338002">
    <w:abstractNumId w:val="23"/>
  </w:num>
  <w:num w:numId="8" w16cid:durableId="1602643484">
    <w:abstractNumId w:val="9"/>
  </w:num>
  <w:num w:numId="9" w16cid:durableId="476263862">
    <w:abstractNumId w:val="7"/>
  </w:num>
  <w:num w:numId="10" w16cid:durableId="497574361">
    <w:abstractNumId w:val="12"/>
  </w:num>
  <w:num w:numId="11" w16cid:durableId="1510872749">
    <w:abstractNumId w:val="4"/>
  </w:num>
  <w:num w:numId="12" w16cid:durableId="1598714425">
    <w:abstractNumId w:val="24"/>
  </w:num>
  <w:num w:numId="13" w16cid:durableId="1048920116">
    <w:abstractNumId w:val="5"/>
  </w:num>
  <w:num w:numId="14" w16cid:durableId="714812672">
    <w:abstractNumId w:val="20"/>
  </w:num>
  <w:num w:numId="15" w16cid:durableId="748505300">
    <w:abstractNumId w:val="10"/>
  </w:num>
  <w:num w:numId="16" w16cid:durableId="1302731980">
    <w:abstractNumId w:val="16"/>
  </w:num>
  <w:num w:numId="17" w16cid:durableId="554388160">
    <w:abstractNumId w:val="6"/>
  </w:num>
  <w:num w:numId="18" w16cid:durableId="1329014394">
    <w:abstractNumId w:val="3"/>
  </w:num>
  <w:num w:numId="19" w16cid:durableId="611786646">
    <w:abstractNumId w:val="15"/>
  </w:num>
  <w:num w:numId="20" w16cid:durableId="235286960">
    <w:abstractNumId w:val="22"/>
  </w:num>
  <w:num w:numId="21" w16cid:durableId="117451066">
    <w:abstractNumId w:val="17"/>
  </w:num>
  <w:num w:numId="22" w16cid:durableId="102918696">
    <w:abstractNumId w:val="18"/>
  </w:num>
  <w:num w:numId="23" w16cid:durableId="37554748">
    <w:abstractNumId w:val="13"/>
  </w:num>
  <w:num w:numId="24" w16cid:durableId="1777827253">
    <w:abstractNumId w:val="19"/>
  </w:num>
  <w:num w:numId="25" w16cid:durableId="121800663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crae, Joanna (Energy Security)">
    <w15:presenceInfo w15:providerId="AD" w15:userId="S::Joanna.Macrae@energysecurity.gov.uk::a78564bf-9ce1-4cb5-aa40-9e8c04df5b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22C"/>
    <w:rsid w:val="0000238C"/>
    <w:rsid w:val="00003A51"/>
    <w:rsid w:val="00004515"/>
    <w:rsid w:val="000051AE"/>
    <w:rsid w:val="00006B4D"/>
    <w:rsid w:val="00011AC3"/>
    <w:rsid w:val="00012100"/>
    <w:rsid w:val="000208A6"/>
    <w:rsid w:val="00020BBB"/>
    <w:rsid w:val="0002157B"/>
    <w:rsid w:val="00021D7C"/>
    <w:rsid w:val="00022E89"/>
    <w:rsid w:val="00022F7E"/>
    <w:rsid w:val="00023069"/>
    <w:rsid w:val="00024D47"/>
    <w:rsid w:val="000351EE"/>
    <w:rsid w:val="000413F0"/>
    <w:rsid w:val="00042409"/>
    <w:rsid w:val="000425EB"/>
    <w:rsid w:val="00042CDC"/>
    <w:rsid w:val="0004790D"/>
    <w:rsid w:val="00051C5C"/>
    <w:rsid w:val="00052527"/>
    <w:rsid w:val="00053118"/>
    <w:rsid w:val="000534F4"/>
    <w:rsid w:val="00061CD8"/>
    <w:rsid w:val="000630C0"/>
    <w:rsid w:val="000630EE"/>
    <w:rsid w:val="000661F0"/>
    <w:rsid w:val="0006636F"/>
    <w:rsid w:val="00070DA9"/>
    <w:rsid w:val="00071640"/>
    <w:rsid w:val="00080399"/>
    <w:rsid w:val="000808DD"/>
    <w:rsid w:val="00080C85"/>
    <w:rsid w:val="0008189F"/>
    <w:rsid w:val="00083E43"/>
    <w:rsid w:val="00087D12"/>
    <w:rsid w:val="00090217"/>
    <w:rsid w:val="00092EB2"/>
    <w:rsid w:val="000A2BF2"/>
    <w:rsid w:val="000A35EC"/>
    <w:rsid w:val="000A3870"/>
    <w:rsid w:val="000A3F53"/>
    <w:rsid w:val="000A4120"/>
    <w:rsid w:val="000A5D80"/>
    <w:rsid w:val="000A660D"/>
    <w:rsid w:val="000A78BF"/>
    <w:rsid w:val="000B07E4"/>
    <w:rsid w:val="000B0871"/>
    <w:rsid w:val="000B1195"/>
    <w:rsid w:val="000B1797"/>
    <w:rsid w:val="000B2691"/>
    <w:rsid w:val="000B3C09"/>
    <w:rsid w:val="000B5A29"/>
    <w:rsid w:val="000C21CD"/>
    <w:rsid w:val="000C2765"/>
    <w:rsid w:val="000D0E10"/>
    <w:rsid w:val="000D0E6C"/>
    <w:rsid w:val="000D1291"/>
    <w:rsid w:val="000D14B2"/>
    <w:rsid w:val="000D29F1"/>
    <w:rsid w:val="000D37E9"/>
    <w:rsid w:val="000D47D2"/>
    <w:rsid w:val="000D6FA0"/>
    <w:rsid w:val="000D74D0"/>
    <w:rsid w:val="000E2608"/>
    <w:rsid w:val="000E3814"/>
    <w:rsid w:val="000E5F72"/>
    <w:rsid w:val="000F115E"/>
    <w:rsid w:val="000F3D0D"/>
    <w:rsid w:val="00100905"/>
    <w:rsid w:val="001014FC"/>
    <w:rsid w:val="00101C24"/>
    <w:rsid w:val="001041EA"/>
    <w:rsid w:val="00105706"/>
    <w:rsid w:val="00112E33"/>
    <w:rsid w:val="0011425F"/>
    <w:rsid w:val="001157C2"/>
    <w:rsid w:val="0011646D"/>
    <w:rsid w:val="00116D0F"/>
    <w:rsid w:val="0011722A"/>
    <w:rsid w:val="00117DE3"/>
    <w:rsid w:val="00122CD1"/>
    <w:rsid w:val="00125931"/>
    <w:rsid w:val="001271D5"/>
    <w:rsid w:val="00127D8A"/>
    <w:rsid w:val="001308D3"/>
    <w:rsid w:val="001330CE"/>
    <w:rsid w:val="00134C86"/>
    <w:rsid w:val="001356EA"/>
    <w:rsid w:val="001359FF"/>
    <w:rsid w:val="00135CBE"/>
    <w:rsid w:val="001412B1"/>
    <w:rsid w:val="00145F4F"/>
    <w:rsid w:val="00152714"/>
    <w:rsid w:val="0015395A"/>
    <w:rsid w:val="00153B34"/>
    <w:rsid w:val="0015666A"/>
    <w:rsid w:val="00157CA5"/>
    <w:rsid w:val="0016149B"/>
    <w:rsid w:val="00161FEE"/>
    <w:rsid w:val="00163381"/>
    <w:rsid w:val="00164467"/>
    <w:rsid w:val="00165157"/>
    <w:rsid w:val="00165BDC"/>
    <w:rsid w:val="00170A97"/>
    <w:rsid w:val="00171927"/>
    <w:rsid w:val="0017200D"/>
    <w:rsid w:val="00172753"/>
    <w:rsid w:val="00184E42"/>
    <w:rsid w:val="00187551"/>
    <w:rsid w:val="00187648"/>
    <w:rsid w:val="00187DE0"/>
    <w:rsid w:val="00193210"/>
    <w:rsid w:val="0019513D"/>
    <w:rsid w:val="00197AA5"/>
    <w:rsid w:val="001A1C72"/>
    <w:rsid w:val="001A4AA4"/>
    <w:rsid w:val="001B12D9"/>
    <w:rsid w:val="001B14BA"/>
    <w:rsid w:val="001B176B"/>
    <w:rsid w:val="001B2832"/>
    <w:rsid w:val="001B4B1F"/>
    <w:rsid w:val="001C0F8E"/>
    <w:rsid w:val="001C4D94"/>
    <w:rsid w:val="001C6CE4"/>
    <w:rsid w:val="001C7810"/>
    <w:rsid w:val="001C7B32"/>
    <w:rsid w:val="001D0A29"/>
    <w:rsid w:val="001D1F7E"/>
    <w:rsid w:val="001D7D91"/>
    <w:rsid w:val="001E39EE"/>
    <w:rsid w:val="001E3B41"/>
    <w:rsid w:val="001E424F"/>
    <w:rsid w:val="001E4764"/>
    <w:rsid w:val="001E4C86"/>
    <w:rsid w:val="001E6174"/>
    <w:rsid w:val="001F1670"/>
    <w:rsid w:val="001F2F19"/>
    <w:rsid w:val="001F3BDF"/>
    <w:rsid w:val="00200EA1"/>
    <w:rsid w:val="0020294F"/>
    <w:rsid w:val="002030AC"/>
    <w:rsid w:val="002030CD"/>
    <w:rsid w:val="00214B0F"/>
    <w:rsid w:val="00215312"/>
    <w:rsid w:val="002172E3"/>
    <w:rsid w:val="002202B5"/>
    <w:rsid w:val="00223F80"/>
    <w:rsid w:val="00224B92"/>
    <w:rsid w:val="00224EC7"/>
    <w:rsid w:val="00225D4D"/>
    <w:rsid w:val="00230433"/>
    <w:rsid w:val="00230B3B"/>
    <w:rsid w:val="002326B0"/>
    <w:rsid w:val="00232D74"/>
    <w:rsid w:val="0023406A"/>
    <w:rsid w:val="00234902"/>
    <w:rsid w:val="00235C25"/>
    <w:rsid w:val="002408B0"/>
    <w:rsid w:val="00245398"/>
    <w:rsid w:val="0024598E"/>
    <w:rsid w:val="002467F6"/>
    <w:rsid w:val="00247F30"/>
    <w:rsid w:val="002509EE"/>
    <w:rsid w:val="00261F0B"/>
    <w:rsid w:val="00262184"/>
    <w:rsid w:val="00262913"/>
    <w:rsid w:val="00263A94"/>
    <w:rsid w:val="00265CB3"/>
    <w:rsid w:val="00266D6D"/>
    <w:rsid w:val="00272DF1"/>
    <w:rsid w:val="00273264"/>
    <w:rsid w:val="00273501"/>
    <w:rsid w:val="00273595"/>
    <w:rsid w:val="002763E6"/>
    <w:rsid w:val="00276517"/>
    <w:rsid w:val="002765E9"/>
    <w:rsid w:val="00277DDE"/>
    <w:rsid w:val="00282458"/>
    <w:rsid w:val="00283D52"/>
    <w:rsid w:val="0028445F"/>
    <w:rsid w:val="00284C8D"/>
    <w:rsid w:val="00286041"/>
    <w:rsid w:val="00290BFD"/>
    <w:rsid w:val="00292068"/>
    <w:rsid w:val="00292560"/>
    <w:rsid w:val="00292F00"/>
    <w:rsid w:val="002932F4"/>
    <w:rsid w:val="00293AC3"/>
    <w:rsid w:val="0029494A"/>
    <w:rsid w:val="002968BB"/>
    <w:rsid w:val="002A1B68"/>
    <w:rsid w:val="002A1EDD"/>
    <w:rsid w:val="002A3140"/>
    <w:rsid w:val="002A5018"/>
    <w:rsid w:val="002B116C"/>
    <w:rsid w:val="002B2EFB"/>
    <w:rsid w:val="002B4180"/>
    <w:rsid w:val="002B698B"/>
    <w:rsid w:val="002C51D2"/>
    <w:rsid w:val="002C5FBE"/>
    <w:rsid w:val="002C7238"/>
    <w:rsid w:val="002D09A5"/>
    <w:rsid w:val="002D1948"/>
    <w:rsid w:val="002E0103"/>
    <w:rsid w:val="002E34F8"/>
    <w:rsid w:val="002E47F9"/>
    <w:rsid w:val="002E7988"/>
    <w:rsid w:val="002F4D26"/>
    <w:rsid w:val="002F7768"/>
    <w:rsid w:val="002F7ED7"/>
    <w:rsid w:val="00300B2C"/>
    <w:rsid w:val="0030176F"/>
    <w:rsid w:val="00306148"/>
    <w:rsid w:val="00312692"/>
    <w:rsid w:val="00317176"/>
    <w:rsid w:val="00321EB1"/>
    <w:rsid w:val="003220EB"/>
    <w:rsid w:val="0032344E"/>
    <w:rsid w:val="00324828"/>
    <w:rsid w:val="00333943"/>
    <w:rsid w:val="00336DF1"/>
    <w:rsid w:val="00340556"/>
    <w:rsid w:val="00345AB6"/>
    <w:rsid w:val="00346ABA"/>
    <w:rsid w:val="00350CC2"/>
    <w:rsid w:val="00351576"/>
    <w:rsid w:val="003548CD"/>
    <w:rsid w:val="00360BA9"/>
    <w:rsid w:val="00367419"/>
    <w:rsid w:val="003703C9"/>
    <w:rsid w:val="00371EF4"/>
    <w:rsid w:val="003734CD"/>
    <w:rsid w:val="00376877"/>
    <w:rsid w:val="00376DBB"/>
    <w:rsid w:val="0038130D"/>
    <w:rsid w:val="00382FA0"/>
    <w:rsid w:val="00386DFC"/>
    <w:rsid w:val="0038C730"/>
    <w:rsid w:val="00390077"/>
    <w:rsid w:val="0039501E"/>
    <w:rsid w:val="00397E1A"/>
    <w:rsid w:val="003A1454"/>
    <w:rsid w:val="003A24B5"/>
    <w:rsid w:val="003A33CE"/>
    <w:rsid w:val="003A4191"/>
    <w:rsid w:val="003A7F0C"/>
    <w:rsid w:val="003B0A95"/>
    <w:rsid w:val="003B0E1B"/>
    <w:rsid w:val="003B21B0"/>
    <w:rsid w:val="003B5289"/>
    <w:rsid w:val="003B6F5B"/>
    <w:rsid w:val="003C071B"/>
    <w:rsid w:val="003C1077"/>
    <w:rsid w:val="003C3447"/>
    <w:rsid w:val="003C36D6"/>
    <w:rsid w:val="003C3B87"/>
    <w:rsid w:val="003C47C0"/>
    <w:rsid w:val="003C5821"/>
    <w:rsid w:val="003D222C"/>
    <w:rsid w:val="003D5412"/>
    <w:rsid w:val="003D5CCB"/>
    <w:rsid w:val="003D69AC"/>
    <w:rsid w:val="003D7396"/>
    <w:rsid w:val="003E0BE6"/>
    <w:rsid w:val="003E37BB"/>
    <w:rsid w:val="003F145F"/>
    <w:rsid w:val="003F1D5E"/>
    <w:rsid w:val="003F2692"/>
    <w:rsid w:val="003F3586"/>
    <w:rsid w:val="003F6641"/>
    <w:rsid w:val="00400793"/>
    <w:rsid w:val="004010EA"/>
    <w:rsid w:val="00401217"/>
    <w:rsid w:val="00402699"/>
    <w:rsid w:val="00403198"/>
    <w:rsid w:val="004065A6"/>
    <w:rsid w:val="00410462"/>
    <w:rsid w:val="004114A4"/>
    <w:rsid w:val="0041760D"/>
    <w:rsid w:val="004306C3"/>
    <w:rsid w:val="00431C52"/>
    <w:rsid w:val="00431F13"/>
    <w:rsid w:val="00431FA3"/>
    <w:rsid w:val="00437071"/>
    <w:rsid w:val="00442918"/>
    <w:rsid w:val="00444904"/>
    <w:rsid w:val="00445169"/>
    <w:rsid w:val="004467DE"/>
    <w:rsid w:val="004469B1"/>
    <w:rsid w:val="00451BA6"/>
    <w:rsid w:val="00454488"/>
    <w:rsid w:val="0045775E"/>
    <w:rsid w:val="00461B0B"/>
    <w:rsid w:val="00463B74"/>
    <w:rsid w:val="004652BD"/>
    <w:rsid w:val="00465365"/>
    <w:rsid w:val="004674E7"/>
    <w:rsid w:val="00471F64"/>
    <w:rsid w:val="004746CA"/>
    <w:rsid w:val="00477108"/>
    <w:rsid w:val="004800BF"/>
    <w:rsid w:val="004803AC"/>
    <w:rsid w:val="00487917"/>
    <w:rsid w:val="00487EE6"/>
    <w:rsid w:val="00491807"/>
    <w:rsid w:val="0049270D"/>
    <w:rsid w:val="004930AA"/>
    <w:rsid w:val="00495286"/>
    <w:rsid w:val="00495A10"/>
    <w:rsid w:val="00495D37"/>
    <w:rsid w:val="004A1BA0"/>
    <w:rsid w:val="004A367B"/>
    <w:rsid w:val="004A7090"/>
    <w:rsid w:val="004B1E68"/>
    <w:rsid w:val="004B6CE0"/>
    <w:rsid w:val="004B7DEA"/>
    <w:rsid w:val="004C0C6E"/>
    <w:rsid w:val="004C1DAC"/>
    <w:rsid w:val="004C4F1A"/>
    <w:rsid w:val="004C5395"/>
    <w:rsid w:val="004C7115"/>
    <w:rsid w:val="004D2202"/>
    <w:rsid w:val="004D2FC0"/>
    <w:rsid w:val="004D429F"/>
    <w:rsid w:val="004D5FD5"/>
    <w:rsid w:val="004E106C"/>
    <w:rsid w:val="004E2D32"/>
    <w:rsid w:val="004E56BF"/>
    <w:rsid w:val="004E58C7"/>
    <w:rsid w:val="004E5D8A"/>
    <w:rsid w:val="004E76EC"/>
    <w:rsid w:val="00502108"/>
    <w:rsid w:val="00503233"/>
    <w:rsid w:val="00504998"/>
    <w:rsid w:val="005052EF"/>
    <w:rsid w:val="005053B7"/>
    <w:rsid w:val="00506A8E"/>
    <w:rsid w:val="00506BA7"/>
    <w:rsid w:val="00511364"/>
    <w:rsid w:val="00511FFC"/>
    <w:rsid w:val="00512845"/>
    <w:rsid w:val="005150E9"/>
    <w:rsid w:val="00516165"/>
    <w:rsid w:val="00516CB5"/>
    <w:rsid w:val="00522232"/>
    <w:rsid w:val="00523144"/>
    <w:rsid w:val="00523527"/>
    <w:rsid w:val="005276CF"/>
    <w:rsid w:val="005301FC"/>
    <w:rsid w:val="005308A6"/>
    <w:rsid w:val="00535100"/>
    <w:rsid w:val="00542B05"/>
    <w:rsid w:val="00545864"/>
    <w:rsid w:val="0054648F"/>
    <w:rsid w:val="00546684"/>
    <w:rsid w:val="005506F0"/>
    <w:rsid w:val="00550C1C"/>
    <w:rsid w:val="00551C2C"/>
    <w:rsid w:val="00551E5E"/>
    <w:rsid w:val="00555322"/>
    <w:rsid w:val="00563813"/>
    <w:rsid w:val="00563D7C"/>
    <w:rsid w:val="0056752A"/>
    <w:rsid w:val="00570D26"/>
    <w:rsid w:val="005713BF"/>
    <w:rsid w:val="00571DA3"/>
    <w:rsid w:val="00573D71"/>
    <w:rsid w:val="0057533F"/>
    <w:rsid w:val="0057651C"/>
    <w:rsid w:val="005765E3"/>
    <w:rsid w:val="005807F4"/>
    <w:rsid w:val="00581158"/>
    <w:rsid w:val="005938E9"/>
    <w:rsid w:val="005956F6"/>
    <w:rsid w:val="005A226C"/>
    <w:rsid w:val="005A4752"/>
    <w:rsid w:val="005A72B9"/>
    <w:rsid w:val="005A7E49"/>
    <w:rsid w:val="005B0586"/>
    <w:rsid w:val="005B191D"/>
    <w:rsid w:val="005B2281"/>
    <w:rsid w:val="005B2C50"/>
    <w:rsid w:val="005B4800"/>
    <w:rsid w:val="005C0D1E"/>
    <w:rsid w:val="005C1CC9"/>
    <w:rsid w:val="005C2CD1"/>
    <w:rsid w:val="005C33CD"/>
    <w:rsid w:val="005C5441"/>
    <w:rsid w:val="005C76EE"/>
    <w:rsid w:val="005D296D"/>
    <w:rsid w:val="005D34A2"/>
    <w:rsid w:val="005D53D2"/>
    <w:rsid w:val="005D6CC8"/>
    <w:rsid w:val="005E0B5E"/>
    <w:rsid w:val="005E126B"/>
    <w:rsid w:val="005E421D"/>
    <w:rsid w:val="005E4B11"/>
    <w:rsid w:val="005E4CFD"/>
    <w:rsid w:val="005E7765"/>
    <w:rsid w:val="005F02BC"/>
    <w:rsid w:val="005F2FB9"/>
    <w:rsid w:val="005F6BC9"/>
    <w:rsid w:val="00602756"/>
    <w:rsid w:val="00604D1C"/>
    <w:rsid w:val="00610EA6"/>
    <w:rsid w:val="00611197"/>
    <w:rsid w:val="00611AEB"/>
    <w:rsid w:val="00614870"/>
    <w:rsid w:val="00615CA5"/>
    <w:rsid w:val="00621165"/>
    <w:rsid w:val="00626D5E"/>
    <w:rsid w:val="00631215"/>
    <w:rsid w:val="0063184B"/>
    <w:rsid w:val="00633718"/>
    <w:rsid w:val="0063799D"/>
    <w:rsid w:val="00640533"/>
    <w:rsid w:val="0064238D"/>
    <w:rsid w:val="00642EF7"/>
    <w:rsid w:val="006458C5"/>
    <w:rsid w:val="006502E2"/>
    <w:rsid w:val="00654DEA"/>
    <w:rsid w:val="0065650C"/>
    <w:rsid w:val="00663996"/>
    <w:rsid w:val="00663AD2"/>
    <w:rsid w:val="00664269"/>
    <w:rsid w:val="00664A21"/>
    <w:rsid w:val="00665AB5"/>
    <w:rsid w:val="00667345"/>
    <w:rsid w:val="00670978"/>
    <w:rsid w:val="00670D4A"/>
    <w:rsid w:val="00675642"/>
    <w:rsid w:val="006762BA"/>
    <w:rsid w:val="0067751D"/>
    <w:rsid w:val="00677C9F"/>
    <w:rsid w:val="00682382"/>
    <w:rsid w:val="0068269F"/>
    <w:rsid w:val="0068311B"/>
    <w:rsid w:val="00684787"/>
    <w:rsid w:val="006847BE"/>
    <w:rsid w:val="00684D59"/>
    <w:rsid w:val="00687422"/>
    <w:rsid w:val="006878A9"/>
    <w:rsid w:val="00690170"/>
    <w:rsid w:val="00690851"/>
    <w:rsid w:val="00691518"/>
    <w:rsid w:val="00691842"/>
    <w:rsid w:val="00691F21"/>
    <w:rsid w:val="00693916"/>
    <w:rsid w:val="00697EAA"/>
    <w:rsid w:val="006A25FB"/>
    <w:rsid w:val="006A4983"/>
    <w:rsid w:val="006A79E4"/>
    <w:rsid w:val="006B1CB1"/>
    <w:rsid w:val="006B2D7E"/>
    <w:rsid w:val="006B4DAC"/>
    <w:rsid w:val="006B5875"/>
    <w:rsid w:val="006B7E4E"/>
    <w:rsid w:val="006C3255"/>
    <w:rsid w:val="006C4113"/>
    <w:rsid w:val="006C516E"/>
    <w:rsid w:val="006D0804"/>
    <w:rsid w:val="006D1002"/>
    <w:rsid w:val="006D2E92"/>
    <w:rsid w:val="006D6838"/>
    <w:rsid w:val="006E3A30"/>
    <w:rsid w:val="006F0946"/>
    <w:rsid w:val="006F15D7"/>
    <w:rsid w:val="006F5A22"/>
    <w:rsid w:val="007006AA"/>
    <w:rsid w:val="007061AA"/>
    <w:rsid w:val="0070718A"/>
    <w:rsid w:val="007127B3"/>
    <w:rsid w:val="007132FB"/>
    <w:rsid w:val="00716375"/>
    <w:rsid w:val="00721A28"/>
    <w:rsid w:val="007224A3"/>
    <w:rsid w:val="007235DD"/>
    <w:rsid w:val="00723661"/>
    <w:rsid w:val="00723B26"/>
    <w:rsid w:val="007259C6"/>
    <w:rsid w:val="00732D0D"/>
    <w:rsid w:val="00734B0D"/>
    <w:rsid w:val="00740805"/>
    <w:rsid w:val="007430E3"/>
    <w:rsid w:val="007559CB"/>
    <w:rsid w:val="007576A3"/>
    <w:rsid w:val="00761A57"/>
    <w:rsid w:val="00762838"/>
    <w:rsid w:val="00763186"/>
    <w:rsid w:val="007632E2"/>
    <w:rsid w:val="007639D4"/>
    <w:rsid w:val="00765353"/>
    <w:rsid w:val="00766933"/>
    <w:rsid w:val="00767541"/>
    <w:rsid w:val="0077420A"/>
    <w:rsid w:val="007746CD"/>
    <w:rsid w:val="00774FE6"/>
    <w:rsid w:val="0077756C"/>
    <w:rsid w:val="00777DAE"/>
    <w:rsid w:val="007842CF"/>
    <w:rsid w:val="00784AB4"/>
    <w:rsid w:val="00792B52"/>
    <w:rsid w:val="00793175"/>
    <w:rsid w:val="00794AE0"/>
    <w:rsid w:val="007969B4"/>
    <w:rsid w:val="007A3325"/>
    <w:rsid w:val="007B1B9B"/>
    <w:rsid w:val="007B7E3A"/>
    <w:rsid w:val="007B7F06"/>
    <w:rsid w:val="007C16AC"/>
    <w:rsid w:val="007C1877"/>
    <w:rsid w:val="007C5E2A"/>
    <w:rsid w:val="007C65C9"/>
    <w:rsid w:val="007C6CE4"/>
    <w:rsid w:val="007D1D64"/>
    <w:rsid w:val="007D5A7D"/>
    <w:rsid w:val="007D6095"/>
    <w:rsid w:val="007D6C3D"/>
    <w:rsid w:val="007D6F34"/>
    <w:rsid w:val="007E3F3C"/>
    <w:rsid w:val="007E5A0A"/>
    <w:rsid w:val="007E677F"/>
    <w:rsid w:val="007F4605"/>
    <w:rsid w:val="008012F4"/>
    <w:rsid w:val="00802899"/>
    <w:rsid w:val="00802D9F"/>
    <w:rsid w:val="00806029"/>
    <w:rsid w:val="00807A14"/>
    <w:rsid w:val="0081112E"/>
    <w:rsid w:val="00814C37"/>
    <w:rsid w:val="0081512F"/>
    <w:rsid w:val="008173A2"/>
    <w:rsid w:val="00817439"/>
    <w:rsid w:val="00822BE3"/>
    <w:rsid w:val="00823BCE"/>
    <w:rsid w:val="00826971"/>
    <w:rsid w:val="00826C33"/>
    <w:rsid w:val="00827323"/>
    <w:rsid w:val="00830D08"/>
    <w:rsid w:val="00833097"/>
    <w:rsid w:val="00833A0E"/>
    <w:rsid w:val="0083408E"/>
    <w:rsid w:val="0083437C"/>
    <w:rsid w:val="008347A5"/>
    <w:rsid w:val="00840CDF"/>
    <w:rsid w:val="00842C58"/>
    <w:rsid w:val="00844E1E"/>
    <w:rsid w:val="00846784"/>
    <w:rsid w:val="0085114D"/>
    <w:rsid w:val="00852823"/>
    <w:rsid w:val="0085323B"/>
    <w:rsid w:val="00853EEE"/>
    <w:rsid w:val="008545EA"/>
    <w:rsid w:val="008572EC"/>
    <w:rsid w:val="0086082A"/>
    <w:rsid w:val="0086206D"/>
    <w:rsid w:val="0086548F"/>
    <w:rsid w:val="00865B2F"/>
    <w:rsid w:val="00866AEF"/>
    <w:rsid w:val="00866D12"/>
    <w:rsid w:val="00866E56"/>
    <w:rsid w:val="008714CA"/>
    <w:rsid w:val="008726F1"/>
    <w:rsid w:val="00872F0F"/>
    <w:rsid w:val="0087555B"/>
    <w:rsid w:val="00876BEE"/>
    <w:rsid w:val="00877C6C"/>
    <w:rsid w:val="00881EEE"/>
    <w:rsid w:val="00883CFD"/>
    <w:rsid w:val="00885BB9"/>
    <w:rsid w:val="00890E9F"/>
    <w:rsid w:val="00890FA8"/>
    <w:rsid w:val="00891138"/>
    <w:rsid w:val="00891714"/>
    <w:rsid w:val="00894DAE"/>
    <w:rsid w:val="0089618B"/>
    <w:rsid w:val="008A27CB"/>
    <w:rsid w:val="008A41C4"/>
    <w:rsid w:val="008B14CE"/>
    <w:rsid w:val="008B1D52"/>
    <w:rsid w:val="008B3D63"/>
    <w:rsid w:val="008C11E4"/>
    <w:rsid w:val="008C1833"/>
    <w:rsid w:val="008C1CC5"/>
    <w:rsid w:val="008C4B8F"/>
    <w:rsid w:val="008D3049"/>
    <w:rsid w:val="008D38DD"/>
    <w:rsid w:val="008D416E"/>
    <w:rsid w:val="008D4877"/>
    <w:rsid w:val="008D67D1"/>
    <w:rsid w:val="008D7528"/>
    <w:rsid w:val="008D7F71"/>
    <w:rsid w:val="008E418E"/>
    <w:rsid w:val="008E4790"/>
    <w:rsid w:val="008E5B96"/>
    <w:rsid w:val="008E64F6"/>
    <w:rsid w:val="008F0760"/>
    <w:rsid w:val="008F24AA"/>
    <w:rsid w:val="008F36A5"/>
    <w:rsid w:val="008F3CAC"/>
    <w:rsid w:val="008F4F1C"/>
    <w:rsid w:val="008F56A7"/>
    <w:rsid w:val="008F57B0"/>
    <w:rsid w:val="008F749C"/>
    <w:rsid w:val="0090367B"/>
    <w:rsid w:val="00905D76"/>
    <w:rsid w:val="00906C3C"/>
    <w:rsid w:val="009074D0"/>
    <w:rsid w:val="00907BC0"/>
    <w:rsid w:val="00911629"/>
    <w:rsid w:val="0091399C"/>
    <w:rsid w:val="00913CE3"/>
    <w:rsid w:val="0091743B"/>
    <w:rsid w:val="00920D19"/>
    <w:rsid w:val="009218DF"/>
    <w:rsid w:val="00921B91"/>
    <w:rsid w:val="00924831"/>
    <w:rsid w:val="00925739"/>
    <w:rsid w:val="009308FE"/>
    <w:rsid w:val="00931F4C"/>
    <w:rsid w:val="00934A64"/>
    <w:rsid w:val="00934C52"/>
    <w:rsid w:val="009351E1"/>
    <w:rsid w:val="00941C03"/>
    <w:rsid w:val="00943866"/>
    <w:rsid w:val="00945233"/>
    <w:rsid w:val="00946796"/>
    <w:rsid w:val="00950219"/>
    <w:rsid w:val="00953846"/>
    <w:rsid w:val="009630D6"/>
    <w:rsid w:val="00964968"/>
    <w:rsid w:val="0096676D"/>
    <w:rsid w:val="00970580"/>
    <w:rsid w:val="00972675"/>
    <w:rsid w:val="00973184"/>
    <w:rsid w:val="00975958"/>
    <w:rsid w:val="00975DCB"/>
    <w:rsid w:val="00980883"/>
    <w:rsid w:val="0098153F"/>
    <w:rsid w:val="0098284D"/>
    <w:rsid w:val="00984441"/>
    <w:rsid w:val="00984786"/>
    <w:rsid w:val="009914FD"/>
    <w:rsid w:val="009946A9"/>
    <w:rsid w:val="00995F8D"/>
    <w:rsid w:val="009A2822"/>
    <w:rsid w:val="009A4F15"/>
    <w:rsid w:val="009A5B7B"/>
    <w:rsid w:val="009A5DC8"/>
    <w:rsid w:val="009A77A9"/>
    <w:rsid w:val="009A7D7F"/>
    <w:rsid w:val="009B0053"/>
    <w:rsid w:val="009B1315"/>
    <w:rsid w:val="009B1872"/>
    <w:rsid w:val="009B5FBE"/>
    <w:rsid w:val="009C08CA"/>
    <w:rsid w:val="009C1839"/>
    <w:rsid w:val="009C282D"/>
    <w:rsid w:val="009C59BC"/>
    <w:rsid w:val="009C6595"/>
    <w:rsid w:val="009D1D77"/>
    <w:rsid w:val="009D28E4"/>
    <w:rsid w:val="009E0664"/>
    <w:rsid w:val="009E1EAF"/>
    <w:rsid w:val="009E371F"/>
    <w:rsid w:val="009E3F6E"/>
    <w:rsid w:val="009E4DE9"/>
    <w:rsid w:val="009E520E"/>
    <w:rsid w:val="009E73F5"/>
    <w:rsid w:val="009E7E0C"/>
    <w:rsid w:val="009E7E57"/>
    <w:rsid w:val="009F0E6A"/>
    <w:rsid w:val="009F2210"/>
    <w:rsid w:val="009F3C86"/>
    <w:rsid w:val="009F43A2"/>
    <w:rsid w:val="00A00F6B"/>
    <w:rsid w:val="00A01536"/>
    <w:rsid w:val="00A026AB"/>
    <w:rsid w:val="00A04016"/>
    <w:rsid w:val="00A10BDB"/>
    <w:rsid w:val="00A13144"/>
    <w:rsid w:val="00A13661"/>
    <w:rsid w:val="00A13776"/>
    <w:rsid w:val="00A22E15"/>
    <w:rsid w:val="00A30AD3"/>
    <w:rsid w:val="00A3224A"/>
    <w:rsid w:val="00A3672C"/>
    <w:rsid w:val="00A37F9D"/>
    <w:rsid w:val="00A452D5"/>
    <w:rsid w:val="00A47751"/>
    <w:rsid w:val="00A5180E"/>
    <w:rsid w:val="00A531CF"/>
    <w:rsid w:val="00A559FB"/>
    <w:rsid w:val="00A57251"/>
    <w:rsid w:val="00A61259"/>
    <w:rsid w:val="00A62234"/>
    <w:rsid w:val="00A62D44"/>
    <w:rsid w:val="00A6310D"/>
    <w:rsid w:val="00A637E6"/>
    <w:rsid w:val="00A666D2"/>
    <w:rsid w:val="00A668FC"/>
    <w:rsid w:val="00A66B51"/>
    <w:rsid w:val="00A700A1"/>
    <w:rsid w:val="00A7122A"/>
    <w:rsid w:val="00A712B0"/>
    <w:rsid w:val="00A74966"/>
    <w:rsid w:val="00A77681"/>
    <w:rsid w:val="00A7790B"/>
    <w:rsid w:val="00A86616"/>
    <w:rsid w:val="00A87280"/>
    <w:rsid w:val="00A90165"/>
    <w:rsid w:val="00A90D63"/>
    <w:rsid w:val="00A93510"/>
    <w:rsid w:val="00A95D0D"/>
    <w:rsid w:val="00AA0259"/>
    <w:rsid w:val="00AA15C0"/>
    <w:rsid w:val="00AA24F4"/>
    <w:rsid w:val="00AA2F5F"/>
    <w:rsid w:val="00AA5145"/>
    <w:rsid w:val="00AA55CF"/>
    <w:rsid w:val="00AA6640"/>
    <w:rsid w:val="00AA6DBA"/>
    <w:rsid w:val="00AA718D"/>
    <w:rsid w:val="00AB0C35"/>
    <w:rsid w:val="00AC11A5"/>
    <w:rsid w:val="00AC4FE6"/>
    <w:rsid w:val="00AD2250"/>
    <w:rsid w:val="00AD25BD"/>
    <w:rsid w:val="00AD490B"/>
    <w:rsid w:val="00AD50F1"/>
    <w:rsid w:val="00AD63FB"/>
    <w:rsid w:val="00AE1605"/>
    <w:rsid w:val="00AE4F8B"/>
    <w:rsid w:val="00AE4FF6"/>
    <w:rsid w:val="00AE5D88"/>
    <w:rsid w:val="00AE5DFE"/>
    <w:rsid w:val="00AE67CA"/>
    <w:rsid w:val="00AF1FFA"/>
    <w:rsid w:val="00AF3A24"/>
    <w:rsid w:val="00AF45D4"/>
    <w:rsid w:val="00AF7B71"/>
    <w:rsid w:val="00B006BA"/>
    <w:rsid w:val="00B03A77"/>
    <w:rsid w:val="00B05AB0"/>
    <w:rsid w:val="00B063C1"/>
    <w:rsid w:val="00B06671"/>
    <w:rsid w:val="00B06AC3"/>
    <w:rsid w:val="00B10322"/>
    <w:rsid w:val="00B14281"/>
    <w:rsid w:val="00B16ACB"/>
    <w:rsid w:val="00B23823"/>
    <w:rsid w:val="00B248C0"/>
    <w:rsid w:val="00B25EF3"/>
    <w:rsid w:val="00B27A2B"/>
    <w:rsid w:val="00B31A88"/>
    <w:rsid w:val="00B34EB5"/>
    <w:rsid w:val="00B34F85"/>
    <w:rsid w:val="00B35FDF"/>
    <w:rsid w:val="00B36D62"/>
    <w:rsid w:val="00B41C7F"/>
    <w:rsid w:val="00B42FAC"/>
    <w:rsid w:val="00B43086"/>
    <w:rsid w:val="00B43AD5"/>
    <w:rsid w:val="00B448EA"/>
    <w:rsid w:val="00B4546F"/>
    <w:rsid w:val="00B51FFC"/>
    <w:rsid w:val="00B5264B"/>
    <w:rsid w:val="00B533E7"/>
    <w:rsid w:val="00B552BD"/>
    <w:rsid w:val="00B56567"/>
    <w:rsid w:val="00B56CFD"/>
    <w:rsid w:val="00B575EF"/>
    <w:rsid w:val="00B60C14"/>
    <w:rsid w:val="00B62B4F"/>
    <w:rsid w:val="00B63E5C"/>
    <w:rsid w:val="00B65166"/>
    <w:rsid w:val="00B66890"/>
    <w:rsid w:val="00B7022F"/>
    <w:rsid w:val="00B70B9D"/>
    <w:rsid w:val="00B74143"/>
    <w:rsid w:val="00B75F66"/>
    <w:rsid w:val="00B75FD7"/>
    <w:rsid w:val="00B81053"/>
    <w:rsid w:val="00B84E0B"/>
    <w:rsid w:val="00B86569"/>
    <w:rsid w:val="00B86802"/>
    <w:rsid w:val="00B95DFB"/>
    <w:rsid w:val="00BA05C4"/>
    <w:rsid w:val="00BA30D0"/>
    <w:rsid w:val="00BA53BB"/>
    <w:rsid w:val="00BB008B"/>
    <w:rsid w:val="00BB02DE"/>
    <w:rsid w:val="00BB037B"/>
    <w:rsid w:val="00BB111F"/>
    <w:rsid w:val="00BB1765"/>
    <w:rsid w:val="00BB4FF2"/>
    <w:rsid w:val="00BB709F"/>
    <w:rsid w:val="00BC1940"/>
    <w:rsid w:val="00BC19DB"/>
    <w:rsid w:val="00BC2C20"/>
    <w:rsid w:val="00BC2CA2"/>
    <w:rsid w:val="00BC5958"/>
    <w:rsid w:val="00BC5C9B"/>
    <w:rsid w:val="00BD1469"/>
    <w:rsid w:val="00BD270B"/>
    <w:rsid w:val="00BD3921"/>
    <w:rsid w:val="00BD42DE"/>
    <w:rsid w:val="00BD5DE7"/>
    <w:rsid w:val="00BD7D69"/>
    <w:rsid w:val="00BE177E"/>
    <w:rsid w:val="00BE2B85"/>
    <w:rsid w:val="00BE72B9"/>
    <w:rsid w:val="00BE77A2"/>
    <w:rsid w:val="00BF2857"/>
    <w:rsid w:val="00BF2A91"/>
    <w:rsid w:val="00BF5A99"/>
    <w:rsid w:val="00BF633B"/>
    <w:rsid w:val="00C01276"/>
    <w:rsid w:val="00C02966"/>
    <w:rsid w:val="00C0445B"/>
    <w:rsid w:val="00C0550F"/>
    <w:rsid w:val="00C07E14"/>
    <w:rsid w:val="00C17ACA"/>
    <w:rsid w:val="00C22257"/>
    <w:rsid w:val="00C22C27"/>
    <w:rsid w:val="00C24093"/>
    <w:rsid w:val="00C279F9"/>
    <w:rsid w:val="00C32493"/>
    <w:rsid w:val="00C328A7"/>
    <w:rsid w:val="00C33BBE"/>
    <w:rsid w:val="00C34E5E"/>
    <w:rsid w:val="00C40973"/>
    <w:rsid w:val="00C41A92"/>
    <w:rsid w:val="00C429BE"/>
    <w:rsid w:val="00C4359E"/>
    <w:rsid w:val="00C46E3B"/>
    <w:rsid w:val="00C47596"/>
    <w:rsid w:val="00C503E2"/>
    <w:rsid w:val="00C5283B"/>
    <w:rsid w:val="00C54643"/>
    <w:rsid w:val="00C56AB7"/>
    <w:rsid w:val="00C62DED"/>
    <w:rsid w:val="00C6339A"/>
    <w:rsid w:val="00C64A62"/>
    <w:rsid w:val="00C66F37"/>
    <w:rsid w:val="00C67232"/>
    <w:rsid w:val="00C67FEB"/>
    <w:rsid w:val="00C76788"/>
    <w:rsid w:val="00C8123F"/>
    <w:rsid w:val="00C9014E"/>
    <w:rsid w:val="00C94B13"/>
    <w:rsid w:val="00C9528E"/>
    <w:rsid w:val="00C95EF0"/>
    <w:rsid w:val="00CA355A"/>
    <w:rsid w:val="00CB2873"/>
    <w:rsid w:val="00CB2D92"/>
    <w:rsid w:val="00CB4ACE"/>
    <w:rsid w:val="00CB621D"/>
    <w:rsid w:val="00CC0B32"/>
    <w:rsid w:val="00CC20C7"/>
    <w:rsid w:val="00CC21B4"/>
    <w:rsid w:val="00CC3134"/>
    <w:rsid w:val="00CC389B"/>
    <w:rsid w:val="00CC4FE2"/>
    <w:rsid w:val="00CD1CE9"/>
    <w:rsid w:val="00CD5390"/>
    <w:rsid w:val="00CD6DC6"/>
    <w:rsid w:val="00CE16B1"/>
    <w:rsid w:val="00CE1C67"/>
    <w:rsid w:val="00CE417F"/>
    <w:rsid w:val="00CE6B27"/>
    <w:rsid w:val="00CE7CC3"/>
    <w:rsid w:val="00CF2576"/>
    <w:rsid w:val="00CF26FB"/>
    <w:rsid w:val="00CF2784"/>
    <w:rsid w:val="00CF56C1"/>
    <w:rsid w:val="00CF79E7"/>
    <w:rsid w:val="00D01559"/>
    <w:rsid w:val="00D0183B"/>
    <w:rsid w:val="00D024B7"/>
    <w:rsid w:val="00D0302B"/>
    <w:rsid w:val="00D064A8"/>
    <w:rsid w:val="00D11B10"/>
    <w:rsid w:val="00D16983"/>
    <w:rsid w:val="00D16B49"/>
    <w:rsid w:val="00D2170B"/>
    <w:rsid w:val="00D23D43"/>
    <w:rsid w:val="00D24223"/>
    <w:rsid w:val="00D2640A"/>
    <w:rsid w:val="00D26B34"/>
    <w:rsid w:val="00D27B9F"/>
    <w:rsid w:val="00D32A14"/>
    <w:rsid w:val="00D35184"/>
    <w:rsid w:val="00D36731"/>
    <w:rsid w:val="00D36A9D"/>
    <w:rsid w:val="00D36C11"/>
    <w:rsid w:val="00D4042A"/>
    <w:rsid w:val="00D404AC"/>
    <w:rsid w:val="00D4329E"/>
    <w:rsid w:val="00D46862"/>
    <w:rsid w:val="00D47270"/>
    <w:rsid w:val="00D5020E"/>
    <w:rsid w:val="00D5633E"/>
    <w:rsid w:val="00D56B37"/>
    <w:rsid w:val="00D56ED4"/>
    <w:rsid w:val="00D649ED"/>
    <w:rsid w:val="00D73C2E"/>
    <w:rsid w:val="00D73C4B"/>
    <w:rsid w:val="00D7442D"/>
    <w:rsid w:val="00D75881"/>
    <w:rsid w:val="00D77D46"/>
    <w:rsid w:val="00D80C6C"/>
    <w:rsid w:val="00D820BC"/>
    <w:rsid w:val="00D87218"/>
    <w:rsid w:val="00D91A1B"/>
    <w:rsid w:val="00D970DF"/>
    <w:rsid w:val="00D975E5"/>
    <w:rsid w:val="00DA03A2"/>
    <w:rsid w:val="00DA0813"/>
    <w:rsid w:val="00DA1CDD"/>
    <w:rsid w:val="00DA6734"/>
    <w:rsid w:val="00DA6B40"/>
    <w:rsid w:val="00DA6B63"/>
    <w:rsid w:val="00DB1061"/>
    <w:rsid w:val="00DB3B57"/>
    <w:rsid w:val="00DB4AAF"/>
    <w:rsid w:val="00DB4C35"/>
    <w:rsid w:val="00DB76D4"/>
    <w:rsid w:val="00DC3F89"/>
    <w:rsid w:val="00DC66C8"/>
    <w:rsid w:val="00DD40D1"/>
    <w:rsid w:val="00DD5597"/>
    <w:rsid w:val="00DD6894"/>
    <w:rsid w:val="00DE04CE"/>
    <w:rsid w:val="00DE2656"/>
    <w:rsid w:val="00DE352C"/>
    <w:rsid w:val="00DE5EF5"/>
    <w:rsid w:val="00DE750D"/>
    <w:rsid w:val="00DE792B"/>
    <w:rsid w:val="00DF096F"/>
    <w:rsid w:val="00DF7330"/>
    <w:rsid w:val="00E00CDC"/>
    <w:rsid w:val="00E02281"/>
    <w:rsid w:val="00E0597A"/>
    <w:rsid w:val="00E11019"/>
    <w:rsid w:val="00E112B4"/>
    <w:rsid w:val="00E120B8"/>
    <w:rsid w:val="00E14739"/>
    <w:rsid w:val="00E14CD2"/>
    <w:rsid w:val="00E17058"/>
    <w:rsid w:val="00E221AC"/>
    <w:rsid w:val="00E24788"/>
    <w:rsid w:val="00E32CB4"/>
    <w:rsid w:val="00E350B1"/>
    <w:rsid w:val="00E35EBC"/>
    <w:rsid w:val="00E3640D"/>
    <w:rsid w:val="00E440EA"/>
    <w:rsid w:val="00E51969"/>
    <w:rsid w:val="00E52F06"/>
    <w:rsid w:val="00E6044C"/>
    <w:rsid w:val="00E611F0"/>
    <w:rsid w:val="00E64326"/>
    <w:rsid w:val="00E64702"/>
    <w:rsid w:val="00E71B82"/>
    <w:rsid w:val="00E73CEC"/>
    <w:rsid w:val="00E74109"/>
    <w:rsid w:val="00E8725E"/>
    <w:rsid w:val="00E90C3E"/>
    <w:rsid w:val="00E9161C"/>
    <w:rsid w:val="00E9282C"/>
    <w:rsid w:val="00E92936"/>
    <w:rsid w:val="00E92DC2"/>
    <w:rsid w:val="00E96C97"/>
    <w:rsid w:val="00EA193A"/>
    <w:rsid w:val="00EA6186"/>
    <w:rsid w:val="00EC0215"/>
    <w:rsid w:val="00EC0A52"/>
    <w:rsid w:val="00EC1633"/>
    <w:rsid w:val="00EC1A15"/>
    <w:rsid w:val="00EC1E4B"/>
    <w:rsid w:val="00EC24C4"/>
    <w:rsid w:val="00EC4AA2"/>
    <w:rsid w:val="00ED2F58"/>
    <w:rsid w:val="00ED313F"/>
    <w:rsid w:val="00ED5D53"/>
    <w:rsid w:val="00ED5FD4"/>
    <w:rsid w:val="00ED6730"/>
    <w:rsid w:val="00EE6525"/>
    <w:rsid w:val="00EF15C7"/>
    <w:rsid w:val="00EF192C"/>
    <w:rsid w:val="00EF1E13"/>
    <w:rsid w:val="00EF3831"/>
    <w:rsid w:val="00EF6089"/>
    <w:rsid w:val="00F013F9"/>
    <w:rsid w:val="00F12E4A"/>
    <w:rsid w:val="00F13B3D"/>
    <w:rsid w:val="00F15DB3"/>
    <w:rsid w:val="00F165EB"/>
    <w:rsid w:val="00F2127D"/>
    <w:rsid w:val="00F22602"/>
    <w:rsid w:val="00F231B2"/>
    <w:rsid w:val="00F23D38"/>
    <w:rsid w:val="00F25357"/>
    <w:rsid w:val="00F25367"/>
    <w:rsid w:val="00F26154"/>
    <w:rsid w:val="00F263E5"/>
    <w:rsid w:val="00F33810"/>
    <w:rsid w:val="00F35CF5"/>
    <w:rsid w:val="00F366CC"/>
    <w:rsid w:val="00F41028"/>
    <w:rsid w:val="00F42024"/>
    <w:rsid w:val="00F454E2"/>
    <w:rsid w:val="00F5568E"/>
    <w:rsid w:val="00F64AAA"/>
    <w:rsid w:val="00F81530"/>
    <w:rsid w:val="00F820F5"/>
    <w:rsid w:val="00F82102"/>
    <w:rsid w:val="00F91C89"/>
    <w:rsid w:val="00F925D1"/>
    <w:rsid w:val="00F92B1D"/>
    <w:rsid w:val="00F93CFD"/>
    <w:rsid w:val="00F9533B"/>
    <w:rsid w:val="00F956E6"/>
    <w:rsid w:val="00FA2E41"/>
    <w:rsid w:val="00FA3A2C"/>
    <w:rsid w:val="00FB0DF0"/>
    <w:rsid w:val="00FB1083"/>
    <w:rsid w:val="00FB2415"/>
    <w:rsid w:val="00FB4942"/>
    <w:rsid w:val="00FB49FD"/>
    <w:rsid w:val="00FB6DFA"/>
    <w:rsid w:val="00FB711D"/>
    <w:rsid w:val="00FC0530"/>
    <w:rsid w:val="00FC10C9"/>
    <w:rsid w:val="00FC16A6"/>
    <w:rsid w:val="00FC2DA0"/>
    <w:rsid w:val="00FC6ED0"/>
    <w:rsid w:val="00FC7BC9"/>
    <w:rsid w:val="00FD30B0"/>
    <w:rsid w:val="00FD4CDB"/>
    <w:rsid w:val="00FD6E70"/>
    <w:rsid w:val="00FE0B59"/>
    <w:rsid w:val="00FE2105"/>
    <w:rsid w:val="00FE26D6"/>
    <w:rsid w:val="00FE7819"/>
    <w:rsid w:val="00FF0A68"/>
    <w:rsid w:val="00FF0E23"/>
    <w:rsid w:val="00FF3AB9"/>
    <w:rsid w:val="016E7A31"/>
    <w:rsid w:val="047D88C3"/>
    <w:rsid w:val="04EE6D95"/>
    <w:rsid w:val="05833283"/>
    <w:rsid w:val="068E9F29"/>
    <w:rsid w:val="069A7751"/>
    <w:rsid w:val="07837BB0"/>
    <w:rsid w:val="091EBCA9"/>
    <w:rsid w:val="09A83F8E"/>
    <w:rsid w:val="09D0BBA3"/>
    <w:rsid w:val="09F058FE"/>
    <w:rsid w:val="0F3EBECC"/>
    <w:rsid w:val="0F4B611E"/>
    <w:rsid w:val="10CF1F40"/>
    <w:rsid w:val="118DF33B"/>
    <w:rsid w:val="11A4B095"/>
    <w:rsid w:val="11D7C83E"/>
    <w:rsid w:val="120D13A1"/>
    <w:rsid w:val="12A577AD"/>
    <w:rsid w:val="12CAE514"/>
    <w:rsid w:val="130BDB2C"/>
    <w:rsid w:val="159F08A2"/>
    <w:rsid w:val="17620490"/>
    <w:rsid w:val="17E7DFFE"/>
    <w:rsid w:val="18704AE6"/>
    <w:rsid w:val="1AAE7830"/>
    <w:rsid w:val="1AC9AB48"/>
    <w:rsid w:val="1B2BD53F"/>
    <w:rsid w:val="1C6003B3"/>
    <w:rsid w:val="1D5A238D"/>
    <w:rsid w:val="1D5E912B"/>
    <w:rsid w:val="1E36C0A8"/>
    <w:rsid w:val="201EFFDD"/>
    <w:rsid w:val="20262009"/>
    <w:rsid w:val="203DE22F"/>
    <w:rsid w:val="21763F77"/>
    <w:rsid w:val="22BEB3C5"/>
    <w:rsid w:val="22BFEBB5"/>
    <w:rsid w:val="2411DAE5"/>
    <w:rsid w:val="24958D28"/>
    <w:rsid w:val="25E6B594"/>
    <w:rsid w:val="2640796A"/>
    <w:rsid w:val="26A80248"/>
    <w:rsid w:val="28430F59"/>
    <w:rsid w:val="29955768"/>
    <w:rsid w:val="29D08CD4"/>
    <w:rsid w:val="29D37326"/>
    <w:rsid w:val="2A7BF0F7"/>
    <w:rsid w:val="2ACD23B6"/>
    <w:rsid w:val="2B1E8D05"/>
    <w:rsid w:val="2B6F4D0B"/>
    <w:rsid w:val="2B913C7A"/>
    <w:rsid w:val="2C7057B1"/>
    <w:rsid w:val="2F565B21"/>
    <w:rsid w:val="2F5A30B7"/>
    <w:rsid w:val="2F941329"/>
    <w:rsid w:val="30193D0A"/>
    <w:rsid w:val="308C0147"/>
    <w:rsid w:val="31BCA3C4"/>
    <w:rsid w:val="32874D25"/>
    <w:rsid w:val="32B552BF"/>
    <w:rsid w:val="32B5BD6A"/>
    <w:rsid w:val="33380EC7"/>
    <w:rsid w:val="3375A81A"/>
    <w:rsid w:val="363A0C77"/>
    <w:rsid w:val="3724A575"/>
    <w:rsid w:val="3815F719"/>
    <w:rsid w:val="384FA242"/>
    <w:rsid w:val="3A221014"/>
    <w:rsid w:val="3AB42498"/>
    <w:rsid w:val="3C3CFB27"/>
    <w:rsid w:val="3CA80E06"/>
    <w:rsid w:val="3D04FBC2"/>
    <w:rsid w:val="3F76CE01"/>
    <w:rsid w:val="45F3D031"/>
    <w:rsid w:val="46916135"/>
    <w:rsid w:val="4743FDE3"/>
    <w:rsid w:val="47A46379"/>
    <w:rsid w:val="48F9B804"/>
    <w:rsid w:val="4C7585EB"/>
    <w:rsid w:val="4CEC4033"/>
    <w:rsid w:val="4DDB44A0"/>
    <w:rsid w:val="4E61405C"/>
    <w:rsid w:val="4F1B1973"/>
    <w:rsid w:val="4FB023D7"/>
    <w:rsid w:val="4FC7EDEA"/>
    <w:rsid w:val="514F6847"/>
    <w:rsid w:val="527A8EFF"/>
    <w:rsid w:val="535B2108"/>
    <w:rsid w:val="548DD0F9"/>
    <w:rsid w:val="54CE6708"/>
    <w:rsid w:val="55476F62"/>
    <w:rsid w:val="55756A93"/>
    <w:rsid w:val="56060E27"/>
    <w:rsid w:val="56566C16"/>
    <w:rsid w:val="57150FCB"/>
    <w:rsid w:val="5719166F"/>
    <w:rsid w:val="57711C43"/>
    <w:rsid w:val="580DA2A1"/>
    <w:rsid w:val="593AE498"/>
    <w:rsid w:val="59736221"/>
    <w:rsid w:val="5974CF0B"/>
    <w:rsid w:val="5A9DDF99"/>
    <w:rsid w:val="5AA7F347"/>
    <w:rsid w:val="5C4F1294"/>
    <w:rsid w:val="5CDBA64A"/>
    <w:rsid w:val="5DBDE8FB"/>
    <w:rsid w:val="5FC957AC"/>
    <w:rsid w:val="628EDE1A"/>
    <w:rsid w:val="63F383CA"/>
    <w:rsid w:val="64D8BEBE"/>
    <w:rsid w:val="662399CC"/>
    <w:rsid w:val="674F03FF"/>
    <w:rsid w:val="67C085A6"/>
    <w:rsid w:val="67D1E42F"/>
    <w:rsid w:val="6915967D"/>
    <w:rsid w:val="6A972075"/>
    <w:rsid w:val="6AFDC85C"/>
    <w:rsid w:val="6B2080A9"/>
    <w:rsid w:val="6CA9D6E8"/>
    <w:rsid w:val="6D6EFC2A"/>
    <w:rsid w:val="6FB0782D"/>
    <w:rsid w:val="6FD44573"/>
    <w:rsid w:val="720FC528"/>
    <w:rsid w:val="72B52B4A"/>
    <w:rsid w:val="73199B75"/>
    <w:rsid w:val="73579E3A"/>
    <w:rsid w:val="7393622E"/>
    <w:rsid w:val="74270B6B"/>
    <w:rsid w:val="75FBDCE5"/>
    <w:rsid w:val="786C8AE3"/>
    <w:rsid w:val="789BD016"/>
    <w:rsid w:val="78D7D3F2"/>
    <w:rsid w:val="7940EA6A"/>
    <w:rsid w:val="7A56344F"/>
    <w:rsid w:val="7B7FF875"/>
    <w:rsid w:val="7B898CC2"/>
    <w:rsid w:val="7C054946"/>
    <w:rsid w:val="7DA80FDE"/>
    <w:rsid w:val="7E020510"/>
    <w:rsid w:val="7F059EF7"/>
    <w:rsid w:val="7FBFED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848CA"/>
  <w15:chartTrackingRefBased/>
  <w15:docId w15:val="{B5D0C40B-0E7A-4BE1-A29E-2FD5FEF36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D222C"/>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1B14B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3D222C"/>
    <w:pPr>
      <w:spacing w:before="240"/>
      <w:outlineLvl w:val="1"/>
    </w:pPr>
    <w:rPr>
      <w:b/>
      <w:i/>
      <w:kern w:val="28"/>
      <w:sz w:val="28"/>
      <w:szCs w:val="28"/>
    </w:rPr>
  </w:style>
  <w:style w:type="paragraph" w:styleId="Heading3">
    <w:name w:val="heading 3"/>
    <w:basedOn w:val="Normal"/>
    <w:next w:val="Normal"/>
    <w:link w:val="Heading3Char"/>
    <w:uiPriority w:val="9"/>
    <w:unhideWhenUsed/>
    <w:qFormat/>
    <w:rsid w:val="0095384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22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22C"/>
    <w:rPr>
      <w:rFonts w:ascii="Segoe UI" w:hAnsi="Segoe UI" w:cs="Segoe UI"/>
      <w:sz w:val="18"/>
      <w:szCs w:val="18"/>
    </w:rPr>
  </w:style>
  <w:style w:type="character" w:customStyle="1" w:styleId="Heading2Char">
    <w:name w:val="Heading 2 Char"/>
    <w:basedOn w:val="DefaultParagraphFont"/>
    <w:link w:val="Heading2"/>
    <w:rsid w:val="003D222C"/>
    <w:rPr>
      <w:rFonts w:ascii="Arial" w:eastAsia="Times New Roman" w:hAnsi="Arial" w:cs="Times New Roman"/>
      <w:b/>
      <w:i/>
      <w:kern w:val="28"/>
      <w:sz w:val="28"/>
      <w:szCs w:val="28"/>
    </w:rPr>
  </w:style>
  <w:style w:type="paragraph" w:styleId="ListParagraph">
    <w:name w:val="List Paragraph"/>
    <w:aliases w:val="Recommendatio,Párrafo de lista,Recommendation,OBC Bullet,Dot pt,F5 List Paragraph,List Paragraph1,No Spacing1,List Paragraph Char Char Char,Indicator Text,Colorful List - Accent 11,Numbered Para 1,Bullet 1,Bullet Points,List Paragraph2,L"/>
    <w:basedOn w:val="Normal"/>
    <w:link w:val="ListParagraphChar"/>
    <w:uiPriority w:val="34"/>
    <w:qFormat/>
    <w:rsid w:val="003D222C"/>
    <w:pPr>
      <w:spacing w:after="240"/>
      <w:ind w:left="720"/>
      <w:contextualSpacing/>
    </w:pPr>
    <w:rPr>
      <w:szCs w:val="20"/>
      <w:lang w:eastAsia="en-GB"/>
    </w:rPr>
  </w:style>
  <w:style w:type="character" w:customStyle="1" w:styleId="ListParagraphChar">
    <w:name w:val="List Paragraph Char"/>
    <w:aliases w:val="Recommendatio Char,Párrafo de lista Char,Recommendation Char,OBC Bullet Char,Dot pt Char,F5 List Paragraph Char,List Paragraph1 Char,No Spacing1 Char,List Paragraph Char Char Char Char,Indicator Text Char,Numbered Para 1 Char,L Char"/>
    <w:basedOn w:val="DefaultParagraphFont"/>
    <w:link w:val="ListParagraph"/>
    <w:uiPriority w:val="34"/>
    <w:qFormat/>
    <w:locked/>
    <w:rsid w:val="003D222C"/>
    <w:rPr>
      <w:rFonts w:ascii="Arial" w:eastAsia="Times New Roman" w:hAnsi="Arial" w:cs="Times New Roman"/>
      <w:sz w:val="24"/>
      <w:szCs w:val="20"/>
      <w:lang w:eastAsia="en-GB"/>
    </w:rPr>
  </w:style>
  <w:style w:type="table" w:styleId="TableGrid">
    <w:name w:val="Table Grid"/>
    <w:basedOn w:val="TableNormal"/>
    <w:rsid w:val="003D222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222C"/>
    <w:rPr>
      <w:color w:val="0563C1" w:themeColor="hyperlink"/>
      <w:u w:val="single"/>
    </w:rPr>
  </w:style>
  <w:style w:type="paragraph" w:styleId="Header">
    <w:name w:val="header"/>
    <w:basedOn w:val="Normal"/>
    <w:link w:val="HeaderChar"/>
    <w:uiPriority w:val="99"/>
    <w:unhideWhenUsed/>
    <w:rsid w:val="003D222C"/>
    <w:pPr>
      <w:tabs>
        <w:tab w:val="center" w:pos="4513"/>
        <w:tab w:val="right" w:pos="9026"/>
      </w:tabs>
    </w:pPr>
  </w:style>
  <w:style w:type="character" w:customStyle="1" w:styleId="HeaderChar">
    <w:name w:val="Header Char"/>
    <w:basedOn w:val="DefaultParagraphFont"/>
    <w:link w:val="Header"/>
    <w:uiPriority w:val="99"/>
    <w:rsid w:val="003D222C"/>
    <w:rPr>
      <w:rFonts w:ascii="Arial" w:eastAsia="Times New Roman" w:hAnsi="Arial" w:cs="Times New Roman"/>
      <w:sz w:val="24"/>
      <w:szCs w:val="24"/>
    </w:rPr>
  </w:style>
  <w:style w:type="paragraph" w:styleId="Footer">
    <w:name w:val="footer"/>
    <w:basedOn w:val="Normal"/>
    <w:link w:val="FooterChar"/>
    <w:uiPriority w:val="99"/>
    <w:unhideWhenUsed/>
    <w:rsid w:val="001A4AA4"/>
    <w:pPr>
      <w:tabs>
        <w:tab w:val="center" w:pos="4513"/>
        <w:tab w:val="right" w:pos="9026"/>
      </w:tabs>
    </w:pPr>
  </w:style>
  <w:style w:type="character" w:customStyle="1" w:styleId="FooterChar">
    <w:name w:val="Footer Char"/>
    <w:basedOn w:val="DefaultParagraphFont"/>
    <w:link w:val="Footer"/>
    <w:uiPriority w:val="99"/>
    <w:rsid w:val="001A4AA4"/>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386DFC"/>
    <w:rPr>
      <w:color w:val="605E5C"/>
      <w:shd w:val="clear" w:color="auto" w:fill="E1DFDD"/>
    </w:rPr>
  </w:style>
  <w:style w:type="character" w:styleId="FollowedHyperlink">
    <w:name w:val="FollowedHyperlink"/>
    <w:basedOn w:val="DefaultParagraphFont"/>
    <w:uiPriority w:val="99"/>
    <w:semiHidden/>
    <w:unhideWhenUsed/>
    <w:rsid w:val="001356EA"/>
    <w:rPr>
      <w:color w:val="954F72" w:themeColor="followedHyperlink"/>
      <w:u w:val="single"/>
    </w:rPr>
  </w:style>
  <w:style w:type="paragraph" w:styleId="Revision">
    <w:name w:val="Revision"/>
    <w:hidden/>
    <w:uiPriority w:val="99"/>
    <w:semiHidden/>
    <w:rsid w:val="00FE0B59"/>
    <w:pPr>
      <w:spacing w:after="0" w:line="240" w:lineRule="auto"/>
    </w:pPr>
    <w:rPr>
      <w:rFonts w:ascii="Arial" w:eastAsia="Times New Roman" w:hAnsi="Arial" w:cs="Times New Roman"/>
      <w:sz w:val="24"/>
      <w:szCs w:val="24"/>
    </w:rPr>
  </w:style>
  <w:style w:type="paragraph" w:customStyle="1" w:styleId="BEISTitle">
    <w:name w:val="BEIS Title"/>
    <w:basedOn w:val="Normal"/>
    <w:next w:val="Normal"/>
    <w:rsid w:val="00885BB9"/>
    <w:pPr>
      <w:spacing w:after="240" w:line="320" w:lineRule="atLeast"/>
    </w:pPr>
    <w:rPr>
      <w:rFonts w:eastAsiaTheme="minorHAnsi" w:cstheme="minorBidi"/>
      <w:color w:val="041E42"/>
      <w:sz w:val="76"/>
      <w:szCs w:val="22"/>
    </w:rPr>
  </w:style>
  <w:style w:type="paragraph" w:customStyle="1" w:styleId="BEISDate">
    <w:name w:val="BEIS Date"/>
    <w:basedOn w:val="Normal"/>
    <w:rsid w:val="00090217"/>
    <w:pPr>
      <w:spacing w:line="320" w:lineRule="atLeast"/>
    </w:pPr>
    <w:rPr>
      <w:rFonts w:eastAsiaTheme="minorHAnsi" w:cstheme="minorBidi"/>
      <w:color w:val="868686"/>
      <w:sz w:val="28"/>
      <w:szCs w:val="22"/>
    </w:rPr>
  </w:style>
  <w:style w:type="character" w:customStyle="1" w:styleId="Heading1Char">
    <w:name w:val="Heading 1 Char"/>
    <w:basedOn w:val="DefaultParagraphFont"/>
    <w:link w:val="Heading1"/>
    <w:uiPriority w:val="9"/>
    <w:rsid w:val="001B14B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B14BA"/>
    <w:pPr>
      <w:spacing w:line="259" w:lineRule="auto"/>
      <w:outlineLvl w:val="9"/>
    </w:pPr>
    <w:rPr>
      <w:lang w:val="en-US"/>
    </w:rPr>
  </w:style>
  <w:style w:type="paragraph" w:styleId="TOC2">
    <w:name w:val="toc 2"/>
    <w:basedOn w:val="Normal"/>
    <w:next w:val="Normal"/>
    <w:autoRedefine/>
    <w:uiPriority w:val="39"/>
    <w:unhideWhenUsed/>
    <w:rsid w:val="001B14BA"/>
    <w:pPr>
      <w:spacing w:after="100"/>
      <w:ind w:left="240"/>
    </w:pPr>
  </w:style>
  <w:style w:type="paragraph" w:styleId="TOC1">
    <w:name w:val="toc 1"/>
    <w:basedOn w:val="Normal"/>
    <w:next w:val="Normal"/>
    <w:autoRedefine/>
    <w:uiPriority w:val="39"/>
    <w:unhideWhenUsed/>
    <w:rsid w:val="006C516E"/>
    <w:pPr>
      <w:spacing w:after="100"/>
    </w:pPr>
  </w:style>
  <w:style w:type="character" w:customStyle="1" w:styleId="Heading3Char">
    <w:name w:val="Heading 3 Char"/>
    <w:basedOn w:val="DefaultParagraphFont"/>
    <w:link w:val="Heading3"/>
    <w:uiPriority w:val="9"/>
    <w:rsid w:val="00953846"/>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953846"/>
    <w:pPr>
      <w:spacing w:after="100"/>
      <w:ind w:left="480"/>
    </w:pPr>
  </w:style>
  <w:style w:type="paragraph" w:styleId="CommentText">
    <w:name w:val="annotation text"/>
    <w:basedOn w:val="Normal"/>
    <w:link w:val="CommentTextChar"/>
    <w:uiPriority w:val="99"/>
    <w:unhideWhenUsed/>
    <w:rsid w:val="00B65166"/>
    <w:rPr>
      <w:sz w:val="20"/>
      <w:szCs w:val="20"/>
    </w:rPr>
  </w:style>
  <w:style w:type="character" w:customStyle="1" w:styleId="CommentTextChar">
    <w:name w:val="Comment Text Char"/>
    <w:basedOn w:val="DefaultParagraphFont"/>
    <w:link w:val="CommentText"/>
    <w:uiPriority w:val="99"/>
    <w:rsid w:val="00B65166"/>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B65166"/>
    <w:rPr>
      <w:sz w:val="16"/>
      <w:szCs w:val="16"/>
    </w:rPr>
  </w:style>
  <w:style w:type="paragraph" w:styleId="CommentSubject">
    <w:name w:val="annotation subject"/>
    <w:basedOn w:val="CommentText"/>
    <w:next w:val="CommentText"/>
    <w:link w:val="CommentSubjectChar"/>
    <w:uiPriority w:val="99"/>
    <w:semiHidden/>
    <w:unhideWhenUsed/>
    <w:rsid w:val="00E221AC"/>
    <w:rPr>
      <w:b/>
      <w:bCs/>
    </w:rPr>
  </w:style>
  <w:style w:type="character" w:customStyle="1" w:styleId="CommentSubjectChar">
    <w:name w:val="Comment Subject Char"/>
    <w:basedOn w:val="CommentTextChar"/>
    <w:link w:val="CommentSubject"/>
    <w:uiPriority w:val="99"/>
    <w:semiHidden/>
    <w:rsid w:val="00E221AC"/>
    <w:rPr>
      <w:rFonts w:ascii="Arial" w:eastAsia="Times New Roman" w:hAnsi="Arial" w:cs="Times New Roman"/>
      <w:b/>
      <w:bCs/>
      <w:sz w:val="20"/>
      <w:szCs w:val="20"/>
    </w:rPr>
  </w:style>
  <w:style w:type="paragraph" w:styleId="FootnoteText">
    <w:name w:val="footnote text"/>
    <w:basedOn w:val="Normal"/>
    <w:link w:val="FootnoteTextChar"/>
    <w:uiPriority w:val="99"/>
    <w:semiHidden/>
    <w:unhideWhenUsed/>
    <w:rsid w:val="00822BE3"/>
    <w:rPr>
      <w:sz w:val="20"/>
      <w:szCs w:val="20"/>
    </w:rPr>
  </w:style>
  <w:style w:type="character" w:customStyle="1" w:styleId="FootnoteTextChar">
    <w:name w:val="Footnote Text Char"/>
    <w:basedOn w:val="DefaultParagraphFont"/>
    <w:link w:val="FootnoteText"/>
    <w:uiPriority w:val="99"/>
    <w:semiHidden/>
    <w:rsid w:val="00822BE3"/>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822BE3"/>
    <w:rPr>
      <w:vertAlign w:val="superscript"/>
    </w:rPr>
  </w:style>
  <w:style w:type="character" w:styleId="Mention">
    <w:name w:val="Mention"/>
    <w:basedOn w:val="DefaultParagraphFont"/>
    <w:uiPriority w:val="99"/>
    <w:unhideWhenUsed/>
    <w:rsid w:val="005C544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95553">
      <w:bodyDiv w:val="1"/>
      <w:marLeft w:val="0"/>
      <w:marRight w:val="0"/>
      <w:marTop w:val="0"/>
      <w:marBottom w:val="0"/>
      <w:divBdr>
        <w:top w:val="none" w:sz="0" w:space="0" w:color="auto"/>
        <w:left w:val="none" w:sz="0" w:space="0" w:color="auto"/>
        <w:bottom w:val="none" w:sz="0" w:space="0" w:color="auto"/>
        <w:right w:val="none" w:sz="0" w:space="0" w:color="auto"/>
      </w:divBdr>
    </w:div>
    <w:div w:id="148983500">
      <w:bodyDiv w:val="1"/>
      <w:marLeft w:val="0"/>
      <w:marRight w:val="0"/>
      <w:marTop w:val="0"/>
      <w:marBottom w:val="0"/>
      <w:divBdr>
        <w:top w:val="none" w:sz="0" w:space="0" w:color="auto"/>
        <w:left w:val="none" w:sz="0" w:space="0" w:color="auto"/>
        <w:bottom w:val="none" w:sz="0" w:space="0" w:color="auto"/>
        <w:right w:val="none" w:sz="0" w:space="0" w:color="auto"/>
      </w:divBdr>
    </w:div>
    <w:div w:id="149061294">
      <w:bodyDiv w:val="1"/>
      <w:marLeft w:val="0"/>
      <w:marRight w:val="0"/>
      <w:marTop w:val="0"/>
      <w:marBottom w:val="0"/>
      <w:divBdr>
        <w:top w:val="none" w:sz="0" w:space="0" w:color="auto"/>
        <w:left w:val="none" w:sz="0" w:space="0" w:color="auto"/>
        <w:bottom w:val="none" w:sz="0" w:space="0" w:color="auto"/>
        <w:right w:val="none" w:sz="0" w:space="0" w:color="auto"/>
      </w:divBdr>
    </w:div>
    <w:div w:id="166949069">
      <w:bodyDiv w:val="1"/>
      <w:marLeft w:val="0"/>
      <w:marRight w:val="0"/>
      <w:marTop w:val="0"/>
      <w:marBottom w:val="0"/>
      <w:divBdr>
        <w:top w:val="none" w:sz="0" w:space="0" w:color="auto"/>
        <w:left w:val="none" w:sz="0" w:space="0" w:color="auto"/>
        <w:bottom w:val="none" w:sz="0" w:space="0" w:color="auto"/>
        <w:right w:val="none" w:sz="0" w:space="0" w:color="auto"/>
      </w:divBdr>
    </w:div>
    <w:div w:id="259338843">
      <w:bodyDiv w:val="1"/>
      <w:marLeft w:val="0"/>
      <w:marRight w:val="0"/>
      <w:marTop w:val="0"/>
      <w:marBottom w:val="0"/>
      <w:divBdr>
        <w:top w:val="none" w:sz="0" w:space="0" w:color="auto"/>
        <w:left w:val="none" w:sz="0" w:space="0" w:color="auto"/>
        <w:bottom w:val="none" w:sz="0" w:space="0" w:color="auto"/>
        <w:right w:val="none" w:sz="0" w:space="0" w:color="auto"/>
      </w:divBdr>
      <w:divsChild>
        <w:div w:id="39475970">
          <w:marLeft w:val="0"/>
          <w:marRight w:val="0"/>
          <w:marTop w:val="0"/>
          <w:marBottom w:val="0"/>
          <w:divBdr>
            <w:top w:val="none" w:sz="0" w:space="0" w:color="auto"/>
            <w:left w:val="none" w:sz="0" w:space="0" w:color="auto"/>
            <w:bottom w:val="none" w:sz="0" w:space="0" w:color="auto"/>
            <w:right w:val="none" w:sz="0" w:space="0" w:color="auto"/>
          </w:divBdr>
        </w:div>
        <w:div w:id="168567630">
          <w:marLeft w:val="0"/>
          <w:marRight w:val="0"/>
          <w:marTop w:val="0"/>
          <w:marBottom w:val="0"/>
          <w:divBdr>
            <w:top w:val="none" w:sz="0" w:space="0" w:color="auto"/>
            <w:left w:val="none" w:sz="0" w:space="0" w:color="auto"/>
            <w:bottom w:val="none" w:sz="0" w:space="0" w:color="auto"/>
            <w:right w:val="none" w:sz="0" w:space="0" w:color="auto"/>
          </w:divBdr>
        </w:div>
        <w:div w:id="234702573">
          <w:marLeft w:val="0"/>
          <w:marRight w:val="0"/>
          <w:marTop w:val="0"/>
          <w:marBottom w:val="0"/>
          <w:divBdr>
            <w:top w:val="none" w:sz="0" w:space="0" w:color="auto"/>
            <w:left w:val="none" w:sz="0" w:space="0" w:color="auto"/>
            <w:bottom w:val="none" w:sz="0" w:space="0" w:color="auto"/>
            <w:right w:val="none" w:sz="0" w:space="0" w:color="auto"/>
          </w:divBdr>
        </w:div>
      </w:divsChild>
    </w:div>
    <w:div w:id="446824940">
      <w:bodyDiv w:val="1"/>
      <w:marLeft w:val="0"/>
      <w:marRight w:val="0"/>
      <w:marTop w:val="0"/>
      <w:marBottom w:val="0"/>
      <w:divBdr>
        <w:top w:val="none" w:sz="0" w:space="0" w:color="auto"/>
        <w:left w:val="none" w:sz="0" w:space="0" w:color="auto"/>
        <w:bottom w:val="none" w:sz="0" w:space="0" w:color="auto"/>
        <w:right w:val="none" w:sz="0" w:space="0" w:color="auto"/>
      </w:divBdr>
      <w:divsChild>
        <w:div w:id="241530377">
          <w:marLeft w:val="0"/>
          <w:marRight w:val="0"/>
          <w:marTop w:val="0"/>
          <w:marBottom w:val="0"/>
          <w:divBdr>
            <w:top w:val="none" w:sz="0" w:space="0" w:color="auto"/>
            <w:left w:val="none" w:sz="0" w:space="0" w:color="auto"/>
            <w:bottom w:val="none" w:sz="0" w:space="0" w:color="auto"/>
            <w:right w:val="none" w:sz="0" w:space="0" w:color="auto"/>
          </w:divBdr>
        </w:div>
        <w:div w:id="314843631">
          <w:marLeft w:val="0"/>
          <w:marRight w:val="0"/>
          <w:marTop w:val="0"/>
          <w:marBottom w:val="0"/>
          <w:divBdr>
            <w:top w:val="none" w:sz="0" w:space="0" w:color="auto"/>
            <w:left w:val="none" w:sz="0" w:space="0" w:color="auto"/>
            <w:bottom w:val="none" w:sz="0" w:space="0" w:color="auto"/>
            <w:right w:val="none" w:sz="0" w:space="0" w:color="auto"/>
          </w:divBdr>
        </w:div>
        <w:div w:id="332800393">
          <w:marLeft w:val="0"/>
          <w:marRight w:val="0"/>
          <w:marTop w:val="0"/>
          <w:marBottom w:val="0"/>
          <w:divBdr>
            <w:top w:val="none" w:sz="0" w:space="0" w:color="auto"/>
            <w:left w:val="none" w:sz="0" w:space="0" w:color="auto"/>
            <w:bottom w:val="none" w:sz="0" w:space="0" w:color="auto"/>
            <w:right w:val="none" w:sz="0" w:space="0" w:color="auto"/>
          </w:divBdr>
        </w:div>
        <w:div w:id="701906105">
          <w:marLeft w:val="0"/>
          <w:marRight w:val="0"/>
          <w:marTop w:val="0"/>
          <w:marBottom w:val="0"/>
          <w:divBdr>
            <w:top w:val="none" w:sz="0" w:space="0" w:color="auto"/>
            <w:left w:val="none" w:sz="0" w:space="0" w:color="auto"/>
            <w:bottom w:val="none" w:sz="0" w:space="0" w:color="auto"/>
            <w:right w:val="none" w:sz="0" w:space="0" w:color="auto"/>
          </w:divBdr>
        </w:div>
        <w:div w:id="1311519319">
          <w:marLeft w:val="0"/>
          <w:marRight w:val="0"/>
          <w:marTop w:val="0"/>
          <w:marBottom w:val="0"/>
          <w:divBdr>
            <w:top w:val="none" w:sz="0" w:space="0" w:color="auto"/>
            <w:left w:val="none" w:sz="0" w:space="0" w:color="auto"/>
            <w:bottom w:val="none" w:sz="0" w:space="0" w:color="auto"/>
            <w:right w:val="none" w:sz="0" w:space="0" w:color="auto"/>
          </w:divBdr>
        </w:div>
        <w:div w:id="1421633958">
          <w:marLeft w:val="0"/>
          <w:marRight w:val="0"/>
          <w:marTop w:val="0"/>
          <w:marBottom w:val="0"/>
          <w:divBdr>
            <w:top w:val="none" w:sz="0" w:space="0" w:color="auto"/>
            <w:left w:val="none" w:sz="0" w:space="0" w:color="auto"/>
            <w:bottom w:val="none" w:sz="0" w:space="0" w:color="auto"/>
            <w:right w:val="none" w:sz="0" w:space="0" w:color="auto"/>
          </w:divBdr>
        </w:div>
        <w:div w:id="1456145368">
          <w:marLeft w:val="0"/>
          <w:marRight w:val="0"/>
          <w:marTop w:val="0"/>
          <w:marBottom w:val="0"/>
          <w:divBdr>
            <w:top w:val="none" w:sz="0" w:space="0" w:color="auto"/>
            <w:left w:val="none" w:sz="0" w:space="0" w:color="auto"/>
            <w:bottom w:val="none" w:sz="0" w:space="0" w:color="auto"/>
            <w:right w:val="none" w:sz="0" w:space="0" w:color="auto"/>
          </w:divBdr>
        </w:div>
        <w:div w:id="1629774060">
          <w:marLeft w:val="0"/>
          <w:marRight w:val="0"/>
          <w:marTop w:val="0"/>
          <w:marBottom w:val="0"/>
          <w:divBdr>
            <w:top w:val="none" w:sz="0" w:space="0" w:color="auto"/>
            <w:left w:val="none" w:sz="0" w:space="0" w:color="auto"/>
            <w:bottom w:val="none" w:sz="0" w:space="0" w:color="auto"/>
            <w:right w:val="none" w:sz="0" w:space="0" w:color="auto"/>
          </w:divBdr>
        </w:div>
        <w:div w:id="1718897118">
          <w:marLeft w:val="0"/>
          <w:marRight w:val="0"/>
          <w:marTop w:val="0"/>
          <w:marBottom w:val="0"/>
          <w:divBdr>
            <w:top w:val="none" w:sz="0" w:space="0" w:color="auto"/>
            <w:left w:val="none" w:sz="0" w:space="0" w:color="auto"/>
            <w:bottom w:val="none" w:sz="0" w:space="0" w:color="auto"/>
            <w:right w:val="none" w:sz="0" w:space="0" w:color="auto"/>
          </w:divBdr>
        </w:div>
        <w:div w:id="1818523208">
          <w:marLeft w:val="0"/>
          <w:marRight w:val="0"/>
          <w:marTop w:val="0"/>
          <w:marBottom w:val="0"/>
          <w:divBdr>
            <w:top w:val="none" w:sz="0" w:space="0" w:color="auto"/>
            <w:left w:val="none" w:sz="0" w:space="0" w:color="auto"/>
            <w:bottom w:val="none" w:sz="0" w:space="0" w:color="auto"/>
            <w:right w:val="none" w:sz="0" w:space="0" w:color="auto"/>
          </w:divBdr>
        </w:div>
        <w:div w:id="1941177829">
          <w:marLeft w:val="0"/>
          <w:marRight w:val="0"/>
          <w:marTop w:val="0"/>
          <w:marBottom w:val="0"/>
          <w:divBdr>
            <w:top w:val="none" w:sz="0" w:space="0" w:color="auto"/>
            <w:left w:val="none" w:sz="0" w:space="0" w:color="auto"/>
            <w:bottom w:val="none" w:sz="0" w:space="0" w:color="auto"/>
            <w:right w:val="none" w:sz="0" w:space="0" w:color="auto"/>
          </w:divBdr>
        </w:div>
      </w:divsChild>
    </w:div>
    <w:div w:id="508565412">
      <w:bodyDiv w:val="1"/>
      <w:marLeft w:val="0"/>
      <w:marRight w:val="0"/>
      <w:marTop w:val="0"/>
      <w:marBottom w:val="0"/>
      <w:divBdr>
        <w:top w:val="none" w:sz="0" w:space="0" w:color="auto"/>
        <w:left w:val="none" w:sz="0" w:space="0" w:color="auto"/>
        <w:bottom w:val="none" w:sz="0" w:space="0" w:color="auto"/>
        <w:right w:val="none" w:sz="0" w:space="0" w:color="auto"/>
      </w:divBdr>
    </w:div>
    <w:div w:id="748424166">
      <w:bodyDiv w:val="1"/>
      <w:marLeft w:val="0"/>
      <w:marRight w:val="0"/>
      <w:marTop w:val="0"/>
      <w:marBottom w:val="0"/>
      <w:divBdr>
        <w:top w:val="none" w:sz="0" w:space="0" w:color="auto"/>
        <w:left w:val="none" w:sz="0" w:space="0" w:color="auto"/>
        <w:bottom w:val="none" w:sz="0" w:space="0" w:color="auto"/>
        <w:right w:val="none" w:sz="0" w:space="0" w:color="auto"/>
      </w:divBdr>
    </w:div>
    <w:div w:id="785318402">
      <w:bodyDiv w:val="1"/>
      <w:marLeft w:val="0"/>
      <w:marRight w:val="0"/>
      <w:marTop w:val="0"/>
      <w:marBottom w:val="0"/>
      <w:divBdr>
        <w:top w:val="none" w:sz="0" w:space="0" w:color="auto"/>
        <w:left w:val="none" w:sz="0" w:space="0" w:color="auto"/>
        <w:bottom w:val="none" w:sz="0" w:space="0" w:color="auto"/>
        <w:right w:val="none" w:sz="0" w:space="0" w:color="auto"/>
      </w:divBdr>
    </w:div>
    <w:div w:id="943994933">
      <w:bodyDiv w:val="1"/>
      <w:marLeft w:val="0"/>
      <w:marRight w:val="0"/>
      <w:marTop w:val="0"/>
      <w:marBottom w:val="0"/>
      <w:divBdr>
        <w:top w:val="none" w:sz="0" w:space="0" w:color="auto"/>
        <w:left w:val="none" w:sz="0" w:space="0" w:color="auto"/>
        <w:bottom w:val="none" w:sz="0" w:space="0" w:color="auto"/>
        <w:right w:val="none" w:sz="0" w:space="0" w:color="auto"/>
      </w:divBdr>
    </w:div>
    <w:div w:id="1001351179">
      <w:bodyDiv w:val="1"/>
      <w:marLeft w:val="0"/>
      <w:marRight w:val="0"/>
      <w:marTop w:val="0"/>
      <w:marBottom w:val="0"/>
      <w:divBdr>
        <w:top w:val="none" w:sz="0" w:space="0" w:color="auto"/>
        <w:left w:val="none" w:sz="0" w:space="0" w:color="auto"/>
        <w:bottom w:val="none" w:sz="0" w:space="0" w:color="auto"/>
        <w:right w:val="none" w:sz="0" w:space="0" w:color="auto"/>
      </w:divBdr>
    </w:div>
    <w:div w:id="1027411314">
      <w:bodyDiv w:val="1"/>
      <w:marLeft w:val="0"/>
      <w:marRight w:val="0"/>
      <w:marTop w:val="0"/>
      <w:marBottom w:val="0"/>
      <w:divBdr>
        <w:top w:val="none" w:sz="0" w:space="0" w:color="auto"/>
        <w:left w:val="none" w:sz="0" w:space="0" w:color="auto"/>
        <w:bottom w:val="none" w:sz="0" w:space="0" w:color="auto"/>
        <w:right w:val="none" w:sz="0" w:space="0" w:color="auto"/>
      </w:divBdr>
    </w:div>
    <w:div w:id="1055202327">
      <w:bodyDiv w:val="1"/>
      <w:marLeft w:val="0"/>
      <w:marRight w:val="0"/>
      <w:marTop w:val="0"/>
      <w:marBottom w:val="0"/>
      <w:divBdr>
        <w:top w:val="none" w:sz="0" w:space="0" w:color="auto"/>
        <w:left w:val="none" w:sz="0" w:space="0" w:color="auto"/>
        <w:bottom w:val="none" w:sz="0" w:space="0" w:color="auto"/>
        <w:right w:val="none" w:sz="0" w:space="0" w:color="auto"/>
      </w:divBdr>
    </w:div>
    <w:div w:id="1105540501">
      <w:bodyDiv w:val="1"/>
      <w:marLeft w:val="0"/>
      <w:marRight w:val="0"/>
      <w:marTop w:val="0"/>
      <w:marBottom w:val="0"/>
      <w:divBdr>
        <w:top w:val="none" w:sz="0" w:space="0" w:color="auto"/>
        <w:left w:val="none" w:sz="0" w:space="0" w:color="auto"/>
        <w:bottom w:val="none" w:sz="0" w:space="0" w:color="auto"/>
        <w:right w:val="none" w:sz="0" w:space="0" w:color="auto"/>
      </w:divBdr>
    </w:div>
    <w:div w:id="1169908783">
      <w:bodyDiv w:val="1"/>
      <w:marLeft w:val="0"/>
      <w:marRight w:val="0"/>
      <w:marTop w:val="0"/>
      <w:marBottom w:val="0"/>
      <w:divBdr>
        <w:top w:val="none" w:sz="0" w:space="0" w:color="auto"/>
        <w:left w:val="none" w:sz="0" w:space="0" w:color="auto"/>
        <w:bottom w:val="none" w:sz="0" w:space="0" w:color="auto"/>
        <w:right w:val="none" w:sz="0" w:space="0" w:color="auto"/>
      </w:divBdr>
    </w:div>
    <w:div w:id="1282303465">
      <w:bodyDiv w:val="1"/>
      <w:marLeft w:val="0"/>
      <w:marRight w:val="0"/>
      <w:marTop w:val="0"/>
      <w:marBottom w:val="0"/>
      <w:divBdr>
        <w:top w:val="none" w:sz="0" w:space="0" w:color="auto"/>
        <w:left w:val="none" w:sz="0" w:space="0" w:color="auto"/>
        <w:bottom w:val="none" w:sz="0" w:space="0" w:color="auto"/>
        <w:right w:val="none" w:sz="0" w:space="0" w:color="auto"/>
      </w:divBdr>
    </w:div>
    <w:div w:id="1394356901">
      <w:bodyDiv w:val="1"/>
      <w:marLeft w:val="0"/>
      <w:marRight w:val="0"/>
      <w:marTop w:val="0"/>
      <w:marBottom w:val="0"/>
      <w:divBdr>
        <w:top w:val="none" w:sz="0" w:space="0" w:color="auto"/>
        <w:left w:val="none" w:sz="0" w:space="0" w:color="auto"/>
        <w:bottom w:val="none" w:sz="0" w:space="0" w:color="auto"/>
        <w:right w:val="none" w:sz="0" w:space="0" w:color="auto"/>
      </w:divBdr>
    </w:div>
    <w:div w:id="1576862117">
      <w:bodyDiv w:val="1"/>
      <w:marLeft w:val="0"/>
      <w:marRight w:val="0"/>
      <w:marTop w:val="0"/>
      <w:marBottom w:val="0"/>
      <w:divBdr>
        <w:top w:val="none" w:sz="0" w:space="0" w:color="auto"/>
        <w:left w:val="none" w:sz="0" w:space="0" w:color="auto"/>
        <w:bottom w:val="none" w:sz="0" w:space="0" w:color="auto"/>
        <w:right w:val="none" w:sz="0" w:space="0" w:color="auto"/>
      </w:divBdr>
    </w:div>
    <w:div w:id="1629118349">
      <w:bodyDiv w:val="1"/>
      <w:marLeft w:val="0"/>
      <w:marRight w:val="0"/>
      <w:marTop w:val="0"/>
      <w:marBottom w:val="0"/>
      <w:divBdr>
        <w:top w:val="none" w:sz="0" w:space="0" w:color="auto"/>
        <w:left w:val="none" w:sz="0" w:space="0" w:color="auto"/>
        <w:bottom w:val="none" w:sz="0" w:space="0" w:color="auto"/>
        <w:right w:val="none" w:sz="0" w:space="0" w:color="auto"/>
      </w:divBdr>
    </w:div>
    <w:div w:id="1699432815">
      <w:bodyDiv w:val="1"/>
      <w:marLeft w:val="0"/>
      <w:marRight w:val="0"/>
      <w:marTop w:val="0"/>
      <w:marBottom w:val="0"/>
      <w:divBdr>
        <w:top w:val="none" w:sz="0" w:space="0" w:color="auto"/>
        <w:left w:val="none" w:sz="0" w:space="0" w:color="auto"/>
        <w:bottom w:val="none" w:sz="0" w:space="0" w:color="auto"/>
        <w:right w:val="none" w:sz="0" w:space="0" w:color="auto"/>
      </w:divBdr>
    </w:div>
    <w:div w:id="1819345393">
      <w:bodyDiv w:val="1"/>
      <w:marLeft w:val="0"/>
      <w:marRight w:val="0"/>
      <w:marTop w:val="0"/>
      <w:marBottom w:val="0"/>
      <w:divBdr>
        <w:top w:val="none" w:sz="0" w:space="0" w:color="auto"/>
        <w:left w:val="none" w:sz="0" w:space="0" w:color="auto"/>
        <w:bottom w:val="none" w:sz="0" w:space="0" w:color="auto"/>
        <w:right w:val="none" w:sz="0" w:space="0" w:color="auto"/>
      </w:divBdr>
    </w:div>
    <w:div w:id="212554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nationalarchives.gov.uk/doc/open-government-licence/version/3/" TargetMode="External"/><Relationship Id="rId18" Type="http://schemas.openxmlformats.org/officeDocument/2006/relationships/comments" Target="comments.xm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devtracker.fcdo.gov.uk/programme/GB-GOV-25-ICF-0047-FCLP/documents" TargetMode="External"/><Relationship Id="rId20" Type="http://schemas.microsoft.com/office/2016/09/relationships/commentsIds" Target="commentsIds.xm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ODA-Transparency@beis.gov.uk"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si@nationalarchives.gsi.gov.uk" TargetMode="External"/><Relationship Id="rId22" Type="http://schemas.openxmlformats.org/officeDocument/2006/relationships/header" Target="header1.xml"/><Relationship Id="rId27"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A83C62FF-85B3-425D-8712-AA6B9A211329}">
    <t:Anchor>
      <t:Comment id="261794535"/>
    </t:Anchor>
    <t:History>
      <t:Event id="{F8B32F11-3D27-4B3B-BE45-3A7CCA1CC754}" time="2025-11-30T16:37:16.953Z">
        <t:Attribution userId="S::Joanna.Macrae@energysecurity.gov.uk::a78564bf-9ce1-4cb5-aa40-9e8c04df5bbf" userProvider="AD" userName="Macrae, Joanna (Energy Security)"/>
        <t:Anchor>
          <t:Comment id="261794535"/>
        </t:Anchor>
        <t:Create/>
      </t:Event>
      <t:Event id="{3250F630-5E28-4307-86FD-FE757274D490}" time="2025-11-30T16:37:16.953Z">
        <t:Attribution userId="S::Joanna.Macrae@energysecurity.gov.uk::a78564bf-9ce1-4cb5-aa40-9e8c04df5bbf" userProvider="AD" userName="Macrae, Joanna (Energy Security)"/>
        <t:Anchor>
          <t:Comment id="261794535"/>
        </t:Anchor>
        <t:Assign userId="S::Ed.Lewis@energysecurity.gov.uk::fdae5de0-2f9a-4c30-b49f-0fd35c1e8a37" userProvider="AD" userName="Lewis, Ed (Energy Security)"/>
      </t:Event>
      <t:Event id="{10D052DB-5F1D-4FE2-ADF4-12C825A2B820}" time="2025-11-30T16:37:16.953Z">
        <t:Attribution userId="S::Joanna.Macrae@energysecurity.gov.uk::a78564bf-9ce1-4cb5-aa40-9e8c04df5bbf" userProvider="AD" userName="Macrae, Joanna (Energy Security)"/>
        <t:Anchor>
          <t:Comment id="261794535"/>
        </t:Anchor>
        <t:SetTitle title="@Lewis, Ed (Energy Security) to note I’ve amended this"/>
      </t:Event>
    </t:History>
  </t:Task>
  <t:Task id="{A6442598-9E4E-4657-A894-4C9AB6417EFB}">
    <t:Anchor>
      <t:Comment id="2050015761"/>
    </t:Anchor>
    <t:History>
      <t:Event id="{1FA5616A-81FC-464F-A641-AD44B058322A}" time="2025-11-30T16:38:45.86Z">
        <t:Attribution userId="S::Joanna.Macrae@energysecurity.gov.uk::a78564bf-9ce1-4cb5-aa40-9e8c04df5bbf" userProvider="AD" userName="Macrae, Joanna (Energy Security)"/>
        <t:Anchor>
          <t:Comment id="2050015761"/>
        </t:Anchor>
        <t:Create/>
      </t:Event>
      <t:Event id="{1551DEBE-1E8E-48C6-B0EE-372AD132C330}" time="2025-11-30T16:38:45.86Z">
        <t:Attribution userId="S::Joanna.Macrae@energysecurity.gov.uk::a78564bf-9ce1-4cb5-aa40-9e8c04df5bbf" userProvider="AD" userName="Macrae, Joanna (Energy Security)"/>
        <t:Anchor>
          <t:Comment id="2050015761"/>
        </t:Anchor>
        <t:Assign userId="S::Ed.Lewis@energysecurity.gov.uk::fdae5de0-2f9a-4c30-b49f-0fd35c1e8a37" userProvider="AD" userName="Lewis, Ed (Energy Security)"/>
      </t:Event>
      <t:Event id="{7FEAA485-A7DB-4674-B026-FD986B121CE5}" time="2025-11-30T16:38:45.86Z">
        <t:Attribution userId="S::Joanna.Macrae@energysecurity.gov.uk::a78564bf-9ce1-4cb5-aa40-9e8c04df5bbf" userProvider="AD" userName="Macrae, Joanna (Energy Security)"/>
        <t:Anchor>
          <t:Comment id="2050015761"/>
        </t:Anchor>
        <t:SetTitle title="@Lewis, Ed (Energy Security) I don’t think this should be reacted. My understanding all this info is in the public domain? Lmk why you think we should redac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2EDB4F82A4FD31439328CBC569C1149B" ma:contentTypeVersion="20" ma:contentTypeDescription="Create a new document." ma:contentTypeScope="" ma:versionID="1a4b2dde6a0e1464fee28d76c93f4fa4">
  <xsd:schema xmlns:xsd="http://www.w3.org/2001/XMLSchema" xmlns:xs="http://www.w3.org/2001/XMLSchema" xmlns:p="http://schemas.microsoft.com/office/2006/metadata/properties" xmlns:ns2="0f9fa326-da26-4ea8-b6a9-645e8136fe1d" xmlns:ns3="839018be-1fd5-46c8-bb5f-8e5f297ce001" xmlns:ns4="aaacb922-5235-4a66-b188-303b9b46fbd7" xmlns:ns5="b3d83fe4-f584-44c1-ada4-cced241b61b0" targetNamespace="http://schemas.microsoft.com/office/2006/metadata/properties" ma:root="true" ma:fieldsID="96db9fcc0bbc22ca1da760f2f048ce4c" ns2:_="" ns3:_="" ns4:_="" ns5:_="">
    <xsd:import namespace="0f9fa326-da26-4ea8-b6a9-645e8136fe1d"/>
    <xsd:import namespace="839018be-1fd5-46c8-bb5f-8e5f297ce001"/>
    <xsd:import namespace="aaacb922-5235-4a66-b188-303b9b46fbd7"/>
    <xsd:import namespace="b3d83fe4-f584-44c1-ada4-cced241b61b0"/>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3:SharedWithUsers" minOccurs="0"/>
                <xsd:element ref="ns3:SharedWithDetails"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MediaServiceObjectDetectorVersions" minOccurs="0"/>
                <xsd:element ref="ns5:MediaServiceSearchPropertie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BEIS|b386cac2-c28c-4db4-8fca-43733d0e74ef"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Energy and Climate|67dfd3db-8e6c-4d42-96c1-aed1098cd89b"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International Climate and Energy,|8ce3479e-0228-4d4b-8382-a951e8f3cec1"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9018be-1fd5-46c8-bb5f-8e5f297ce00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47848f78-89dd-4aa4-a5d3-4bc706e8013d}" ma:internalName="TaxCatchAll" ma:showField="CatchAllData" ma:web="839018be-1fd5-46c8-bb5f-8e5f297ce0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848f78-89dd-4aa4-a5d3-4bc706e8013d}" ma:internalName="TaxCatchAllLabel" ma:readOnly="true" ma:showField="CatchAllDataLabel" ma:web="839018be-1fd5-46c8-bb5f-8e5f297ce001">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d83fe4-f584-44c1-ada4-cced241b61b0"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DateTaken" ma:index="31" nillable="true" ma:displayName="MediaServiceDateTaken" ma:hidden="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Location" ma:index="3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egacyData xmlns="aaacb922-5235-4a66-b188-303b9b46fbd7">{
  "Name": "BEIS Annual Review Template April 2020.docx",
  "Title": "Annual Review Template_April 2020",
  "External": "",
  "Document Notes": "",
  "Security Classification": "OFFICIAL",
  "Handling Instructions": "",
  "Descriptor": "",
  "Government Body": "BEIS",
  "Business Unit": "BEIS:Energy, Transformation and Clean Growth:International (Climate and Energy):International Climate Finance",
  "Retention Label": "Corp PPP Review",
  "Date Opened": "2020-04-17T10:35:13.0000000Z",
  "Date Closed": "",
  "National Caveat": "",
  "Previous Location": "",
  "Previous Id": "",
  "Legacy Document Type": "",
  "Legacy Fileplan Target": "",
  "Legacy Numeric Class": "",
  "Legacy Folder Type": "",
  "Legacy Record Folder Identifier": "",
  "Legacy Copyright": "",
  "Legacy Last Modified Date": "",
  "Legacy Modifier": "",
  "Legacy Folder": "",
  "Legacy Content Type": "",
  "Legacy Expiry Review Date": "",
  "Legacy Last Action Date": "",
  "Legacy Protective Marking": "",
  "Legacy Tags": "",
  "Legacy References From Other Items": "",
  "Legacy Status on Transfer": "",
  "Legacy Date Closed": "",
  "Legacy Record Category Identifier": "",
  "Legacy Disposition as of Date": "",
  "Legacy Home Location": "",
  "Legacy Current Location": "",
  "Legacy Date File Received": "",
  "Legacy Date File Requested": "",
  "Legacy Date File Returned": "",
  "Legacy Minister": "",
  "Legacy MP": "",
  "Legacy Folder Notes": "",
  "Legacy Physical Item Location": "",
  "Legacy Request Type": "",
  "Legacy Descriptor": "",
  "Legacy Folder Document ID": "",
  "Legacy Document ID": "",
  "Legacy References To Other Items": "",
  "Legacy Custodian": "",
  "Legacy Additional Authors": "",
  "Legacy Document Link": "",
  "Legacy Folder Link": "",
  "Legacy Physical Format": false,
  "Content Type": "Document",
  "Previous Retention Policy": "",
  "Legacy Case Reference Number": "",
  "Created": "2020-04-17T10:35:16.0000000Z",
  "Document Modified By": "i:0#.f|membership|william.smithers@beis.gov.uk",
  "Document Created By": "i:0#.f|membership|william.smithers@beis.gov.uk",
  "Document ID Value": "2QFN7KK647Q6-169810503-3609",
  "Modified": "2020-06-12T15:11:14.0000000Z",
  "Original Location": "/sites/beis/201/Portfolio/Project Monitoring and Delivery/Annual Reviews/BEIS Annual Review Template April 2020.docx"
}</LegacyData>
    <_dlc_DocId xmlns="839018be-1fd5-46c8-bb5f-8e5f297ce001">N3MC4NMT5URJ-1164569100-18949</_dlc_DocId>
    <TaxCatchAll xmlns="839018be-1fd5-46c8-bb5f-8e5f297ce001">
      <Value>3</Value>
      <Value>2</Value>
      <Value>1</Value>
    </TaxCatchAll>
    <_dlc_DocIdUrl xmlns="839018be-1fd5-46c8-bb5f-8e5f297ce001">
      <Url>https://beisgov.sharepoint.com/sites/InternationalForests-EXT-OS/_layouts/15/DocIdRedir.aspx?ID=N3MC4NMT5URJ-1164569100-18949</Url>
      <Description>N3MC4NMT5URJ-1164569100-18949</Description>
    </_dlc_DocIdUrl>
    <SharedWithUsers xmlns="839018be-1fd5-46c8-bb5f-8e5f297ce001">
      <UserInfo>
        <DisplayName>zz_Bray, Callum (BEIS)</DisplayName>
        <AccountId>1135</AccountId>
        <AccountType/>
      </UserInfo>
      <UserInfo>
        <DisplayName>zz_Lugt, Ellie (International - Climate and Energy)</DisplayName>
        <AccountId>1134</AccountId>
        <AccountType/>
      </UserInfo>
      <UserInfo>
        <DisplayName>White, James (DSIT)</DisplayName>
        <AccountId>1136</AccountId>
        <AccountType/>
      </UserInfo>
      <UserInfo>
        <DisplayName>zz_Walter, Poppy (NZBI - Domestic)</DisplayName>
        <AccountId>1489</AccountId>
        <AccountType/>
      </UserInfo>
      <UserInfo>
        <DisplayName>zz_Robinson, Giulia (International - Climate and Energy)</DisplayName>
        <AccountId>1436</AccountId>
        <AccountType/>
      </UserInfo>
      <UserInfo>
        <DisplayName>Hughes, Catriona (Business Sectors - Infrastructure &amp; Materials)</DisplayName>
        <AccountId>1191</AccountId>
        <AccountType/>
      </UserInfo>
      <UserInfo>
        <DisplayName>zz_White, Alastair (NZSI - International Net Zero)</DisplayName>
        <AccountId>1268</AccountId>
        <AccountType/>
      </UserInfo>
      <UserInfo>
        <DisplayName>zz_Andrews, Sophie (International - Climate and Energy)</DisplayName>
        <AccountId>1433</AccountId>
        <AccountType/>
      </UserInfo>
      <UserInfo>
        <DisplayName>Patrick, Niall (Energy Security)</DisplayName>
        <AccountId>534</AccountId>
        <AccountType/>
      </UserInfo>
      <UserInfo>
        <DisplayName>zz_Stathakopoulou, Christina (NZSI - International Net Zero)</DisplayName>
        <AccountId>1518</AccountId>
        <AccountType/>
      </UserInfo>
      <UserInfo>
        <DisplayName>zz_Sardeson, Lottie (Intl Climate Finance - Investments)</DisplayName>
        <AccountId>282</AccountId>
        <AccountType/>
      </UserInfo>
      <UserInfo>
        <DisplayName>zz_Donegan, Brendan (Energy Security)</DisplayName>
        <AccountId>539</AccountId>
        <AccountType/>
      </UserInfo>
      <UserInfo>
        <DisplayName>zz_Gibbs, Douglas (Intl Climate Finance - Investments)</DisplayName>
        <AccountId>13</AccountId>
        <AccountType/>
      </UserInfo>
      <UserInfo>
        <DisplayName>zz_Mills, Sarah (Intl Climate Finance - Investments)</DisplayName>
        <AccountId>66</AccountId>
        <AccountType/>
      </UserInfo>
      <UserInfo>
        <DisplayName>Farmer, Will (Energy Security)</DisplayName>
        <AccountId>142</AccountId>
        <AccountType/>
      </UserInfo>
      <UserInfo>
        <DisplayName>Ahmed, Tajbee (Energy Security)</DisplayName>
        <AccountId>219</AccountId>
        <AccountType/>
      </UserInfo>
      <UserInfo>
        <DisplayName>zz_Evans, Sian (Intl Climate Finance - Partnerships)</DisplayName>
        <AccountId>104</AccountId>
        <AccountType/>
      </UserInfo>
      <UserInfo>
        <DisplayName>Davis, Owen (Energy Security)</DisplayName>
        <AccountId>245</AccountId>
        <AccountType/>
      </UserInfo>
      <UserInfo>
        <DisplayName>Paton, Ellen (Energy Security)</DisplayName>
        <AccountId>37</AccountId>
        <AccountType/>
      </UserInfo>
      <UserInfo>
        <DisplayName>zz_Kasliwal, Pritika (Intl Climate Finance - Partnerships)</DisplayName>
        <AccountId>81</AccountId>
        <AccountType/>
      </UserInfo>
      <UserInfo>
        <DisplayName>Hirschhausen, Lara (Energy Security)</DisplayName>
        <AccountId>218</AccountId>
        <AccountType/>
      </UserInfo>
      <UserInfo>
        <DisplayName>zz_Le Quesne, Felicity (NZSI - International Forests Hub)</DisplayName>
        <AccountId>72</AccountId>
        <AccountType/>
      </UserInfo>
      <UserInfo>
        <DisplayName>zz_Ashworth, Francesca (Science, Research &amp; Innovation)</DisplayName>
        <AccountId>2123</AccountId>
        <AccountType/>
      </UserInfo>
      <UserInfo>
        <DisplayName>zz_Tomlinson, Luke (Intl Climate Finance - Investments)</DisplayName>
        <AccountId>123</AccountId>
        <AccountType/>
      </UserInfo>
      <UserInfo>
        <DisplayName>zz_Schuler, Nina (International - Climate and Energy)</DisplayName>
        <AccountId>2097</AccountId>
        <AccountType/>
      </UserInfo>
      <UserInfo>
        <DisplayName>Olubodun, Lekan (NZSI - International Net Zero)</DisplayName>
        <AccountId>162</AccountId>
        <AccountType/>
      </UserInfo>
      <UserInfo>
        <DisplayName>Augustin, Sidney (DSIT)</DisplayName>
        <AccountId>267</AccountId>
        <AccountType/>
      </UserInfo>
      <UserInfo>
        <DisplayName>zz_Liehr, Estefania (Intl Climate Finance - Investments)</DisplayName>
        <AccountId>87</AccountId>
        <AccountType/>
      </UserInfo>
      <UserInfo>
        <DisplayName>veronica.robledo</DisplayName>
        <AccountId>1977</AccountId>
        <AccountType/>
      </UserInfo>
      <UserInfo>
        <DisplayName>lina.penuela@fcdo.gov.uk</DisplayName>
        <AccountId>1971</AccountId>
        <AccountType/>
      </UserInfo>
      <UserInfo>
        <DisplayName>natalia.rodriguez</DisplayName>
        <AccountId>1978</AccountId>
        <AccountType/>
      </UserInfo>
      <UserInfo>
        <DisplayName>Veronica Robledo (Sensitive)</DisplayName>
        <AccountId>607</AccountId>
        <AccountType/>
      </UserInfo>
      <UserInfo>
        <DisplayName>Lina Penuela (Sensitive)</DisplayName>
        <AccountId>608</AccountId>
        <AccountType/>
      </UserInfo>
      <UserInfo>
        <DisplayName>Natalia Rodriguez (Sensitive)</DisplayName>
        <AccountId>606</AccountId>
        <AccountType/>
      </UserInfo>
      <UserInfo>
        <DisplayName>Caravani, Alice (Energy Security)</DisplayName>
        <AccountId>187</AccountId>
        <AccountType/>
      </UserInfo>
      <UserInfo>
        <DisplayName>zz_Unadkat, Kavi (International - Climate and Energy)</DisplayName>
        <AccountId>2318</AccountId>
        <AccountType/>
      </UserInfo>
      <UserInfo>
        <DisplayName>zz_Rose, Ginny (International - Climate and Energy)</DisplayName>
        <AccountId>5308</AccountId>
        <AccountType/>
      </UserInfo>
      <UserInfo>
        <DisplayName>Baillie, Jack (NZSI - International Net Zero)</DisplayName>
        <AccountId>5028</AccountId>
        <AccountType/>
      </UserInfo>
      <UserInfo>
        <DisplayName>Al-Sibassi, Eman (Energy Security)</DisplayName>
        <AccountId>723</AccountId>
        <AccountType/>
      </UserInfo>
      <UserInfo>
        <DisplayName>zz_Enevoldsen, Chloe (NZSI - International Net Zero)</DisplayName>
        <AccountId>5447</AccountId>
        <AccountType/>
      </UserInfo>
      <UserInfo>
        <DisplayName>zz_Carro, Inigo (BEIS)</DisplayName>
        <AccountId>5241</AccountId>
        <AccountType/>
      </UserInfo>
      <UserInfo>
        <DisplayName>zz_Kennedy, Ruth (Intl Climate Finance - Investments)</DisplayName>
        <AccountId>54</AccountId>
        <AccountType/>
      </UserInfo>
      <UserInfo>
        <DisplayName>zz_Pettem, Sarah (Intl Climate Finance - Portfolio)</DisplayName>
        <AccountId>190</AccountId>
        <AccountType/>
      </UserInfo>
      <UserInfo>
        <DisplayName>zz_Hodgetts, George (NZSI - International Net Zero)</DisplayName>
        <AccountId>101</AccountId>
        <AccountType/>
      </UserInfo>
      <UserInfo>
        <DisplayName>zz_Keene, Alexander (Topps - National Security &amp; International)</DisplayName>
        <AccountId>5053</AccountId>
        <AccountType/>
      </UserInfo>
      <UserInfo>
        <DisplayName>Hillson, Isabelle (Energy Security)</DisplayName>
        <AccountId>2927</AccountId>
        <AccountType/>
      </UserInfo>
      <UserInfo>
        <DisplayName>Smithers, William (Energy Security)</DisplayName>
        <AccountId>15</AccountId>
        <AccountType/>
      </UserInfo>
      <UserInfo>
        <DisplayName>Bunte, Svenja (Energy Security)</DisplayName>
        <AccountId>5357</AccountId>
        <AccountType/>
      </UserInfo>
      <UserInfo>
        <DisplayName>Jones3, Philip (Energy Security)</DisplayName>
        <AccountId>8101</AccountId>
        <AccountType/>
      </UserInfo>
      <UserInfo>
        <DisplayName>Sarah Pettem</DisplayName>
        <AccountId>7821</AccountId>
        <AccountType/>
      </UserInfo>
      <UserInfo>
        <DisplayName>Boustead, Rebecca (Energy Security)</DisplayName>
        <AccountId>3176</AccountId>
        <AccountType/>
      </UserInfo>
      <UserInfo>
        <DisplayName>Evans, Rachael (Energy Security)</DisplayName>
        <AccountId>8412</AccountId>
        <AccountType/>
      </UserInfo>
      <UserInfo>
        <DisplayName>LeNagard, Clementine (Energy Security)</DisplayName>
        <AccountId>8741</AccountId>
        <AccountType/>
      </UserInfo>
      <UserInfo>
        <DisplayName>zz_Birkett, Joe (Energy Security)</DisplayName>
        <AccountId>8537</AccountId>
        <AccountType/>
      </UserInfo>
      <UserInfo>
        <DisplayName>Poletti, Monica (Energy Security)</DisplayName>
        <AccountId>8373</AccountId>
        <AccountType/>
      </UserInfo>
      <UserInfo>
        <DisplayName>Flanagan, Thomas (Energy Supply - Energy Affordability)</DisplayName>
        <AccountId>8834</AccountId>
        <AccountType/>
      </UserInfo>
      <UserInfo>
        <DisplayName>Evans, Jacob (Energy Security)</DisplayName>
        <AccountId>8531</AccountId>
        <AccountType/>
      </UserInfo>
      <UserInfo>
        <DisplayName>Wong2, Matthew (Energy Security)</DisplayName>
        <AccountId>8545</AccountId>
        <AccountType/>
      </UserInfo>
      <UserInfo>
        <DisplayName>zz_Haddad, Marie (Energy Security)</DisplayName>
        <AccountId>8530</AccountId>
        <AccountType/>
      </UserInfo>
      <UserInfo>
        <DisplayName>zz_Carroll, Sabrina (Energy Security)</DisplayName>
        <AccountId>8195</AccountId>
        <AccountType/>
      </UserInfo>
      <UserInfo>
        <DisplayName>Norman-Rhodes, Alex (Energy Security)</DisplayName>
        <AccountId>8102</AccountId>
        <AccountType/>
      </UserInfo>
      <UserInfo>
        <DisplayName>Connolly, Michael (Energy Security)</DisplayName>
        <AccountId>8895</AccountId>
        <AccountType/>
      </UserInfo>
      <UserInfo>
        <DisplayName>zz_Salt, Fred (NZSI - International Net Zero )</DisplayName>
        <AccountId>8544</AccountId>
        <AccountType/>
      </UserInfo>
      <UserInfo>
        <DisplayName>Parris, Francesca (Energy Security)</DisplayName>
        <AccountId>3785</AccountId>
        <AccountType/>
      </UserInfo>
      <UserInfo>
        <DisplayName>Sanyal, Sean (Energy Security)</DisplayName>
        <AccountId>8539</AccountId>
        <AccountType/>
      </UserInfo>
      <UserInfo>
        <DisplayName>Bertrand, Jeromine (Energy Security)</DisplayName>
        <AccountId>80</AccountId>
        <AccountType/>
      </UserInfo>
      <UserInfo>
        <DisplayName>Apine, Alina (Energy Security)</DisplayName>
        <AccountId>4968</AccountId>
        <AccountType/>
      </UserInfo>
      <UserInfo>
        <DisplayName>Hampton-Ball, Simon (Energy Security)</DisplayName>
        <AccountId>53</AccountId>
        <AccountType/>
      </UserInfo>
      <UserInfo>
        <DisplayName>zz_Wastie, Tayah (Energy Security)</DisplayName>
        <AccountId>8372</AccountId>
        <AccountType/>
      </UserInfo>
      <UserInfo>
        <DisplayName>zz_Rodriguez, Poppy (Energy Security)</DisplayName>
        <AccountId>9126</AccountId>
        <AccountType/>
      </UserInfo>
      <UserInfo>
        <DisplayName>Livesey, Renee (Energy Security)</DisplayName>
        <AccountId>306</AccountId>
        <AccountType/>
      </UserInfo>
      <UserInfo>
        <DisplayName>Shipley, Chris (Energy Security)</DisplayName>
        <AccountId>68</AccountId>
        <AccountType/>
      </UserInfo>
      <UserInfo>
        <DisplayName>Bennett, Victoria (Energy Security)</DisplayName>
        <AccountId>9902</AccountId>
        <AccountType/>
      </UserInfo>
      <UserInfo>
        <DisplayName>Stringer, Fiona (Energy Security)</DisplayName>
        <AccountId>99</AccountId>
        <AccountType/>
      </UserInfo>
      <UserInfo>
        <DisplayName>Situ, Victoria (Energy Security)</DisplayName>
        <AccountId>183</AccountId>
        <AccountType/>
      </UserInfo>
      <UserInfo>
        <DisplayName>Mohammadpour, Parmida (Energy Security)</DisplayName>
        <AccountId>9464</AccountId>
        <AccountType/>
      </UserInfo>
      <UserInfo>
        <DisplayName>Walker, Joe (Energy Security)</DisplayName>
        <AccountId>10364</AccountId>
        <AccountType/>
      </UserInfo>
      <UserInfo>
        <DisplayName>Raichoora, Ravi (Energy Security)</DisplayName>
        <AccountId>10201</AccountId>
        <AccountType/>
      </UserInfo>
      <UserInfo>
        <DisplayName>Firth, Rosalind (Energy Security)</DisplayName>
        <AccountId>11555</AccountId>
        <AccountType/>
      </UserInfo>
      <UserInfo>
        <DisplayName>Catton, Ryan (Energy Security)</DisplayName>
        <AccountId>10905</AccountId>
        <AccountType/>
      </UserInfo>
      <UserInfo>
        <DisplayName>Biddle, Harry (Topps - Analysis Directorate)</DisplayName>
        <AccountId>10842</AccountId>
        <AccountType/>
      </UserInfo>
    </SharedWithUsers>
    <lcf76f155ced4ddcb4097134ff3c332f xmlns="b3d83fe4-f584-44c1-ada4-cced241b61b0">
      <Terms xmlns="http://schemas.microsoft.com/office/infopath/2007/PartnerControls"/>
    </lcf76f155ced4ddcb4097134ff3c332f>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b386cac2-c28c-4db4-8fca-43733d0e74ef</TermId>
        </TermInfo>
      </Terms>
    </c6f593ada1854b629148449de059396b>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Energy and Climate</TermName>
          <TermId xmlns="http://schemas.microsoft.com/office/infopath/2007/PartnerControls">67dfd3db-8e6c-4d42-96c1-aed1098cd89b</TermId>
        </TermInfo>
      </Terms>
    </m817f42addf14c9a838da36e78800043>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International Climate and Energy,</TermName>
          <TermId xmlns="http://schemas.microsoft.com/office/infopath/2007/PartnerControls">8ce3479e-0228-4d4b-8382-a951e8f3cec1</TermId>
        </TermInfo>
      </Terms>
    </h573c97cf80c4aa6b446c5363dc3ac94>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470627-5072-4164-B9A0-A8C60A90D51C}">
  <ds:schemaRefs>
    <ds:schemaRef ds:uri="http://schemas.openxmlformats.org/officeDocument/2006/bibliography"/>
  </ds:schemaRefs>
</ds:datastoreItem>
</file>

<file path=customXml/itemProps2.xml><?xml version="1.0" encoding="utf-8"?>
<ds:datastoreItem xmlns:ds="http://schemas.openxmlformats.org/officeDocument/2006/customXml" ds:itemID="{E68DA12F-8E1C-44F7-80AF-216205DD4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fa326-da26-4ea8-b6a9-645e8136fe1d"/>
    <ds:schemaRef ds:uri="839018be-1fd5-46c8-bb5f-8e5f297ce001"/>
    <ds:schemaRef ds:uri="aaacb922-5235-4a66-b188-303b9b46fbd7"/>
    <ds:schemaRef ds:uri="b3d83fe4-f584-44c1-ada4-cced241b6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948BD2-19FB-4A1A-9F04-1E661C4B97AC}">
  <ds:schemaRefs>
    <ds:schemaRef ds:uri="http://schemas.microsoft.com/sharepoint/events"/>
  </ds:schemaRefs>
</ds:datastoreItem>
</file>

<file path=customXml/itemProps4.xml><?xml version="1.0" encoding="utf-8"?>
<ds:datastoreItem xmlns:ds="http://schemas.openxmlformats.org/officeDocument/2006/customXml" ds:itemID="{02FCA949-4A17-4A58-8CB4-38E906E85F6A}">
  <ds:schemaRefs>
    <ds:schemaRef ds:uri="http://purl.org/dc/elements/1.1/"/>
    <ds:schemaRef ds:uri="http://purl.org/dc/dcmitype/"/>
    <ds:schemaRef ds:uri="http://schemas.microsoft.com/office/2006/metadata/properties"/>
    <ds:schemaRef ds:uri="http://schemas.microsoft.com/office/infopath/2007/PartnerControls"/>
    <ds:schemaRef ds:uri="0f9fa326-da26-4ea8-b6a9-645e8136fe1d"/>
    <ds:schemaRef ds:uri="http://purl.org/dc/terms/"/>
    <ds:schemaRef ds:uri="http://schemas.openxmlformats.org/package/2006/metadata/core-properties"/>
    <ds:schemaRef ds:uri="http://schemas.microsoft.com/office/2006/documentManagement/types"/>
    <ds:schemaRef ds:uri="b3d83fe4-f584-44c1-ada4-cced241b61b0"/>
    <ds:schemaRef ds:uri="aaacb922-5235-4a66-b188-303b9b46fbd7"/>
    <ds:schemaRef ds:uri="839018be-1fd5-46c8-bb5f-8e5f297ce001"/>
    <ds:schemaRef ds:uri="http://www.w3.org/XML/1998/namespace"/>
  </ds:schemaRefs>
</ds:datastoreItem>
</file>

<file path=customXml/itemProps5.xml><?xml version="1.0" encoding="utf-8"?>
<ds:datastoreItem xmlns:ds="http://schemas.openxmlformats.org/officeDocument/2006/customXml" ds:itemID="{28542131-BD40-42FA-BF1D-325659C74395}">
  <ds:schemaRefs>
    <ds:schemaRef ds:uri="http://schemas.microsoft.com/sharepoint/v3/contenttype/forms"/>
  </ds:schemaRefs>
</ds:datastoreItem>
</file>

<file path=docMetadata/LabelInfo.xml><?xml version="1.0" encoding="utf-8"?>
<clbl:labelList xmlns:clbl="http://schemas.microsoft.com/office/2020/mipLabelMetadata">
  <clbl:label id="{ba62f585-b40f-4ab9-bafe-39150f03d124}" enabled="1" method="Standard" siteId="{cbac7005-02c1-43eb-b497-e6492d1b2dd8}" removed="0"/>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5904</Words>
  <Characters>33653</Characters>
  <Application>Microsoft Office Word</Application>
  <DocSecurity>0</DocSecurity>
  <Lines>280</Lines>
  <Paragraphs>78</Paragraphs>
  <ScaleCrop>false</ScaleCrop>
  <Company/>
  <LinksUpToDate>false</LinksUpToDate>
  <CharactersWithSpaces>39479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Smithers, William (Intl Climate Finance: Portfolio)</dc:creator>
  <cp:keywords/>
  <dc:description/>
  <cp:lastModifiedBy>Lewis, Ed (Energy Security)</cp:lastModifiedBy>
  <cp:revision>2</cp:revision>
  <dcterms:created xsi:type="dcterms:W3CDTF">2025-12-01T16:03:00Z</dcterms:created>
  <dcterms:modified xsi:type="dcterms:W3CDTF">2025-12-01T16:03:00Z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2020-07-31T08:26:31Z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cddeefbe-1e4c-49e9-8a2d-000074bea76d</vt:lpwstr>
  </property>
  <property fmtid="{D5CDD505-2E9C-101B-9397-08002B2CF9AE}" pid="8" name="MSIP_Label_ba62f585-b40f-4ab9-bafe-39150f03d124_ContentBits">
    <vt:lpwstr>0</vt:lpwstr>
  </property>
  <property fmtid="{D5CDD505-2E9C-101B-9397-08002B2CF9AE}" pid="9" name="Business Document Type">
    <vt:lpwstr>Annual review</vt:lpwstr>
  </property>
  <property fmtid="{D5CDD505-2E9C-101B-9397-08002B2CF9AE}" pid="10" name="Business Unit">
    <vt:lpwstr>1;#International Climate Finance|25a07eec-082c-4868-be05-2bef48a6767e</vt:lpwstr>
  </property>
  <property fmtid="{D5CDD505-2E9C-101B-9397-08002B2CF9AE}" pid="11" name="MSIP_Label_e4c996da-17fa-4fc5-8989-2758fb4cf86b_ActionId">
    <vt:lpwstr>919708a4-416e-499e-8edc-0000a189eb48</vt:lpwstr>
  </property>
  <property fmtid="{D5CDD505-2E9C-101B-9397-08002B2CF9AE}" pid="12" name="MSIP_Label_e4c996da-17fa-4fc5-8989-2758fb4cf86b_SiteId">
    <vt:lpwstr>cdf709af-1a18-4c74-bd93-6d14a64d73b3</vt:lpwstr>
  </property>
  <property fmtid="{D5CDD505-2E9C-101B-9397-08002B2CF9AE}" pid="13" name="MSIP_Label_e4c996da-17fa-4fc5-8989-2758fb4cf86b_ContentBits">
    <vt:lpwstr>1</vt:lpwstr>
  </property>
  <property fmtid="{D5CDD505-2E9C-101B-9397-08002B2CF9AE}" pid="14" name="ContentTypeId">
    <vt:lpwstr>0x0101004691A8DE0991884F8E90AD6474FC737301002EDB4F82A4FD31439328CBC569C1149B</vt:lpwstr>
  </property>
  <property fmtid="{D5CDD505-2E9C-101B-9397-08002B2CF9AE}" pid="15" name="MSIP_Label_e4c996da-17fa-4fc5-8989-2758fb4cf86b_Enabled">
    <vt:lpwstr>true</vt:lpwstr>
  </property>
  <property fmtid="{D5CDD505-2E9C-101B-9397-08002B2CF9AE}" pid="16" name="MSIP_Label_e4c996da-17fa-4fc5-8989-2758fb4cf86b_Name">
    <vt:lpwstr>OFFICIAL</vt:lpwstr>
  </property>
  <property fmtid="{D5CDD505-2E9C-101B-9397-08002B2CF9AE}" pid="17" name="MSIP_Label_e4c996da-17fa-4fc5-8989-2758fb4cf86b_SetDate">
    <vt:lpwstr>2020-03-30T16:49:07Z</vt:lpwstr>
  </property>
  <property fmtid="{D5CDD505-2E9C-101B-9397-08002B2CF9AE}" pid="18" name="MSIP_Label_e4c996da-17fa-4fc5-8989-2758fb4cf86b_Method">
    <vt:lpwstr>Standard</vt:lpwstr>
  </property>
  <property fmtid="{D5CDD505-2E9C-101B-9397-08002B2CF9AE}" pid="19" name="MediaServiceImageTags">
    <vt:lpwstr/>
  </property>
  <property fmtid="{D5CDD505-2E9C-101B-9397-08002B2CF9AE}" pid="20" name="_dlc_DocIdItemGuid">
    <vt:lpwstr>8f5ccfd9-0422-4c4e-be92-9b7eb26115a6</vt:lpwstr>
  </property>
  <property fmtid="{D5CDD505-2E9C-101B-9397-08002B2CF9AE}" pid="21" name="KIM_GovernmentBody">
    <vt:lpwstr>3;#BEIS|b386cac2-c28c-4db4-8fca-43733d0e74ef</vt:lpwstr>
  </property>
  <property fmtid="{D5CDD505-2E9C-101B-9397-08002B2CF9AE}" pid="22" name="KIM_Activity">
    <vt:lpwstr>2;#International Climate and Energy,|8ce3479e-0228-4d4b-8382-a951e8f3cec1</vt:lpwstr>
  </property>
  <property fmtid="{D5CDD505-2E9C-101B-9397-08002B2CF9AE}" pid="23" name="KIM_Function">
    <vt:lpwstr>1;#Energy and Climate|67dfd3db-8e6c-4d42-96c1-aed1098cd89b</vt:lpwstr>
  </property>
  <property fmtid="{D5CDD505-2E9C-101B-9397-08002B2CF9AE}" pid="24" name="docLang">
    <vt:lpwstr>en</vt:lpwstr>
  </property>
</Properties>
</file>