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67FEB" w:rsidP="003D222C" w:rsidRDefault="00C67FEB" w14:paraId="2B8EC0E8" w14:textId="77777777">
      <w:pPr>
        <w:rPr>
          <w:sz w:val="22"/>
          <w:szCs w:val="22"/>
          <w:u w:val="single"/>
        </w:rPr>
      </w:pPr>
    </w:p>
    <w:p w:rsidR="00885BB9" w:rsidP="00885BB9" w:rsidRDefault="00885BB9" w14:paraId="38EC76C4" w14:textId="77777777">
      <w:pPr>
        <w:pStyle w:val="BEISTitle"/>
      </w:pPr>
    </w:p>
    <w:p w:rsidR="00885BB9" w:rsidP="00885BB9" w:rsidRDefault="00885BB9" w14:paraId="0A34EE9B" w14:textId="77777777">
      <w:pPr>
        <w:pStyle w:val="BEISTitle"/>
      </w:pPr>
    </w:p>
    <w:p w:rsidR="00885BB9" w:rsidP="00885BB9" w:rsidRDefault="00885BB9" w14:paraId="76C49B04" w14:textId="77777777">
      <w:pPr>
        <w:pStyle w:val="BEISTitle"/>
      </w:pPr>
    </w:p>
    <w:p w:rsidR="00885BB9" w:rsidP="00885BB9" w:rsidRDefault="00885BB9" w14:paraId="7C7FEA78" w14:textId="77777777">
      <w:pPr>
        <w:pStyle w:val="BEISTitle"/>
      </w:pPr>
    </w:p>
    <w:p w:rsidR="00D80C6C" w:rsidP="00885BB9" w:rsidRDefault="00D80C6C" w14:paraId="64C9A776" w14:textId="77777777">
      <w:pPr>
        <w:pStyle w:val="BEISTitle"/>
      </w:pPr>
    </w:p>
    <w:p w:rsidR="00964968" w:rsidP="00964968" w:rsidRDefault="00156862" w14:paraId="6C63CC07" w14:textId="0ACC3671">
      <w:pPr>
        <w:pStyle w:val="BEISTitle"/>
      </w:pPr>
      <w:r>
        <w:t xml:space="preserve">The Forest Carbon Partnership Facility Carbon Fund </w:t>
      </w:r>
      <w:r w:rsidR="00E873F4">
        <w:t>–</w:t>
      </w:r>
      <w:r>
        <w:t xml:space="preserve"> </w:t>
      </w:r>
      <w:r w:rsidR="00E873F4">
        <w:t>Annual Review 2022 - 2023</w:t>
      </w:r>
      <w:r w:rsidR="00964968">
        <w:t xml:space="preserve"> </w:t>
      </w:r>
    </w:p>
    <w:p w:rsidR="00C67FEB" w:rsidRDefault="00C67FEB" w14:paraId="624DAC73" w14:textId="3BC335B7">
      <w:pPr>
        <w:spacing w:after="160" w:line="259" w:lineRule="auto"/>
        <w:rPr>
          <w:sz w:val="22"/>
          <w:szCs w:val="22"/>
          <w:u w:val="single"/>
        </w:rPr>
      </w:pPr>
    </w:p>
    <w:p w:rsidR="007D1D64" w:rsidRDefault="007D1D64" w14:paraId="4AF08E4A" w14:textId="20AFDEDA">
      <w:pPr>
        <w:spacing w:after="160" w:line="259" w:lineRule="auto"/>
        <w:rPr>
          <w:sz w:val="22"/>
          <w:szCs w:val="22"/>
        </w:rPr>
      </w:pPr>
    </w:p>
    <w:p w:rsidRPr="007D1D64" w:rsidR="007D1D64" w:rsidRDefault="007D1D64" w14:paraId="160505CC" w14:textId="77777777">
      <w:pPr>
        <w:spacing w:after="160" w:line="259" w:lineRule="auto"/>
        <w:rPr>
          <w:sz w:val="22"/>
          <w:szCs w:val="22"/>
        </w:rPr>
      </w:pPr>
    </w:p>
    <w:p w:rsidR="00090217" w:rsidP="003D222C" w:rsidRDefault="00090217" w14:paraId="6ED798D0" w14:textId="77777777">
      <w:pPr>
        <w:rPr>
          <w:sz w:val="22"/>
          <w:szCs w:val="22"/>
          <w:u w:val="single"/>
        </w:rPr>
      </w:pPr>
    </w:p>
    <w:p w:rsidR="007D1D64" w:rsidP="007D1D64" w:rsidRDefault="007D1D64" w14:paraId="1F841114" w14:textId="027A752E">
      <w:pPr>
        <w:spacing w:after="160" w:line="259" w:lineRule="auto"/>
        <w:rPr>
          <w:sz w:val="22"/>
          <w:szCs w:val="22"/>
        </w:rPr>
      </w:pPr>
    </w:p>
    <w:p w:rsidR="007D1D64" w:rsidRDefault="007D1D64" w14:paraId="744BC35C" w14:textId="77777777">
      <w:pPr>
        <w:spacing w:after="160" w:line="259" w:lineRule="auto"/>
        <w:rPr>
          <w:sz w:val="22"/>
          <w:szCs w:val="22"/>
        </w:rPr>
      </w:pPr>
    </w:p>
    <w:p w:rsidR="007D1D64" w:rsidRDefault="007D1D64" w14:paraId="2EEE1272" w14:textId="0FA2D180">
      <w:pPr>
        <w:spacing w:after="160" w:line="259" w:lineRule="auto"/>
        <w:rPr>
          <w:sz w:val="22"/>
          <w:szCs w:val="22"/>
        </w:rPr>
      </w:pPr>
      <w:r>
        <w:rPr>
          <w:sz w:val="22"/>
          <w:szCs w:val="22"/>
        </w:rPr>
        <w:br w:type="page"/>
      </w:r>
    </w:p>
    <w:p w:rsidR="007D1D64" w:rsidP="007D1D64" w:rsidRDefault="007D1D64" w14:paraId="1FB1C90B" w14:textId="21AF7FBD">
      <w:pPr>
        <w:spacing w:after="160" w:line="259" w:lineRule="auto"/>
        <w:rPr>
          <w:sz w:val="22"/>
          <w:szCs w:val="22"/>
        </w:rPr>
      </w:pPr>
    </w:p>
    <w:p w:rsidRPr="007D1D64" w:rsidR="007D1D64" w:rsidP="007D1D64" w:rsidRDefault="007D1D64" w14:paraId="6FC09FA9" w14:textId="77777777">
      <w:pPr>
        <w:spacing w:after="160" w:line="259" w:lineRule="auto"/>
        <w:rPr>
          <w:sz w:val="22"/>
          <w:szCs w:val="22"/>
        </w:rPr>
      </w:pPr>
    </w:p>
    <w:p w:rsidR="00112E33" w:rsidP="007D1D64" w:rsidRDefault="00112E33" w14:paraId="40B4FF2C" w14:textId="77777777">
      <w:pPr>
        <w:spacing w:after="160" w:line="259" w:lineRule="auto"/>
        <w:rPr>
          <w:sz w:val="22"/>
          <w:szCs w:val="22"/>
        </w:rPr>
      </w:pPr>
    </w:p>
    <w:p w:rsidR="00112E33" w:rsidP="007D1D64" w:rsidRDefault="00112E33" w14:paraId="01A42860" w14:textId="77777777">
      <w:pPr>
        <w:spacing w:after="160" w:line="259" w:lineRule="auto"/>
        <w:rPr>
          <w:sz w:val="22"/>
          <w:szCs w:val="22"/>
        </w:rPr>
      </w:pPr>
    </w:p>
    <w:p w:rsidR="00112E33" w:rsidP="007D1D64" w:rsidRDefault="00112E33" w14:paraId="4A8FCC2A" w14:textId="77777777">
      <w:pPr>
        <w:spacing w:after="160" w:line="259" w:lineRule="auto"/>
        <w:rPr>
          <w:sz w:val="22"/>
          <w:szCs w:val="22"/>
        </w:rPr>
      </w:pPr>
    </w:p>
    <w:p w:rsidR="00112E33" w:rsidP="007D1D64" w:rsidRDefault="00112E33" w14:paraId="31553A3C" w14:textId="77777777">
      <w:pPr>
        <w:spacing w:after="160" w:line="259" w:lineRule="auto"/>
        <w:rPr>
          <w:sz w:val="22"/>
          <w:szCs w:val="22"/>
        </w:rPr>
      </w:pPr>
    </w:p>
    <w:p w:rsidR="00112E33" w:rsidP="007D1D64" w:rsidRDefault="00112E33" w14:paraId="1E72DB9D" w14:textId="77777777">
      <w:pPr>
        <w:spacing w:after="160" w:line="259" w:lineRule="auto"/>
        <w:rPr>
          <w:sz w:val="22"/>
          <w:szCs w:val="22"/>
        </w:rPr>
      </w:pPr>
    </w:p>
    <w:p w:rsidR="00112E33" w:rsidP="007D1D64" w:rsidRDefault="00112E33" w14:paraId="716930C2" w14:textId="77777777">
      <w:pPr>
        <w:spacing w:after="160" w:line="259" w:lineRule="auto"/>
        <w:rPr>
          <w:sz w:val="22"/>
          <w:szCs w:val="22"/>
        </w:rPr>
      </w:pPr>
    </w:p>
    <w:p w:rsidR="00112E33" w:rsidP="007D1D64" w:rsidRDefault="00112E33" w14:paraId="3ABDAEFF" w14:textId="77777777">
      <w:pPr>
        <w:spacing w:after="160" w:line="259" w:lineRule="auto"/>
        <w:rPr>
          <w:sz w:val="22"/>
          <w:szCs w:val="22"/>
        </w:rPr>
      </w:pPr>
    </w:p>
    <w:p w:rsidR="00112E33" w:rsidP="007D1D64" w:rsidRDefault="00112E33" w14:paraId="0884299F" w14:textId="77777777">
      <w:pPr>
        <w:spacing w:after="160" w:line="259" w:lineRule="auto"/>
        <w:rPr>
          <w:sz w:val="22"/>
          <w:szCs w:val="22"/>
        </w:rPr>
      </w:pPr>
    </w:p>
    <w:p w:rsidR="00112E33" w:rsidP="007D1D64" w:rsidRDefault="00112E33" w14:paraId="3BF57744" w14:textId="77777777">
      <w:pPr>
        <w:spacing w:after="160" w:line="259" w:lineRule="auto"/>
        <w:rPr>
          <w:sz w:val="22"/>
          <w:szCs w:val="22"/>
        </w:rPr>
      </w:pPr>
    </w:p>
    <w:p w:rsidR="00112E33" w:rsidP="007D1D64" w:rsidRDefault="00112E33" w14:paraId="70B1D846" w14:textId="77777777">
      <w:pPr>
        <w:spacing w:after="160" w:line="259" w:lineRule="auto"/>
        <w:rPr>
          <w:sz w:val="22"/>
          <w:szCs w:val="22"/>
        </w:rPr>
      </w:pPr>
    </w:p>
    <w:p w:rsidR="00112E33" w:rsidP="007D1D64" w:rsidRDefault="00112E33" w14:paraId="5C64FB7B" w14:textId="77777777">
      <w:pPr>
        <w:spacing w:after="160" w:line="259" w:lineRule="auto"/>
        <w:rPr>
          <w:sz w:val="22"/>
          <w:szCs w:val="22"/>
        </w:rPr>
      </w:pPr>
    </w:p>
    <w:p w:rsidR="00112E33" w:rsidP="007D1D64" w:rsidRDefault="00112E33" w14:paraId="7997CC66" w14:textId="77777777">
      <w:pPr>
        <w:spacing w:after="160" w:line="259" w:lineRule="auto"/>
        <w:rPr>
          <w:sz w:val="22"/>
          <w:szCs w:val="22"/>
        </w:rPr>
      </w:pPr>
    </w:p>
    <w:p w:rsidR="00112E33" w:rsidP="007D1D64" w:rsidRDefault="00112E33" w14:paraId="629D0223" w14:textId="77777777">
      <w:pPr>
        <w:spacing w:after="160" w:line="259" w:lineRule="auto"/>
        <w:rPr>
          <w:sz w:val="22"/>
          <w:szCs w:val="22"/>
        </w:rPr>
      </w:pPr>
    </w:p>
    <w:p w:rsidR="00112E33" w:rsidP="007D1D64" w:rsidRDefault="00112E33" w14:paraId="7B71C4CA" w14:textId="77777777">
      <w:pPr>
        <w:spacing w:after="160" w:line="259" w:lineRule="auto"/>
        <w:rPr>
          <w:sz w:val="22"/>
          <w:szCs w:val="22"/>
        </w:rPr>
      </w:pPr>
    </w:p>
    <w:p w:rsidR="00112E33" w:rsidP="007D1D64" w:rsidRDefault="00112E33" w14:paraId="0CB89A50" w14:textId="77777777">
      <w:pPr>
        <w:spacing w:after="160" w:line="259" w:lineRule="auto"/>
        <w:rPr>
          <w:sz w:val="22"/>
          <w:szCs w:val="22"/>
        </w:rPr>
      </w:pPr>
    </w:p>
    <w:p w:rsidR="00112E33" w:rsidP="007D1D64" w:rsidRDefault="00112E33" w14:paraId="4B8E6647" w14:textId="77777777">
      <w:pPr>
        <w:spacing w:after="160" w:line="259" w:lineRule="auto"/>
        <w:rPr>
          <w:sz w:val="22"/>
          <w:szCs w:val="22"/>
        </w:rPr>
      </w:pPr>
    </w:p>
    <w:p w:rsidR="00112E33" w:rsidP="007D1D64" w:rsidRDefault="00112E33" w14:paraId="7C0186E9" w14:textId="77777777">
      <w:pPr>
        <w:spacing w:after="160" w:line="259" w:lineRule="auto"/>
        <w:rPr>
          <w:sz w:val="22"/>
          <w:szCs w:val="22"/>
        </w:rPr>
      </w:pPr>
    </w:p>
    <w:p w:rsidR="00112E33" w:rsidP="007D1D64" w:rsidRDefault="00112E33" w14:paraId="0E213DCA" w14:textId="77777777">
      <w:pPr>
        <w:spacing w:after="160" w:line="259" w:lineRule="auto"/>
        <w:rPr>
          <w:sz w:val="22"/>
          <w:szCs w:val="22"/>
        </w:rPr>
      </w:pPr>
    </w:p>
    <w:p w:rsidR="00112E33" w:rsidP="007D1D64" w:rsidRDefault="00112E33" w14:paraId="7F45EBE4" w14:textId="77777777">
      <w:pPr>
        <w:spacing w:after="160" w:line="259" w:lineRule="auto"/>
        <w:rPr>
          <w:sz w:val="22"/>
          <w:szCs w:val="22"/>
        </w:rPr>
      </w:pPr>
    </w:p>
    <w:p w:rsidR="00112E33" w:rsidP="007D1D64" w:rsidRDefault="00112E33" w14:paraId="5F38EC95" w14:textId="77777777">
      <w:pPr>
        <w:spacing w:after="160" w:line="259" w:lineRule="auto"/>
        <w:rPr>
          <w:sz w:val="22"/>
          <w:szCs w:val="22"/>
        </w:rPr>
      </w:pPr>
    </w:p>
    <w:p w:rsidR="00112E33" w:rsidP="007D1D64" w:rsidRDefault="00112E33" w14:paraId="0FDC2684" w14:textId="77777777">
      <w:pPr>
        <w:spacing w:after="160" w:line="259" w:lineRule="auto"/>
        <w:rPr>
          <w:sz w:val="22"/>
          <w:szCs w:val="22"/>
        </w:rPr>
      </w:pPr>
    </w:p>
    <w:p w:rsidR="00112E33" w:rsidP="007D1D64" w:rsidRDefault="00112E33" w14:paraId="1E5D0624" w14:textId="77777777">
      <w:pPr>
        <w:spacing w:after="160" w:line="259" w:lineRule="auto"/>
        <w:rPr>
          <w:sz w:val="22"/>
          <w:szCs w:val="22"/>
        </w:rPr>
      </w:pPr>
    </w:p>
    <w:p w:rsidR="00112E33" w:rsidP="007D1D64" w:rsidRDefault="00112E33" w14:paraId="59AFB796" w14:textId="6367C0D1">
      <w:pPr>
        <w:spacing w:after="160" w:line="259" w:lineRule="auto"/>
        <w:rPr>
          <w:sz w:val="22"/>
          <w:szCs w:val="22"/>
        </w:rPr>
      </w:pPr>
      <w:r>
        <w:rPr>
          <w:noProof/>
        </w:rPr>
        <w:drawing>
          <wp:inline distT="0" distB="0" distL="0" distR="0" wp14:anchorId="6721D763" wp14:editId="1850EFF9">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rsidRPr="007D1D64" w:rsidR="007D1D64" w:rsidP="007D1D64" w:rsidRDefault="007D1D64" w14:paraId="4BBA0357" w14:textId="48C6B4C5">
      <w:pPr>
        <w:spacing w:after="160" w:line="259" w:lineRule="auto"/>
        <w:rPr>
          <w:sz w:val="22"/>
          <w:szCs w:val="22"/>
        </w:rPr>
      </w:pPr>
      <w:r w:rsidRPr="007D1D64">
        <w:rPr>
          <w:sz w:val="22"/>
          <w:szCs w:val="22"/>
        </w:rPr>
        <w:t>© Crown copyright 20</w:t>
      </w:r>
      <w:r w:rsidR="00817082">
        <w:rPr>
          <w:sz w:val="22"/>
          <w:szCs w:val="22"/>
        </w:rPr>
        <w:t>24</w:t>
      </w:r>
    </w:p>
    <w:p w:rsidRPr="007D1D64" w:rsidR="007D1D64" w:rsidP="007D1D64" w:rsidRDefault="007D1D64" w14:paraId="3A1EFEA4" w14:textId="779BDFEB">
      <w:pPr>
        <w:spacing w:after="160" w:line="259" w:lineRule="auto"/>
        <w:rPr>
          <w:sz w:val="22"/>
          <w:szCs w:val="22"/>
        </w:rPr>
      </w:pPr>
      <w:r w:rsidRPr="007D1D64">
        <w:rPr>
          <w:sz w:val="22"/>
          <w:szCs w:val="22"/>
        </w:rPr>
        <w:t xml:space="preserve">This publication is licensed under the terms of the Open Government Licence v3.0 except where otherwise stated. To view this licence, visit </w:t>
      </w:r>
      <w:hyperlink w:history="1" r:id="rId13">
        <w:r w:rsidRPr="00D56ED4">
          <w:rPr>
            <w:rStyle w:val="Hyperlink"/>
            <w:sz w:val="22"/>
            <w:szCs w:val="22"/>
          </w:rPr>
          <w:t>nationalarchives.gov.uk/doc/open-government-licence/version/3</w:t>
        </w:r>
      </w:hyperlink>
      <w:r w:rsidRPr="007D1D64">
        <w:rPr>
          <w:sz w:val="22"/>
          <w:szCs w:val="22"/>
        </w:rPr>
        <w:t xml:space="preserve"> or write to the Information Policy Team, The National Archives, Kew, London TW9 4DU, or email: </w:t>
      </w:r>
      <w:hyperlink w:history="1" r:id="rId14">
        <w:r w:rsidRPr="00236685" w:rsidR="009E1EAF">
          <w:rPr>
            <w:rStyle w:val="Hyperlink"/>
            <w:sz w:val="22"/>
            <w:szCs w:val="22"/>
          </w:rPr>
          <w:t>psi@nationalarchives.gsi.gov.uk</w:t>
        </w:r>
      </w:hyperlink>
      <w:r w:rsidRPr="007D1D64">
        <w:rPr>
          <w:sz w:val="22"/>
          <w:szCs w:val="22"/>
        </w:rPr>
        <w:t>.</w:t>
      </w:r>
      <w:r w:rsidR="009E1EAF">
        <w:rPr>
          <w:sz w:val="22"/>
          <w:szCs w:val="22"/>
        </w:rPr>
        <w:t xml:space="preserve"> </w:t>
      </w:r>
    </w:p>
    <w:p w:rsidRPr="007D1D64" w:rsidR="007D1D64" w:rsidP="007D1D64" w:rsidRDefault="007D1D64" w14:paraId="521BB1D8" w14:textId="77777777">
      <w:pPr>
        <w:spacing w:after="160" w:line="259" w:lineRule="auto"/>
        <w:rPr>
          <w:sz w:val="22"/>
          <w:szCs w:val="22"/>
        </w:rPr>
      </w:pPr>
      <w:r w:rsidRPr="007D1D64">
        <w:rPr>
          <w:sz w:val="22"/>
          <w:szCs w:val="22"/>
        </w:rPr>
        <w:t>Where we have identified any third-party copyright information you will need to obtain permission from the copyright holders concerned.</w:t>
      </w:r>
    </w:p>
    <w:p w:rsidRPr="007D1D64" w:rsidR="007D1D64" w:rsidP="007D1D64" w:rsidRDefault="007D1D64" w14:paraId="0B828443" w14:textId="77777777">
      <w:pPr>
        <w:spacing w:after="160" w:line="259" w:lineRule="auto"/>
        <w:rPr>
          <w:sz w:val="22"/>
          <w:szCs w:val="22"/>
        </w:rPr>
      </w:pPr>
      <w:r w:rsidRPr="007D1D64">
        <w:rPr>
          <w:sz w:val="22"/>
          <w:szCs w:val="22"/>
        </w:rPr>
        <w:t xml:space="preserve">Any enquiries regarding this publication should be sent to us at: </w:t>
      </w:r>
    </w:p>
    <w:p w:rsidR="007D1D64" w:rsidRDefault="00407467" w14:paraId="5F0B07D2" w14:textId="0E9D6D15">
      <w:pPr>
        <w:spacing w:after="160" w:line="259" w:lineRule="auto"/>
        <w:rPr>
          <w:sz w:val="22"/>
          <w:szCs w:val="22"/>
        </w:rPr>
      </w:pPr>
      <w:hyperlink w:history="1" r:id="rId15">
        <w:r w:rsidRPr="00236685" w:rsidR="00A62D44">
          <w:rPr>
            <w:rStyle w:val="Hyperlink"/>
            <w:sz w:val="22"/>
            <w:szCs w:val="22"/>
          </w:rPr>
          <w:t>ODA-Transparency@beis.gov.uk</w:t>
        </w:r>
      </w:hyperlink>
      <w:r w:rsidR="00A62D44">
        <w:rPr>
          <w:sz w:val="22"/>
          <w:szCs w:val="22"/>
        </w:rPr>
        <w:t xml:space="preserve"> </w:t>
      </w:r>
      <w:r w:rsidR="007D1D64">
        <w:rPr>
          <w:sz w:val="22"/>
          <w:szCs w:val="22"/>
        </w:rPr>
        <w:br w:type="page"/>
      </w:r>
    </w:p>
    <w:sdt>
      <w:sdtPr>
        <w:rPr>
          <w:rFonts w:ascii="Arial" w:hAnsi="Arial" w:eastAsia="Times New Roman" w:cs="Times New Roman"/>
          <w:color w:val="auto"/>
          <w:sz w:val="24"/>
          <w:szCs w:val="24"/>
          <w:lang w:val="en-GB"/>
        </w:rPr>
        <w:id w:val="1210919004"/>
        <w:docPartObj>
          <w:docPartGallery w:val="Table of Contents"/>
          <w:docPartUnique/>
        </w:docPartObj>
      </w:sdtPr>
      <w:sdtEndPr>
        <w:rPr>
          <w:rFonts w:ascii="Arial" w:hAnsi="Arial" w:eastAsia="Times New Roman" w:cs="Times New Roman"/>
          <w:b w:val="1"/>
          <w:bCs w:val="1"/>
          <w:noProof/>
          <w:color w:val="auto"/>
          <w:sz w:val="24"/>
          <w:szCs w:val="24"/>
          <w:lang w:val="en-GB"/>
        </w:rPr>
      </w:sdtEndPr>
      <w:sdtContent>
        <w:p w:rsidR="001B14BA" w:rsidRDefault="001B14BA" w14:paraId="52C8021F" w14:textId="7479CA6B">
          <w:pPr>
            <w:pStyle w:val="TOCHeading"/>
            <w:rPr>
              <w:rFonts w:ascii="Arial" w:hAnsi="Arial" w:cs="Arial"/>
              <w:color w:val="002060"/>
              <w:sz w:val="76"/>
              <w:szCs w:val="76"/>
            </w:rPr>
          </w:pPr>
          <w:r w:rsidRPr="0030176F">
            <w:rPr>
              <w:rFonts w:ascii="Arial" w:hAnsi="Arial" w:cs="Arial"/>
              <w:color w:val="002060"/>
              <w:sz w:val="76"/>
              <w:szCs w:val="76"/>
            </w:rPr>
            <w:t>Contents</w:t>
          </w:r>
        </w:p>
        <w:p w:rsidRPr="0030176F" w:rsidR="0030176F" w:rsidP="0030176F" w:rsidRDefault="0030176F" w14:paraId="7F576620" w14:textId="77777777">
          <w:pPr>
            <w:rPr>
              <w:lang w:val="en-US"/>
            </w:rPr>
          </w:pPr>
        </w:p>
        <w:p w:rsidR="159F08A2" w:rsidP="159F08A2" w:rsidRDefault="159F08A2" w14:paraId="4A531AFB" w14:textId="7964F4C0">
          <w:pPr>
            <w:pStyle w:val="TOC1"/>
            <w:tabs>
              <w:tab w:val="right" w:leader="dot" w:pos="9016"/>
            </w:tabs>
            <w:rPr>
              <w:rFonts w:cs="Arial"/>
              <w:b/>
              <w:bCs/>
              <w:noProof/>
              <w:lang w:eastAsia="en-GB"/>
            </w:rPr>
          </w:pPr>
        </w:p>
        <w:p w:rsidR="00BC2566" w:rsidRDefault="001B14BA" w14:paraId="6E526041" w14:textId="3B6182BC">
          <w:pPr>
            <w:pStyle w:val="TOC1"/>
            <w:tabs>
              <w:tab w:val="right" w:leader="dot" w:pos="9016"/>
            </w:tabs>
            <w:rPr>
              <w:rFonts w:asciiTheme="minorHAnsi" w:hAnsiTheme="minorHAnsi" w:eastAsiaTheme="minorEastAsia" w:cstheme="minorBidi"/>
              <w:noProof/>
              <w:kern w:val="2"/>
              <w:lang w:eastAsia="en-GB"/>
              <w14:ligatures w14:val="standardContextual"/>
            </w:rPr>
          </w:pPr>
          <w:r w:rsidRPr="00276517">
            <w:rPr>
              <w:color w:val="002060"/>
            </w:rPr>
            <w:fldChar w:fldCharType="begin"/>
          </w:r>
          <w:r w:rsidRPr="159F08A2">
            <w:rPr>
              <w:color w:val="002060"/>
            </w:rPr>
            <w:instrText xml:space="preserve"> TOC \o "1-3" \h \z \u </w:instrText>
          </w:r>
          <w:r w:rsidRPr="00276517">
            <w:rPr>
              <w:color w:val="002060"/>
            </w:rPr>
            <w:fldChar w:fldCharType="separate"/>
          </w:r>
          <w:hyperlink w:history="1" w:anchor="_Toc155945397">
            <w:r w:rsidRPr="007B3B16" w:rsidR="00BC2566">
              <w:rPr>
                <w:rStyle w:val="Hyperlink"/>
                <w:rFonts w:cs="Arial"/>
                <w:b/>
                <w:bCs/>
                <w:noProof/>
                <w:lang w:eastAsia="en-GB"/>
              </w:rPr>
              <w:t>Section A: Summary and overview</w:t>
            </w:r>
            <w:r w:rsidR="00BC2566">
              <w:rPr>
                <w:noProof/>
                <w:webHidden/>
              </w:rPr>
              <w:tab/>
            </w:r>
            <w:r w:rsidR="00BC2566">
              <w:rPr>
                <w:noProof/>
                <w:webHidden/>
              </w:rPr>
              <w:fldChar w:fldCharType="begin"/>
            </w:r>
            <w:r w:rsidR="00BC2566">
              <w:rPr>
                <w:noProof/>
                <w:webHidden/>
              </w:rPr>
              <w:instrText xml:space="preserve"> PAGEREF _Toc155945397 \h </w:instrText>
            </w:r>
            <w:r w:rsidR="00BC2566">
              <w:rPr>
                <w:noProof/>
                <w:webHidden/>
              </w:rPr>
            </w:r>
            <w:r w:rsidR="00BC2566">
              <w:rPr>
                <w:noProof/>
                <w:webHidden/>
              </w:rPr>
              <w:fldChar w:fldCharType="separate"/>
            </w:r>
            <w:r w:rsidR="00BC2566">
              <w:rPr>
                <w:noProof/>
                <w:webHidden/>
              </w:rPr>
              <w:t>4</w:t>
            </w:r>
            <w:r w:rsidR="00BC2566">
              <w:rPr>
                <w:noProof/>
                <w:webHidden/>
              </w:rPr>
              <w:fldChar w:fldCharType="end"/>
            </w:r>
          </w:hyperlink>
        </w:p>
        <w:p w:rsidR="00BC2566" w:rsidRDefault="00407467" w14:paraId="69439127" w14:textId="7F5D5584">
          <w:pPr>
            <w:pStyle w:val="TOC2"/>
            <w:rPr>
              <w:rFonts w:asciiTheme="minorHAnsi" w:hAnsiTheme="minorHAnsi" w:eastAsiaTheme="minorEastAsia" w:cstheme="minorBidi"/>
              <w:noProof/>
              <w:kern w:val="2"/>
              <w:lang w:eastAsia="en-GB"/>
              <w14:ligatures w14:val="standardContextual"/>
            </w:rPr>
          </w:pPr>
          <w:hyperlink w:history="1" w:anchor="_Toc155945398">
            <w:r w:rsidRPr="007B3B16" w:rsidR="00BC2566">
              <w:rPr>
                <w:rStyle w:val="Hyperlink"/>
                <w:noProof/>
              </w:rPr>
              <w:t>Description of programme</w:t>
            </w:r>
            <w:r w:rsidR="00BC2566">
              <w:rPr>
                <w:noProof/>
                <w:webHidden/>
              </w:rPr>
              <w:tab/>
            </w:r>
            <w:r w:rsidR="00BC2566">
              <w:rPr>
                <w:noProof/>
                <w:webHidden/>
              </w:rPr>
              <w:fldChar w:fldCharType="begin"/>
            </w:r>
            <w:r w:rsidR="00BC2566">
              <w:rPr>
                <w:noProof/>
                <w:webHidden/>
              </w:rPr>
              <w:instrText xml:space="preserve"> PAGEREF _Toc155945398 \h </w:instrText>
            </w:r>
            <w:r w:rsidR="00BC2566">
              <w:rPr>
                <w:noProof/>
                <w:webHidden/>
              </w:rPr>
            </w:r>
            <w:r w:rsidR="00BC2566">
              <w:rPr>
                <w:noProof/>
                <w:webHidden/>
              </w:rPr>
              <w:fldChar w:fldCharType="separate"/>
            </w:r>
            <w:r w:rsidR="00BC2566">
              <w:rPr>
                <w:noProof/>
                <w:webHidden/>
              </w:rPr>
              <w:t>4</w:t>
            </w:r>
            <w:r w:rsidR="00BC2566">
              <w:rPr>
                <w:noProof/>
                <w:webHidden/>
              </w:rPr>
              <w:fldChar w:fldCharType="end"/>
            </w:r>
          </w:hyperlink>
        </w:p>
        <w:p w:rsidR="00BC2566" w:rsidRDefault="00407467" w14:paraId="6024629A" w14:textId="418326F4">
          <w:pPr>
            <w:pStyle w:val="TOC2"/>
            <w:rPr>
              <w:rFonts w:asciiTheme="minorHAnsi" w:hAnsiTheme="minorHAnsi" w:eastAsiaTheme="minorEastAsia" w:cstheme="minorBidi"/>
              <w:noProof/>
              <w:kern w:val="2"/>
              <w:lang w:eastAsia="en-GB"/>
              <w14:ligatures w14:val="standardContextual"/>
            </w:rPr>
          </w:pPr>
          <w:hyperlink w:history="1" w:anchor="_Toc155945399">
            <w:r w:rsidRPr="007B3B16" w:rsidR="00BC2566">
              <w:rPr>
                <w:rStyle w:val="Hyperlink"/>
                <w:noProof/>
              </w:rPr>
              <w:t>Summary of progress and supporting narrative for the overall score</w:t>
            </w:r>
            <w:r w:rsidR="00BC2566">
              <w:rPr>
                <w:noProof/>
                <w:webHidden/>
              </w:rPr>
              <w:tab/>
            </w:r>
            <w:r w:rsidR="00BC2566">
              <w:rPr>
                <w:noProof/>
                <w:webHidden/>
              </w:rPr>
              <w:fldChar w:fldCharType="begin"/>
            </w:r>
            <w:r w:rsidR="00BC2566">
              <w:rPr>
                <w:noProof/>
                <w:webHidden/>
              </w:rPr>
              <w:instrText xml:space="preserve"> PAGEREF _Toc155945399 \h </w:instrText>
            </w:r>
            <w:r w:rsidR="00BC2566">
              <w:rPr>
                <w:noProof/>
                <w:webHidden/>
              </w:rPr>
            </w:r>
            <w:r w:rsidR="00BC2566">
              <w:rPr>
                <w:noProof/>
                <w:webHidden/>
              </w:rPr>
              <w:fldChar w:fldCharType="separate"/>
            </w:r>
            <w:r w:rsidR="00BC2566">
              <w:rPr>
                <w:noProof/>
                <w:webHidden/>
              </w:rPr>
              <w:t>5</w:t>
            </w:r>
            <w:r w:rsidR="00BC2566">
              <w:rPr>
                <w:noProof/>
                <w:webHidden/>
              </w:rPr>
              <w:fldChar w:fldCharType="end"/>
            </w:r>
          </w:hyperlink>
        </w:p>
        <w:p w:rsidR="00BC2566" w:rsidRDefault="00407467" w14:paraId="6EE79B30" w14:textId="776B187B">
          <w:pPr>
            <w:pStyle w:val="TOC2"/>
            <w:rPr>
              <w:rFonts w:asciiTheme="minorHAnsi" w:hAnsiTheme="minorHAnsi" w:eastAsiaTheme="minorEastAsia" w:cstheme="minorBidi"/>
              <w:noProof/>
              <w:kern w:val="2"/>
              <w:lang w:eastAsia="en-GB"/>
              <w14:ligatures w14:val="standardContextual"/>
            </w:rPr>
          </w:pPr>
          <w:hyperlink w:history="1" w:anchor="_Toc155945400">
            <w:r w:rsidRPr="007B3B16" w:rsidR="00BC2566">
              <w:rPr>
                <w:rStyle w:val="Hyperlink"/>
                <w:noProof/>
              </w:rPr>
              <w:t>Progress against recommendations from the last review</w:t>
            </w:r>
            <w:r w:rsidR="00BC2566">
              <w:rPr>
                <w:noProof/>
                <w:webHidden/>
              </w:rPr>
              <w:tab/>
            </w:r>
            <w:r w:rsidR="00BC2566">
              <w:rPr>
                <w:noProof/>
                <w:webHidden/>
              </w:rPr>
              <w:fldChar w:fldCharType="begin"/>
            </w:r>
            <w:r w:rsidR="00BC2566">
              <w:rPr>
                <w:noProof/>
                <w:webHidden/>
              </w:rPr>
              <w:instrText xml:space="preserve"> PAGEREF _Toc155945400 \h </w:instrText>
            </w:r>
            <w:r w:rsidR="00BC2566">
              <w:rPr>
                <w:noProof/>
                <w:webHidden/>
              </w:rPr>
            </w:r>
            <w:r w:rsidR="00BC2566">
              <w:rPr>
                <w:noProof/>
                <w:webHidden/>
              </w:rPr>
              <w:fldChar w:fldCharType="separate"/>
            </w:r>
            <w:r w:rsidR="00BC2566">
              <w:rPr>
                <w:noProof/>
                <w:webHidden/>
              </w:rPr>
              <w:t>6</w:t>
            </w:r>
            <w:r w:rsidR="00BC2566">
              <w:rPr>
                <w:noProof/>
                <w:webHidden/>
              </w:rPr>
              <w:fldChar w:fldCharType="end"/>
            </w:r>
          </w:hyperlink>
        </w:p>
        <w:p w:rsidR="00BC2566" w:rsidRDefault="00407467" w14:paraId="46397A32" w14:textId="5A3204FA">
          <w:pPr>
            <w:pStyle w:val="TOC2"/>
            <w:rPr>
              <w:rFonts w:asciiTheme="minorHAnsi" w:hAnsiTheme="minorHAnsi" w:eastAsiaTheme="minorEastAsia" w:cstheme="minorBidi"/>
              <w:noProof/>
              <w:kern w:val="2"/>
              <w:lang w:eastAsia="en-GB"/>
              <w14:ligatures w14:val="standardContextual"/>
            </w:rPr>
          </w:pPr>
          <w:hyperlink w:history="1" w:anchor="_Toc155945401">
            <w:r w:rsidRPr="007B3B16" w:rsidR="00BC2566">
              <w:rPr>
                <w:rStyle w:val="Hyperlink"/>
                <w:noProof/>
              </w:rPr>
              <w:t>Major lessons and recommendations for the year ahead</w:t>
            </w:r>
            <w:r w:rsidR="00BC2566">
              <w:rPr>
                <w:noProof/>
                <w:webHidden/>
              </w:rPr>
              <w:tab/>
            </w:r>
            <w:r w:rsidR="00BC2566">
              <w:rPr>
                <w:noProof/>
                <w:webHidden/>
              </w:rPr>
              <w:fldChar w:fldCharType="begin"/>
            </w:r>
            <w:r w:rsidR="00BC2566">
              <w:rPr>
                <w:noProof/>
                <w:webHidden/>
              </w:rPr>
              <w:instrText xml:space="preserve"> PAGEREF _Toc155945401 \h </w:instrText>
            </w:r>
            <w:r w:rsidR="00BC2566">
              <w:rPr>
                <w:noProof/>
                <w:webHidden/>
              </w:rPr>
            </w:r>
            <w:r w:rsidR="00BC2566">
              <w:rPr>
                <w:noProof/>
                <w:webHidden/>
              </w:rPr>
              <w:fldChar w:fldCharType="separate"/>
            </w:r>
            <w:r w:rsidR="00BC2566">
              <w:rPr>
                <w:noProof/>
                <w:webHidden/>
              </w:rPr>
              <w:t>9</w:t>
            </w:r>
            <w:r w:rsidR="00BC2566">
              <w:rPr>
                <w:noProof/>
                <w:webHidden/>
              </w:rPr>
              <w:fldChar w:fldCharType="end"/>
            </w:r>
          </w:hyperlink>
        </w:p>
        <w:p w:rsidR="00BC2566" w:rsidRDefault="00407467" w14:paraId="2611B073" w14:textId="55553A8A">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155945402">
            <w:r w:rsidRPr="007B3B16" w:rsidR="00BC2566">
              <w:rPr>
                <w:rStyle w:val="Hyperlink"/>
                <w:rFonts w:cs="Arial"/>
                <w:b/>
                <w:bCs/>
                <w:noProof/>
                <w:lang w:eastAsia="en-GB"/>
              </w:rPr>
              <w:t>Section B: Theory of change and progress towards outcomes</w:t>
            </w:r>
            <w:r w:rsidR="00BC2566">
              <w:rPr>
                <w:noProof/>
                <w:webHidden/>
              </w:rPr>
              <w:tab/>
            </w:r>
            <w:r w:rsidR="00BC2566">
              <w:rPr>
                <w:noProof/>
                <w:webHidden/>
              </w:rPr>
              <w:fldChar w:fldCharType="begin"/>
            </w:r>
            <w:r w:rsidR="00BC2566">
              <w:rPr>
                <w:noProof/>
                <w:webHidden/>
              </w:rPr>
              <w:instrText xml:space="preserve"> PAGEREF _Toc155945402 \h </w:instrText>
            </w:r>
            <w:r w:rsidR="00BC2566">
              <w:rPr>
                <w:noProof/>
                <w:webHidden/>
              </w:rPr>
            </w:r>
            <w:r w:rsidR="00BC2566">
              <w:rPr>
                <w:noProof/>
                <w:webHidden/>
              </w:rPr>
              <w:fldChar w:fldCharType="separate"/>
            </w:r>
            <w:r w:rsidR="00BC2566">
              <w:rPr>
                <w:noProof/>
                <w:webHidden/>
              </w:rPr>
              <w:t>12</w:t>
            </w:r>
            <w:r w:rsidR="00BC2566">
              <w:rPr>
                <w:noProof/>
                <w:webHidden/>
              </w:rPr>
              <w:fldChar w:fldCharType="end"/>
            </w:r>
          </w:hyperlink>
        </w:p>
        <w:p w:rsidR="00BC2566" w:rsidRDefault="00407467" w14:paraId="0FAAEEEB" w14:textId="5C1DE12B">
          <w:pPr>
            <w:pStyle w:val="TOC2"/>
            <w:rPr>
              <w:rFonts w:asciiTheme="minorHAnsi" w:hAnsiTheme="minorHAnsi" w:eastAsiaTheme="minorEastAsia" w:cstheme="minorBidi"/>
              <w:noProof/>
              <w:kern w:val="2"/>
              <w:lang w:eastAsia="en-GB"/>
              <w14:ligatures w14:val="standardContextual"/>
            </w:rPr>
          </w:pPr>
          <w:hyperlink w:history="1" w:anchor="_Toc155945403">
            <w:r w:rsidRPr="007B3B16" w:rsidR="00BC2566">
              <w:rPr>
                <w:rStyle w:val="Hyperlink"/>
                <w:noProof/>
              </w:rPr>
              <w:t>Summary of the programme’s theory of change, including any changes to outcome and impact indicators from the original business case</w:t>
            </w:r>
            <w:r w:rsidR="00BC2566">
              <w:rPr>
                <w:noProof/>
                <w:webHidden/>
              </w:rPr>
              <w:tab/>
            </w:r>
            <w:r w:rsidR="00BC2566">
              <w:rPr>
                <w:noProof/>
                <w:webHidden/>
              </w:rPr>
              <w:fldChar w:fldCharType="begin"/>
            </w:r>
            <w:r w:rsidR="00BC2566">
              <w:rPr>
                <w:noProof/>
                <w:webHidden/>
              </w:rPr>
              <w:instrText xml:space="preserve"> PAGEREF _Toc155945403 \h </w:instrText>
            </w:r>
            <w:r w:rsidR="00BC2566">
              <w:rPr>
                <w:noProof/>
                <w:webHidden/>
              </w:rPr>
            </w:r>
            <w:r w:rsidR="00BC2566">
              <w:rPr>
                <w:noProof/>
                <w:webHidden/>
              </w:rPr>
              <w:fldChar w:fldCharType="separate"/>
            </w:r>
            <w:r w:rsidR="00BC2566">
              <w:rPr>
                <w:noProof/>
                <w:webHidden/>
              </w:rPr>
              <w:t>12</w:t>
            </w:r>
            <w:r w:rsidR="00BC2566">
              <w:rPr>
                <w:noProof/>
                <w:webHidden/>
              </w:rPr>
              <w:fldChar w:fldCharType="end"/>
            </w:r>
          </w:hyperlink>
        </w:p>
        <w:p w:rsidR="00BC2566" w:rsidRDefault="00407467" w14:paraId="2B9C5742" w14:textId="5F35C878">
          <w:pPr>
            <w:pStyle w:val="TOC2"/>
            <w:rPr>
              <w:rFonts w:asciiTheme="minorHAnsi" w:hAnsiTheme="minorHAnsi" w:eastAsiaTheme="minorEastAsia" w:cstheme="minorBidi"/>
              <w:noProof/>
              <w:kern w:val="2"/>
              <w:lang w:eastAsia="en-GB"/>
              <w14:ligatures w14:val="standardContextual"/>
            </w:rPr>
          </w:pPr>
          <w:hyperlink w:history="1" w:anchor="_Toc155945404">
            <w:r w:rsidRPr="007B3B16" w:rsidR="00BC2566">
              <w:rPr>
                <w:rStyle w:val="Hyperlink"/>
                <w:noProof/>
              </w:rPr>
              <w:t>Progress against the expected outcomes and impact, and actions planned for the year ahead</w:t>
            </w:r>
            <w:r w:rsidR="00BC2566">
              <w:rPr>
                <w:noProof/>
                <w:webHidden/>
              </w:rPr>
              <w:tab/>
            </w:r>
            <w:r w:rsidR="00BC2566">
              <w:rPr>
                <w:noProof/>
                <w:webHidden/>
              </w:rPr>
              <w:fldChar w:fldCharType="begin"/>
            </w:r>
            <w:r w:rsidR="00BC2566">
              <w:rPr>
                <w:noProof/>
                <w:webHidden/>
              </w:rPr>
              <w:instrText xml:space="preserve"> PAGEREF _Toc155945404 \h </w:instrText>
            </w:r>
            <w:r w:rsidR="00BC2566">
              <w:rPr>
                <w:noProof/>
                <w:webHidden/>
              </w:rPr>
            </w:r>
            <w:r w:rsidR="00BC2566">
              <w:rPr>
                <w:noProof/>
                <w:webHidden/>
              </w:rPr>
              <w:fldChar w:fldCharType="separate"/>
            </w:r>
            <w:r w:rsidR="00BC2566">
              <w:rPr>
                <w:noProof/>
                <w:webHidden/>
              </w:rPr>
              <w:t>12</w:t>
            </w:r>
            <w:r w:rsidR="00BC2566">
              <w:rPr>
                <w:noProof/>
                <w:webHidden/>
              </w:rPr>
              <w:fldChar w:fldCharType="end"/>
            </w:r>
          </w:hyperlink>
        </w:p>
        <w:p w:rsidR="00BC2566" w:rsidRDefault="00407467" w14:paraId="27CC470F" w14:textId="753BB9F4">
          <w:pPr>
            <w:pStyle w:val="TOC2"/>
            <w:rPr>
              <w:rFonts w:asciiTheme="minorHAnsi" w:hAnsiTheme="minorHAnsi" w:eastAsiaTheme="minorEastAsia" w:cstheme="minorBidi"/>
              <w:noProof/>
              <w:kern w:val="2"/>
              <w:lang w:eastAsia="en-GB"/>
              <w14:ligatures w14:val="standardContextual"/>
            </w:rPr>
          </w:pPr>
          <w:hyperlink w:history="1" w:anchor="_Toc155945405">
            <w:r w:rsidRPr="007B3B16" w:rsidR="00BC2566">
              <w:rPr>
                <w:rStyle w:val="Hyperlink"/>
                <w:noProof/>
              </w:rPr>
              <w:t>Logframe updates since the last review</w:t>
            </w:r>
            <w:r w:rsidR="00BC2566">
              <w:rPr>
                <w:noProof/>
                <w:webHidden/>
              </w:rPr>
              <w:tab/>
            </w:r>
            <w:r w:rsidR="00BC2566">
              <w:rPr>
                <w:noProof/>
                <w:webHidden/>
              </w:rPr>
              <w:fldChar w:fldCharType="begin"/>
            </w:r>
            <w:r w:rsidR="00BC2566">
              <w:rPr>
                <w:noProof/>
                <w:webHidden/>
              </w:rPr>
              <w:instrText xml:space="preserve"> PAGEREF _Toc155945405 \h </w:instrText>
            </w:r>
            <w:r w:rsidR="00BC2566">
              <w:rPr>
                <w:noProof/>
                <w:webHidden/>
              </w:rPr>
            </w:r>
            <w:r w:rsidR="00BC2566">
              <w:rPr>
                <w:noProof/>
                <w:webHidden/>
              </w:rPr>
              <w:fldChar w:fldCharType="separate"/>
            </w:r>
            <w:r w:rsidR="00BC2566">
              <w:rPr>
                <w:noProof/>
                <w:webHidden/>
              </w:rPr>
              <w:t>15</w:t>
            </w:r>
            <w:r w:rsidR="00BC2566">
              <w:rPr>
                <w:noProof/>
                <w:webHidden/>
              </w:rPr>
              <w:fldChar w:fldCharType="end"/>
            </w:r>
          </w:hyperlink>
        </w:p>
        <w:p w:rsidR="00BC2566" w:rsidRDefault="00407467" w14:paraId="62CEDA3F" w14:textId="531D47AC">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155945406">
            <w:r w:rsidRPr="007B3B16" w:rsidR="00BC2566">
              <w:rPr>
                <w:rStyle w:val="Hyperlink"/>
                <w:rFonts w:cs="Arial"/>
                <w:b/>
                <w:bCs/>
                <w:noProof/>
                <w:lang w:eastAsia="en-GB"/>
              </w:rPr>
              <w:t>Section C: Output scoring</w:t>
            </w:r>
            <w:r w:rsidR="00BC2566">
              <w:rPr>
                <w:noProof/>
                <w:webHidden/>
              </w:rPr>
              <w:tab/>
            </w:r>
            <w:r w:rsidR="00BC2566">
              <w:rPr>
                <w:noProof/>
                <w:webHidden/>
              </w:rPr>
              <w:fldChar w:fldCharType="begin"/>
            </w:r>
            <w:r w:rsidR="00BC2566">
              <w:rPr>
                <w:noProof/>
                <w:webHidden/>
              </w:rPr>
              <w:instrText xml:space="preserve"> PAGEREF _Toc155945406 \h </w:instrText>
            </w:r>
            <w:r w:rsidR="00BC2566">
              <w:rPr>
                <w:noProof/>
                <w:webHidden/>
              </w:rPr>
            </w:r>
            <w:r w:rsidR="00BC2566">
              <w:rPr>
                <w:noProof/>
                <w:webHidden/>
              </w:rPr>
              <w:fldChar w:fldCharType="separate"/>
            </w:r>
            <w:r w:rsidR="00BC2566">
              <w:rPr>
                <w:noProof/>
                <w:webHidden/>
              </w:rPr>
              <w:t>16</w:t>
            </w:r>
            <w:r w:rsidR="00BC2566">
              <w:rPr>
                <w:noProof/>
                <w:webHidden/>
              </w:rPr>
              <w:fldChar w:fldCharType="end"/>
            </w:r>
          </w:hyperlink>
        </w:p>
        <w:p w:rsidR="00BC2566" w:rsidRDefault="00407467" w14:paraId="34978DE3" w14:textId="52311050">
          <w:pPr>
            <w:pStyle w:val="TOC2"/>
            <w:rPr>
              <w:rFonts w:asciiTheme="minorHAnsi" w:hAnsiTheme="minorHAnsi" w:eastAsiaTheme="minorEastAsia" w:cstheme="minorBidi"/>
              <w:noProof/>
              <w:kern w:val="2"/>
              <w:lang w:eastAsia="en-GB"/>
              <w14:ligatures w14:val="standardContextual"/>
            </w:rPr>
          </w:pPr>
          <w:hyperlink w:history="1" w:anchor="_Toc155945407">
            <w:r w:rsidRPr="007B3B16" w:rsidR="00BC2566">
              <w:rPr>
                <w:rStyle w:val="Hyperlink"/>
                <w:noProof/>
              </w:rPr>
              <w:t xml:space="preserve">Output 1: </w:t>
            </w:r>
            <w:r w:rsidRPr="007B3B16" w:rsidR="00BC2566">
              <w:rPr>
                <w:rStyle w:val="Hyperlink"/>
                <w:rFonts w:cs="Arial"/>
                <w:bCs/>
                <w:noProof/>
                <w:shd w:val="clear" w:color="auto" w:fill="FFFFFF"/>
              </w:rPr>
              <w:t>Emissions Reductions Programmes planned and implemented/ progressing through the Carbon Fund process.</w:t>
            </w:r>
            <w:r w:rsidR="00BC2566">
              <w:rPr>
                <w:noProof/>
                <w:webHidden/>
              </w:rPr>
              <w:tab/>
            </w:r>
            <w:r w:rsidR="00BC2566">
              <w:rPr>
                <w:noProof/>
                <w:webHidden/>
              </w:rPr>
              <w:fldChar w:fldCharType="begin"/>
            </w:r>
            <w:r w:rsidR="00BC2566">
              <w:rPr>
                <w:noProof/>
                <w:webHidden/>
              </w:rPr>
              <w:instrText xml:space="preserve"> PAGEREF _Toc155945407 \h </w:instrText>
            </w:r>
            <w:r w:rsidR="00BC2566">
              <w:rPr>
                <w:noProof/>
                <w:webHidden/>
              </w:rPr>
            </w:r>
            <w:r w:rsidR="00BC2566">
              <w:rPr>
                <w:noProof/>
                <w:webHidden/>
              </w:rPr>
              <w:fldChar w:fldCharType="separate"/>
            </w:r>
            <w:r w:rsidR="00BC2566">
              <w:rPr>
                <w:noProof/>
                <w:webHidden/>
              </w:rPr>
              <w:t>16</w:t>
            </w:r>
            <w:r w:rsidR="00BC2566">
              <w:rPr>
                <w:noProof/>
                <w:webHidden/>
              </w:rPr>
              <w:fldChar w:fldCharType="end"/>
            </w:r>
          </w:hyperlink>
        </w:p>
        <w:p w:rsidR="00BC2566" w:rsidRDefault="00407467" w14:paraId="352AFFA1" w14:textId="42A44AD6">
          <w:pPr>
            <w:pStyle w:val="TOC2"/>
            <w:rPr>
              <w:rFonts w:asciiTheme="minorHAnsi" w:hAnsiTheme="minorHAnsi" w:eastAsiaTheme="minorEastAsia" w:cstheme="minorBidi"/>
              <w:noProof/>
              <w:kern w:val="2"/>
              <w:lang w:eastAsia="en-GB"/>
              <w14:ligatures w14:val="standardContextual"/>
            </w:rPr>
          </w:pPr>
          <w:hyperlink w:history="1" w:anchor="_Toc155945408">
            <w:r w:rsidRPr="007B3B16" w:rsidR="00BC2566">
              <w:rPr>
                <w:rStyle w:val="Hyperlink"/>
                <w:noProof/>
              </w:rPr>
              <w:t xml:space="preserve">Output 2: </w:t>
            </w:r>
            <w:r w:rsidRPr="007B3B16" w:rsidR="00BC2566">
              <w:rPr>
                <w:rStyle w:val="Hyperlink"/>
                <w:bCs/>
                <w:noProof/>
              </w:rPr>
              <w:t>Countries implement programmes that conserve biodiversity and contribute positively to local socio-economic development, as well as generating emission reductions</w:t>
            </w:r>
            <w:r w:rsidR="00BC2566">
              <w:rPr>
                <w:noProof/>
                <w:webHidden/>
              </w:rPr>
              <w:tab/>
            </w:r>
            <w:r w:rsidR="00BC2566">
              <w:rPr>
                <w:noProof/>
                <w:webHidden/>
              </w:rPr>
              <w:fldChar w:fldCharType="begin"/>
            </w:r>
            <w:r w:rsidR="00BC2566">
              <w:rPr>
                <w:noProof/>
                <w:webHidden/>
              </w:rPr>
              <w:instrText xml:space="preserve"> PAGEREF _Toc155945408 \h </w:instrText>
            </w:r>
            <w:r w:rsidR="00BC2566">
              <w:rPr>
                <w:noProof/>
                <w:webHidden/>
              </w:rPr>
            </w:r>
            <w:r w:rsidR="00BC2566">
              <w:rPr>
                <w:noProof/>
                <w:webHidden/>
              </w:rPr>
              <w:fldChar w:fldCharType="separate"/>
            </w:r>
            <w:r w:rsidR="00BC2566">
              <w:rPr>
                <w:noProof/>
                <w:webHidden/>
              </w:rPr>
              <w:t>18</w:t>
            </w:r>
            <w:r w:rsidR="00BC2566">
              <w:rPr>
                <w:noProof/>
                <w:webHidden/>
              </w:rPr>
              <w:fldChar w:fldCharType="end"/>
            </w:r>
          </w:hyperlink>
        </w:p>
        <w:p w:rsidR="00BC2566" w:rsidRDefault="00407467" w14:paraId="4D9D85E0" w14:textId="22A168C8">
          <w:pPr>
            <w:pStyle w:val="TOC2"/>
            <w:rPr>
              <w:rFonts w:asciiTheme="minorHAnsi" w:hAnsiTheme="minorHAnsi" w:eastAsiaTheme="minorEastAsia" w:cstheme="minorBidi"/>
              <w:noProof/>
              <w:kern w:val="2"/>
              <w:lang w:eastAsia="en-GB"/>
              <w14:ligatures w14:val="standardContextual"/>
            </w:rPr>
          </w:pPr>
          <w:hyperlink w:history="1" w:anchor="_Toc155945409">
            <w:r w:rsidRPr="007B3B16" w:rsidR="00BC2566">
              <w:rPr>
                <w:rStyle w:val="Hyperlink"/>
                <w:noProof/>
              </w:rPr>
              <w:t xml:space="preserve">Output 3: </w:t>
            </w:r>
            <w:r w:rsidRPr="007B3B16" w:rsidR="00BC2566">
              <w:rPr>
                <w:rStyle w:val="Hyperlink"/>
                <w:bCs/>
                <w:noProof/>
              </w:rPr>
              <w:t>Knowledge gained in the development of the FCPF, and implementation of ER programmes are broadly shared and used by international REDD+ practitioners</w:t>
            </w:r>
            <w:r w:rsidR="00BC2566">
              <w:rPr>
                <w:noProof/>
                <w:webHidden/>
              </w:rPr>
              <w:tab/>
            </w:r>
            <w:r w:rsidR="00BC2566">
              <w:rPr>
                <w:noProof/>
                <w:webHidden/>
              </w:rPr>
              <w:fldChar w:fldCharType="begin"/>
            </w:r>
            <w:r w:rsidR="00BC2566">
              <w:rPr>
                <w:noProof/>
                <w:webHidden/>
              </w:rPr>
              <w:instrText xml:space="preserve"> PAGEREF _Toc155945409 \h </w:instrText>
            </w:r>
            <w:r w:rsidR="00BC2566">
              <w:rPr>
                <w:noProof/>
                <w:webHidden/>
              </w:rPr>
            </w:r>
            <w:r w:rsidR="00BC2566">
              <w:rPr>
                <w:noProof/>
                <w:webHidden/>
              </w:rPr>
              <w:fldChar w:fldCharType="separate"/>
            </w:r>
            <w:r w:rsidR="00BC2566">
              <w:rPr>
                <w:noProof/>
                <w:webHidden/>
              </w:rPr>
              <w:t>22</w:t>
            </w:r>
            <w:r w:rsidR="00BC2566">
              <w:rPr>
                <w:noProof/>
                <w:webHidden/>
              </w:rPr>
              <w:fldChar w:fldCharType="end"/>
            </w:r>
          </w:hyperlink>
        </w:p>
        <w:p w:rsidR="00BC2566" w:rsidRDefault="00407467" w14:paraId="2F25B9AB" w14:textId="7A497D21">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155945410">
            <w:r w:rsidRPr="007B3B16" w:rsidR="00BC2566">
              <w:rPr>
                <w:rStyle w:val="Hyperlink"/>
                <w:rFonts w:cs="Arial"/>
                <w:b/>
                <w:bCs/>
                <w:noProof/>
                <w:lang w:eastAsia="en-GB"/>
              </w:rPr>
              <w:t>Section D: Programme performance not captured by outputs</w:t>
            </w:r>
            <w:r w:rsidR="00BC2566">
              <w:rPr>
                <w:noProof/>
                <w:webHidden/>
              </w:rPr>
              <w:tab/>
            </w:r>
            <w:r w:rsidR="00BC2566">
              <w:rPr>
                <w:noProof/>
                <w:webHidden/>
              </w:rPr>
              <w:fldChar w:fldCharType="begin"/>
            </w:r>
            <w:r w:rsidR="00BC2566">
              <w:rPr>
                <w:noProof/>
                <w:webHidden/>
              </w:rPr>
              <w:instrText xml:space="preserve"> PAGEREF _Toc155945410 \h </w:instrText>
            </w:r>
            <w:r w:rsidR="00BC2566">
              <w:rPr>
                <w:noProof/>
                <w:webHidden/>
              </w:rPr>
            </w:r>
            <w:r w:rsidR="00BC2566">
              <w:rPr>
                <w:noProof/>
                <w:webHidden/>
              </w:rPr>
              <w:fldChar w:fldCharType="separate"/>
            </w:r>
            <w:r w:rsidR="00BC2566">
              <w:rPr>
                <w:noProof/>
                <w:webHidden/>
              </w:rPr>
              <w:t>24</w:t>
            </w:r>
            <w:r w:rsidR="00BC2566">
              <w:rPr>
                <w:noProof/>
                <w:webHidden/>
              </w:rPr>
              <w:fldChar w:fldCharType="end"/>
            </w:r>
          </w:hyperlink>
        </w:p>
        <w:p w:rsidR="00BC2566" w:rsidRDefault="00407467" w14:paraId="5550A00C" w14:textId="2B3E7C2F">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155945411">
            <w:r w:rsidRPr="007B3B16" w:rsidR="00BC2566">
              <w:rPr>
                <w:rStyle w:val="Hyperlink"/>
                <w:rFonts w:cs="Arial"/>
                <w:b/>
                <w:bCs/>
                <w:noProof/>
                <w:lang w:eastAsia="en-GB"/>
              </w:rPr>
              <w:t>Section E: Risk</w:t>
            </w:r>
            <w:r w:rsidR="00BC2566">
              <w:rPr>
                <w:noProof/>
                <w:webHidden/>
              </w:rPr>
              <w:tab/>
            </w:r>
            <w:r w:rsidR="00BC2566">
              <w:rPr>
                <w:noProof/>
                <w:webHidden/>
              </w:rPr>
              <w:fldChar w:fldCharType="begin"/>
            </w:r>
            <w:r w:rsidR="00BC2566">
              <w:rPr>
                <w:noProof/>
                <w:webHidden/>
              </w:rPr>
              <w:instrText xml:space="preserve"> PAGEREF _Toc155945411 \h </w:instrText>
            </w:r>
            <w:r w:rsidR="00BC2566">
              <w:rPr>
                <w:noProof/>
                <w:webHidden/>
              </w:rPr>
            </w:r>
            <w:r w:rsidR="00BC2566">
              <w:rPr>
                <w:noProof/>
                <w:webHidden/>
              </w:rPr>
              <w:fldChar w:fldCharType="separate"/>
            </w:r>
            <w:r w:rsidR="00BC2566">
              <w:rPr>
                <w:noProof/>
                <w:webHidden/>
              </w:rPr>
              <w:t>25</w:t>
            </w:r>
            <w:r w:rsidR="00BC2566">
              <w:rPr>
                <w:noProof/>
                <w:webHidden/>
              </w:rPr>
              <w:fldChar w:fldCharType="end"/>
            </w:r>
          </w:hyperlink>
        </w:p>
        <w:p w:rsidR="00BC2566" w:rsidRDefault="00407467" w14:paraId="1118DEC7" w14:textId="163F6534">
          <w:pPr>
            <w:pStyle w:val="TOC2"/>
            <w:rPr>
              <w:rFonts w:asciiTheme="minorHAnsi" w:hAnsiTheme="minorHAnsi" w:eastAsiaTheme="minorEastAsia" w:cstheme="minorBidi"/>
              <w:noProof/>
              <w:kern w:val="2"/>
              <w:lang w:eastAsia="en-GB"/>
              <w14:ligatures w14:val="standardContextual"/>
            </w:rPr>
          </w:pPr>
          <w:hyperlink w:history="1" w:anchor="_Toc155945412">
            <w:r w:rsidRPr="007B3B16" w:rsidR="00BC2566">
              <w:rPr>
                <w:rStyle w:val="Hyperlink"/>
                <w:noProof/>
              </w:rPr>
              <w:t>Overall risk rating</w:t>
            </w:r>
            <w:r w:rsidR="00BC2566">
              <w:rPr>
                <w:noProof/>
                <w:webHidden/>
              </w:rPr>
              <w:tab/>
            </w:r>
            <w:r w:rsidR="00BC2566">
              <w:rPr>
                <w:noProof/>
                <w:webHidden/>
              </w:rPr>
              <w:fldChar w:fldCharType="begin"/>
            </w:r>
            <w:r w:rsidR="00BC2566">
              <w:rPr>
                <w:noProof/>
                <w:webHidden/>
              </w:rPr>
              <w:instrText xml:space="preserve"> PAGEREF _Toc155945412 \h </w:instrText>
            </w:r>
            <w:r w:rsidR="00BC2566">
              <w:rPr>
                <w:noProof/>
                <w:webHidden/>
              </w:rPr>
            </w:r>
            <w:r w:rsidR="00BC2566">
              <w:rPr>
                <w:noProof/>
                <w:webHidden/>
              </w:rPr>
              <w:fldChar w:fldCharType="separate"/>
            </w:r>
            <w:r w:rsidR="00BC2566">
              <w:rPr>
                <w:noProof/>
                <w:webHidden/>
              </w:rPr>
              <w:t>25</w:t>
            </w:r>
            <w:r w:rsidR="00BC2566">
              <w:rPr>
                <w:noProof/>
                <w:webHidden/>
              </w:rPr>
              <w:fldChar w:fldCharType="end"/>
            </w:r>
          </w:hyperlink>
        </w:p>
        <w:p w:rsidR="00BC2566" w:rsidRDefault="00407467" w14:paraId="022739C9" w14:textId="53E807B0">
          <w:pPr>
            <w:pStyle w:val="TOC1"/>
            <w:tabs>
              <w:tab w:val="right" w:leader="dot" w:pos="9016"/>
            </w:tabs>
            <w:rPr>
              <w:rFonts w:asciiTheme="minorHAnsi" w:hAnsiTheme="minorHAnsi" w:eastAsiaTheme="minorEastAsia" w:cstheme="minorBidi"/>
              <w:noProof/>
              <w:kern w:val="2"/>
              <w:lang w:eastAsia="en-GB"/>
              <w14:ligatures w14:val="standardContextual"/>
            </w:rPr>
          </w:pPr>
          <w:hyperlink w:history="1" w:anchor="_Toc155945413">
            <w:r w:rsidRPr="007B3B16" w:rsidR="00BC2566">
              <w:rPr>
                <w:rStyle w:val="Hyperlink"/>
                <w:rFonts w:cs="Arial"/>
                <w:b/>
                <w:bCs/>
                <w:noProof/>
                <w:lang w:eastAsia="en-GB"/>
              </w:rPr>
              <w:t>Section F: Programme management: delivery, VfM, commercial and financial performance</w:t>
            </w:r>
            <w:r w:rsidR="00BC2566">
              <w:rPr>
                <w:noProof/>
                <w:webHidden/>
              </w:rPr>
              <w:tab/>
            </w:r>
            <w:r w:rsidR="00BC2566">
              <w:rPr>
                <w:noProof/>
                <w:webHidden/>
              </w:rPr>
              <w:fldChar w:fldCharType="begin"/>
            </w:r>
            <w:r w:rsidR="00BC2566">
              <w:rPr>
                <w:noProof/>
                <w:webHidden/>
              </w:rPr>
              <w:instrText xml:space="preserve"> PAGEREF _Toc155945413 \h </w:instrText>
            </w:r>
            <w:r w:rsidR="00BC2566">
              <w:rPr>
                <w:noProof/>
                <w:webHidden/>
              </w:rPr>
            </w:r>
            <w:r w:rsidR="00BC2566">
              <w:rPr>
                <w:noProof/>
                <w:webHidden/>
              </w:rPr>
              <w:fldChar w:fldCharType="separate"/>
            </w:r>
            <w:r w:rsidR="00BC2566">
              <w:rPr>
                <w:noProof/>
                <w:webHidden/>
              </w:rPr>
              <w:t>27</w:t>
            </w:r>
            <w:r w:rsidR="00BC2566">
              <w:rPr>
                <w:noProof/>
                <w:webHidden/>
              </w:rPr>
              <w:fldChar w:fldCharType="end"/>
            </w:r>
          </w:hyperlink>
        </w:p>
        <w:p w:rsidR="00BC2566" w:rsidRDefault="00407467" w14:paraId="35E07E0E" w14:textId="4B89BF14">
          <w:pPr>
            <w:pStyle w:val="TOC2"/>
            <w:rPr>
              <w:rFonts w:asciiTheme="minorHAnsi" w:hAnsiTheme="minorHAnsi" w:eastAsiaTheme="minorEastAsia" w:cstheme="minorBidi"/>
              <w:noProof/>
              <w:kern w:val="2"/>
              <w:lang w:eastAsia="en-GB"/>
              <w14:ligatures w14:val="standardContextual"/>
            </w:rPr>
          </w:pPr>
          <w:hyperlink w:history="1" w:anchor="_Toc155945414">
            <w:r w:rsidRPr="007B3B16" w:rsidR="00BC2566">
              <w:rPr>
                <w:rStyle w:val="Hyperlink"/>
                <w:noProof/>
              </w:rPr>
              <w:t>Summary of the performance of partners and DESNZ, notably on commercial and financial issues, and including consideration of VfM.</w:t>
            </w:r>
            <w:r w:rsidR="00BC2566">
              <w:rPr>
                <w:noProof/>
                <w:webHidden/>
              </w:rPr>
              <w:tab/>
            </w:r>
            <w:r w:rsidR="00BC2566">
              <w:rPr>
                <w:noProof/>
                <w:webHidden/>
              </w:rPr>
              <w:fldChar w:fldCharType="begin"/>
            </w:r>
            <w:r w:rsidR="00BC2566">
              <w:rPr>
                <w:noProof/>
                <w:webHidden/>
              </w:rPr>
              <w:instrText xml:space="preserve"> PAGEREF _Toc155945414 \h </w:instrText>
            </w:r>
            <w:r w:rsidR="00BC2566">
              <w:rPr>
                <w:noProof/>
                <w:webHidden/>
              </w:rPr>
            </w:r>
            <w:r w:rsidR="00BC2566">
              <w:rPr>
                <w:noProof/>
                <w:webHidden/>
              </w:rPr>
              <w:fldChar w:fldCharType="separate"/>
            </w:r>
            <w:r w:rsidR="00BC2566">
              <w:rPr>
                <w:noProof/>
                <w:webHidden/>
              </w:rPr>
              <w:t>27</w:t>
            </w:r>
            <w:r w:rsidR="00BC2566">
              <w:rPr>
                <w:noProof/>
                <w:webHidden/>
              </w:rPr>
              <w:fldChar w:fldCharType="end"/>
            </w:r>
          </w:hyperlink>
        </w:p>
        <w:p w:rsidR="001B14BA" w:rsidP="00276517" w:rsidRDefault="001B14BA" w14:paraId="5E063C9F" w14:textId="0050B51C">
          <w:pPr>
            <w:spacing w:line="276" w:lineRule="auto"/>
          </w:pPr>
          <w:r w:rsidRPr="00276517">
            <w:rPr>
              <w:b/>
              <w:bCs/>
              <w:noProof/>
              <w:color w:val="002060"/>
            </w:rPr>
            <w:fldChar w:fldCharType="end"/>
          </w:r>
        </w:p>
      </w:sdtContent>
    </w:sdt>
    <w:p w:rsidR="008D3049" w:rsidRDefault="008D3049" w14:paraId="5329C57B" w14:textId="77E53EDE">
      <w:pPr>
        <w:spacing w:after="160" w:line="259" w:lineRule="auto"/>
        <w:rPr>
          <w:sz w:val="22"/>
          <w:szCs w:val="22"/>
        </w:rPr>
      </w:pPr>
    </w:p>
    <w:p w:rsidR="008D3049" w:rsidRDefault="008D3049" w14:paraId="07D3ACBE" w14:textId="72F6059D">
      <w:pPr>
        <w:spacing w:after="160" w:line="259" w:lineRule="auto"/>
        <w:rPr>
          <w:sz w:val="22"/>
          <w:szCs w:val="22"/>
        </w:rPr>
      </w:pPr>
      <w:r>
        <w:rPr>
          <w:sz w:val="22"/>
          <w:szCs w:val="22"/>
        </w:rPr>
        <w:br w:type="page"/>
      </w:r>
    </w:p>
    <w:tbl>
      <w:tblPr>
        <w:tblStyle w:val="TableGrid"/>
        <w:tblW w:w="0" w:type="auto"/>
        <w:tblLook w:val="04A0" w:firstRow="1" w:lastRow="0" w:firstColumn="1" w:lastColumn="0" w:noHBand="0" w:noVBand="1"/>
      </w:tblPr>
      <w:tblGrid>
        <w:gridCol w:w="9016"/>
      </w:tblGrid>
      <w:tr w:rsidR="00495286" w:rsidTr="524C10BA" w14:paraId="65DE13A0" w14:textId="77777777">
        <w:tc>
          <w:tcPr>
            <w:tcW w:w="9016" w:type="dxa"/>
            <w:shd w:val="clear" w:color="auto" w:fill="DEEAF6" w:themeFill="accent5" w:themeFillTint="33"/>
            <w:tcMar/>
          </w:tcPr>
          <w:p w:rsidR="00495286" w:rsidP="006C516E" w:rsidRDefault="00495286" w14:paraId="7DC76797" w14:textId="16EA03EA">
            <w:bookmarkStart w:name="_Toc155945397" w:id="0"/>
            <w:r w:rsidRPr="524C10BA" w:rsidR="00495286">
              <w:rPr>
                <w:rStyle w:val="Heading1Char"/>
                <w:rFonts w:ascii="Arial" w:hAnsi="Arial" w:cs="Arial"/>
                <w:b w:val="1"/>
                <w:bCs w:val="1"/>
                <w:color w:val="auto"/>
              </w:rPr>
              <w:t>Section A: Summary and overview</w:t>
            </w:r>
            <w:bookmarkEnd w:id="0"/>
          </w:p>
        </w:tc>
      </w:tr>
    </w:tbl>
    <w:p w:rsidR="00495286" w:rsidP="006C516E" w:rsidRDefault="00495286" w14:paraId="006A5D19" w14:textId="77777777"/>
    <w:tbl>
      <w:tblPr>
        <w:tblStyle w:val="TableGrid"/>
        <w:tblW w:w="0" w:type="auto"/>
        <w:tblLook w:val="04A0" w:firstRow="1" w:lastRow="0" w:firstColumn="1" w:lastColumn="0" w:noHBand="0" w:noVBand="1"/>
      </w:tblPr>
      <w:tblGrid>
        <w:gridCol w:w="3397"/>
        <w:gridCol w:w="2410"/>
        <w:gridCol w:w="3209"/>
      </w:tblGrid>
      <w:tr w:rsidRPr="003F6641" w:rsidR="004D2FC0" w:rsidTr="00FC16A6" w14:paraId="2869ADA5" w14:textId="77777777">
        <w:trPr>
          <w:trHeight w:val="407"/>
        </w:trPr>
        <w:tc>
          <w:tcPr>
            <w:tcW w:w="9016" w:type="dxa"/>
            <w:gridSpan w:val="3"/>
            <w:tcBorders>
              <w:top w:val="single" w:color="auto" w:sz="4" w:space="0"/>
              <w:left w:val="single" w:color="auto" w:sz="4" w:space="0"/>
              <w:bottom w:val="dotted" w:color="000000" w:themeColor="text1" w:sz="2" w:space="0"/>
              <w:right w:val="single" w:color="auto" w:sz="4" w:space="0"/>
            </w:tcBorders>
          </w:tcPr>
          <w:p w:rsidRPr="003F6641" w:rsidR="004D2FC0" w:rsidP="00FC16A6" w:rsidRDefault="004D2FC0" w14:paraId="346F2EF8" w14:textId="6DB55C13">
            <w:pPr>
              <w:rPr>
                <w:rFonts w:cs="Arial"/>
                <w:b/>
                <w:sz w:val="22"/>
                <w:szCs w:val="22"/>
              </w:rPr>
            </w:pPr>
            <w:r w:rsidRPr="003F6641">
              <w:rPr>
                <w:rFonts w:cs="Arial"/>
                <w:b/>
                <w:sz w:val="22"/>
                <w:szCs w:val="22"/>
              </w:rPr>
              <w:t xml:space="preserve">Title:  </w:t>
            </w:r>
            <w:r w:rsidR="00CE6E8A">
              <w:rPr>
                <w:rFonts w:cs="Arial"/>
                <w:b/>
                <w:sz w:val="22"/>
                <w:szCs w:val="22"/>
              </w:rPr>
              <w:t xml:space="preserve">Forest Carbon </w:t>
            </w:r>
            <w:r w:rsidR="008913D1">
              <w:rPr>
                <w:rFonts w:cs="Arial"/>
                <w:b/>
                <w:sz w:val="22"/>
                <w:szCs w:val="22"/>
              </w:rPr>
              <w:t xml:space="preserve">Partnership Facility Carbon Fund </w:t>
            </w:r>
          </w:p>
        </w:tc>
      </w:tr>
      <w:tr w:rsidRPr="003F6641" w:rsidR="004D2FC0" w:rsidTr="00FC16A6" w14:paraId="109A3418" w14:textId="77777777">
        <w:trPr>
          <w:trHeight w:val="413"/>
        </w:trPr>
        <w:tc>
          <w:tcPr>
            <w:tcW w:w="5807" w:type="dxa"/>
            <w:gridSpan w:val="2"/>
            <w:tcBorders>
              <w:top w:val="dotted" w:color="000000" w:themeColor="text1" w:sz="2" w:space="0"/>
              <w:left w:val="single" w:color="000000" w:themeColor="text1" w:sz="4" w:space="0"/>
              <w:bottom w:val="dotted" w:color="000000" w:themeColor="text1" w:sz="2" w:space="0"/>
              <w:right w:val="dotted" w:color="000000" w:themeColor="text1" w:sz="2" w:space="0"/>
            </w:tcBorders>
            <w:hideMark/>
          </w:tcPr>
          <w:p w:rsidRPr="003F6641" w:rsidR="004D2FC0" w:rsidP="00FC16A6" w:rsidRDefault="004D2FC0" w14:paraId="79376CB4" w14:textId="0C45FF37">
            <w:pPr>
              <w:rPr>
                <w:rFonts w:cs="Arial"/>
                <w:b/>
                <w:sz w:val="22"/>
                <w:szCs w:val="22"/>
              </w:rPr>
            </w:pPr>
            <w:r w:rsidRPr="003F6641">
              <w:rPr>
                <w:rFonts w:cs="Arial"/>
                <w:b/>
                <w:sz w:val="22"/>
                <w:szCs w:val="22"/>
              </w:rPr>
              <w:t xml:space="preserve">Programme Value £ (full life): </w:t>
            </w:r>
            <w:r w:rsidRPr="008913D1" w:rsidR="008913D1">
              <w:rPr>
                <w:rFonts w:cs="Arial"/>
                <w:bCs/>
                <w:sz w:val="22"/>
                <w:szCs w:val="22"/>
              </w:rPr>
              <w:t>£141.</w:t>
            </w:r>
            <w:r w:rsidR="00C161A7">
              <w:rPr>
                <w:rFonts w:cs="Arial"/>
                <w:bCs/>
                <w:sz w:val="22"/>
                <w:szCs w:val="22"/>
              </w:rPr>
              <w:t>5</w:t>
            </w:r>
            <w:r w:rsidRPr="008913D1" w:rsidR="008913D1">
              <w:rPr>
                <w:rFonts w:cs="Arial"/>
                <w:bCs/>
                <w:sz w:val="22"/>
                <w:szCs w:val="22"/>
              </w:rPr>
              <w:t>m UK Investment (£130m ICF + £11.5m ETF).</w:t>
            </w:r>
            <w:r w:rsidR="008913D1">
              <w:rPr>
                <w:rFonts w:cs="Arial"/>
                <w:b/>
                <w:sz w:val="22"/>
                <w:szCs w:val="22"/>
              </w:rPr>
              <w:t xml:space="preserve"> </w:t>
            </w:r>
          </w:p>
        </w:tc>
        <w:tc>
          <w:tcPr>
            <w:tcW w:w="3209" w:type="dxa"/>
            <w:tcBorders>
              <w:top w:val="dotted" w:color="000000" w:themeColor="text1" w:sz="2" w:space="0"/>
              <w:left w:val="dotted" w:color="000000" w:themeColor="text1" w:sz="2" w:space="0"/>
              <w:bottom w:val="dotted" w:color="000000" w:themeColor="text1" w:sz="2" w:space="0"/>
              <w:right w:val="single" w:color="000000" w:themeColor="text1" w:sz="4" w:space="0"/>
            </w:tcBorders>
            <w:hideMark/>
          </w:tcPr>
          <w:p w:rsidRPr="00212C0E" w:rsidR="004D2FC0" w:rsidP="00FC16A6" w:rsidRDefault="004D2FC0" w14:paraId="5E522675" w14:textId="2F3A171D">
            <w:pPr>
              <w:rPr>
                <w:rFonts w:cs="Arial"/>
                <w:bCs/>
                <w:sz w:val="22"/>
                <w:szCs w:val="22"/>
              </w:rPr>
            </w:pPr>
            <w:r w:rsidRPr="003F6641">
              <w:rPr>
                <w:rFonts w:cs="Arial"/>
                <w:b/>
                <w:sz w:val="22"/>
                <w:szCs w:val="22"/>
              </w:rPr>
              <w:t>Review date:</w:t>
            </w:r>
            <w:r w:rsidR="008913D1">
              <w:rPr>
                <w:rFonts w:cs="Arial"/>
                <w:b/>
                <w:sz w:val="22"/>
                <w:szCs w:val="22"/>
              </w:rPr>
              <w:t xml:space="preserve"> </w:t>
            </w:r>
            <w:r w:rsidR="00212C0E">
              <w:rPr>
                <w:rFonts w:cs="Arial"/>
                <w:bCs/>
                <w:sz w:val="22"/>
                <w:szCs w:val="22"/>
              </w:rPr>
              <w:t>July 1 2022 – June 30 2023</w:t>
            </w:r>
          </w:p>
        </w:tc>
      </w:tr>
      <w:tr w:rsidRPr="003F6641" w:rsidR="004D2FC0" w:rsidTr="00FC16A6" w14:paraId="4F6467CB" w14:textId="77777777">
        <w:trPr>
          <w:trHeight w:val="300"/>
        </w:trPr>
        <w:tc>
          <w:tcPr>
            <w:tcW w:w="3397" w:type="dxa"/>
            <w:tcBorders>
              <w:top w:val="dotted" w:color="000000" w:themeColor="text1" w:sz="2" w:space="0"/>
              <w:left w:val="single" w:color="auto" w:sz="4" w:space="0"/>
              <w:bottom w:val="single" w:color="auto" w:sz="4" w:space="0"/>
              <w:right w:val="dotted" w:color="000000" w:themeColor="text1" w:sz="2" w:space="0"/>
            </w:tcBorders>
          </w:tcPr>
          <w:p w:rsidRPr="00BC7CC2" w:rsidR="004D2FC0" w:rsidP="00FC16A6" w:rsidRDefault="004D2FC0" w14:paraId="07FE2881" w14:textId="5E21BA3F">
            <w:pPr>
              <w:rPr>
                <w:rFonts w:cs="Arial"/>
                <w:sz w:val="22"/>
                <w:szCs w:val="22"/>
                <w:lang w:val="fr-FR"/>
              </w:rPr>
            </w:pPr>
            <w:r w:rsidRPr="00BC7CC2">
              <w:rPr>
                <w:rFonts w:cs="Arial"/>
                <w:b/>
                <w:sz w:val="22"/>
                <w:szCs w:val="22"/>
                <w:lang w:val="fr-FR"/>
              </w:rPr>
              <w:t xml:space="preserve">Programme Code: </w:t>
            </w:r>
            <w:r w:rsidRPr="003E680D" w:rsidR="00BC7CC2">
              <w:rPr>
                <w:rFonts w:eastAsia="Arial" w:cs="Arial"/>
                <w:sz w:val="20"/>
                <w:szCs w:val="20"/>
                <w:lang w:val="fr-FR"/>
              </w:rPr>
              <w:t>GB-GOV-13-ICF-0017-FCPF </w:t>
            </w:r>
          </w:p>
        </w:tc>
        <w:tc>
          <w:tcPr>
            <w:tcW w:w="2410" w:type="dxa"/>
            <w:tcBorders>
              <w:top w:val="dotted" w:color="000000" w:themeColor="text1" w:sz="2" w:space="0"/>
              <w:left w:val="dotted" w:color="000000" w:themeColor="text1" w:sz="2" w:space="0"/>
              <w:bottom w:val="single" w:color="000000" w:themeColor="text1" w:sz="4" w:space="0"/>
              <w:right w:val="dotted" w:color="000000" w:themeColor="text1" w:sz="2" w:space="0"/>
            </w:tcBorders>
            <w:hideMark/>
          </w:tcPr>
          <w:p w:rsidRPr="003F6641" w:rsidR="004D2FC0" w:rsidP="00FC16A6" w:rsidRDefault="004D2FC0" w14:paraId="3C649775" w14:textId="46CF9429">
            <w:pPr>
              <w:rPr>
                <w:rFonts w:cs="Arial"/>
                <w:b/>
                <w:sz w:val="22"/>
                <w:szCs w:val="22"/>
              </w:rPr>
            </w:pPr>
            <w:r w:rsidRPr="003F6641">
              <w:rPr>
                <w:rFonts w:cs="Arial"/>
                <w:b/>
                <w:sz w:val="22"/>
                <w:szCs w:val="22"/>
              </w:rPr>
              <w:t>Programme start date:</w:t>
            </w:r>
            <w:r w:rsidRPr="003F6641">
              <w:rPr>
                <w:rFonts w:cs="Arial"/>
                <w:sz w:val="22"/>
                <w:szCs w:val="22"/>
              </w:rPr>
              <w:t xml:space="preserve"> </w:t>
            </w:r>
            <w:r w:rsidR="00BC7CC2">
              <w:rPr>
                <w:rFonts w:cs="Arial"/>
                <w:sz w:val="22"/>
                <w:szCs w:val="22"/>
              </w:rPr>
              <w:t>2011</w:t>
            </w:r>
          </w:p>
        </w:tc>
        <w:tc>
          <w:tcPr>
            <w:tcW w:w="3209" w:type="dxa"/>
            <w:tcBorders>
              <w:top w:val="dotted" w:color="000000" w:themeColor="text1" w:sz="2" w:space="0"/>
              <w:left w:val="dotted" w:color="000000" w:themeColor="text1" w:sz="2" w:space="0"/>
              <w:bottom w:val="single" w:color="auto" w:sz="4" w:space="0"/>
              <w:right w:val="single" w:color="auto" w:sz="4" w:space="0"/>
            </w:tcBorders>
            <w:hideMark/>
          </w:tcPr>
          <w:p w:rsidRPr="003F6641" w:rsidR="004D2FC0" w:rsidP="00FC16A6" w:rsidRDefault="004D2FC0" w14:paraId="7A133EFD" w14:textId="712E2398">
            <w:pPr>
              <w:rPr>
                <w:rFonts w:cs="Arial"/>
                <w:b/>
                <w:sz w:val="22"/>
                <w:szCs w:val="22"/>
              </w:rPr>
            </w:pPr>
            <w:r w:rsidRPr="003F6641">
              <w:rPr>
                <w:rFonts w:cs="Arial"/>
                <w:b/>
                <w:sz w:val="22"/>
                <w:szCs w:val="22"/>
              </w:rPr>
              <w:t>Programme end date:</w:t>
            </w:r>
            <w:r w:rsidRPr="003F6641">
              <w:rPr>
                <w:rFonts w:cs="Arial"/>
                <w:sz w:val="22"/>
                <w:szCs w:val="22"/>
              </w:rPr>
              <w:t xml:space="preserve"> </w:t>
            </w:r>
            <w:r w:rsidR="00BC7CC2">
              <w:rPr>
                <w:rFonts w:cs="Arial"/>
                <w:sz w:val="22"/>
                <w:szCs w:val="22"/>
              </w:rPr>
              <w:t>2025</w:t>
            </w:r>
          </w:p>
        </w:tc>
      </w:tr>
    </w:tbl>
    <w:p w:rsidRPr="003F6641" w:rsidR="004D2FC0" w:rsidP="004D2FC0" w:rsidRDefault="004D2FC0" w14:paraId="44D21F6A" w14:textId="77777777">
      <w:pPr>
        <w:rPr>
          <w:rFonts w:cs="Arial"/>
          <w:b/>
          <w:sz w:val="22"/>
          <w:szCs w:val="22"/>
        </w:rPr>
      </w:pPr>
    </w:p>
    <w:tbl>
      <w:tblPr>
        <w:tblStyle w:val="TableGrid"/>
        <w:tblW w:w="8980" w:type="dxa"/>
        <w:tblLook w:val="04A0" w:firstRow="1" w:lastRow="0" w:firstColumn="1" w:lastColumn="0" w:noHBand="0" w:noVBand="1"/>
      </w:tblPr>
      <w:tblGrid>
        <w:gridCol w:w="827"/>
        <w:gridCol w:w="617"/>
        <w:gridCol w:w="617"/>
        <w:gridCol w:w="707"/>
        <w:gridCol w:w="708"/>
        <w:gridCol w:w="851"/>
        <w:gridCol w:w="801"/>
        <w:gridCol w:w="801"/>
        <w:gridCol w:w="617"/>
        <w:gridCol w:w="801"/>
        <w:gridCol w:w="801"/>
        <w:gridCol w:w="832"/>
      </w:tblGrid>
      <w:tr w:rsidRPr="003F6641" w:rsidR="008D3D82" w:rsidTr="008D3D82" w14:paraId="397F49F6" w14:textId="77777777">
        <w:trPr>
          <w:trHeight w:val="360"/>
        </w:trPr>
        <w:tc>
          <w:tcPr>
            <w:tcW w:w="822"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8D3D82" w:rsidR="008D3D82" w:rsidP="008D3D82" w:rsidRDefault="008D3D82" w14:paraId="4C0C093D" w14:textId="77777777">
            <w:pPr>
              <w:rPr>
                <w:rFonts w:cs="Arial"/>
                <w:b/>
                <w:bCs/>
                <w:sz w:val="18"/>
                <w:szCs w:val="18"/>
              </w:rPr>
            </w:pPr>
            <w:r w:rsidRPr="008D3D82">
              <w:rPr>
                <w:rFonts w:cs="Arial"/>
                <w:b/>
                <w:bCs/>
                <w:sz w:val="18"/>
                <w:szCs w:val="18"/>
              </w:rPr>
              <w:t>Year</w:t>
            </w:r>
          </w:p>
        </w:tc>
        <w:tc>
          <w:tcPr>
            <w:tcW w:w="61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16199B4F" w14:textId="3BB750D6">
            <w:pPr>
              <w:rPr>
                <w:rFonts w:cs="Arial"/>
                <w:b/>
                <w:sz w:val="22"/>
                <w:szCs w:val="22"/>
              </w:rPr>
            </w:pPr>
            <w:r>
              <w:rPr>
                <w:b/>
                <w:sz w:val="16"/>
                <w:szCs w:val="18"/>
              </w:rPr>
              <w:t>11/12</w:t>
            </w:r>
          </w:p>
        </w:tc>
        <w:tc>
          <w:tcPr>
            <w:tcW w:w="61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6F67E310" w14:textId="02A4F8AA">
            <w:pPr>
              <w:rPr>
                <w:rFonts w:cs="Arial"/>
                <w:b/>
                <w:sz w:val="22"/>
                <w:szCs w:val="22"/>
              </w:rPr>
            </w:pPr>
            <w:r>
              <w:rPr>
                <w:b/>
                <w:sz w:val="16"/>
                <w:szCs w:val="18"/>
              </w:rPr>
              <w:t>12/13</w:t>
            </w:r>
          </w:p>
        </w:tc>
        <w:tc>
          <w:tcPr>
            <w:tcW w:w="710"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7F7ED3F2" w14:textId="0DE439D9">
            <w:pPr>
              <w:rPr>
                <w:rFonts w:cs="Arial"/>
                <w:b/>
                <w:sz w:val="22"/>
                <w:szCs w:val="22"/>
              </w:rPr>
            </w:pPr>
            <w:r>
              <w:rPr>
                <w:b/>
                <w:sz w:val="16"/>
                <w:szCs w:val="18"/>
              </w:rPr>
              <w:t>13/14</w:t>
            </w:r>
          </w:p>
        </w:tc>
        <w:tc>
          <w:tcPr>
            <w:tcW w:w="710"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3F95E3EC" w14:textId="078BF422">
            <w:pPr>
              <w:rPr>
                <w:rFonts w:cs="Arial"/>
                <w:b/>
                <w:sz w:val="22"/>
                <w:szCs w:val="22"/>
              </w:rPr>
            </w:pPr>
            <w:r w:rsidRPr="7DDA78EF">
              <w:rPr>
                <w:b/>
                <w:bCs/>
                <w:sz w:val="16"/>
                <w:szCs w:val="16"/>
              </w:rPr>
              <w:t>14/15</w:t>
            </w:r>
          </w:p>
        </w:tc>
        <w:tc>
          <w:tcPr>
            <w:tcW w:w="85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7455BC0F" w14:textId="1F216C9C">
            <w:pPr>
              <w:rPr>
                <w:rFonts w:cs="Arial"/>
                <w:b/>
                <w:sz w:val="22"/>
                <w:szCs w:val="22"/>
              </w:rPr>
            </w:pPr>
            <w:r w:rsidRPr="00A971E8">
              <w:rPr>
                <w:b/>
                <w:sz w:val="16"/>
                <w:szCs w:val="18"/>
              </w:rPr>
              <w:t>15/16</w:t>
            </w:r>
          </w:p>
        </w:tc>
        <w:tc>
          <w:tcPr>
            <w:tcW w:w="80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181C77CC" w14:textId="60504F3F">
            <w:pPr>
              <w:rPr>
                <w:rFonts w:cs="Arial"/>
                <w:b/>
                <w:sz w:val="22"/>
                <w:szCs w:val="22"/>
              </w:rPr>
            </w:pPr>
            <w:r w:rsidRPr="00A971E8">
              <w:rPr>
                <w:b/>
                <w:sz w:val="16"/>
                <w:szCs w:val="18"/>
              </w:rPr>
              <w:t>16/17</w:t>
            </w:r>
          </w:p>
        </w:tc>
        <w:tc>
          <w:tcPr>
            <w:tcW w:w="80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172C99C4" w14:textId="03FD1508">
            <w:pPr>
              <w:rPr>
                <w:rFonts w:cs="Arial"/>
                <w:b/>
                <w:sz w:val="22"/>
                <w:szCs w:val="22"/>
              </w:rPr>
            </w:pPr>
            <w:r w:rsidRPr="00A971E8">
              <w:rPr>
                <w:b/>
                <w:sz w:val="16"/>
                <w:szCs w:val="18"/>
              </w:rPr>
              <w:t>17/18</w:t>
            </w:r>
          </w:p>
        </w:tc>
        <w:tc>
          <w:tcPr>
            <w:tcW w:w="61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2513A0B6" w14:textId="1F1C9206">
            <w:pPr>
              <w:rPr>
                <w:rFonts w:cs="Arial"/>
                <w:b/>
                <w:sz w:val="22"/>
                <w:szCs w:val="22"/>
              </w:rPr>
            </w:pPr>
            <w:r w:rsidRPr="00A971E8">
              <w:rPr>
                <w:b/>
                <w:sz w:val="16"/>
                <w:szCs w:val="18"/>
              </w:rPr>
              <w:t>18/19</w:t>
            </w:r>
          </w:p>
        </w:tc>
        <w:tc>
          <w:tcPr>
            <w:tcW w:w="80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7D093BE8" w14:textId="261AB9E9">
            <w:pPr>
              <w:rPr>
                <w:rFonts w:cs="Arial"/>
                <w:b/>
                <w:sz w:val="22"/>
                <w:szCs w:val="22"/>
              </w:rPr>
            </w:pPr>
            <w:r w:rsidRPr="00A971E8">
              <w:rPr>
                <w:b/>
                <w:bCs/>
                <w:sz w:val="16"/>
                <w:szCs w:val="18"/>
              </w:rPr>
              <w:t>20/21</w:t>
            </w:r>
          </w:p>
        </w:tc>
        <w:tc>
          <w:tcPr>
            <w:tcW w:w="80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664C32A8" w14:textId="6A5AEF4B">
            <w:pPr>
              <w:rPr>
                <w:rFonts w:cs="Arial"/>
                <w:b/>
                <w:sz w:val="22"/>
                <w:szCs w:val="22"/>
              </w:rPr>
            </w:pPr>
            <w:r w:rsidRPr="7DDA78EF">
              <w:rPr>
                <w:b/>
                <w:bCs/>
                <w:sz w:val="16"/>
                <w:szCs w:val="16"/>
              </w:rPr>
              <w:t>2</w:t>
            </w:r>
            <w:r>
              <w:rPr>
                <w:b/>
                <w:bCs/>
                <w:sz w:val="16"/>
                <w:szCs w:val="16"/>
              </w:rPr>
              <w:t>1</w:t>
            </w:r>
            <w:r w:rsidRPr="7DDA78EF">
              <w:rPr>
                <w:b/>
                <w:bCs/>
                <w:sz w:val="16"/>
                <w:szCs w:val="16"/>
              </w:rPr>
              <w:t>/2</w:t>
            </w:r>
            <w:r>
              <w:rPr>
                <w:b/>
                <w:bCs/>
                <w:sz w:val="16"/>
                <w:szCs w:val="16"/>
              </w:rPr>
              <w:t>2</w:t>
            </w:r>
          </w:p>
        </w:tc>
        <w:tc>
          <w:tcPr>
            <w:tcW w:w="834"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14404F25" w14:textId="3D9AED4F">
            <w:pPr>
              <w:rPr>
                <w:rFonts w:cs="Arial"/>
                <w:b/>
                <w:sz w:val="22"/>
                <w:szCs w:val="22"/>
              </w:rPr>
            </w:pPr>
            <w:r w:rsidRPr="00325BCE">
              <w:rPr>
                <w:b/>
                <w:bCs/>
                <w:sz w:val="16"/>
                <w:szCs w:val="16"/>
                <w:u w:val="single"/>
              </w:rPr>
              <w:t>22/23</w:t>
            </w:r>
          </w:p>
        </w:tc>
      </w:tr>
      <w:tr w:rsidRPr="003F6641" w:rsidR="008D3D82" w:rsidTr="008D3D82" w14:paraId="461D6177" w14:textId="77777777">
        <w:trPr>
          <w:trHeight w:val="825"/>
        </w:trPr>
        <w:tc>
          <w:tcPr>
            <w:tcW w:w="822"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8D3D82" w:rsidR="008D3D82" w:rsidP="008D3D82" w:rsidRDefault="008D3D82" w14:paraId="63454618" w14:textId="77777777">
            <w:pPr>
              <w:rPr>
                <w:rFonts w:cs="Arial"/>
                <w:b/>
                <w:bCs/>
                <w:sz w:val="18"/>
                <w:szCs w:val="18"/>
              </w:rPr>
            </w:pPr>
            <w:r w:rsidRPr="008D3D82">
              <w:rPr>
                <w:rFonts w:cs="Arial"/>
                <w:b/>
                <w:bCs/>
                <w:sz w:val="18"/>
                <w:szCs w:val="18"/>
              </w:rPr>
              <w:t>Overall Output Score</w:t>
            </w:r>
          </w:p>
        </w:tc>
        <w:tc>
          <w:tcPr>
            <w:tcW w:w="61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6599E5E8" w14:textId="7B8EBA1A">
            <w:pPr>
              <w:rPr>
                <w:rFonts w:cs="Arial"/>
                <w:b/>
                <w:sz w:val="22"/>
                <w:szCs w:val="22"/>
              </w:rPr>
            </w:pPr>
            <w:r w:rsidRPr="00325BCE">
              <w:rPr>
                <w:bCs/>
                <w:sz w:val="16"/>
                <w:szCs w:val="18"/>
              </w:rPr>
              <w:t>A</w:t>
            </w:r>
          </w:p>
        </w:tc>
        <w:tc>
          <w:tcPr>
            <w:tcW w:w="61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5C15E5D2" w14:textId="2D865F72">
            <w:pPr>
              <w:rPr>
                <w:rFonts w:cs="Arial"/>
                <w:b/>
                <w:sz w:val="22"/>
                <w:szCs w:val="22"/>
              </w:rPr>
            </w:pPr>
            <w:r w:rsidRPr="00325BCE">
              <w:rPr>
                <w:bCs/>
                <w:sz w:val="16"/>
                <w:szCs w:val="18"/>
              </w:rPr>
              <w:t>A</w:t>
            </w:r>
          </w:p>
        </w:tc>
        <w:tc>
          <w:tcPr>
            <w:tcW w:w="710"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4F1EA2BF" w14:textId="170876C0">
            <w:pPr>
              <w:rPr>
                <w:rFonts w:cs="Arial"/>
                <w:b/>
                <w:sz w:val="22"/>
                <w:szCs w:val="22"/>
              </w:rPr>
            </w:pPr>
            <w:r w:rsidRPr="00325BCE">
              <w:rPr>
                <w:bCs/>
                <w:sz w:val="16"/>
                <w:szCs w:val="18"/>
              </w:rPr>
              <w:t>A</w:t>
            </w:r>
          </w:p>
        </w:tc>
        <w:tc>
          <w:tcPr>
            <w:tcW w:w="710"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65566415" w14:textId="3AC07187">
            <w:pPr>
              <w:rPr>
                <w:rFonts w:cs="Arial"/>
                <w:b/>
                <w:sz w:val="22"/>
                <w:szCs w:val="22"/>
              </w:rPr>
            </w:pPr>
            <w:r w:rsidRPr="00325BCE">
              <w:rPr>
                <w:bCs/>
                <w:sz w:val="16"/>
                <w:szCs w:val="18"/>
              </w:rPr>
              <w:t>A</w:t>
            </w:r>
          </w:p>
        </w:tc>
        <w:tc>
          <w:tcPr>
            <w:tcW w:w="85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3E4A6CA5" w14:textId="03D0105A">
            <w:pPr>
              <w:rPr>
                <w:rFonts w:cs="Arial"/>
                <w:b/>
                <w:sz w:val="22"/>
                <w:szCs w:val="22"/>
              </w:rPr>
            </w:pPr>
            <w:r w:rsidRPr="00325BCE">
              <w:rPr>
                <w:bCs/>
                <w:sz w:val="16"/>
                <w:szCs w:val="18"/>
              </w:rPr>
              <w:t>A</w:t>
            </w:r>
          </w:p>
        </w:tc>
        <w:tc>
          <w:tcPr>
            <w:tcW w:w="80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4836C8D0" w14:textId="60100B09">
            <w:pPr>
              <w:rPr>
                <w:rFonts w:cs="Arial"/>
                <w:b/>
                <w:sz w:val="22"/>
                <w:szCs w:val="22"/>
              </w:rPr>
            </w:pPr>
            <w:r w:rsidRPr="00325BCE">
              <w:rPr>
                <w:bCs/>
                <w:sz w:val="16"/>
                <w:szCs w:val="18"/>
              </w:rPr>
              <w:t>A</w:t>
            </w:r>
          </w:p>
        </w:tc>
        <w:tc>
          <w:tcPr>
            <w:tcW w:w="80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78C2A95A" w14:textId="628436E7">
            <w:pPr>
              <w:rPr>
                <w:rFonts w:cs="Arial"/>
                <w:b/>
                <w:sz w:val="22"/>
                <w:szCs w:val="22"/>
              </w:rPr>
            </w:pPr>
            <w:r w:rsidRPr="00325BCE">
              <w:rPr>
                <w:bCs/>
                <w:sz w:val="16"/>
                <w:szCs w:val="18"/>
              </w:rPr>
              <w:t>B</w:t>
            </w:r>
          </w:p>
        </w:tc>
        <w:tc>
          <w:tcPr>
            <w:tcW w:w="61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5EE7E112" w14:textId="053B2592">
            <w:pPr>
              <w:rPr>
                <w:rFonts w:cs="Arial"/>
                <w:b/>
                <w:sz w:val="22"/>
                <w:szCs w:val="22"/>
              </w:rPr>
            </w:pPr>
            <w:r w:rsidRPr="00325BCE">
              <w:rPr>
                <w:bCs/>
                <w:sz w:val="16"/>
                <w:szCs w:val="18"/>
              </w:rPr>
              <w:t>A</w:t>
            </w:r>
          </w:p>
        </w:tc>
        <w:tc>
          <w:tcPr>
            <w:tcW w:w="80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00B267A7" w14:textId="491D09DC">
            <w:pPr>
              <w:rPr>
                <w:rFonts w:cs="Arial"/>
                <w:b/>
                <w:sz w:val="22"/>
                <w:szCs w:val="22"/>
              </w:rPr>
            </w:pPr>
            <w:r w:rsidRPr="00325BCE">
              <w:rPr>
                <w:bCs/>
                <w:sz w:val="16"/>
                <w:szCs w:val="16"/>
              </w:rPr>
              <w:t>A</w:t>
            </w:r>
          </w:p>
        </w:tc>
        <w:tc>
          <w:tcPr>
            <w:tcW w:w="803"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573F2BA9" w14:textId="7A10231F">
            <w:pPr>
              <w:rPr>
                <w:rFonts w:cs="Arial"/>
                <w:b/>
                <w:sz w:val="22"/>
                <w:szCs w:val="22"/>
              </w:rPr>
            </w:pPr>
            <w:r w:rsidRPr="00325BCE">
              <w:rPr>
                <w:bCs/>
                <w:sz w:val="16"/>
                <w:szCs w:val="18"/>
              </w:rPr>
              <w:t>A</w:t>
            </w:r>
          </w:p>
        </w:tc>
        <w:tc>
          <w:tcPr>
            <w:tcW w:w="834" w:type="dxa"/>
            <w:tcBorders>
              <w:top w:val="single" w:color="auto" w:sz="4" w:space="0"/>
              <w:left w:val="single" w:color="auto" w:sz="4" w:space="0"/>
              <w:bottom w:val="single" w:color="auto" w:sz="4" w:space="0"/>
              <w:right w:val="single" w:color="auto" w:sz="4" w:space="0"/>
            </w:tcBorders>
          </w:tcPr>
          <w:p w:rsidRPr="003F6641" w:rsidR="008D3D82" w:rsidP="008D3D82" w:rsidRDefault="008D3D82" w14:paraId="2D7AE2DD" w14:textId="5820532C">
            <w:pPr>
              <w:rPr>
                <w:rFonts w:cs="Arial"/>
                <w:b/>
                <w:sz w:val="22"/>
                <w:szCs w:val="22"/>
              </w:rPr>
            </w:pPr>
            <w:r w:rsidRPr="00325BCE">
              <w:rPr>
                <w:b/>
                <w:sz w:val="16"/>
                <w:szCs w:val="18"/>
                <w:u w:val="single"/>
              </w:rPr>
              <w:t>A</w:t>
            </w:r>
          </w:p>
        </w:tc>
      </w:tr>
      <w:tr w:rsidRPr="003F6641" w:rsidR="008D3D82" w:rsidTr="008D3D82" w14:paraId="58491621" w14:textId="77777777">
        <w:trPr>
          <w:trHeight w:val="309"/>
        </w:trPr>
        <w:tc>
          <w:tcPr>
            <w:tcW w:w="822"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8D3D82" w:rsidR="008D3D82" w:rsidP="008D3D82" w:rsidRDefault="008D3D82" w14:paraId="7030DD62" w14:textId="77777777">
            <w:pPr>
              <w:rPr>
                <w:rFonts w:cs="Arial"/>
                <w:b/>
                <w:bCs/>
                <w:sz w:val="18"/>
                <w:szCs w:val="18"/>
              </w:rPr>
            </w:pPr>
            <w:r w:rsidRPr="008D3D82">
              <w:rPr>
                <w:rFonts w:cs="Arial"/>
                <w:b/>
                <w:bCs/>
                <w:sz w:val="18"/>
                <w:szCs w:val="18"/>
              </w:rPr>
              <w:t xml:space="preserve">Risk Rating </w:t>
            </w:r>
          </w:p>
        </w:tc>
        <w:tc>
          <w:tcPr>
            <w:tcW w:w="613" w:type="dxa"/>
            <w:tcBorders>
              <w:top w:val="single" w:color="auto" w:sz="4" w:space="0"/>
              <w:left w:val="single" w:color="auto" w:sz="4" w:space="0"/>
              <w:bottom w:val="single" w:color="auto" w:sz="4" w:space="0"/>
              <w:right w:val="single" w:color="auto" w:sz="4" w:space="0"/>
            </w:tcBorders>
          </w:tcPr>
          <w:p w:rsidRPr="00DE17A8" w:rsidR="008D3D82" w:rsidP="008D3D82" w:rsidRDefault="008D3D82" w14:paraId="399B3025" w14:textId="6B23A303">
            <w:pPr>
              <w:rPr>
                <w:rFonts w:cs="Arial"/>
                <w:b/>
                <w:sz w:val="12"/>
                <w:szCs w:val="14"/>
              </w:rPr>
            </w:pPr>
            <w:r w:rsidRPr="00DE17A8">
              <w:rPr>
                <w:bCs/>
                <w:sz w:val="12"/>
                <w:szCs w:val="14"/>
              </w:rPr>
              <w:t>Low</w:t>
            </w:r>
          </w:p>
        </w:tc>
        <w:tc>
          <w:tcPr>
            <w:tcW w:w="613" w:type="dxa"/>
            <w:tcBorders>
              <w:top w:val="single" w:color="auto" w:sz="4" w:space="0"/>
              <w:left w:val="single" w:color="auto" w:sz="4" w:space="0"/>
              <w:bottom w:val="single" w:color="auto" w:sz="4" w:space="0"/>
              <w:right w:val="single" w:color="auto" w:sz="4" w:space="0"/>
            </w:tcBorders>
          </w:tcPr>
          <w:p w:rsidRPr="00DE17A8" w:rsidR="008D3D82" w:rsidP="008D3D82" w:rsidRDefault="008D3D82" w14:paraId="1192BDC2" w14:textId="513196BC">
            <w:pPr>
              <w:rPr>
                <w:rFonts w:cs="Arial"/>
                <w:b/>
                <w:sz w:val="12"/>
                <w:szCs w:val="14"/>
              </w:rPr>
            </w:pPr>
            <w:r w:rsidRPr="00DE17A8">
              <w:rPr>
                <w:bCs/>
                <w:sz w:val="12"/>
                <w:szCs w:val="14"/>
              </w:rPr>
              <w:t>Low</w:t>
            </w:r>
          </w:p>
        </w:tc>
        <w:tc>
          <w:tcPr>
            <w:tcW w:w="710" w:type="dxa"/>
            <w:tcBorders>
              <w:top w:val="single" w:color="auto" w:sz="4" w:space="0"/>
              <w:left w:val="single" w:color="auto" w:sz="4" w:space="0"/>
              <w:bottom w:val="single" w:color="auto" w:sz="4" w:space="0"/>
              <w:right w:val="single" w:color="auto" w:sz="4" w:space="0"/>
            </w:tcBorders>
          </w:tcPr>
          <w:p w:rsidRPr="00DE17A8" w:rsidR="008D3D82" w:rsidP="008D3D82" w:rsidRDefault="008D3D82" w14:paraId="45866570" w14:textId="767092D2">
            <w:pPr>
              <w:rPr>
                <w:rFonts w:cs="Arial"/>
                <w:b/>
                <w:sz w:val="12"/>
                <w:szCs w:val="14"/>
              </w:rPr>
            </w:pPr>
            <w:r w:rsidRPr="00DE17A8">
              <w:rPr>
                <w:bCs/>
                <w:sz w:val="12"/>
                <w:szCs w:val="14"/>
              </w:rPr>
              <w:t>Medium</w:t>
            </w:r>
          </w:p>
        </w:tc>
        <w:tc>
          <w:tcPr>
            <w:tcW w:w="710" w:type="dxa"/>
            <w:tcBorders>
              <w:top w:val="single" w:color="auto" w:sz="4" w:space="0"/>
              <w:left w:val="single" w:color="auto" w:sz="4" w:space="0"/>
              <w:bottom w:val="single" w:color="auto" w:sz="4" w:space="0"/>
              <w:right w:val="single" w:color="auto" w:sz="4" w:space="0"/>
            </w:tcBorders>
          </w:tcPr>
          <w:p w:rsidRPr="00DE17A8" w:rsidR="008D3D82" w:rsidP="008D3D82" w:rsidRDefault="008D3D82" w14:paraId="4FEE48BC" w14:textId="57BD6B0A">
            <w:pPr>
              <w:rPr>
                <w:rFonts w:cs="Arial"/>
                <w:b/>
                <w:sz w:val="12"/>
                <w:szCs w:val="14"/>
              </w:rPr>
            </w:pPr>
            <w:r w:rsidRPr="00DE17A8">
              <w:rPr>
                <w:bCs/>
                <w:sz w:val="12"/>
                <w:szCs w:val="14"/>
              </w:rPr>
              <w:t>Medium</w:t>
            </w:r>
          </w:p>
        </w:tc>
        <w:tc>
          <w:tcPr>
            <w:tcW w:w="853" w:type="dxa"/>
            <w:tcBorders>
              <w:top w:val="single" w:color="auto" w:sz="4" w:space="0"/>
              <w:left w:val="single" w:color="auto" w:sz="4" w:space="0"/>
              <w:bottom w:val="single" w:color="auto" w:sz="4" w:space="0"/>
              <w:right w:val="single" w:color="auto" w:sz="4" w:space="0"/>
            </w:tcBorders>
          </w:tcPr>
          <w:p w:rsidRPr="00DE17A8" w:rsidR="008D3D82" w:rsidP="008D3D82" w:rsidRDefault="008D3D82" w14:paraId="03694657" w14:textId="1F1622E0">
            <w:pPr>
              <w:rPr>
                <w:rFonts w:cs="Arial"/>
                <w:b/>
                <w:sz w:val="12"/>
                <w:szCs w:val="14"/>
              </w:rPr>
            </w:pPr>
            <w:r w:rsidRPr="00DE17A8">
              <w:rPr>
                <w:bCs/>
                <w:sz w:val="12"/>
                <w:szCs w:val="14"/>
              </w:rPr>
              <w:t>Moderate</w:t>
            </w:r>
            <w:r w:rsidRPr="00DE17A8">
              <w:rPr>
                <w:rStyle w:val="FootnoteReference"/>
                <w:bCs/>
                <w:sz w:val="12"/>
                <w:szCs w:val="14"/>
              </w:rPr>
              <w:footnoteReference w:id="2"/>
            </w:r>
          </w:p>
        </w:tc>
        <w:tc>
          <w:tcPr>
            <w:tcW w:w="803" w:type="dxa"/>
            <w:tcBorders>
              <w:top w:val="single" w:color="auto" w:sz="4" w:space="0"/>
              <w:left w:val="single" w:color="auto" w:sz="4" w:space="0"/>
              <w:bottom w:val="single" w:color="auto" w:sz="4" w:space="0"/>
              <w:right w:val="single" w:color="auto" w:sz="4" w:space="0"/>
            </w:tcBorders>
          </w:tcPr>
          <w:p w:rsidRPr="00DE17A8" w:rsidR="008D3D82" w:rsidP="008D3D82" w:rsidRDefault="008D3D82" w14:paraId="78BC3C9C" w14:textId="79468391">
            <w:pPr>
              <w:rPr>
                <w:rFonts w:cs="Arial"/>
                <w:b/>
                <w:sz w:val="12"/>
                <w:szCs w:val="14"/>
              </w:rPr>
            </w:pPr>
            <w:r w:rsidRPr="00DE17A8">
              <w:rPr>
                <w:bCs/>
                <w:sz w:val="12"/>
                <w:szCs w:val="14"/>
              </w:rPr>
              <w:t>Moderate</w:t>
            </w:r>
          </w:p>
        </w:tc>
        <w:tc>
          <w:tcPr>
            <w:tcW w:w="803" w:type="dxa"/>
            <w:tcBorders>
              <w:top w:val="single" w:color="auto" w:sz="4" w:space="0"/>
              <w:left w:val="single" w:color="auto" w:sz="4" w:space="0"/>
              <w:bottom w:val="single" w:color="auto" w:sz="4" w:space="0"/>
              <w:right w:val="single" w:color="auto" w:sz="4" w:space="0"/>
            </w:tcBorders>
          </w:tcPr>
          <w:p w:rsidRPr="00DE17A8" w:rsidR="008D3D82" w:rsidP="008D3D82" w:rsidRDefault="008D3D82" w14:paraId="686E3809" w14:textId="21325195">
            <w:pPr>
              <w:rPr>
                <w:rFonts w:cs="Arial"/>
                <w:b/>
                <w:sz w:val="12"/>
                <w:szCs w:val="14"/>
              </w:rPr>
            </w:pPr>
            <w:r w:rsidRPr="00DE17A8">
              <w:rPr>
                <w:bCs/>
                <w:sz w:val="12"/>
                <w:szCs w:val="14"/>
              </w:rPr>
              <w:t>Moderate</w:t>
            </w:r>
          </w:p>
        </w:tc>
        <w:tc>
          <w:tcPr>
            <w:tcW w:w="613" w:type="dxa"/>
            <w:tcBorders>
              <w:top w:val="single" w:color="auto" w:sz="4" w:space="0"/>
              <w:left w:val="single" w:color="auto" w:sz="4" w:space="0"/>
              <w:bottom w:val="single" w:color="auto" w:sz="4" w:space="0"/>
              <w:right w:val="single" w:color="auto" w:sz="4" w:space="0"/>
            </w:tcBorders>
          </w:tcPr>
          <w:p w:rsidRPr="00DE17A8" w:rsidR="008D3D82" w:rsidP="008D3D82" w:rsidRDefault="008D3D82" w14:paraId="6768ABC6" w14:textId="22707701">
            <w:pPr>
              <w:rPr>
                <w:rFonts w:cs="Arial"/>
                <w:b/>
                <w:sz w:val="12"/>
                <w:szCs w:val="14"/>
              </w:rPr>
            </w:pPr>
            <w:r w:rsidRPr="00DE17A8">
              <w:rPr>
                <w:bCs/>
                <w:sz w:val="12"/>
                <w:szCs w:val="14"/>
              </w:rPr>
              <w:t>Major</w:t>
            </w:r>
          </w:p>
        </w:tc>
        <w:tc>
          <w:tcPr>
            <w:tcW w:w="803" w:type="dxa"/>
            <w:tcBorders>
              <w:top w:val="single" w:color="auto" w:sz="4" w:space="0"/>
              <w:left w:val="single" w:color="auto" w:sz="4" w:space="0"/>
              <w:bottom w:val="single" w:color="auto" w:sz="4" w:space="0"/>
              <w:right w:val="single" w:color="auto" w:sz="4" w:space="0"/>
            </w:tcBorders>
          </w:tcPr>
          <w:p w:rsidRPr="00DE17A8" w:rsidR="008D3D82" w:rsidP="008D3D82" w:rsidRDefault="008D3D82" w14:paraId="3592CA75" w14:textId="4F922BD7">
            <w:pPr>
              <w:rPr>
                <w:rFonts w:cs="Arial"/>
                <w:b/>
                <w:sz w:val="12"/>
                <w:szCs w:val="14"/>
              </w:rPr>
            </w:pPr>
            <w:r w:rsidRPr="00DE17A8">
              <w:rPr>
                <w:bCs/>
                <w:sz w:val="12"/>
                <w:szCs w:val="14"/>
              </w:rPr>
              <w:t>Moderate</w:t>
            </w:r>
          </w:p>
        </w:tc>
        <w:tc>
          <w:tcPr>
            <w:tcW w:w="803" w:type="dxa"/>
            <w:tcBorders>
              <w:top w:val="single" w:color="auto" w:sz="4" w:space="0"/>
              <w:left w:val="single" w:color="auto" w:sz="4" w:space="0"/>
              <w:bottom w:val="single" w:color="auto" w:sz="4" w:space="0"/>
              <w:right w:val="single" w:color="auto" w:sz="4" w:space="0"/>
            </w:tcBorders>
          </w:tcPr>
          <w:p w:rsidRPr="00DE17A8" w:rsidR="008D3D82" w:rsidP="008D3D82" w:rsidRDefault="008D3D82" w14:paraId="5B6DCA30" w14:textId="35A8C613">
            <w:pPr>
              <w:rPr>
                <w:rFonts w:cs="Arial"/>
                <w:b/>
                <w:sz w:val="12"/>
                <w:szCs w:val="14"/>
              </w:rPr>
            </w:pPr>
            <w:r w:rsidRPr="00DE17A8">
              <w:rPr>
                <w:bCs/>
                <w:sz w:val="12"/>
                <w:szCs w:val="14"/>
              </w:rPr>
              <w:t>Moderate</w:t>
            </w:r>
          </w:p>
        </w:tc>
        <w:tc>
          <w:tcPr>
            <w:tcW w:w="834" w:type="dxa"/>
            <w:tcBorders>
              <w:top w:val="single" w:color="auto" w:sz="4" w:space="0"/>
              <w:left w:val="single" w:color="auto" w:sz="4" w:space="0"/>
              <w:bottom w:val="single" w:color="auto" w:sz="4" w:space="0"/>
              <w:right w:val="single" w:color="auto" w:sz="4" w:space="0"/>
            </w:tcBorders>
          </w:tcPr>
          <w:p w:rsidRPr="00DE17A8" w:rsidR="008D3D82" w:rsidP="008D3D82" w:rsidRDefault="008D3D82" w14:paraId="1DF26B8E" w14:textId="26C3A11E">
            <w:pPr>
              <w:rPr>
                <w:rFonts w:cs="Arial"/>
                <w:b/>
                <w:sz w:val="12"/>
                <w:szCs w:val="14"/>
              </w:rPr>
            </w:pPr>
            <w:r w:rsidRPr="00DE17A8">
              <w:rPr>
                <w:b/>
                <w:sz w:val="12"/>
                <w:szCs w:val="14"/>
                <w:u w:val="single"/>
              </w:rPr>
              <w:t>Moderate</w:t>
            </w:r>
          </w:p>
        </w:tc>
      </w:tr>
    </w:tbl>
    <w:p w:rsidRPr="003F6641" w:rsidR="004D2FC0" w:rsidP="004D2FC0" w:rsidRDefault="004D2FC0" w14:paraId="06E2DA9D" w14:textId="77777777">
      <w:pPr>
        <w:rPr>
          <w:rFonts w:cs="Arial"/>
          <w:b/>
          <w:sz w:val="22"/>
          <w:szCs w:val="22"/>
        </w:rPr>
      </w:pPr>
    </w:p>
    <w:tbl>
      <w:tblPr>
        <w:tblStyle w:val="TableGrid"/>
        <w:tblW w:w="0" w:type="auto"/>
        <w:tblInd w:w="-5" w:type="dxa"/>
        <w:tblLook w:val="04A0" w:firstRow="1" w:lastRow="0" w:firstColumn="1" w:lastColumn="0" w:noHBand="0" w:noVBand="1"/>
      </w:tblPr>
      <w:tblGrid>
        <w:gridCol w:w="3969"/>
        <w:gridCol w:w="5052"/>
      </w:tblGrid>
      <w:tr w:rsidRPr="003F6641" w:rsidR="004D2FC0" w:rsidTr="524C10BA" w14:paraId="4FEBD36E" w14:textId="77777777">
        <w:trPr>
          <w:trHeight w:val="355"/>
        </w:trPr>
        <w:tc>
          <w:tcPr>
            <w:tcW w:w="3969" w:type="dxa"/>
            <w:shd w:val="clear" w:color="auto" w:fill="DEEAF6" w:themeFill="accent5" w:themeFillTint="33"/>
            <w:tcMar/>
            <w:hideMark/>
          </w:tcPr>
          <w:p w:rsidRPr="000425EB" w:rsidR="004D2FC0" w:rsidP="00FC16A6" w:rsidRDefault="004D2FC0" w14:paraId="47E97EB8" w14:textId="77777777">
            <w:pPr>
              <w:rPr>
                <w:rFonts w:cs="Arial"/>
                <w:b/>
                <w:sz w:val="22"/>
                <w:szCs w:val="22"/>
              </w:rPr>
            </w:pPr>
            <w:r w:rsidRPr="000425EB">
              <w:rPr>
                <w:rFonts w:cs="Arial"/>
                <w:b/>
                <w:sz w:val="22"/>
                <w:szCs w:val="22"/>
              </w:rPr>
              <w:t xml:space="preserve">Link to Business Case: </w:t>
            </w:r>
          </w:p>
        </w:tc>
        <w:tc>
          <w:tcPr>
            <w:tcW w:w="5052" w:type="dxa"/>
            <w:tcMar/>
          </w:tcPr>
          <w:p w:rsidRPr="00DE17A8" w:rsidR="0033611D" w:rsidP="00174853" w:rsidRDefault="0033611D" w14:paraId="22C6401F" w14:textId="7ECDAEE1">
            <w:pPr>
              <w:rPr>
                <w:sz w:val="20"/>
                <w:szCs w:val="20"/>
              </w:rPr>
            </w:pPr>
            <w:r w:rsidRPr="00DE17A8">
              <w:rPr>
                <w:sz w:val="20"/>
                <w:szCs w:val="20"/>
              </w:rPr>
              <w:t xml:space="preserve">All documents found </w:t>
            </w:r>
            <w:r w:rsidRPr="00DE17A8" w:rsidR="00A85C0D">
              <w:rPr>
                <w:sz w:val="20"/>
                <w:szCs w:val="20"/>
              </w:rPr>
              <w:t xml:space="preserve">at DevTracker </w:t>
            </w:r>
            <w:hyperlink w:history="1" r:id="rId16">
              <w:r w:rsidRPr="00DE17A8" w:rsidR="00A85C0D">
                <w:rPr>
                  <w:rStyle w:val="Hyperlink"/>
                  <w:sz w:val="20"/>
                  <w:szCs w:val="20"/>
                  <w:lang w:eastAsia="en-US"/>
                </w:rPr>
                <w:t>here</w:t>
              </w:r>
            </w:hyperlink>
            <w:r w:rsidRPr="00DE17A8" w:rsidR="00A85C0D">
              <w:rPr>
                <w:sz w:val="20"/>
                <w:szCs w:val="20"/>
              </w:rPr>
              <w:t>.</w:t>
            </w:r>
          </w:p>
          <w:p w:rsidRPr="00DE17A8" w:rsidR="00174853" w:rsidP="00174853" w:rsidRDefault="00407467" w14:paraId="3114DF97" w14:textId="0A4B539D">
            <w:pPr>
              <w:rPr>
                <w:rFonts w:cs="Arial"/>
                <w:bCs/>
                <w:sz w:val="20"/>
                <w:szCs w:val="20"/>
              </w:rPr>
            </w:pPr>
            <w:hyperlink w:history="1" r:id="rId17">
              <w:r w:rsidRPr="00DE17A8" w:rsidR="00174853">
                <w:rPr>
                  <w:rStyle w:val="Hyperlink"/>
                  <w:rFonts w:cs="Arial"/>
                  <w:bCs/>
                  <w:sz w:val="20"/>
                  <w:szCs w:val="20"/>
                  <w:lang w:eastAsia="en-US"/>
                </w:rPr>
                <w:t>FCPF Business C</w:t>
              </w:r>
              <w:r w:rsidRPr="00DE17A8" w:rsidR="00174853">
                <w:rPr>
                  <w:rStyle w:val="Hyperlink"/>
                  <w:rFonts w:cs="Arial"/>
                  <w:bCs/>
                  <w:sz w:val="20"/>
                  <w:szCs w:val="20"/>
                </w:rPr>
                <w:t>ase</w:t>
              </w:r>
            </w:hyperlink>
          </w:p>
          <w:p w:rsidRPr="00DE17A8" w:rsidR="004D2FC0" w:rsidP="00174853" w:rsidRDefault="00407467" w14:paraId="52CAFA29" w14:textId="067EA218">
            <w:pPr>
              <w:rPr>
                <w:rFonts w:cs="Arial"/>
                <w:bCs/>
                <w:i/>
                <w:iCs/>
                <w:sz w:val="20"/>
                <w:szCs w:val="20"/>
              </w:rPr>
            </w:pPr>
            <w:hyperlink w:history="1" r:id="rId18">
              <w:r w:rsidRPr="00DE17A8" w:rsidR="00174853">
                <w:rPr>
                  <w:rStyle w:val="Hyperlink"/>
                  <w:rFonts w:cs="Arial"/>
                  <w:bCs/>
                  <w:sz w:val="20"/>
                  <w:szCs w:val="20"/>
                  <w:lang w:eastAsia="en-US"/>
                </w:rPr>
                <w:t>FCPF</w:t>
              </w:r>
              <w:r w:rsidRPr="00DE17A8" w:rsidR="00174853">
                <w:rPr>
                  <w:rStyle w:val="Hyperlink"/>
                  <w:rFonts w:cs="Arial"/>
                  <w:bCs/>
                  <w:sz w:val="20"/>
                  <w:szCs w:val="20"/>
                </w:rPr>
                <w:t xml:space="preserve"> Extension Business Case</w:t>
              </w:r>
            </w:hyperlink>
          </w:p>
        </w:tc>
      </w:tr>
      <w:tr w:rsidRPr="003F6641" w:rsidR="004D2FC0" w:rsidTr="524C10BA" w14:paraId="728A7692" w14:textId="77777777">
        <w:trPr>
          <w:trHeight w:val="403"/>
        </w:trPr>
        <w:tc>
          <w:tcPr>
            <w:tcW w:w="3969" w:type="dxa"/>
            <w:shd w:val="clear" w:color="auto" w:fill="DEEAF6" w:themeFill="accent5" w:themeFillTint="33"/>
            <w:tcMar/>
            <w:hideMark/>
          </w:tcPr>
          <w:p w:rsidRPr="000425EB" w:rsidR="004D2FC0" w:rsidP="00FC16A6" w:rsidRDefault="004D2FC0" w14:paraId="251B0951" w14:textId="77777777">
            <w:pPr>
              <w:rPr>
                <w:rFonts w:cs="Arial"/>
                <w:b/>
                <w:i/>
                <w:sz w:val="22"/>
                <w:szCs w:val="22"/>
              </w:rPr>
            </w:pPr>
            <w:r w:rsidRPr="000425EB">
              <w:rPr>
                <w:rFonts w:cs="Arial"/>
                <w:b/>
                <w:sz w:val="22"/>
                <w:szCs w:val="22"/>
              </w:rPr>
              <w:t xml:space="preserve">Link to Logframe: </w:t>
            </w:r>
          </w:p>
        </w:tc>
        <w:tc>
          <w:tcPr>
            <w:tcW w:w="5052" w:type="dxa"/>
            <w:tcMar/>
          </w:tcPr>
          <w:p w:rsidRPr="00DE17A8" w:rsidR="004D2FC0" w:rsidP="074A9BEB" w:rsidRDefault="00F729BF" w14:paraId="1941208D" w14:textId="3133C595">
            <w:pPr>
              <w:rPr>
                <w:rFonts w:cs="Arial"/>
                <w:sz w:val="20"/>
                <w:szCs w:val="20"/>
              </w:rPr>
            </w:pPr>
            <w:hyperlink r:id="Rea703d8affa34619">
              <w:r w:rsidRPr="524C10BA" w:rsidR="790ADDAA">
                <w:rPr>
                  <w:rStyle w:val="Hyperlink"/>
                  <w:rFonts w:cs="Arial"/>
                  <w:sz w:val="20"/>
                  <w:szCs w:val="20"/>
                </w:rPr>
                <w:t>Logframe 2022-2023</w:t>
              </w:r>
            </w:hyperlink>
          </w:p>
        </w:tc>
      </w:tr>
      <w:tr w:rsidRPr="003F6641" w:rsidR="004D2FC0" w:rsidTr="524C10BA" w14:paraId="240D100A" w14:textId="77777777">
        <w:trPr>
          <w:trHeight w:val="403"/>
        </w:trPr>
        <w:tc>
          <w:tcPr>
            <w:tcW w:w="3969" w:type="dxa"/>
            <w:shd w:val="clear" w:color="auto" w:fill="DEEAF6" w:themeFill="accent5" w:themeFillTint="33"/>
            <w:tcMar/>
          </w:tcPr>
          <w:p w:rsidRPr="000425EB" w:rsidR="004D2FC0" w:rsidP="00FC16A6" w:rsidRDefault="004D2FC0" w14:paraId="44F3A577" w14:textId="0EF0A8FB">
            <w:pPr>
              <w:rPr>
                <w:rFonts w:cs="Arial"/>
                <w:b/>
                <w:sz w:val="22"/>
                <w:szCs w:val="22"/>
              </w:rPr>
            </w:pPr>
            <w:r w:rsidRPr="000425EB">
              <w:rPr>
                <w:rFonts w:cs="Arial"/>
                <w:b/>
                <w:sz w:val="22"/>
                <w:szCs w:val="22"/>
              </w:rPr>
              <w:t xml:space="preserve">Link to previous Annual Review </w:t>
            </w:r>
          </w:p>
        </w:tc>
        <w:tc>
          <w:tcPr>
            <w:tcW w:w="5052" w:type="dxa"/>
            <w:tcMar/>
          </w:tcPr>
          <w:p w:rsidRPr="00DE17A8" w:rsidR="004D2FC0" w:rsidP="524C10BA" w:rsidRDefault="00407467" w14:paraId="521FABC2" w14:textId="73D067B7">
            <w:pPr>
              <w:rPr>
                <w:rFonts w:cs="Arial"/>
                <w:sz w:val="20"/>
                <w:szCs w:val="20"/>
              </w:rPr>
            </w:pPr>
            <w:hyperlink r:id="R8b52a5fa6bf44452">
              <w:r w:rsidRPr="524C10BA" w:rsidR="5407F934">
                <w:rPr>
                  <w:rStyle w:val="Hyperlink"/>
                  <w:rFonts w:cs="Arial"/>
                  <w:sz w:val="20"/>
                  <w:szCs w:val="20"/>
                  <w:lang w:eastAsia="en-US"/>
                </w:rPr>
                <w:t>FCPF Annual Review 2021-2022</w:t>
              </w:r>
            </w:hyperlink>
          </w:p>
        </w:tc>
      </w:tr>
    </w:tbl>
    <w:p w:rsidRPr="006C516E" w:rsidR="004D2FC0" w:rsidP="006C516E" w:rsidRDefault="004D2FC0" w14:paraId="5A54EF7F" w14:textId="77777777"/>
    <w:p w:rsidRPr="009E3F6E" w:rsidR="003D222C" w:rsidP="004D5FD5" w:rsidRDefault="003D222C" w14:paraId="7A642962" w14:textId="75BA8FDA">
      <w:pPr>
        <w:jc w:val="both"/>
      </w:pPr>
      <w:bookmarkStart w:name="_Toc155945398" w:id="4"/>
      <w:r w:rsidRPr="009E3F6E">
        <w:rPr>
          <w:rStyle w:val="Heading2Char"/>
        </w:rPr>
        <w:t>Description of programme</w:t>
      </w:r>
      <w:bookmarkEnd w:id="4"/>
      <w:r w:rsidRPr="009E3F6E">
        <w:t xml:space="preserve"> </w:t>
      </w:r>
    </w:p>
    <w:p w:rsidR="003D222C" w:rsidP="004D5FD5" w:rsidRDefault="003D222C" w14:paraId="6F9482AB" w14:textId="77777777">
      <w:pPr>
        <w:jc w:val="both"/>
        <w:rPr>
          <w:rFonts w:cs="Arial"/>
          <w:b/>
          <w:sz w:val="22"/>
          <w:szCs w:val="22"/>
        </w:rPr>
      </w:pPr>
    </w:p>
    <w:p w:rsidRPr="00B04250" w:rsidR="00491754" w:rsidP="00491754" w:rsidRDefault="00491754" w14:paraId="690D85C6" w14:textId="18BF4002">
      <w:pPr>
        <w:jc w:val="both"/>
        <w:rPr>
          <w:sz w:val="22"/>
          <w:szCs w:val="22"/>
        </w:rPr>
      </w:pPr>
      <w:r w:rsidRPr="00B04250">
        <w:rPr>
          <w:sz w:val="22"/>
          <w:szCs w:val="22"/>
        </w:rPr>
        <w:t xml:space="preserve">The Forest Carbon Partnership Facility (FCPF) was established in 2008 to assist developing countries in their efforts to reduce emissions from deforestation and forest degradation and foster conservation, sustainable management of forests, and enhancement of forest carbon stocks (all activities commonly referred to as "REDD+") by providing value to standing forests. The FCPF is a multi-donor </w:t>
      </w:r>
      <w:r w:rsidRPr="00B04250" w:rsidDel="00E0462C">
        <w:rPr>
          <w:sz w:val="22"/>
          <w:szCs w:val="22"/>
        </w:rPr>
        <w:t>T</w:t>
      </w:r>
      <w:r w:rsidRPr="00B04250">
        <w:rPr>
          <w:sz w:val="22"/>
          <w:szCs w:val="22"/>
        </w:rPr>
        <w:t>rust Fund managed by the World Bank (WB). It has two separate but complementary funding mechanisms — the Readiness Fund and the Carbon Fund</w:t>
      </w:r>
      <w:r w:rsidRPr="00B04250">
        <w:rPr>
          <w:rStyle w:val="FootnoteReference"/>
          <w:b/>
          <w:bCs/>
          <w:sz w:val="22"/>
          <w:szCs w:val="22"/>
        </w:rPr>
        <w:footnoteReference w:id="3"/>
      </w:r>
      <w:r w:rsidRPr="00B04250">
        <w:rPr>
          <w:sz w:val="22"/>
          <w:szCs w:val="22"/>
        </w:rPr>
        <w:t xml:space="preserve">.  </w:t>
      </w:r>
    </w:p>
    <w:p w:rsidRPr="00B04250" w:rsidR="00491754" w:rsidP="00491754" w:rsidRDefault="00491754" w14:paraId="46D1F604" w14:textId="77777777">
      <w:pPr>
        <w:jc w:val="both"/>
        <w:rPr>
          <w:sz w:val="22"/>
          <w:szCs w:val="22"/>
        </w:rPr>
      </w:pPr>
    </w:p>
    <w:p w:rsidRPr="00B04250" w:rsidR="00491754" w:rsidP="00491754" w:rsidRDefault="00491754" w14:paraId="7FD7BF4E" w14:textId="616321BD">
      <w:pPr>
        <w:jc w:val="both"/>
        <w:rPr>
          <w:sz w:val="22"/>
          <w:szCs w:val="22"/>
        </w:rPr>
      </w:pPr>
      <w:r w:rsidRPr="00B04250" w:rsidR="00491754">
        <w:rPr>
          <w:sz w:val="22"/>
          <w:szCs w:val="22"/>
        </w:rPr>
        <w:t xml:space="preserve">The FCPF Carbon Fund, which is the focus of this </w:t>
      </w:r>
      <w:r w:rsidR="00E0462C">
        <w:rPr>
          <w:sz w:val="22"/>
          <w:szCs w:val="22"/>
        </w:rPr>
        <w:t>r</w:t>
      </w:r>
      <w:r w:rsidRPr="00B04250" w:rsidR="00491754">
        <w:rPr>
          <w:sz w:val="22"/>
          <w:szCs w:val="22"/>
        </w:rPr>
        <w:t>eview, has been operational since 2011. The Carbon Fund</w:t>
      </w:r>
      <w:r w:rsidRPr="00B04250">
        <w:rPr>
          <w:rStyle w:val="FootnoteReference"/>
          <w:sz w:val="22"/>
          <w:szCs w:val="22"/>
        </w:rPr>
        <w:footnoteReference w:id="4"/>
      </w:r>
      <w:r w:rsidRPr="00B04250" w:rsidR="00491754">
        <w:rPr>
          <w:sz w:val="22"/>
          <w:szCs w:val="22"/>
        </w:rPr>
        <w:t xml:space="preserve"> is a pilot payment-for-results mechanism, designed to incentivise actions to reduce deforestation through payments for verified emission reductions (ERs) generated by jurisdictional REDD+ programmes. </w:t>
      </w:r>
    </w:p>
    <w:p w:rsidRPr="00B04250" w:rsidR="00491754" w:rsidP="00491754" w:rsidRDefault="00491754" w14:paraId="12D31AF6" w14:textId="77777777">
      <w:pPr>
        <w:jc w:val="both"/>
        <w:rPr>
          <w:sz w:val="22"/>
          <w:szCs w:val="22"/>
        </w:rPr>
      </w:pPr>
    </w:p>
    <w:p w:rsidRPr="00B04250" w:rsidR="00491754" w:rsidP="00491754" w:rsidRDefault="00491754" w14:paraId="47BDFA27" w14:textId="77777777">
      <w:pPr>
        <w:jc w:val="both"/>
        <w:rPr>
          <w:sz w:val="22"/>
          <w:szCs w:val="22"/>
        </w:rPr>
      </w:pPr>
      <w:r w:rsidRPr="00B04250">
        <w:rPr>
          <w:sz w:val="22"/>
          <w:szCs w:val="22"/>
        </w:rPr>
        <w:t>Eighteen countries were initially selected into the Carbon Fund portfolio based on their ER Programmes</w:t>
      </w:r>
      <w:r w:rsidRPr="00B04250">
        <w:rPr>
          <w:rStyle w:val="FootnoteReference"/>
          <w:sz w:val="22"/>
          <w:szCs w:val="22"/>
        </w:rPr>
        <w:footnoteReference w:id="5"/>
      </w:r>
      <w:r w:rsidRPr="00B04250">
        <w:rPr>
          <w:sz w:val="22"/>
          <w:szCs w:val="22"/>
        </w:rPr>
        <w:t xml:space="preserve">. Since this initial selection, three countries have left the Carbon Fund and </w:t>
      </w:r>
      <w:r>
        <w:rPr>
          <w:sz w:val="22"/>
          <w:szCs w:val="22"/>
        </w:rPr>
        <w:t>now fifteen</w:t>
      </w:r>
      <w:r w:rsidRPr="00B04250">
        <w:rPr>
          <w:sz w:val="22"/>
          <w:szCs w:val="22"/>
        </w:rPr>
        <w:t xml:space="preserve"> countries have succeeded in signing Emissions Reduction Payment Agreements (ERPAs). An ERPA is an agreement signed between Country Participants and the World Bank (acting as a trustee of the FCPF Carbon Fund) for the sale, transfer of, and payment of ERs generated under the ER Programme. </w:t>
      </w:r>
    </w:p>
    <w:p w:rsidRPr="00B04250" w:rsidR="00491754" w:rsidP="00491754" w:rsidRDefault="00491754" w14:paraId="5E327924" w14:textId="77777777">
      <w:pPr>
        <w:jc w:val="both"/>
        <w:rPr>
          <w:sz w:val="22"/>
          <w:szCs w:val="22"/>
        </w:rPr>
      </w:pPr>
    </w:p>
    <w:p w:rsidRPr="00B04250" w:rsidR="00491754" w:rsidP="00491754" w:rsidRDefault="00491754" w14:paraId="515E4526" w14:textId="77777777">
      <w:pPr>
        <w:jc w:val="both"/>
        <w:rPr>
          <w:sz w:val="22"/>
          <w:szCs w:val="22"/>
        </w:rPr>
      </w:pPr>
      <w:r w:rsidRPr="00B04250">
        <w:rPr>
          <w:sz w:val="22"/>
          <w:szCs w:val="22"/>
        </w:rPr>
        <w:t xml:space="preserve">To date, </w:t>
      </w:r>
      <w:r>
        <w:rPr>
          <w:sz w:val="22"/>
          <w:szCs w:val="22"/>
        </w:rPr>
        <w:t xml:space="preserve">the </w:t>
      </w:r>
      <w:r w:rsidRPr="00B04250">
        <w:rPr>
          <w:sz w:val="22"/>
          <w:szCs w:val="22"/>
        </w:rPr>
        <w:t>UK has invested £141.5m in the Carbon Fund (£11.5m Environmental Technology Fund investment in 2011; £45m International Climate F</w:t>
      </w:r>
      <w:r>
        <w:rPr>
          <w:sz w:val="22"/>
          <w:szCs w:val="22"/>
        </w:rPr>
        <w:t>inance</w:t>
      </w:r>
      <w:r w:rsidRPr="00B04250">
        <w:rPr>
          <w:sz w:val="22"/>
          <w:szCs w:val="22"/>
        </w:rPr>
        <w:t xml:space="preserve"> (ICF) investment in 2014; £85m ICF investment in 2015). Total committed funds to the Carbon Fund by all contributors at the end </w:t>
      </w:r>
      <w:r w:rsidRPr="00325BCE">
        <w:rPr>
          <w:sz w:val="22"/>
          <w:szCs w:val="22"/>
        </w:rPr>
        <w:t>of FY23 (30 June 2023) totalled $874.5m, with a total of $788.1m</w:t>
      </w:r>
      <w:r w:rsidRPr="00B04250">
        <w:rPr>
          <w:sz w:val="22"/>
          <w:szCs w:val="22"/>
        </w:rPr>
        <w:t xml:space="preserve"> available for the purchase of ERs once fixed fund costs have been accounted for. Overall, there are 17 donors to the FCPF Carbon Fund and Readiness Fund and 47 forest country participants, with observers from Indigenous Peoples, Civil Society Organisations, International Organisations, Women’s Groups and the Private Sector. The UK is the third largest financial contributor to the Carbon Fund with a c.21% burden share.  </w:t>
      </w:r>
    </w:p>
    <w:p w:rsidRPr="00D80C6C" w:rsidR="00491754" w:rsidP="004D5FD5" w:rsidRDefault="00491754" w14:paraId="154DE9C2" w14:textId="77777777">
      <w:pPr>
        <w:jc w:val="both"/>
        <w:rPr>
          <w:rFonts w:cs="Arial"/>
          <w:b/>
          <w:sz w:val="22"/>
          <w:szCs w:val="22"/>
        </w:rPr>
      </w:pPr>
    </w:p>
    <w:p w:rsidR="009E3F6E" w:rsidP="004D5FD5" w:rsidRDefault="009E3F6E" w14:paraId="58574625" w14:textId="77777777">
      <w:pPr>
        <w:jc w:val="both"/>
      </w:pPr>
    </w:p>
    <w:p w:rsidRPr="009E3F6E" w:rsidR="003D222C" w:rsidP="004D5FD5" w:rsidRDefault="003D222C" w14:paraId="5276E7EE" w14:textId="4087BA75">
      <w:pPr>
        <w:jc w:val="both"/>
      </w:pPr>
      <w:bookmarkStart w:name="_Toc155945399" w:id="5"/>
      <w:r w:rsidRPr="009E3F6E">
        <w:rPr>
          <w:rStyle w:val="Heading2Char"/>
        </w:rPr>
        <w:t>Summary of progress and supporting narrative for the overall score</w:t>
      </w:r>
      <w:bookmarkEnd w:id="5"/>
      <w:r w:rsidRPr="009E3F6E" w:rsidR="00A86616">
        <w:t xml:space="preserve"> </w:t>
      </w:r>
    </w:p>
    <w:p w:rsidR="003D222C" w:rsidP="004D5FD5" w:rsidRDefault="003D222C" w14:paraId="36AC6569" w14:textId="77777777">
      <w:pPr>
        <w:jc w:val="both"/>
        <w:rPr>
          <w:rFonts w:cs="Arial"/>
          <w:b/>
          <w:sz w:val="22"/>
          <w:szCs w:val="22"/>
        </w:rPr>
      </w:pPr>
    </w:p>
    <w:p w:rsidRPr="00B04250" w:rsidR="00BB3FB8" w:rsidP="00BB3FB8" w:rsidRDefault="00BB3FB8" w14:paraId="11061BD8" w14:textId="77777777">
      <w:pPr>
        <w:jc w:val="both"/>
        <w:rPr>
          <w:rFonts w:cs="Arial"/>
          <w:sz w:val="22"/>
          <w:szCs w:val="22"/>
        </w:rPr>
      </w:pPr>
      <w:r w:rsidRPr="00B04250">
        <w:rPr>
          <w:rFonts w:cs="Arial"/>
          <w:sz w:val="22"/>
          <w:szCs w:val="22"/>
        </w:rPr>
        <w:t>The FCPF Carbon Fund has made significant progress in FY22</w:t>
      </w:r>
      <w:r>
        <w:rPr>
          <w:rFonts w:cs="Arial"/>
          <w:sz w:val="22"/>
          <w:szCs w:val="22"/>
        </w:rPr>
        <w:t>-23</w:t>
      </w:r>
      <w:r w:rsidRPr="00B04250">
        <w:rPr>
          <w:rFonts w:cs="Arial"/>
          <w:sz w:val="22"/>
          <w:szCs w:val="22"/>
        </w:rPr>
        <w:t>:</w:t>
      </w:r>
    </w:p>
    <w:p w:rsidR="00BB3FB8" w:rsidP="00BB3FB8" w:rsidRDefault="00BB3FB8" w14:paraId="3266D69B" w14:textId="4AA4C68B">
      <w:pPr>
        <w:pStyle w:val="ListParagraph"/>
        <w:numPr>
          <w:ilvl w:val="0"/>
          <w:numId w:val="20"/>
        </w:numPr>
        <w:jc w:val="both"/>
        <w:rPr>
          <w:rFonts w:cs="Arial"/>
          <w:sz w:val="22"/>
          <w:szCs w:val="22"/>
        </w:rPr>
      </w:pPr>
      <w:r w:rsidRPr="07B19952" w:rsidR="00BB3FB8">
        <w:rPr>
          <w:rFonts w:cs="Arial"/>
          <w:sz w:val="22"/>
          <w:szCs w:val="22"/>
        </w:rPr>
        <w:t>Emissions Reductions (ERs) Payments for Costa Rica ($16.4m) and Ghana ($4.</w:t>
      </w:r>
      <w:r w:rsidRPr="07B19952" w:rsidR="6676F38E">
        <w:rPr>
          <w:rFonts w:cs="Arial"/>
          <w:sz w:val="22"/>
          <w:szCs w:val="22"/>
        </w:rPr>
        <w:t>8</w:t>
      </w:r>
      <w:r w:rsidRPr="07B19952" w:rsidR="00BB3FB8">
        <w:rPr>
          <w:rFonts w:cs="Arial"/>
          <w:sz w:val="22"/>
          <w:szCs w:val="22"/>
        </w:rPr>
        <w:t xml:space="preserve">m), and Advance Payments made to Cote d’Ivoire ($1m), Indonesia ($20.9m) and Lao PDR ($3m). </w:t>
      </w:r>
      <w:r w:rsidRPr="07B19952" w:rsidR="02A2ABDC">
        <w:rPr>
          <w:rFonts w:cs="Arial"/>
          <w:sz w:val="22"/>
          <w:szCs w:val="22"/>
        </w:rPr>
        <w:t xml:space="preserve">FCPF </w:t>
      </w:r>
    </w:p>
    <w:p w:rsidR="00BB3FB8" w:rsidP="00BB3FB8" w:rsidRDefault="00BB3FB8" w14:paraId="2E43C76F" w14:textId="77777777">
      <w:pPr>
        <w:pStyle w:val="ListParagraph"/>
        <w:numPr>
          <w:ilvl w:val="0"/>
          <w:numId w:val="20"/>
        </w:numPr>
        <w:jc w:val="both"/>
        <w:rPr>
          <w:rFonts w:cs="Arial"/>
          <w:sz w:val="22"/>
          <w:szCs w:val="22"/>
        </w:rPr>
      </w:pPr>
      <w:r w:rsidRPr="00ED2EB9">
        <w:rPr>
          <w:rFonts w:cs="Arial"/>
          <w:sz w:val="22"/>
          <w:szCs w:val="22"/>
        </w:rPr>
        <w:t>Conditions of Effectiveness</w:t>
      </w:r>
      <w:r>
        <w:rPr>
          <w:rStyle w:val="FootnoteReference"/>
          <w:rFonts w:cs="Arial"/>
          <w:sz w:val="22"/>
          <w:szCs w:val="22"/>
        </w:rPr>
        <w:footnoteReference w:id="6"/>
      </w:r>
      <w:r w:rsidRPr="00ED2EB9">
        <w:rPr>
          <w:rFonts w:cs="Arial"/>
          <w:sz w:val="22"/>
          <w:szCs w:val="22"/>
        </w:rPr>
        <w:t xml:space="preserve">, which will enable payments, </w:t>
      </w:r>
      <w:r>
        <w:rPr>
          <w:rFonts w:cs="Arial"/>
          <w:sz w:val="22"/>
          <w:szCs w:val="22"/>
        </w:rPr>
        <w:t>have now been</w:t>
      </w:r>
      <w:r w:rsidRPr="00ED2EB9">
        <w:rPr>
          <w:rFonts w:cs="Arial"/>
          <w:sz w:val="22"/>
          <w:szCs w:val="22"/>
        </w:rPr>
        <w:t xml:space="preserve"> fulfilled by all countries within the portfolio. </w:t>
      </w:r>
    </w:p>
    <w:p w:rsidRPr="00DE3BF4" w:rsidR="00BB3FB8" w:rsidP="00BB3FB8" w:rsidRDefault="00BB3FB8" w14:paraId="7946BFF8" w14:textId="77777777">
      <w:pPr>
        <w:pStyle w:val="ListParagraph"/>
        <w:numPr>
          <w:ilvl w:val="0"/>
          <w:numId w:val="20"/>
        </w:numPr>
        <w:jc w:val="both"/>
        <w:rPr>
          <w:rFonts w:cs="Arial"/>
          <w:sz w:val="22"/>
          <w:szCs w:val="22"/>
        </w:rPr>
      </w:pPr>
      <w:r w:rsidRPr="00DE3BF4">
        <w:rPr>
          <w:rFonts w:cs="Arial"/>
          <w:sz w:val="22"/>
          <w:szCs w:val="22"/>
        </w:rPr>
        <w:t>The Carbon Asset Tracking System (CATS) supported transacted volume of 8.3m tonnes of ERs under FCPF Carbon Fund ERPAs: 4.1 million tons of carbon</w:t>
      </w:r>
      <w:r>
        <w:rPr>
          <w:rFonts w:cs="Arial"/>
          <w:sz w:val="22"/>
          <w:szCs w:val="22"/>
        </w:rPr>
        <w:t xml:space="preserve"> </w:t>
      </w:r>
      <w:r w:rsidRPr="00DE3BF4">
        <w:rPr>
          <w:rFonts w:cs="Arial"/>
          <w:sz w:val="22"/>
          <w:szCs w:val="22"/>
        </w:rPr>
        <w:t>dioxide equivalent (tCO2e) from Costa Rica, 1.3 million tCO2e from Ghana, and 2.9 million tCO2e from Mozambique.</w:t>
      </w:r>
    </w:p>
    <w:p w:rsidR="00BB3FB8" w:rsidP="00BB3FB8" w:rsidRDefault="00BB3FB8" w14:paraId="2A3F7459" w14:textId="77777777">
      <w:pPr>
        <w:pStyle w:val="ListParagraph"/>
        <w:numPr>
          <w:ilvl w:val="0"/>
          <w:numId w:val="20"/>
        </w:numPr>
        <w:jc w:val="both"/>
        <w:rPr>
          <w:rFonts w:cs="Arial"/>
          <w:sz w:val="22"/>
          <w:szCs w:val="22"/>
        </w:rPr>
      </w:pPr>
      <w:r>
        <w:rPr>
          <w:rFonts w:cs="Arial"/>
          <w:sz w:val="22"/>
          <w:szCs w:val="22"/>
        </w:rPr>
        <w:t xml:space="preserve">The FCPF became fully approved to provide eligible units under the 2021-23 pilot phase of the International Civil Aviation Organisation (ICAO)’s Carbon Offsetting and Reduction Scheme for International Aviation (CORSIA) – enabling FCPF Programmes to be eligible to supply ER credits under the scheme. </w:t>
      </w:r>
    </w:p>
    <w:p w:rsidR="00BB3FB8" w:rsidP="00BB3FB8" w:rsidRDefault="00BB3FB8" w14:paraId="5F5F397F" w14:textId="77777777">
      <w:pPr>
        <w:pStyle w:val="ListParagraph"/>
        <w:numPr>
          <w:ilvl w:val="0"/>
          <w:numId w:val="20"/>
        </w:numPr>
        <w:jc w:val="both"/>
        <w:rPr>
          <w:rFonts w:cs="Arial"/>
          <w:sz w:val="22"/>
          <w:szCs w:val="22"/>
        </w:rPr>
      </w:pPr>
      <w:r>
        <w:rPr>
          <w:rFonts w:cs="Arial"/>
          <w:sz w:val="22"/>
          <w:szCs w:val="22"/>
        </w:rPr>
        <w:t>Finalised</w:t>
      </w:r>
      <w:r w:rsidRPr="00FB7193">
        <w:rPr>
          <w:rFonts w:cs="Arial"/>
          <w:sz w:val="22"/>
          <w:szCs w:val="22"/>
        </w:rPr>
        <w:t xml:space="preserve"> implementation of the World Bank Land Use Climate Funds MRV Support Program</w:t>
      </w:r>
      <w:r>
        <w:rPr>
          <w:rFonts w:cs="Arial"/>
          <w:sz w:val="22"/>
          <w:szCs w:val="22"/>
        </w:rPr>
        <w:t>me</w:t>
      </w:r>
      <w:r w:rsidRPr="00FB7193">
        <w:rPr>
          <w:rFonts w:cs="Arial"/>
          <w:sz w:val="22"/>
          <w:szCs w:val="22"/>
        </w:rPr>
        <w:t>, which has</w:t>
      </w:r>
      <w:r>
        <w:rPr>
          <w:rFonts w:cs="Arial"/>
          <w:sz w:val="22"/>
          <w:szCs w:val="22"/>
        </w:rPr>
        <w:t xml:space="preserve"> </w:t>
      </w:r>
      <w:r w:rsidRPr="00FB7193">
        <w:rPr>
          <w:rFonts w:cs="Arial"/>
          <w:sz w:val="22"/>
          <w:szCs w:val="22"/>
        </w:rPr>
        <w:t>delivered $7.25 million in support to countries’ MRV and carbon accounting systems. In FY23, this MRV support</w:t>
      </w:r>
      <w:r>
        <w:rPr>
          <w:rFonts w:cs="Arial"/>
          <w:sz w:val="22"/>
          <w:szCs w:val="22"/>
        </w:rPr>
        <w:t xml:space="preserve"> </w:t>
      </w:r>
      <w:r w:rsidRPr="00FB7193">
        <w:rPr>
          <w:rFonts w:cs="Arial"/>
          <w:sz w:val="22"/>
          <w:szCs w:val="22"/>
        </w:rPr>
        <w:t>program</w:t>
      </w:r>
      <w:r>
        <w:rPr>
          <w:rFonts w:cs="Arial"/>
          <w:sz w:val="22"/>
          <w:szCs w:val="22"/>
        </w:rPr>
        <w:t>me</w:t>
      </w:r>
      <w:r w:rsidRPr="00FB7193">
        <w:rPr>
          <w:rFonts w:cs="Arial"/>
          <w:sz w:val="22"/>
          <w:szCs w:val="22"/>
        </w:rPr>
        <w:t xml:space="preserve"> helped develop a number of prototypes for a next generation MRV system (MRV 2.0) that seeks to</w:t>
      </w:r>
      <w:r>
        <w:rPr>
          <w:rFonts w:cs="Arial"/>
          <w:sz w:val="22"/>
          <w:szCs w:val="22"/>
        </w:rPr>
        <w:t xml:space="preserve"> </w:t>
      </w:r>
      <w:r w:rsidRPr="00FB7193">
        <w:rPr>
          <w:rFonts w:cs="Arial"/>
          <w:sz w:val="22"/>
          <w:szCs w:val="22"/>
        </w:rPr>
        <w:t xml:space="preserve">address hurdles identified in the MRV process. </w:t>
      </w:r>
    </w:p>
    <w:p w:rsidR="00BB3FB8" w:rsidP="00BB3FB8" w:rsidRDefault="00BB3FB8" w14:paraId="632D9BB2" w14:textId="32B573C1">
      <w:pPr>
        <w:pStyle w:val="ListParagraph"/>
        <w:numPr>
          <w:ilvl w:val="0"/>
          <w:numId w:val="20"/>
        </w:numPr>
        <w:jc w:val="both"/>
        <w:rPr>
          <w:rFonts w:cs="Arial"/>
          <w:sz w:val="22"/>
          <w:szCs w:val="22"/>
        </w:rPr>
      </w:pPr>
      <w:r w:rsidRPr="524C10BA" w:rsidR="00BB3FB8">
        <w:rPr>
          <w:rFonts w:cs="Arial"/>
          <w:sz w:val="22"/>
          <w:szCs w:val="22"/>
        </w:rPr>
        <w:t xml:space="preserve">Work is progressing to develop a standalone jurisdictional REDD+ standard based on the existing FCPF Methodological Framework and other Carbon Fund requirements. This builds on coordination efforts with the newly announced Scaling Climate Action by </w:t>
      </w:r>
      <w:r w:rsidRPr="524C10BA" w:rsidR="00BB3FB8">
        <w:rPr>
          <w:rFonts w:cs="Arial"/>
          <w:sz w:val="22"/>
          <w:szCs w:val="22"/>
        </w:rPr>
        <w:t>Lowering</w:t>
      </w:r>
      <w:r w:rsidRPr="524C10BA" w:rsidR="00BB3FB8">
        <w:rPr>
          <w:rFonts w:cs="Arial"/>
          <w:sz w:val="22"/>
          <w:szCs w:val="22"/>
        </w:rPr>
        <w:t xml:space="preserve"> Emissions (SCALE) Fund. </w:t>
      </w:r>
    </w:p>
    <w:p w:rsidRPr="00FB7193" w:rsidR="00BB3FB8" w:rsidP="00BB3FB8" w:rsidRDefault="00BB3FB8" w14:paraId="67BADE58" w14:textId="17E74A49">
      <w:pPr>
        <w:pStyle w:val="ListParagraph"/>
        <w:numPr>
          <w:ilvl w:val="0"/>
          <w:numId w:val="20"/>
        </w:numPr>
        <w:jc w:val="both"/>
        <w:rPr>
          <w:rFonts w:cs="Arial"/>
          <w:sz w:val="22"/>
          <w:szCs w:val="22"/>
        </w:rPr>
      </w:pPr>
      <w:r w:rsidRPr="6A165445">
        <w:rPr>
          <w:rFonts w:cs="Arial"/>
          <w:sz w:val="22"/>
          <w:szCs w:val="22"/>
        </w:rPr>
        <w:t xml:space="preserve">FCPF collaborated with the new World Bank Enhancing Access to Benefits while Lowering Emissions (EnABLE) Fund, including on a global webinar on social inclusion and a second phase of the successful REDD+ podcast Get REDDy, which has estimated to have reached 50 million people </w:t>
      </w:r>
      <w:r w:rsidRPr="6A165445" w:rsidR="374737A8">
        <w:rPr>
          <w:rFonts w:cs="Arial"/>
          <w:sz w:val="22"/>
          <w:szCs w:val="22"/>
        </w:rPr>
        <w:t>globally</w:t>
      </w:r>
      <w:r w:rsidRPr="6A165445">
        <w:rPr>
          <w:rFonts w:cs="Arial"/>
          <w:sz w:val="22"/>
          <w:szCs w:val="22"/>
        </w:rPr>
        <w:t xml:space="preserve">, sharing accessible, easily understandable information and knowledge about climate change, REDD+ and results-based finance. </w:t>
      </w:r>
    </w:p>
    <w:p w:rsidR="00BB3FB8" w:rsidP="00BB3FB8" w:rsidRDefault="00BB3FB8" w14:paraId="06F0B847" w14:textId="77777777">
      <w:pPr>
        <w:jc w:val="both"/>
        <w:rPr>
          <w:rFonts w:cs="Arial"/>
          <w:sz w:val="22"/>
          <w:szCs w:val="22"/>
        </w:rPr>
      </w:pPr>
      <w:r w:rsidRPr="00B04250">
        <w:rPr>
          <w:rFonts w:cs="Arial"/>
          <w:b/>
          <w:bCs/>
          <w:sz w:val="22"/>
          <w:szCs w:val="22"/>
        </w:rPr>
        <w:t>We have scored this Annual Review an ‘A’</w:t>
      </w:r>
      <w:r w:rsidRPr="00B04250">
        <w:rPr>
          <w:rFonts w:cs="Arial"/>
          <w:sz w:val="22"/>
          <w:szCs w:val="22"/>
        </w:rPr>
        <w:t>. The overall progress in FY22</w:t>
      </w:r>
      <w:r>
        <w:rPr>
          <w:rFonts w:cs="Arial"/>
          <w:sz w:val="22"/>
          <w:szCs w:val="22"/>
        </w:rPr>
        <w:t>-23</w:t>
      </w:r>
      <w:r w:rsidRPr="00B04250">
        <w:rPr>
          <w:rFonts w:cs="Arial"/>
          <w:sz w:val="22"/>
          <w:szCs w:val="22"/>
        </w:rPr>
        <w:t xml:space="preserve"> has been generally positive and accelerating towards broader intended outcomes and impacts. This is especially evidenced by payment</w:t>
      </w:r>
      <w:r>
        <w:rPr>
          <w:rFonts w:cs="Arial"/>
          <w:sz w:val="22"/>
          <w:szCs w:val="22"/>
        </w:rPr>
        <w:t>s</w:t>
      </w:r>
      <w:r w:rsidRPr="00B04250">
        <w:rPr>
          <w:rFonts w:cs="Arial"/>
          <w:sz w:val="22"/>
          <w:szCs w:val="22"/>
        </w:rPr>
        <w:t xml:space="preserve"> made to</w:t>
      </w:r>
      <w:r>
        <w:rPr>
          <w:rFonts w:cs="Arial"/>
          <w:sz w:val="22"/>
          <w:szCs w:val="22"/>
        </w:rPr>
        <w:t xml:space="preserve"> Costa Rica and Ghana, and advance payments made to Cote d’Ivoire, Indonesia and Lao PDR. Combined with the payment already made to</w:t>
      </w:r>
      <w:r w:rsidRPr="00B04250">
        <w:rPr>
          <w:rFonts w:cs="Arial"/>
          <w:sz w:val="22"/>
          <w:szCs w:val="22"/>
        </w:rPr>
        <w:t xml:space="preserve"> </w:t>
      </w:r>
      <w:r w:rsidRPr="00F7526C">
        <w:rPr>
          <w:rFonts w:cs="Arial"/>
          <w:sz w:val="22"/>
          <w:szCs w:val="22"/>
        </w:rPr>
        <w:t>Mozambique,</w:t>
      </w:r>
      <w:r>
        <w:rPr>
          <w:rFonts w:cs="Arial"/>
          <w:sz w:val="22"/>
          <w:szCs w:val="22"/>
        </w:rPr>
        <w:t xml:space="preserve"> Carbon Fund payments now total $53.2m.</w:t>
      </w:r>
      <w:r w:rsidRPr="00B04250">
        <w:rPr>
          <w:rFonts w:cs="Arial"/>
          <w:sz w:val="22"/>
          <w:szCs w:val="22"/>
        </w:rPr>
        <w:t xml:space="preserve"> </w:t>
      </w:r>
    </w:p>
    <w:p w:rsidR="00BB3FB8" w:rsidP="00BB3FB8" w:rsidRDefault="00BB3FB8" w14:paraId="5BDA3B42" w14:textId="77777777">
      <w:pPr>
        <w:jc w:val="both"/>
        <w:rPr>
          <w:rFonts w:cs="Arial"/>
          <w:sz w:val="22"/>
          <w:szCs w:val="22"/>
        </w:rPr>
      </w:pPr>
    </w:p>
    <w:p w:rsidR="00BB3FB8" w:rsidP="00BB3FB8" w:rsidRDefault="00BB3FB8" w14:paraId="5E20270B" w14:textId="7CDB96A7">
      <w:pPr>
        <w:jc w:val="both"/>
        <w:rPr>
          <w:rFonts w:cs="Arial"/>
          <w:sz w:val="22"/>
          <w:szCs w:val="22"/>
        </w:rPr>
      </w:pPr>
      <w:r w:rsidRPr="6A165445">
        <w:rPr>
          <w:rFonts w:cs="Arial"/>
          <w:sz w:val="22"/>
          <w:szCs w:val="22"/>
        </w:rPr>
        <w:t>Additionally, countries that have been able to submit Monitoring Reports are now demonstrating evidence of testing ways to sustain and enhance livelihoods, as well as conserve biodiversity. This provides evidence of how these Emissions Reductions Programmes</w:t>
      </w:r>
      <w:r w:rsidRPr="6A165445" w:rsidR="50D18403">
        <w:rPr>
          <w:rFonts w:cs="Arial"/>
          <w:sz w:val="22"/>
          <w:szCs w:val="22"/>
        </w:rPr>
        <w:t xml:space="preserve"> (ERPs)</w:t>
      </w:r>
      <w:r w:rsidRPr="6A165445">
        <w:rPr>
          <w:rFonts w:cs="Arial"/>
          <w:sz w:val="22"/>
          <w:szCs w:val="22"/>
        </w:rPr>
        <w:t xml:space="preserve"> are actively contributing to sustainable livelihoods within forest countries, and how FCPF has influenced this positive progress. More detailed narrative on these components is shared below.</w:t>
      </w:r>
    </w:p>
    <w:p w:rsidR="00BB3FB8" w:rsidP="00BB3FB8" w:rsidRDefault="00BB3FB8" w14:paraId="1286C98F" w14:textId="77777777">
      <w:pPr>
        <w:jc w:val="both"/>
        <w:rPr>
          <w:rFonts w:cs="Arial"/>
          <w:sz w:val="22"/>
          <w:szCs w:val="22"/>
        </w:rPr>
      </w:pPr>
    </w:p>
    <w:p w:rsidR="00BB3FB8" w:rsidP="00BB3FB8" w:rsidRDefault="00BB3FB8" w14:paraId="57EF3064" w14:textId="77777777">
      <w:pPr>
        <w:jc w:val="both"/>
        <w:rPr>
          <w:rFonts w:cs="Arial"/>
          <w:sz w:val="22"/>
          <w:szCs w:val="22"/>
        </w:rPr>
      </w:pPr>
      <w:r w:rsidRPr="00B04250">
        <w:rPr>
          <w:rFonts w:cs="Arial"/>
          <w:sz w:val="22"/>
          <w:szCs w:val="22"/>
        </w:rPr>
        <w:t>A key future indication of this progress will also be how the benefits from the first payment</w:t>
      </w:r>
      <w:r>
        <w:rPr>
          <w:rFonts w:cs="Arial"/>
          <w:sz w:val="22"/>
          <w:szCs w:val="22"/>
        </w:rPr>
        <w:t xml:space="preserve">s </w:t>
      </w:r>
      <w:r w:rsidRPr="00B04250">
        <w:rPr>
          <w:rFonts w:cs="Arial"/>
          <w:sz w:val="22"/>
          <w:szCs w:val="22"/>
        </w:rPr>
        <w:t>will be distributed to communities.</w:t>
      </w:r>
      <w:r>
        <w:rPr>
          <w:rFonts w:cs="Arial"/>
          <w:sz w:val="22"/>
          <w:szCs w:val="22"/>
        </w:rPr>
        <w:t xml:space="preserve"> With first payments being achieved and verified emissions reductions in Carbon Fund countries being delivered, benefit-sharing mechanisms are now being put into practice. However, we do see some challenges to this progressing within countries, with no current values for benefits shared to beneficiaries (see Output Sections below for more information). This will be a key indicator of progress and success of FCPF over the course of the next year – and the new World Bank Fund EnABLE is pursuing activities that will support the fair and equitable distribution of benefits within country.</w:t>
      </w:r>
    </w:p>
    <w:p w:rsidR="00BB3FB8" w:rsidP="00BB3FB8" w:rsidRDefault="00BB3FB8" w14:paraId="0E204413" w14:textId="77777777">
      <w:pPr>
        <w:jc w:val="both"/>
        <w:rPr>
          <w:rFonts w:cs="Arial"/>
          <w:sz w:val="22"/>
          <w:szCs w:val="22"/>
        </w:rPr>
      </w:pPr>
    </w:p>
    <w:p w:rsidR="00BB3FB8" w:rsidP="00BB3FB8" w:rsidRDefault="00BB3FB8" w14:paraId="06E034EB" w14:textId="431D2DC3">
      <w:pPr>
        <w:jc w:val="both"/>
        <w:rPr>
          <w:rFonts w:cs="Arial"/>
          <w:sz w:val="22"/>
          <w:szCs w:val="22"/>
        </w:rPr>
      </w:pPr>
      <w:r>
        <w:rPr>
          <w:rFonts w:cs="Arial"/>
          <w:sz w:val="22"/>
          <w:szCs w:val="22"/>
        </w:rPr>
        <w:t>Some d</w:t>
      </w:r>
      <w:r w:rsidRPr="00B04250">
        <w:rPr>
          <w:rFonts w:cs="Arial"/>
          <w:sz w:val="22"/>
          <w:szCs w:val="22"/>
        </w:rPr>
        <w:t xml:space="preserve">elays do remain, in part because of </w:t>
      </w:r>
      <w:r>
        <w:rPr>
          <w:rFonts w:cs="Arial"/>
          <w:sz w:val="22"/>
          <w:szCs w:val="22"/>
        </w:rPr>
        <w:t>ongoing</w:t>
      </w:r>
      <w:r w:rsidRPr="00B04250">
        <w:rPr>
          <w:rFonts w:cs="Arial"/>
          <w:sz w:val="22"/>
          <w:szCs w:val="22"/>
        </w:rPr>
        <w:t xml:space="preserve"> COVID-19 pandemic implications, but also because of technical, institutional and political challenges within some countries. We are now at a key inflection point for FCPF</w:t>
      </w:r>
      <w:r>
        <w:rPr>
          <w:rFonts w:cs="Arial"/>
          <w:sz w:val="22"/>
          <w:szCs w:val="22"/>
        </w:rPr>
        <w:t xml:space="preserve">, with many more countries expecting to receive payments over the next fiscal year, and more evidence provided on how first payments are being disbursed through the implementation of Benefit Sharing Plans. The World Bank estimate that payments are expected to increase to at least $300m in the coming fiscal year. </w:t>
      </w:r>
    </w:p>
    <w:p w:rsidR="00BB3FB8" w:rsidP="00BB3FB8" w:rsidRDefault="00BB3FB8" w14:paraId="625ACEB2" w14:textId="77777777">
      <w:pPr>
        <w:jc w:val="both"/>
        <w:rPr>
          <w:rFonts w:cs="Arial"/>
          <w:sz w:val="22"/>
          <w:szCs w:val="22"/>
        </w:rPr>
      </w:pPr>
    </w:p>
    <w:p w:rsidR="00BB3FB8" w:rsidP="00BB3FB8" w:rsidRDefault="00BB3FB8" w14:paraId="50B86CC3" w14:textId="77777777">
      <w:pPr>
        <w:jc w:val="both"/>
        <w:rPr>
          <w:rFonts w:cs="Arial"/>
          <w:sz w:val="22"/>
          <w:szCs w:val="22"/>
        </w:rPr>
      </w:pPr>
      <w:r>
        <w:rPr>
          <w:rFonts w:cs="Arial"/>
          <w:sz w:val="22"/>
          <w:szCs w:val="22"/>
        </w:rPr>
        <w:t xml:space="preserve">In the past year, an external evaluation has been implemented, with findings and recommendations soon to be published. The results of this external evaluation will be critical to enable FCPF to continue to accelerate, learn from challenges, and share these with other initiatives, such as SCALE. </w:t>
      </w:r>
    </w:p>
    <w:p w:rsidR="00BB3FB8" w:rsidP="00BB3FB8" w:rsidRDefault="00BB3FB8" w14:paraId="4E315679" w14:textId="77777777">
      <w:pPr>
        <w:jc w:val="both"/>
        <w:rPr>
          <w:rFonts w:cs="Arial"/>
          <w:sz w:val="22"/>
          <w:szCs w:val="22"/>
        </w:rPr>
      </w:pPr>
    </w:p>
    <w:p w:rsidR="00BB3FB8" w:rsidP="00BB3FB8" w:rsidRDefault="00BB3FB8" w14:paraId="55CF2D6F" w14:textId="77777777">
      <w:pPr>
        <w:jc w:val="both"/>
        <w:rPr>
          <w:rFonts w:cs="Arial"/>
          <w:b/>
          <w:bCs/>
          <w:sz w:val="22"/>
          <w:szCs w:val="22"/>
          <w:highlight w:val="yellow"/>
        </w:rPr>
      </w:pPr>
      <w:r w:rsidRPr="00B04250">
        <w:rPr>
          <w:rFonts w:cs="Arial"/>
          <w:sz w:val="22"/>
          <w:szCs w:val="22"/>
        </w:rPr>
        <w:t xml:space="preserve">As we move towards the final years of the programme, which </w:t>
      </w:r>
      <w:r>
        <w:rPr>
          <w:rFonts w:cs="Arial"/>
          <w:sz w:val="22"/>
          <w:szCs w:val="22"/>
        </w:rPr>
        <w:t xml:space="preserve">is scheduled to </w:t>
      </w:r>
      <w:r w:rsidRPr="00B04250">
        <w:rPr>
          <w:rFonts w:cs="Arial"/>
          <w:sz w:val="22"/>
          <w:szCs w:val="22"/>
        </w:rPr>
        <w:t>end in 2025, it will be imperative to ensure that the future and legacy of FCPF is amplified and optimised – integrated within World Bank programming (such as SCALE) as well as within the broader REDD+ landscape. These are key recommendations for FY23</w:t>
      </w:r>
      <w:r>
        <w:rPr>
          <w:rFonts w:cs="Arial"/>
          <w:sz w:val="22"/>
          <w:szCs w:val="22"/>
        </w:rPr>
        <w:t>-24, and discussions are already being scheduled for upcoming events – such as the next Carbon Fund Meeting in January 2024, which is being organised alongside a discussion on REDD+ architecture and the SCALE Participants Committee</w:t>
      </w:r>
      <w:r>
        <w:rPr>
          <w:rFonts w:cs="Arial"/>
          <w:b/>
          <w:bCs/>
          <w:sz w:val="22"/>
          <w:szCs w:val="22"/>
        </w:rPr>
        <w:t>.</w:t>
      </w:r>
    </w:p>
    <w:p w:rsidRPr="00D80C6C" w:rsidR="00BB3FB8" w:rsidP="004D5FD5" w:rsidRDefault="00BB3FB8" w14:paraId="3290E862" w14:textId="77777777">
      <w:pPr>
        <w:jc w:val="both"/>
        <w:rPr>
          <w:rFonts w:cs="Arial"/>
          <w:b/>
          <w:sz w:val="22"/>
          <w:szCs w:val="22"/>
        </w:rPr>
      </w:pPr>
    </w:p>
    <w:p w:rsidRPr="00D80C6C" w:rsidR="003D222C" w:rsidP="004D5FD5" w:rsidRDefault="003D222C" w14:paraId="7B570BA3" w14:textId="799BB7E8">
      <w:pPr>
        <w:pStyle w:val="Heading2"/>
        <w:jc w:val="both"/>
      </w:pPr>
      <w:bookmarkStart w:name="_Toc155945400" w:id="6"/>
      <w:r w:rsidRPr="00D80C6C">
        <w:t>Progress against recommendations from the last review</w:t>
      </w:r>
      <w:bookmarkEnd w:id="6"/>
    </w:p>
    <w:p w:rsidRPr="00D80C6C" w:rsidR="003D222C" w:rsidP="004D5FD5" w:rsidRDefault="003D222C" w14:paraId="55666261" w14:textId="77777777">
      <w:pPr>
        <w:jc w:val="both"/>
        <w:rPr>
          <w:rFonts w:cs="Arial"/>
          <w:b/>
          <w:sz w:val="22"/>
          <w:szCs w:val="22"/>
        </w:rPr>
      </w:pPr>
    </w:p>
    <w:tbl>
      <w:tblPr>
        <w:tblStyle w:val="TableGrid"/>
        <w:tblW w:w="0" w:type="auto"/>
        <w:tblLook w:val="04A0" w:firstRow="1" w:lastRow="0" w:firstColumn="1" w:lastColumn="0" w:noHBand="0" w:noVBand="1"/>
      </w:tblPr>
      <w:tblGrid>
        <w:gridCol w:w="4530"/>
        <w:gridCol w:w="4486"/>
      </w:tblGrid>
      <w:tr w:rsidR="007E0664" w:rsidTr="38E3CE12" w14:paraId="59E2B0A0" w14:textId="77777777">
        <w:tc>
          <w:tcPr>
            <w:tcW w:w="4530" w:type="dxa"/>
            <w:shd w:val="clear" w:color="auto" w:fill="D9E2F3" w:themeFill="accent1" w:themeFillTint="33"/>
            <w:tcMar/>
          </w:tcPr>
          <w:p w:rsidR="007E0664" w:rsidRDefault="007E0664" w14:paraId="5C5C5D55" w14:textId="77777777">
            <w:pPr>
              <w:rPr>
                <w:b/>
                <w:sz w:val="22"/>
                <w:szCs w:val="22"/>
                <w:lang w:val="en"/>
              </w:rPr>
            </w:pPr>
            <w:r>
              <w:rPr>
                <w:b/>
                <w:sz w:val="22"/>
                <w:szCs w:val="22"/>
                <w:lang w:val="en"/>
              </w:rPr>
              <w:t>Recommendations</w:t>
            </w:r>
          </w:p>
        </w:tc>
        <w:tc>
          <w:tcPr>
            <w:tcW w:w="4486" w:type="dxa"/>
            <w:shd w:val="clear" w:color="auto" w:fill="D9E2F3" w:themeFill="accent1" w:themeFillTint="33"/>
            <w:tcMar/>
          </w:tcPr>
          <w:p w:rsidR="007E0664" w:rsidRDefault="007E0664" w14:paraId="5E756CFB" w14:textId="77777777">
            <w:pPr>
              <w:rPr>
                <w:b/>
                <w:sz w:val="22"/>
                <w:szCs w:val="22"/>
                <w:lang w:val="en"/>
              </w:rPr>
            </w:pPr>
            <w:r>
              <w:rPr>
                <w:b/>
                <w:sz w:val="22"/>
                <w:szCs w:val="22"/>
                <w:lang w:val="en"/>
              </w:rPr>
              <w:t>Progress</w:t>
            </w:r>
          </w:p>
        </w:tc>
      </w:tr>
      <w:tr w:rsidRPr="00BF210E" w:rsidR="007E0664" w:rsidTr="38E3CE12" w14:paraId="36FFBC8E" w14:textId="77777777">
        <w:tc>
          <w:tcPr>
            <w:tcW w:w="4530" w:type="dxa"/>
            <w:tcMar/>
          </w:tcPr>
          <w:p w:rsidRPr="00BF210E" w:rsidR="007E0664" w:rsidRDefault="007E0664" w14:paraId="689EC2FD" w14:textId="77777777">
            <w:pPr>
              <w:rPr>
                <w:bCs/>
                <w:sz w:val="20"/>
                <w:szCs w:val="20"/>
              </w:rPr>
            </w:pPr>
            <w:r w:rsidRPr="00BF210E">
              <w:rPr>
                <w:bCs/>
                <w:sz w:val="20"/>
                <w:szCs w:val="20"/>
              </w:rPr>
              <w:t>Recommendation 1: [Rolled over] World Bank and Contributors to continue to explore options for the creation of a standalone FCPF standard. This FCPF2.0 will be presented at Carbon Fund 26 (March/April 2023) and approved the following Fiscal Year. Continue to discuss how successful approaches from FCPF can be integrated in the future (including through SCALE), throughout FY23 – FY24, for finalisation of FCPF legacy options by FY24.</w:t>
            </w:r>
          </w:p>
        </w:tc>
        <w:tc>
          <w:tcPr>
            <w:tcW w:w="4486" w:type="dxa"/>
            <w:tcMar/>
          </w:tcPr>
          <w:p w:rsidR="007E0664" w:rsidP="6F27FDAB" w:rsidRDefault="007E0664" w14:paraId="2DAB4E16" w14:textId="77777777" w14:noSpellErr="1">
            <w:pPr>
              <w:rPr>
                <w:sz w:val="20"/>
                <w:szCs w:val="20"/>
                <w:lang w:val="en-US"/>
              </w:rPr>
            </w:pPr>
            <w:r w:rsidRPr="6F27FDAB" w:rsidR="007E0664">
              <w:rPr>
                <w:b w:val="1"/>
                <w:bCs w:val="1"/>
                <w:sz w:val="20"/>
                <w:szCs w:val="20"/>
                <w:lang w:val="en-US"/>
              </w:rPr>
              <w:t>Complete.</w:t>
            </w:r>
            <w:r w:rsidRPr="6F27FDAB" w:rsidR="007E0664">
              <w:rPr>
                <w:sz w:val="20"/>
                <w:szCs w:val="20"/>
                <w:lang w:val="en-US"/>
              </w:rPr>
              <w:t xml:space="preserve"> WB and Contributors have continued to explore options for a standalone FCPF standard, including collaborative discussions at CF26 in May 2023. World Bank </w:t>
            </w:r>
            <w:r w:rsidRPr="6F27FDAB" w:rsidR="007E0664">
              <w:rPr>
                <w:sz w:val="20"/>
                <w:szCs w:val="20"/>
                <w:lang w:val="en-US"/>
              </w:rPr>
              <w:t>presented on</w:t>
            </w:r>
            <w:r w:rsidRPr="6F27FDAB" w:rsidR="007E0664">
              <w:rPr>
                <w:sz w:val="20"/>
                <w:szCs w:val="20"/>
                <w:lang w:val="en-US"/>
              </w:rPr>
              <w:t xml:space="preserve"> options for two versions of the standard, the current FCPF standard and a new standalone standard. </w:t>
            </w:r>
            <w:r w:rsidRPr="6F27FDAB" w:rsidR="007E0664">
              <w:rPr>
                <w:sz w:val="20"/>
                <w:szCs w:val="20"/>
                <w:lang w:val="en-US"/>
              </w:rPr>
              <w:t>World</w:t>
            </w:r>
            <w:r w:rsidRPr="6F27FDAB" w:rsidR="007E0664">
              <w:rPr>
                <w:sz w:val="20"/>
                <w:szCs w:val="20"/>
                <w:lang w:val="en-US"/>
              </w:rPr>
              <w:t xml:space="preserve"> Bank presented three options for the development of this standalone standard, that could be used in the new SCALE Trust Fund and/or by others outside the World Bank. Contributors were supportive of the </w:t>
            </w:r>
            <w:r w:rsidRPr="6F27FDAB" w:rsidR="007E0664">
              <w:rPr>
                <w:sz w:val="20"/>
                <w:szCs w:val="20"/>
                <w:lang w:val="en-US"/>
              </w:rPr>
              <w:t>option</w:t>
            </w:r>
            <w:r w:rsidRPr="6F27FDAB" w:rsidR="007E0664">
              <w:rPr>
                <w:sz w:val="20"/>
                <w:szCs w:val="20"/>
                <w:lang w:val="en-US"/>
              </w:rPr>
              <w:t xml:space="preserve"> to develop a standalone standard for use within SCALE, </w:t>
            </w:r>
            <w:r w:rsidRPr="6F27FDAB" w:rsidR="007E0664">
              <w:rPr>
                <w:sz w:val="20"/>
                <w:szCs w:val="20"/>
                <w:lang w:val="en-US"/>
              </w:rPr>
              <w:t>and also</w:t>
            </w:r>
            <w:r w:rsidRPr="6F27FDAB" w:rsidR="007E0664">
              <w:rPr>
                <w:sz w:val="20"/>
                <w:szCs w:val="20"/>
                <w:lang w:val="en-US"/>
              </w:rPr>
              <w:t xml:space="preserve"> to explore demand/possibilities for a standard to be used outside of the World Bank managed funds. A draft is being developed and will be shared with contributors for approval by CF27 in January 2024. </w:t>
            </w:r>
          </w:p>
          <w:p w:rsidR="007E0664" w:rsidRDefault="007E0664" w14:paraId="1FDF643B" w14:textId="77777777">
            <w:pPr>
              <w:rPr>
                <w:bCs/>
                <w:sz w:val="20"/>
                <w:szCs w:val="20"/>
                <w:lang w:val="en"/>
              </w:rPr>
            </w:pPr>
          </w:p>
          <w:p w:rsidRPr="00BF210E" w:rsidR="007E0664" w:rsidRDefault="007E0664" w14:paraId="5814F4CA" w14:textId="77777777">
            <w:pPr>
              <w:rPr>
                <w:bCs/>
                <w:sz w:val="20"/>
                <w:szCs w:val="20"/>
                <w:lang w:val="en"/>
              </w:rPr>
            </w:pPr>
            <w:r>
              <w:rPr>
                <w:bCs/>
                <w:sz w:val="20"/>
                <w:szCs w:val="20"/>
                <w:lang w:val="en"/>
              </w:rPr>
              <w:t>This recommendation will be continued to FY23-24 recommendations</w:t>
            </w:r>
          </w:p>
        </w:tc>
      </w:tr>
      <w:tr w:rsidRPr="00BF210E" w:rsidR="007E0664" w:rsidTr="38E3CE12" w14:paraId="6FFFB979" w14:textId="77777777">
        <w:tc>
          <w:tcPr>
            <w:tcW w:w="4530" w:type="dxa"/>
            <w:tcMar/>
          </w:tcPr>
          <w:p w:rsidRPr="00BF210E" w:rsidR="007E0664" w:rsidP="6F27FDAB" w:rsidRDefault="007E0664" w14:paraId="0BF15EE4" w14:textId="77777777" w14:noSpellErr="1">
            <w:pPr>
              <w:rPr>
                <w:sz w:val="20"/>
                <w:szCs w:val="20"/>
                <w:lang w:val="en-US"/>
              </w:rPr>
            </w:pPr>
            <w:r w:rsidRPr="6F27FDAB" w:rsidR="007E0664">
              <w:rPr>
                <w:sz w:val="20"/>
                <w:szCs w:val="20"/>
                <w:lang w:val="en-US"/>
              </w:rPr>
              <w:t xml:space="preserve">Recommendation 2: [Rolled over] World Bank and Contributors (through the Evaluation Oversight Committee) to continue to consider how FCPF is enabling opportunities to </w:t>
            </w:r>
            <w:r w:rsidRPr="6F27FDAB" w:rsidR="007E0664">
              <w:rPr>
                <w:sz w:val="20"/>
                <w:szCs w:val="20"/>
                <w:lang w:val="en-US"/>
              </w:rPr>
              <w:t>leverage</w:t>
            </w:r>
            <w:r w:rsidRPr="6F27FDAB" w:rsidR="007E0664">
              <w:rPr>
                <w:sz w:val="20"/>
                <w:szCs w:val="20"/>
                <w:lang w:val="en-US"/>
              </w:rPr>
              <w:t xml:space="preserve"> </w:t>
            </w:r>
            <w:r w:rsidRPr="6F27FDAB" w:rsidR="007E0664">
              <w:rPr>
                <w:sz w:val="20"/>
                <w:szCs w:val="20"/>
                <w:lang w:val="en-US"/>
              </w:rPr>
              <w:t>additional</w:t>
            </w:r>
            <w:r w:rsidRPr="6F27FDAB" w:rsidR="007E0664">
              <w:rPr>
                <w:sz w:val="20"/>
                <w:szCs w:val="20"/>
                <w:lang w:val="en-US"/>
              </w:rPr>
              <w:t xml:space="preserve"> financing for ER Programmes as a potential </w:t>
            </w:r>
            <w:r w:rsidRPr="6F27FDAB" w:rsidR="007E0664">
              <w:rPr>
                <w:sz w:val="20"/>
                <w:szCs w:val="20"/>
                <w:lang w:val="en-US"/>
              </w:rPr>
              <w:t>component</w:t>
            </w:r>
            <w:r w:rsidRPr="6F27FDAB" w:rsidR="007E0664">
              <w:rPr>
                <w:sz w:val="20"/>
                <w:szCs w:val="20"/>
                <w:lang w:val="en-US"/>
              </w:rPr>
              <w:t xml:space="preserve"> within upcoming FY23 evaluation. World Bank and Contributors to continue to explore leveraging finance opportunities, including through Call Options. Options and opportunities for </w:t>
            </w:r>
            <w:r w:rsidRPr="6F27FDAB" w:rsidR="007E0664">
              <w:rPr>
                <w:sz w:val="20"/>
                <w:szCs w:val="20"/>
                <w:lang w:val="en-US"/>
              </w:rPr>
              <w:t>leveraging</w:t>
            </w:r>
            <w:r w:rsidRPr="6F27FDAB" w:rsidR="007E0664">
              <w:rPr>
                <w:sz w:val="20"/>
                <w:szCs w:val="20"/>
                <w:lang w:val="en-US"/>
              </w:rPr>
              <w:t xml:space="preserve"> finance to be presented at CF26 (March/April 2023).</w:t>
            </w:r>
          </w:p>
        </w:tc>
        <w:tc>
          <w:tcPr>
            <w:tcW w:w="4486" w:type="dxa"/>
            <w:tcMar/>
          </w:tcPr>
          <w:p w:rsidR="007E0664" w:rsidP="38E3CE12" w:rsidRDefault="007E0664" w14:paraId="45D2195C" w14:textId="77777777">
            <w:pPr>
              <w:rPr>
                <w:sz w:val="20"/>
                <w:szCs w:val="20"/>
                <w:lang w:val="en-US"/>
              </w:rPr>
            </w:pPr>
            <w:r w:rsidRPr="38E3CE12" w:rsidR="007E0664">
              <w:rPr>
                <w:b w:val="1"/>
                <w:bCs w:val="1"/>
                <w:sz w:val="20"/>
                <w:szCs w:val="20"/>
                <w:lang w:val="en-US"/>
              </w:rPr>
              <w:t>Complete.</w:t>
            </w:r>
            <w:r w:rsidRPr="38E3CE12" w:rsidR="007E0664">
              <w:rPr>
                <w:sz w:val="20"/>
                <w:szCs w:val="20"/>
                <w:lang w:val="en-US"/>
              </w:rPr>
              <w:t xml:space="preserve"> The FY23 Evaluation, which is ongoing, considers FCPF’s influence on REDD+ and contribution to countries’ access to carbon markets and climate finance, including leveraging through FCPF ER </w:t>
            </w:r>
            <w:r w:rsidRPr="38E3CE12" w:rsidR="007E0664">
              <w:rPr>
                <w:sz w:val="20"/>
                <w:szCs w:val="20"/>
                <w:lang w:val="en-US"/>
              </w:rPr>
              <w:t>Programmes</w:t>
            </w:r>
            <w:r w:rsidRPr="38E3CE12" w:rsidR="007E0664">
              <w:rPr>
                <w:sz w:val="20"/>
                <w:szCs w:val="20"/>
                <w:lang w:val="en-US"/>
              </w:rPr>
              <w:t xml:space="preserve">. </w:t>
            </w:r>
          </w:p>
          <w:p w:rsidR="007E0664" w:rsidRDefault="007E0664" w14:paraId="2823B1AB" w14:textId="77777777">
            <w:pPr>
              <w:rPr>
                <w:bCs/>
                <w:sz w:val="20"/>
                <w:szCs w:val="20"/>
                <w:lang w:val="en"/>
              </w:rPr>
            </w:pPr>
          </w:p>
          <w:p w:rsidR="007E0664" w:rsidP="6F27FDAB" w:rsidRDefault="007E0664" w14:paraId="7C63BF64" w14:textId="77777777">
            <w:pPr>
              <w:rPr>
                <w:sz w:val="20"/>
                <w:szCs w:val="20"/>
                <w:lang w:val="en-US"/>
              </w:rPr>
            </w:pPr>
            <w:r w:rsidRPr="6F27FDAB" w:rsidR="007E0664">
              <w:rPr>
                <w:sz w:val="20"/>
                <w:szCs w:val="20"/>
                <w:lang w:val="en-US"/>
              </w:rPr>
              <w:t>World</w:t>
            </w:r>
            <w:r w:rsidRPr="6F27FDAB" w:rsidR="007E0664">
              <w:rPr>
                <w:sz w:val="20"/>
                <w:szCs w:val="20"/>
                <w:lang w:val="en-US"/>
              </w:rPr>
              <w:t xml:space="preserve"> Bank and Contributors continued to have discussions around Call Options and </w:t>
            </w:r>
            <w:r w:rsidRPr="6F27FDAB" w:rsidR="007E0664">
              <w:rPr>
                <w:sz w:val="20"/>
                <w:szCs w:val="20"/>
                <w:lang w:val="en-US"/>
              </w:rPr>
              <w:t>leveraging</w:t>
            </w:r>
            <w:r w:rsidRPr="6F27FDAB" w:rsidR="007E0664">
              <w:rPr>
                <w:sz w:val="20"/>
                <w:szCs w:val="20"/>
                <w:lang w:val="en-US"/>
              </w:rPr>
              <w:t xml:space="preserve"> finance mechanisms (e.g., Auction Mechanisms). This included a World Bank developed ‘Call Option Note’ discussed during the January 2023 Contributor Quarterly Call to </w:t>
            </w:r>
            <w:r w:rsidRPr="6F27FDAB" w:rsidR="007E0664">
              <w:rPr>
                <w:sz w:val="20"/>
                <w:szCs w:val="20"/>
                <w:lang w:val="en-US"/>
              </w:rPr>
              <w:t>finalise</w:t>
            </w:r>
            <w:r w:rsidRPr="6F27FDAB" w:rsidR="007E0664">
              <w:rPr>
                <w:sz w:val="20"/>
                <w:szCs w:val="20"/>
                <w:lang w:val="en-US"/>
              </w:rPr>
              <w:t xml:space="preserve"> process on enabling and distributing Call Options fairly throughout the fund. Subsequently, outside of this review period, this approach was followed for a Call Option for Vietnam </w:t>
            </w:r>
            <w:r w:rsidRPr="6F27FDAB" w:rsidR="007E0664">
              <w:rPr>
                <w:sz w:val="20"/>
                <w:szCs w:val="20"/>
                <w:lang w:val="en-US"/>
              </w:rPr>
              <w:t>additional</w:t>
            </w:r>
            <w:r w:rsidRPr="6F27FDAB" w:rsidR="007E0664">
              <w:rPr>
                <w:sz w:val="20"/>
                <w:szCs w:val="20"/>
                <w:lang w:val="en-US"/>
              </w:rPr>
              <w:t xml:space="preserve"> Emissions Reductions. </w:t>
            </w:r>
          </w:p>
          <w:p w:rsidR="007E0664" w:rsidRDefault="007E0664" w14:paraId="19B24A1B" w14:textId="77777777">
            <w:pPr>
              <w:rPr>
                <w:bCs/>
                <w:sz w:val="20"/>
                <w:szCs w:val="20"/>
                <w:lang w:val="en"/>
              </w:rPr>
            </w:pPr>
          </w:p>
          <w:p w:rsidR="007E0664" w:rsidP="6F27FDAB" w:rsidRDefault="007E0664" w14:paraId="67D19B23" w14:textId="77777777">
            <w:pPr>
              <w:rPr>
                <w:sz w:val="20"/>
                <w:szCs w:val="20"/>
                <w:lang w:val="en-US"/>
              </w:rPr>
            </w:pPr>
            <w:r w:rsidRPr="6F27FDAB" w:rsidR="007E0664">
              <w:rPr>
                <w:sz w:val="20"/>
                <w:szCs w:val="20"/>
                <w:lang w:val="en-US"/>
              </w:rPr>
              <w:t xml:space="preserve">World Bank also presented, at CF26 in May 2023, current solutions (mechanisms/platforms) and ongoing initiatives to support countries in the </w:t>
            </w:r>
            <w:r w:rsidRPr="6F27FDAB" w:rsidR="007E0664">
              <w:rPr>
                <w:sz w:val="20"/>
                <w:szCs w:val="20"/>
                <w:lang w:val="en-US"/>
              </w:rPr>
              <w:t>monetisation</w:t>
            </w:r>
            <w:r w:rsidRPr="6F27FDAB" w:rsidR="007E0664">
              <w:rPr>
                <w:sz w:val="20"/>
                <w:szCs w:val="20"/>
                <w:lang w:val="en-US"/>
              </w:rPr>
              <w:t xml:space="preserve"> and transfer of excess ERs to Third-Party buyers (Verra, auction, country workshops, and updates on CORSIA)</w:t>
            </w:r>
          </w:p>
          <w:p w:rsidR="007E0664" w:rsidRDefault="007E0664" w14:paraId="6F3989CB" w14:textId="77777777">
            <w:pPr>
              <w:rPr>
                <w:bCs/>
                <w:sz w:val="20"/>
                <w:szCs w:val="20"/>
                <w:lang w:val="en"/>
              </w:rPr>
            </w:pPr>
          </w:p>
          <w:p w:rsidRPr="00BF210E" w:rsidR="007E0664" w:rsidP="6F27FDAB" w:rsidRDefault="007E0664" w14:paraId="0D682929" w14:textId="77777777" w14:noSpellErr="1">
            <w:pPr>
              <w:rPr>
                <w:sz w:val="20"/>
                <w:szCs w:val="20"/>
                <w:lang w:val="en-US"/>
              </w:rPr>
            </w:pPr>
            <w:r w:rsidRPr="6F27FDAB" w:rsidR="007E0664">
              <w:rPr>
                <w:sz w:val="20"/>
                <w:szCs w:val="20"/>
                <w:lang w:val="en-US"/>
              </w:rPr>
              <w:t xml:space="preserve">This recommendation will be continued to FY23-24 recommendations – particularly relating to Auction Mechanisms, noting that World Bank have, in Sept 2023 and outside this review period, </w:t>
            </w:r>
            <w:r w:rsidRPr="6F27FDAB" w:rsidR="007E0664">
              <w:rPr>
                <w:sz w:val="20"/>
                <w:szCs w:val="20"/>
                <w:lang w:val="en-US"/>
              </w:rPr>
              <w:t>commenced</w:t>
            </w:r>
            <w:r w:rsidRPr="6F27FDAB" w:rsidR="007E0664">
              <w:rPr>
                <w:sz w:val="20"/>
                <w:szCs w:val="20"/>
                <w:lang w:val="en-US"/>
              </w:rPr>
              <w:t xml:space="preserve"> discussions on Auctions with countries.</w:t>
            </w:r>
          </w:p>
        </w:tc>
      </w:tr>
      <w:tr w:rsidRPr="00BF210E" w:rsidR="007E0664" w:rsidTr="38E3CE12" w14:paraId="0395133A" w14:textId="77777777">
        <w:tc>
          <w:tcPr>
            <w:tcW w:w="4530" w:type="dxa"/>
            <w:tcMar/>
          </w:tcPr>
          <w:p w:rsidRPr="00BF210E" w:rsidR="007E0664" w:rsidP="38E3CE12" w:rsidRDefault="007E0664" w14:paraId="407B3DE9" w14:textId="77777777">
            <w:pPr>
              <w:rPr>
                <w:sz w:val="20"/>
                <w:szCs w:val="20"/>
                <w:lang w:val="en-US"/>
              </w:rPr>
            </w:pPr>
            <w:r w:rsidRPr="38E3CE12" w:rsidR="007E0664">
              <w:rPr>
                <w:sz w:val="20"/>
                <w:szCs w:val="20"/>
                <w:lang w:val="en-US"/>
              </w:rPr>
              <w:t xml:space="preserve">Recommendation 3: [Rolled over] World Bank and Contributors to advance implementation/unblock challenges for the implementation of the ER </w:t>
            </w:r>
            <w:r w:rsidRPr="38E3CE12" w:rsidR="007E0664">
              <w:rPr>
                <w:sz w:val="20"/>
                <w:szCs w:val="20"/>
                <w:lang w:val="en-US"/>
              </w:rPr>
              <w:t>Programmes</w:t>
            </w:r>
            <w:r w:rsidRPr="38E3CE12" w:rsidR="007E0664">
              <w:rPr>
                <w:sz w:val="20"/>
                <w:szCs w:val="20"/>
                <w:lang w:val="en-US"/>
              </w:rPr>
              <w:t xml:space="preserve">, and Monitoring Report submissions. UK BEIS to consider and discuss with World Bank whether/how other UK </w:t>
            </w:r>
            <w:r w:rsidRPr="38E3CE12" w:rsidR="007E0664">
              <w:rPr>
                <w:sz w:val="20"/>
                <w:szCs w:val="20"/>
                <w:lang w:val="en-US"/>
              </w:rPr>
              <w:t>programmes</w:t>
            </w:r>
            <w:r w:rsidRPr="38E3CE12" w:rsidR="007E0664">
              <w:rPr>
                <w:sz w:val="20"/>
                <w:szCs w:val="20"/>
                <w:lang w:val="en-US"/>
              </w:rPr>
              <w:t xml:space="preserve"> can support advancement of ER </w:t>
            </w:r>
            <w:r w:rsidRPr="38E3CE12" w:rsidR="007E0664">
              <w:rPr>
                <w:sz w:val="20"/>
                <w:szCs w:val="20"/>
                <w:lang w:val="en-US"/>
              </w:rPr>
              <w:t>Programme</w:t>
            </w:r>
            <w:r w:rsidRPr="38E3CE12" w:rsidR="007E0664">
              <w:rPr>
                <w:sz w:val="20"/>
                <w:szCs w:val="20"/>
                <w:lang w:val="en-US"/>
              </w:rPr>
              <w:t xml:space="preserve"> implementation, including new REDD+ programming focused on monitoring and MRV, and Technical Assistance.</w:t>
            </w:r>
          </w:p>
        </w:tc>
        <w:tc>
          <w:tcPr>
            <w:tcW w:w="4486" w:type="dxa"/>
            <w:tcMar/>
          </w:tcPr>
          <w:p w:rsidR="007E0664" w:rsidP="6F27FDAB" w:rsidRDefault="007E0664" w14:paraId="5302DD4C" w14:textId="77777777" w14:noSpellErr="1">
            <w:pPr>
              <w:rPr>
                <w:sz w:val="20"/>
                <w:szCs w:val="20"/>
                <w:lang w:val="en-US"/>
              </w:rPr>
            </w:pPr>
            <w:r w:rsidRPr="6F27FDAB" w:rsidR="007E0664">
              <w:rPr>
                <w:b w:val="1"/>
                <w:bCs w:val="1"/>
                <w:sz w:val="20"/>
                <w:szCs w:val="20"/>
                <w:lang w:val="en-US"/>
              </w:rPr>
              <w:t>Partially Complete.</w:t>
            </w:r>
            <w:r w:rsidRPr="6F27FDAB" w:rsidR="007E0664">
              <w:rPr>
                <w:sz w:val="20"/>
                <w:szCs w:val="20"/>
                <w:lang w:val="en-US"/>
              </w:rPr>
              <w:t xml:space="preserve"> All countries have now </w:t>
            </w:r>
            <w:r w:rsidRPr="6F27FDAB" w:rsidR="007E0664">
              <w:rPr>
                <w:sz w:val="20"/>
                <w:szCs w:val="20"/>
                <w:lang w:val="en-US"/>
              </w:rPr>
              <w:t>submitted</w:t>
            </w:r>
            <w:r w:rsidRPr="6F27FDAB" w:rsidR="007E0664">
              <w:rPr>
                <w:sz w:val="20"/>
                <w:szCs w:val="20"/>
                <w:lang w:val="en-US"/>
              </w:rPr>
              <w:t xml:space="preserve"> at least one Monitoring Report, showing </w:t>
            </w:r>
            <w:r w:rsidRPr="6F27FDAB" w:rsidR="007E0664">
              <w:rPr>
                <w:sz w:val="20"/>
                <w:szCs w:val="20"/>
                <w:lang w:val="en-US"/>
              </w:rPr>
              <w:t>advancement</w:t>
            </w:r>
            <w:r w:rsidRPr="6F27FDAB" w:rsidR="007E0664">
              <w:rPr>
                <w:sz w:val="20"/>
                <w:szCs w:val="20"/>
                <w:lang w:val="en-US"/>
              </w:rPr>
              <w:t xml:space="preserve"> of ER Programmes. Current expectations </w:t>
            </w:r>
            <w:r w:rsidRPr="6F27FDAB" w:rsidR="007E0664">
              <w:rPr>
                <w:sz w:val="20"/>
                <w:szCs w:val="20"/>
                <w:lang w:val="en-US"/>
              </w:rPr>
              <w:t>on</w:t>
            </w:r>
            <w:r w:rsidRPr="6F27FDAB" w:rsidR="007E0664">
              <w:rPr>
                <w:sz w:val="20"/>
                <w:szCs w:val="20"/>
                <w:lang w:val="en-US"/>
              </w:rPr>
              <w:t xml:space="preserve"> ER Delivery to 2025 still show the need to accelerate to realise ER volumes within the fund’s lifetime. Discussions on a possible FCPF extension have </w:t>
            </w:r>
            <w:r w:rsidRPr="6F27FDAB" w:rsidR="007E0664">
              <w:rPr>
                <w:sz w:val="20"/>
                <w:szCs w:val="20"/>
                <w:lang w:val="en-US"/>
              </w:rPr>
              <w:t>commenced</w:t>
            </w:r>
            <w:r w:rsidRPr="6F27FDAB" w:rsidR="007E0664">
              <w:rPr>
                <w:sz w:val="20"/>
                <w:szCs w:val="20"/>
                <w:lang w:val="en-US"/>
              </w:rPr>
              <w:t>.</w:t>
            </w:r>
          </w:p>
          <w:p w:rsidR="007E0664" w:rsidRDefault="007E0664" w14:paraId="2FF09BA8" w14:textId="77777777">
            <w:pPr>
              <w:rPr>
                <w:bCs/>
                <w:sz w:val="20"/>
                <w:szCs w:val="20"/>
                <w:lang w:val="en"/>
              </w:rPr>
            </w:pPr>
          </w:p>
          <w:p w:rsidRPr="00BF210E" w:rsidR="007E0664" w:rsidP="6F27FDAB" w:rsidRDefault="007E0664" w14:paraId="3C9036DA" w14:textId="77777777">
            <w:pPr>
              <w:rPr>
                <w:sz w:val="20"/>
                <w:szCs w:val="20"/>
                <w:lang w:val="en-US"/>
              </w:rPr>
            </w:pPr>
            <w:r w:rsidRPr="6F27FDAB" w:rsidR="007E0664">
              <w:rPr>
                <w:sz w:val="20"/>
                <w:szCs w:val="20"/>
                <w:lang w:val="en-US"/>
              </w:rPr>
              <w:t>New</w:t>
            </w:r>
            <w:r w:rsidRPr="6F27FDAB" w:rsidR="007E0664">
              <w:rPr>
                <w:sz w:val="20"/>
                <w:szCs w:val="20"/>
                <w:lang w:val="en-US"/>
              </w:rPr>
              <w:t xml:space="preserve"> UK-supported programme, delivered by FAO, on forest monitoring and MRV was launched in April 2023. There are opportunities to support the advancement of FCPF ER Programmes within country through country </w:t>
            </w:r>
            <w:r w:rsidRPr="6F27FDAB" w:rsidR="007E0664">
              <w:rPr>
                <w:sz w:val="20"/>
                <w:szCs w:val="20"/>
                <w:lang w:val="en-US"/>
              </w:rPr>
              <w:t>workplanning</w:t>
            </w:r>
            <w:r w:rsidRPr="6F27FDAB" w:rsidR="007E0664">
              <w:rPr>
                <w:sz w:val="20"/>
                <w:szCs w:val="20"/>
                <w:lang w:val="en-US"/>
              </w:rPr>
              <w:t xml:space="preserve">, should a host country </w:t>
            </w:r>
            <w:r w:rsidRPr="6F27FDAB" w:rsidR="007E0664">
              <w:rPr>
                <w:sz w:val="20"/>
                <w:szCs w:val="20"/>
                <w:lang w:val="en-US"/>
              </w:rPr>
              <w:t>indicate</w:t>
            </w:r>
            <w:r w:rsidRPr="6F27FDAB" w:rsidR="007E0664">
              <w:rPr>
                <w:sz w:val="20"/>
                <w:szCs w:val="20"/>
                <w:lang w:val="en-US"/>
              </w:rPr>
              <w:t xml:space="preserve"> need for strategic support in this area – a recommendation for FY23-24 will be to ensure enhanced coordination between programmes to unblock barriers and deliver on shared goals.</w:t>
            </w:r>
          </w:p>
        </w:tc>
      </w:tr>
      <w:tr w:rsidRPr="00F7361A" w:rsidR="007E0664" w:rsidTr="38E3CE12" w14:paraId="590610DD" w14:textId="77777777">
        <w:tc>
          <w:tcPr>
            <w:tcW w:w="4530" w:type="dxa"/>
            <w:tcMar/>
          </w:tcPr>
          <w:p w:rsidRPr="005C5470" w:rsidR="007E0664" w:rsidRDefault="007E0664" w14:paraId="090F5D3C" w14:textId="77777777">
            <w:pPr>
              <w:rPr>
                <w:bCs/>
                <w:sz w:val="20"/>
                <w:szCs w:val="20"/>
              </w:rPr>
            </w:pPr>
            <w:r w:rsidRPr="005C5470">
              <w:rPr>
                <w:bCs/>
                <w:sz w:val="20"/>
                <w:szCs w:val="20"/>
              </w:rPr>
              <w:t>Recommendation 4: Logframe update recommendations:</w:t>
            </w:r>
          </w:p>
          <w:p w:rsidR="007E0664" w:rsidRDefault="007E0664" w14:paraId="2D786D03" w14:textId="77777777">
            <w:pPr>
              <w:rPr>
                <w:bCs/>
                <w:sz w:val="20"/>
                <w:szCs w:val="20"/>
              </w:rPr>
            </w:pPr>
            <w:r w:rsidRPr="005C5470">
              <w:rPr>
                <w:bCs/>
                <w:sz w:val="20"/>
                <w:szCs w:val="20"/>
              </w:rPr>
              <w:t xml:space="preserve">4a. UK BEIS to update: Output 1.1: consider, with World Bank support, methodology/approach in setting interim milestones. Consider combining with Output 1.4 to track absolute and percentage progress. </w:t>
            </w:r>
          </w:p>
          <w:p w:rsidRPr="005C5470" w:rsidR="007E0664" w:rsidRDefault="007E0664" w14:paraId="7FFAD7FD" w14:textId="77777777">
            <w:pPr>
              <w:rPr>
                <w:bCs/>
                <w:sz w:val="20"/>
                <w:szCs w:val="20"/>
              </w:rPr>
            </w:pPr>
          </w:p>
          <w:p w:rsidR="007E0664" w:rsidRDefault="007E0664" w14:paraId="553D0530" w14:textId="77777777">
            <w:pPr>
              <w:rPr>
                <w:bCs/>
                <w:sz w:val="20"/>
                <w:szCs w:val="20"/>
              </w:rPr>
            </w:pPr>
            <w:r w:rsidRPr="005C5470">
              <w:rPr>
                <w:bCs/>
                <w:sz w:val="20"/>
                <w:szCs w:val="20"/>
              </w:rPr>
              <w:t xml:space="preserve">4b. UK BEIS to update: Output 1.2 and Output 1.3: consider removing indicator/greying out (as most CoE have now been complete for countries), or weighting lower than other indicators within Output 1 set. </w:t>
            </w:r>
          </w:p>
          <w:p w:rsidRPr="005C5470" w:rsidR="007E0664" w:rsidRDefault="007E0664" w14:paraId="20FCDB14" w14:textId="77777777">
            <w:pPr>
              <w:rPr>
                <w:bCs/>
                <w:sz w:val="20"/>
                <w:szCs w:val="20"/>
              </w:rPr>
            </w:pPr>
          </w:p>
          <w:p w:rsidR="007E0664" w:rsidRDefault="007E0664" w14:paraId="1F6D6389" w14:textId="77777777">
            <w:pPr>
              <w:rPr>
                <w:bCs/>
                <w:sz w:val="20"/>
                <w:szCs w:val="20"/>
              </w:rPr>
            </w:pPr>
            <w:r w:rsidRPr="005C5470">
              <w:rPr>
                <w:bCs/>
                <w:sz w:val="20"/>
                <w:szCs w:val="20"/>
              </w:rPr>
              <w:t xml:space="preserve">4c. UK BEIS to update: Consider, with World Bank support, adding new indicator to Output 1 set on implementation of ER programmes (e.g., submission of Monitoring Reports (to track timely implementation of ERPAs), and or completion of verification/validation). </w:t>
            </w:r>
          </w:p>
          <w:p w:rsidRPr="005C5470" w:rsidR="007E0664" w:rsidRDefault="007E0664" w14:paraId="42904D5F" w14:textId="77777777">
            <w:pPr>
              <w:rPr>
                <w:bCs/>
                <w:sz w:val="20"/>
                <w:szCs w:val="20"/>
              </w:rPr>
            </w:pPr>
          </w:p>
          <w:p w:rsidR="007E0664" w:rsidRDefault="007E0664" w14:paraId="34F4FDBE" w14:textId="77777777">
            <w:pPr>
              <w:rPr>
                <w:bCs/>
                <w:sz w:val="20"/>
                <w:szCs w:val="20"/>
              </w:rPr>
            </w:pPr>
            <w:r w:rsidRPr="005C5470">
              <w:rPr>
                <w:bCs/>
                <w:sz w:val="20"/>
                <w:szCs w:val="20"/>
              </w:rPr>
              <w:t>4d. UK BEIS to update Output 2.1 to ‘extent to which’ to ensure it represents qualitative assessment of FCPF’s support efforts.</w:t>
            </w:r>
          </w:p>
          <w:p w:rsidRPr="005C5470" w:rsidR="007E0664" w:rsidRDefault="007E0664" w14:paraId="35B73FC2" w14:textId="77777777">
            <w:pPr>
              <w:rPr>
                <w:bCs/>
                <w:sz w:val="20"/>
                <w:szCs w:val="20"/>
              </w:rPr>
            </w:pPr>
          </w:p>
          <w:p w:rsidRPr="005C5470" w:rsidR="007E0664" w:rsidRDefault="007E0664" w14:paraId="5215D83B" w14:textId="77777777">
            <w:pPr>
              <w:rPr>
                <w:bCs/>
                <w:sz w:val="20"/>
                <w:szCs w:val="20"/>
              </w:rPr>
            </w:pPr>
            <w:r w:rsidRPr="005C5470">
              <w:rPr>
                <w:bCs/>
                <w:sz w:val="20"/>
                <w:szCs w:val="20"/>
              </w:rPr>
              <w:t>4e. UK BEIS to consider metho</w:t>
            </w:r>
            <w:r>
              <w:rPr>
                <w:bCs/>
                <w:sz w:val="20"/>
                <w:szCs w:val="20"/>
              </w:rPr>
              <w:t>d</w:t>
            </w:r>
            <w:r w:rsidRPr="005C5470">
              <w:rPr>
                <w:bCs/>
                <w:sz w:val="20"/>
                <w:szCs w:val="20"/>
              </w:rPr>
              <w:t>ology/approach to set milestones for Output 2.2 “% of monetary benefits from CF programmes shared with beneficiaries” from published final BSPs for next FY. World Bank will set milestones and target for this indicator once final BSPs have been published, likely in FY23 or FY24.</w:t>
            </w:r>
          </w:p>
        </w:tc>
        <w:tc>
          <w:tcPr>
            <w:tcW w:w="4486" w:type="dxa"/>
            <w:tcMar/>
          </w:tcPr>
          <w:p w:rsidRPr="00212584" w:rsidR="007E0664" w:rsidRDefault="007E0664" w14:paraId="2B1538B6" w14:textId="77777777">
            <w:pPr>
              <w:rPr>
                <w:b/>
                <w:i/>
                <w:iCs/>
                <w:sz w:val="20"/>
                <w:szCs w:val="20"/>
                <w:lang w:val="en"/>
              </w:rPr>
            </w:pPr>
            <w:r w:rsidRPr="00212584">
              <w:rPr>
                <w:b/>
                <w:i/>
                <w:iCs/>
                <w:sz w:val="20"/>
                <w:szCs w:val="20"/>
                <w:lang w:val="en"/>
              </w:rPr>
              <w:t xml:space="preserve">Partially Complete. </w:t>
            </w:r>
          </w:p>
          <w:p w:rsidR="007E0664" w:rsidRDefault="007E0664" w14:paraId="682D5975" w14:textId="77777777">
            <w:pPr>
              <w:rPr>
                <w:bCs/>
                <w:sz w:val="20"/>
                <w:szCs w:val="20"/>
                <w:lang w:val="en"/>
              </w:rPr>
            </w:pPr>
          </w:p>
          <w:p w:rsidR="007E0664" w:rsidRDefault="007E0664" w14:paraId="2ECDD850" w14:textId="77777777">
            <w:pPr>
              <w:rPr>
                <w:bCs/>
                <w:sz w:val="20"/>
                <w:szCs w:val="20"/>
                <w:lang w:val="en"/>
              </w:rPr>
            </w:pPr>
            <w:r>
              <w:rPr>
                <w:bCs/>
                <w:sz w:val="20"/>
                <w:szCs w:val="20"/>
                <w:lang w:val="en"/>
              </w:rPr>
              <w:t>4a: Complete. Output 1.1 has been combined with Output 1.4 and interim milestones have been set.</w:t>
            </w:r>
          </w:p>
          <w:p w:rsidR="007E0664" w:rsidRDefault="007E0664" w14:paraId="29F043BD" w14:textId="77777777">
            <w:pPr>
              <w:rPr>
                <w:bCs/>
                <w:sz w:val="20"/>
                <w:szCs w:val="20"/>
                <w:lang w:val="en"/>
              </w:rPr>
            </w:pPr>
          </w:p>
          <w:p w:rsidR="007E0664" w:rsidRDefault="007E0664" w14:paraId="016378DD" w14:textId="77777777">
            <w:pPr>
              <w:rPr>
                <w:bCs/>
                <w:sz w:val="20"/>
                <w:szCs w:val="20"/>
                <w:lang w:val="en"/>
              </w:rPr>
            </w:pPr>
            <w:r>
              <w:rPr>
                <w:bCs/>
                <w:sz w:val="20"/>
                <w:szCs w:val="20"/>
                <w:lang w:val="en"/>
              </w:rPr>
              <w:t>4b. Complete. Output 1.2 and 1.3 are now complete and will not be reported on.</w:t>
            </w:r>
          </w:p>
          <w:p w:rsidR="007E0664" w:rsidRDefault="007E0664" w14:paraId="60206989" w14:textId="77777777">
            <w:pPr>
              <w:rPr>
                <w:bCs/>
                <w:sz w:val="20"/>
                <w:szCs w:val="20"/>
                <w:lang w:val="en"/>
              </w:rPr>
            </w:pPr>
          </w:p>
          <w:p w:rsidR="007E0664" w:rsidRDefault="007E0664" w14:paraId="567D8FE6" w14:textId="77777777">
            <w:pPr>
              <w:tabs>
                <w:tab w:val="left" w:pos="996"/>
              </w:tabs>
              <w:rPr>
                <w:bCs/>
                <w:sz w:val="20"/>
                <w:szCs w:val="20"/>
                <w:lang w:val="en" w:eastAsia="en-US"/>
              </w:rPr>
            </w:pPr>
            <w:r>
              <w:rPr>
                <w:bCs/>
                <w:sz w:val="20"/>
                <w:szCs w:val="20"/>
                <w:lang w:val="en"/>
              </w:rPr>
              <w:t xml:space="preserve">4c. Complete. New indicator in Output 1 set: </w:t>
            </w:r>
          </w:p>
          <w:p w:rsidRPr="00BF724A" w:rsidR="007E0664" w:rsidP="38E3CE12" w:rsidRDefault="007E0664" w14:paraId="2A065BC6" w14:textId="77777777">
            <w:pPr>
              <w:tabs>
                <w:tab w:val="left" w:pos="996"/>
              </w:tabs>
              <w:rPr>
                <w:i w:val="1"/>
                <w:iCs w:val="1"/>
                <w:sz w:val="20"/>
                <w:szCs w:val="20"/>
                <w:lang w:val="en-US"/>
              </w:rPr>
            </w:pPr>
            <w:r w:rsidRPr="38E3CE12" w:rsidR="007E0664">
              <w:rPr>
                <w:i w:val="1"/>
                <w:iCs w:val="1"/>
                <w:sz w:val="20"/>
                <w:szCs w:val="20"/>
                <w:lang w:val="en-US"/>
              </w:rPr>
              <w:t xml:space="preserve">Efficient implementation of ER </w:t>
            </w:r>
            <w:r w:rsidRPr="38E3CE12" w:rsidR="007E0664">
              <w:rPr>
                <w:i w:val="1"/>
                <w:iCs w:val="1"/>
                <w:sz w:val="20"/>
                <w:szCs w:val="20"/>
                <w:lang w:val="en-US"/>
              </w:rPr>
              <w:t>programmes</w:t>
            </w:r>
            <w:r w:rsidRPr="38E3CE12" w:rsidR="007E0664">
              <w:rPr>
                <w:i w:val="1"/>
                <w:iCs w:val="1"/>
                <w:sz w:val="20"/>
                <w:szCs w:val="20"/>
                <w:lang w:val="en-US"/>
              </w:rPr>
              <w:t>.</w:t>
            </w:r>
          </w:p>
          <w:p w:rsidRPr="00BF724A" w:rsidR="007E0664" w:rsidP="6F27FDAB" w:rsidRDefault="007E0664" w14:paraId="50FB8003" w14:textId="77777777" w14:noSpellErr="1">
            <w:pPr>
              <w:tabs>
                <w:tab w:val="left" w:pos="996"/>
              </w:tabs>
              <w:rPr>
                <w:i w:val="1"/>
                <w:iCs w:val="1"/>
                <w:sz w:val="20"/>
                <w:szCs w:val="20"/>
                <w:lang w:val="en-US"/>
              </w:rPr>
            </w:pPr>
            <w:r w:rsidRPr="6F27FDAB" w:rsidR="007E0664">
              <w:rPr>
                <w:i w:val="1"/>
                <w:iCs w:val="1"/>
                <w:sz w:val="20"/>
                <w:szCs w:val="20"/>
                <w:lang w:val="en-US"/>
              </w:rPr>
              <w:t xml:space="preserve">a) Number of Monitoring Reports </w:t>
            </w:r>
            <w:r w:rsidRPr="6F27FDAB" w:rsidR="007E0664">
              <w:rPr>
                <w:i w:val="1"/>
                <w:iCs w:val="1"/>
                <w:sz w:val="20"/>
                <w:szCs w:val="20"/>
                <w:lang w:val="en-US"/>
              </w:rPr>
              <w:t>submitted</w:t>
            </w:r>
            <w:r w:rsidRPr="6F27FDAB" w:rsidR="007E0664">
              <w:rPr>
                <w:i w:val="1"/>
                <w:iCs w:val="1"/>
                <w:sz w:val="20"/>
                <w:szCs w:val="20"/>
                <w:lang w:val="en-US"/>
              </w:rPr>
              <w:t xml:space="preserve"> (cumulative)</w:t>
            </w:r>
          </w:p>
          <w:p w:rsidR="007E0664" w:rsidP="6F27FDAB" w:rsidRDefault="007E0664" w14:paraId="5B6ADF0F" w14:textId="77777777" w14:noSpellErr="1">
            <w:pPr>
              <w:tabs>
                <w:tab w:val="left" w:pos="996"/>
              </w:tabs>
              <w:rPr>
                <w:i w:val="1"/>
                <w:iCs w:val="1"/>
                <w:sz w:val="20"/>
                <w:szCs w:val="20"/>
                <w:lang w:val="en-US"/>
              </w:rPr>
            </w:pPr>
            <w:r w:rsidRPr="6F27FDAB" w:rsidR="007E0664">
              <w:rPr>
                <w:i w:val="1"/>
                <w:iCs w:val="1"/>
                <w:sz w:val="20"/>
                <w:szCs w:val="20"/>
                <w:lang w:val="en-US"/>
              </w:rPr>
              <w:t>b) Number of Monitoring Reports successfully verified/</w:t>
            </w:r>
            <w:r w:rsidRPr="6F27FDAB" w:rsidR="007E0664">
              <w:rPr>
                <w:i w:val="1"/>
                <w:iCs w:val="1"/>
                <w:sz w:val="20"/>
                <w:szCs w:val="20"/>
                <w:lang w:val="en-US"/>
              </w:rPr>
              <w:t>validated</w:t>
            </w:r>
            <w:r w:rsidRPr="6F27FDAB" w:rsidR="007E0664">
              <w:rPr>
                <w:i w:val="1"/>
                <w:iCs w:val="1"/>
                <w:sz w:val="20"/>
                <w:szCs w:val="20"/>
                <w:lang w:val="en-US"/>
              </w:rPr>
              <w:t xml:space="preserve"> (cumulative)</w:t>
            </w:r>
            <w:r>
              <w:tab/>
            </w:r>
          </w:p>
          <w:p w:rsidR="007E0664" w:rsidRDefault="007E0664" w14:paraId="2DFC38D6" w14:textId="77777777">
            <w:pPr>
              <w:tabs>
                <w:tab w:val="left" w:pos="996"/>
              </w:tabs>
              <w:rPr>
                <w:bCs/>
                <w:i/>
                <w:iCs/>
                <w:sz w:val="20"/>
                <w:szCs w:val="20"/>
                <w:lang w:val="en"/>
              </w:rPr>
            </w:pPr>
          </w:p>
          <w:p w:rsidR="007E0664" w:rsidRDefault="007E0664" w14:paraId="401D4348" w14:textId="77777777">
            <w:pPr>
              <w:tabs>
                <w:tab w:val="left" w:pos="996"/>
              </w:tabs>
              <w:rPr>
                <w:bCs/>
                <w:sz w:val="20"/>
                <w:szCs w:val="20"/>
                <w:lang w:val="en"/>
              </w:rPr>
            </w:pPr>
            <w:r>
              <w:rPr>
                <w:bCs/>
                <w:sz w:val="20"/>
                <w:szCs w:val="20"/>
                <w:lang w:val="en"/>
              </w:rPr>
              <w:t>4d. Complete. Output 2.1 updated to:</w:t>
            </w:r>
          </w:p>
          <w:p w:rsidR="007E0664" w:rsidRDefault="007E0664" w14:paraId="3DAAFD52" w14:textId="77777777">
            <w:pPr>
              <w:tabs>
                <w:tab w:val="left" w:pos="996"/>
              </w:tabs>
              <w:rPr>
                <w:bCs/>
                <w:i/>
                <w:iCs/>
                <w:sz w:val="20"/>
                <w:szCs w:val="20"/>
                <w:lang w:val="en"/>
              </w:rPr>
            </w:pPr>
            <w:r w:rsidRPr="00F7361A">
              <w:rPr>
                <w:bCs/>
                <w:i/>
                <w:iCs/>
                <w:sz w:val="20"/>
                <w:szCs w:val="20"/>
                <w:lang w:val="en"/>
              </w:rPr>
              <w:t>Number of Participant countries and extent to which FCPF has supported country efforts to sustain and enhance livelihoods within REDD+ interventions areas (including among women, women's groups, IPs, CSOs, and local communities)</w:t>
            </w:r>
          </w:p>
          <w:p w:rsidR="007E0664" w:rsidRDefault="007E0664" w14:paraId="63C4F64C" w14:textId="77777777">
            <w:pPr>
              <w:tabs>
                <w:tab w:val="left" w:pos="996"/>
              </w:tabs>
              <w:rPr>
                <w:bCs/>
                <w:i/>
                <w:iCs/>
                <w:sz w:val="20"/>
                <w:szCs w:val="20"/>
                <w:lang w:val="en"/>
              </w:rPr>
            </w:pPr>
          </w:p>
          <w:p w:rsidRPr="00F7361A" w:rsidR="007E0664" w:rsidP="6F27FDAB" w:rsidRDefault="007E0664" w14:paraId="1629B4B4" w14:textId="77777777" w14:noSpellErr="1">
            <w:pPr>
              <w:tabs>
                <w:tab w:val="left" w:pos="996"/>
              </w:tabs>
              <w:rPr>
                <w:sz w:val="20"/>
                <w:szCs w:val="20"/>
                <w:lang w:val="en-US"/>
              </w:rPr>
            </w:pPr>
            <w:r w:rsidRPr="6F27FDAB" w:rsidR="007E0664">
              <w:rPr>
                <w:sz w:val="20"/>
                <w:szCs w:val="20"/>
                <w:lang w:val="en-US"/>
              </w:rPr>
              <w:t xml:space="preserve">4e. Incomplete – </w:t>
            </w:r>
            <w:r w:rsidRPr="6F27FDAB" w:rsidR="007E0664">
              <w:rPr>
                <w:sz w:val="20"/>
                <w:szCs w:val="20"/>
                <w:lang w:val="en-US"/>
              </w:rPr>
              <w:t>UK</w:t>
            </w:r>
            <w:r w:rsidRPr="6F27FDAB" w:rsidR="007E0664">
              <w:rPr>
                <w:sz w:val="20"/>
                <w:szCs w:val="20"/>
                <w:lang w:val="en-US"/>
              </w:rPr>
              <w:t xml:space="preserve"> has not been able to set this </w:t>
            </w:r>
            <w:r w:rsidRPr="6F27FDAB" w:rsidR="007E0664">
              <w:rPr>
                <w:sz w:val="20"/>
                <w:szCs w:val="20"/>
                <w:lang w:val="en-US"/>
              </w:rPr>
              <w:t>methodology</w:t>
            </w:r>
            <w:r w:rsidRPr="6F27FDAB" w:rsidR="007E0664">
              <w:rPr>
                <w:sz w:val="20"/>
                <w:szCs w:val="20"/>
                <w:lang w:val="en-US"/>
              </w:rPr>
              <w:t xml:space="preserve"> for milestones/target due to unavailability of information on benefits. World Bank will </w:t>
            </w:r>
            <w:r w:rsidRPr="6F27FDAB" w:rsidR="007E0664">
              <w:rPr>
                <w:sz w:val="20"/>
                <w:szCs w:val="20"/>
                <w:lang w:val="en-US"/>
              </w:rPr>
              <w:t>commence</w:t>
            </w:r>
            <w:r w:rsidRPr="6F27FDAB" w:rsidR="007E0664">
              <w:rPr>
                <w:sz w:val="20"/>
                <w:szCs w:val="20"/>
                <w:lang w:val="en-US"/>
              </w:rPr>
              <w:t xml:space="preserve"> work set milestones/targets as all country BSPs have been complete. [Rolled over].</w:t>
            </w:r>
          </w:p>
        </w:tc>
      </w:tr>
      <w:tr w:rsidRPr="00BF210E" w:rsidR="007E0664" w:rsidTr="38E3CE12" w14:paraId="616AFAB7" w14:textId="77777777">
        <w:tc>
          <w:tcPr>
            <w:tcW w:w="4530" w:type="dxa"/>
            <w:tcMar/>
          </w:tcPr>
          <w:p w:rsidRPr="004D5E8A" w:rsidR="007E0664" w:rsidRDefault="007E0664" w14:paraId="58C1E652" w14:textId="77777777">
            <w:pPr>
              <w:rPr>
                <w:bCs/>
                <w:sz w:val="20"/>
                <w:szCs w:val="20"/>
                <w:lang w:val="en"/>
              </w:rPr>
            </w:pPr>
            <w:r w:rsidRPr="004D5E8A">
              <w:rPr>
                <w:bCs/>
                <w:sz w:val="20"/>
                <w:szCs w:val="20"/>
                <w:lang w:val="en"/>
              </w:rPr>
              <w:t>Recommendation 5: FY23 Evaluation Recommendations to FCPF Evaluation Oversight Committee (noting the inclusion of such will be through qualitative analysis):</w:t>
            </w:r>
          </w:p>
          <w:p w:rsidR="007E0664" w:rsidRDefault="007E0664" w14:paraId="21ADB12E" w14:textId="77777777">
            <w:pPr>
              <w:rPr>
                <w:bCs/>
                <w:sz w:val="20"/>
                <w:szCs w:val="20"/>
                <w:lang w:val="en"/>
              </w:rPr>
            </w:pPr>
          </w:p>
          <w:p w:rsidRPr="004D5E8A" w:rsidR="007E0664" w:rsidRDefault="007E0664" w14:paraId="1F72FFF0" w14:textId="77777777">
            <w:pPr>
              <w:rPr>
                <w:bCs/>
                <w:sz w:val="20"/>
                <w:szCs w:val="20"/>
                <w:lang w:val="en"/>
              </w:rPr>
            </w:pPr>
            <w:r w:rsidRPr="004D5E8A">
              <w:rPr>
                <w:bCs/>
                <w:sz w:val="20"/>
                <w:szCs w:val="20"/>
                <w:lang w:val="en"/>
              </w:rPr>
              <w:t xml:space="preserve">5a. UK BEIS recommends a strong emphasis on Output Set 2, and how FCPF has been able to, and is likely to be able to, support co-benefits in sustaining and enhancing livelihoods and conserving biodiversity. </w:t>
            </w:r>
          </w:p>
          <w:p w:rsidR="007E0664" w:rsidRDefault="007E0664" w14:paraId="19D165F1" w14:textId="77777777">
            <w:pPr>
              <w:rPr>
                <w:bCs/>
                <w:sz w:val="20"/>
                <w:szCs w:val="20"/>
                <w:lang w:val="en"/>
              </w:rPr>
            </w:pPr>
          </w:p>
          <w:p w:rsidRPr="004D5E8A" w:rsidR="007E0664" w:rsidRDefault="007E0664" w14:paraId="11409A88" w14:textId="77777777">
            <w:pPr>
              <w:rPr>
                <w:bCs/>
                <w:sz w:val="20"/>
                <w:szCs w:val="20"/>
                <w:lang w:val="en"/>
              </w:rPr>
            </w:pPr>
            <w:r w:rsidRPr="004D5E8A">
              <w:rPr>
                <w:bCs/>
                <w:sz w:val="20"/>
                <w:szCs w:val="20"/>
                <w:lang w:val="en"/>
              </w:rPr>
              <w:t>5b. UK BEIS recommends a strong emphasis on Output Set 3 and broader FCPF influence. UK BEIS recommends the evaluation covers assessment of learning products impact and influence.</w:t>
            </w:r>
          </w:p>
          <w:p w:rsidR="007E0664" w:rsidRDefault="007E0664" w14:paraId="76750DEC" w14:textId="77777777">
            <w:pPr>
              <w:rPr>
                <w:bCs/>
                <w:sz w:val="20"/>
                <w:szCs w:val="20"/>
                <w:lang w:val="en"/>
              </w:rPr>
            </w:pPr>
          </w:p>
          <w:p w:rsidRPr="004D5E8A" w:rsidR="007E0664" w:rsidRDefault="007E0664" w14:paraId="03A4119F" w14:textId="77777777">
            <w:pPr>
              <w:rPr>
                <w:bCs/>
                <w:sz w:val="20"/>
                <w:szCs w:val="20"/>
                <w:lang w:val="en"/>
              </w:rPr>
            </w:pPr>
            <w:r w:rsidRPr="004D5E8A">
              <w:rPr>
                <w:bCs/>
                <w:sz w:val="20"/>
                <w:szCs w:val="20"/>
                <w:lang w:val="en"/>
              </w:rPr>
              <w:t>5c. UK BEIS recommends an assessment of FCPF legacy, and how FCPF procedures/practices can be integrated into future opportunities (e.g., SCALE)</w:t>
            </w:r>
          </w:p>
          <w:p w:rsidR="007E0664" w:rsidRDefault="007E0664" w14:paraId="4844B00B" w14:textId="77777777">
            <w:pPr>
              <w:rPr>
                <w:bCs/>
                <w:sz w:val="20"/>
                <w:szCs w:val="20"/>
                <w:lang w:val="en"/>
              </w:rPr>
            </w:pPr>
          </w:p>
          <w:p w:rsidRPr="00BF210E" w:rsidR="007E0664" w:rsidP="38E3CE12" w:rsidRDefault="007E0664" w14:paraId="0E226114" w14:textId="77777777">
            <w:pPr>
              <w:rPr>
                <w:sz w:val="20"/>
                <w:szCs w:val="20"/>
                <w:lang w:val="en-US"/>
              </w:rPr>
            </w:pPr>
            <w:r w:rsidRPr="38E3CE12" w:rsidR="007E0664">
              <w:rPr>
                <w:sz w:val="20"/>
                <w:szCs w:val="20"/>
                <w:lang w:val="en-US"/>
              </w:rPr>
              <w:t xml:space="preserve">5d. UK BEIS recommends an assessment of </w:t>
            </w:r>
            <w:r w:rsidRPr="38E3CE12" w:rsidR="007E0664">
              <w:rPr>
                <w:sz w:val="20"/>
                <w:szCs w:val="20"/>
                <w:lang w:val="en-US"/>
              </w:rPr>
              <w:t>logframe</w:t>
            </w:r>
            <w:r w:rsidRPr="38E3CE12" w:rsidR="007E0664">
              <w:rPr>
                <w:sz w:val="20"/>
                <w:szCs w:val="20"/>
                <w:lang w:val="en-US"/>
              </w:rPr>
              <w:t xml:space="preserve"> effectiveness, and the potential need to re-baseline indicators (including COVID influence/impact, and re-baselining upwards/raising ambition for indicators which have over-achieved on end of </w:t>
            </w:r>
            <w:r w:rsidRPr="38E3CE12" w:rsidR="007E0664">
              <w:rPr>
                <w:sz w:val="20"/>
                <w:szCs w:val="20"/>
                <w:lang w:val="en-US"/>
              </w:rPr>
              <w:t>programme</w:t>
            </w:r>
            <w:r w:rsidRPr="38E3CE12" w:rsidR="007E0664">
              <w:rPr>
                <w:sz w:val="20"/>
                <w:szCs w:val="20"/>
                <w:lang w:val="en-US"/>
              </w:rPr>
              <w:t xml:space="preserve"> targets).</w:t>
            </w:r>
          </w:p>
        </w:tc>
        <w:tc>
          <w:tcPr>
            <w:tcW w:w="4486" w:type="dxa"/>
            <w:tcMar/>
          </w:tcPr>
          <w:p w:rsidR="007E0664" w:rsidP="6F27FDAB" w:rsidRDefault="007E0664" w14:paraId="57F2EFE4" w14:textId="77777777" w14:noSpellErr="1">
            <w:pPr>
              <w:rPr>
                <w:sz w:val="20"/>
                <w:szCs w:val="20"/>
                <w:lang w:val="en-US"/>
              </w:rPr>
            </w:pPr>
            <w:r w:rsidRPr="6F27FDAB" w:rsidR="007E0664">
              <w:rPr>
                <w:b w:val="1"/>
                <w:bCs w:val="1"/>
                <w:sz w:val="20"/>
                <w:szCs w:val="20"/>
                <w:lang w:val="en-US"/>
              </w:rPr>
              <w:t>Complete.</w:t>
            </w:r>
            <w:r w:rsidRPr="6F27FDAB" w:rsidR="007E0664">
              <w:rPr>
                <w:sz w:val="20"/>
                <w:szCs w:val="20"/>
                <w:lang w:val="en-US"/>
              </w:rPr>
              <w:t xml:space="preserve"> These elements were included in the FY23 Evaluation Terms of Reference. The </w:t>
            </w:r>
            <w:r w:rsidRPr="6F27FDAB" w:rsidR="007E0664">
              <w:rPr>
                <w:sz w:val="20"/>
                <w:szCs w:val="20"/>
                <w:lang w:val="en-US"/>
              </w:rPr>
              <w:t>UK has been closely involved</w:t>
            </w:r>
            <w:r w:rsidRPr="6F27FDAB" w:rsidR="007E0664">
              <w:rPr>
                <w:sz w:val="20"/>
                <w:szCs w:val="20"/>
                <w:lang w:val="en-US"/>
              </w:rPr>
              <w:t xml:space="preserve"> in the design and development of the Evaluation,</w:t>
            </w:r>
            <w:r w:rsidRPr="6F27FDAB" w:rsidR="007E0664">
              <w:rPr>
                <w:sz w:val="20"/>
                <w:szCs w:val="20"/>
                <w:lang w:val="en-US"/>
              </w:rPr>
              <w:t xml:space="preserve"> with</w:t>
            </w:r>
            <w:r w:rsidRPr="6F27FDAB" w:rsidR="007E0664">
              <w:rPr>
                <w:sz w:val="20"/>
                <w:szCs w:val="20"/>
                <w:lang w:val="en-US"/>
              </w:rPr>
              <w:t xml:space="preserve"> a UK</w:t>
            </w:r>
            <w:r w:rsidRPr="6F27FDAB" w:rsidR="007E0664">
              <w:rPr>
                <w:sz w:val="20"/>
                <w:szCs w:val="20"/>
                <w:lang w:val="en-US"/>
              </w:rPr>
              <w:t xml:space="preserve"> MEL lead sitting on EOC and regular opportunities to influence</w:t>
            </w:r>
            <w:r w:rsidRPr="6F27FDAB" w:rsidR="007E0664">
              <w:rPr>
                <w:sz w:val="20"/>
                <w:szCs w:val="20"/>
                <w:lang w:val="en-US"/>
              </w:rPr>
              <w:t>. Final report is expected soon.</w:t>
            </w:r>
          </w:p>
          <w:p w:rsidR="007E0664" w:rsidRDefault="007E0664" w14:paraId="1DE9DD70" w14:textId="77777777">
            <w:pPr>
              <w:rPr>
                <w:bCs/>
                <w:sz w:val="20"/>
                <w:szCs w:val="20"/>
                <w:lang w:val="en"/>
              </w:rPr>
            </w:pPr>
          </w:p>
          <w:p w:rsidRPr="00BF210E" w:rsidR="007E0664" w:rsidP="6F27FDAB" w:rsidRDefault="007E0664" w14:paraId="2FE0E2D6" w14:textId="77777777" w14:noSpellErr="1">
            <w:pPr>
              <w:rPr>
                <w:sz w:val="20"/>
                <w:szCs w:val="20"/>
                <w:lang w:val="en-US"/>
              </w:rPr>
            </w:pPr>
            <w:r w:rsidRPr="6F27FDAB" w:rsidR="007E0664">
              <w:rPr>
                <w:sz w:val="20"/>
                <w:szCs w:val="20"/>
                <w:lang w:val="en-US"/>
              </w:rPr>
              <w:t>In particular, 5c. will be carried over to the next year’s recommendation – it will be imperative to continue discussions related to FCPF’s legacy and there is a collective responsibility from all within in the Carbon Fund to ensure that lessons are transferred to other initiatives, such as SCALE.</w:t>
            </w:r>
          </w:p>
        </w:tc>
      </w:tr>
      <w:tr w:rsidRPr="00086F79" w:rsidR="007E0664" w:rsidTr="38E3CE12" w14:paraId="0561BBBA" w14:textId="77777777">
        <w:tc>
          <w:tcPr>
            <w:tcW w:w="4530" w:type="dxa"/>
            <w:tcMar/>
          </w:tcPr>
          <w:p w:rsidRPr="00BF210E" w:rsidR="007E0664" w:rsidP="6F27FDAB" w:rsidRDefault="007E0664" w14:paraId="6021298D" w14:textId="77777777" w14:noSpellErr="1">
            <w:pPr>
              <w:rPr>
                <w:sz w:val="20"/>
                <w:szCs w:val="20"/>
                <w:lang w:val="en-US"/>
              </w:rPr>
            </w:pPr>
            <w:r w:rsidRPr="6F27FDAB" w:rsidR="007E0664">
              <w:rPr>
                <w:sz w:val="20"/>
                <w:szCs w:val="20"/>
                <w:lang w:val="en-US"/>
              </w:rPr>
              <w:t>Recommendation 6: Contributors and World Bank to consider ways of ensuring and maintaining functions for South–South connection, collaboration, and engagement – including through the implementation of the Knowledge Management Proposal endorsed at Carbon Fund 25, and through the development of SCALE and EnABLE.</w:t>
            </w:r>
          </w:p>
        </w:tc>
        <w:tc>
          <w:tcPr>
            <w:tcW w:w="4486" w:type="dxa"/>
            <w:tcMar/>
          </w:tcPr>
          <w:p w:rsidR="007E0664" w:rsidP="6F27FDAB" w:rsidRDefault="007E0664" w14:paraId="7343F5B7" w14:textId="77777777" w14:noSpellErr="1">
            <w:pPr>
              <w:rPr>
                <w:sz w:val="20"/>
                <w:szCs w:val="20"/>
                <w:lang w:val="en-US"/>
              </w:rPr>
            </w:pPr>
            <w:r w:rsidRPr="6F27FDAB" w:rsidR="007E0664">
              <w:rPr>
                <w:b w:val="1"/>
                <w:bCs w:val="1"/>
                <w:sz w:val="20"/>
                <w:szCs w:val="20"/>
                <w:lang w:val="en-US"/>
              </w:rPr>
              <w:t>Complete</w:t>
            </w:r>
            <w:r w:rsidRPr="6F27FDAB" w:rsidR="007E0664">
              <w:rPr>
                <w:sz w:val="20"/>
                <w:szCs w:val="20"/>
                <w:lang w:val="en-US"/>
              </w:rPr>
              <w:t>. In FY22-23, World Bank and Contributors continued to discuss South-South knowledge exchange plans through Carbon Fund Meetings (25 and 26).</w:t>
            </w:r>
          </w:p>
          <w:p w:rsidR="007E0664" w:rsidRDefault="007E0664" w14:paraId="1136521D" w14:textId="77777777">
            <w:pPr>
              <w:rPr>
                <w:bCs/>
                <w:sz w:val="20"/>
                <w:szCs w:val="20"/>
                <w:lang w:val="en"/>
              </w:rPr>
            </w:pPr>
          </w:p>
          <w:p w:rsidR="007E0664" w:rsidP="6F27FDAB" w:rsidRDefault="007E0664" w14:paraId="6BF8D3E9" w14:textId="77777777">
            <w:pPr>
              <w:rPr>
                <w:sz w:val="20"/>
                <w:szCs w:val="20"/>
                <w:lang w:val="en-US"/>
              </w:rPr>
            </w:pPr>
            <w:r w:rsidRPr="6F27FDAB" w:rsidR="007E0664">
              <w:rPr>
                <w:sz w:val="20"/>
                <w:szCs w:val="20"/>
                <w:lang w:val="en-US"/>
              </w:rPr>
              <w:t xml:space="preserve">World Bank hosted various South-South knowledge exchanges throughout this reporting period, including an FCPF Knowledge Day in Oct 2022 and various technical exchanges and learning events. The FCPF’s Capacity Building Programme has now ended, given the FCPF’s Readiness Fund sunset. World Bank’s new EnABLE will continue to consolidate successes from this programme and continue promoting and strengthening the inclusion of </w:t>
            </w:r>
            <w:r w:rsidRPr="6F27FDAB" w:rsidR="007E0664">
              <w:rPr>
                <w:sz w:val="20"/>
                <w:szCs w:val="20"/>
                <w:lang w:val="en-US"/>
              </w:rPr>
              <w:t>marginalised</w:t>
            </w:r>
            <w:r w:rsidRPr="6F27FDAB" w:rsidR="007E0664">
              <w:rPr>
                <w:sz w:val="20"/>
                <w:szCs w:val="20"/>
                <w:lang w:val="en-US"/>
              </w:rPr>
              <w:t xml:space="preserve"> communities within ER Programmes. </w:t>
            </w:r>
          </w:p>
          <w:p w:rsidR="007E0664" w:rsidRDefault="007E0664" w14:paraId="43E68662" w14:textId="77777777">
            <w:pPr>
              <w:rPr>
                <w:bCs/>
                <w:sz w:val="20"/>
                <w:szCs w:val="20"/>
                <w:lang w:val="en"/>
              </w:rPr>
            </w:pPr>
          </w:p>
          <w:p w:rsidRPr="00086F79" w:rsidR="007E0664" w:rsidP="38E3CE12" w:rsidRDefault="007E0664" w14:paraId="7DBE3770" w14:textId="77777777">
            <w:pPr>
              <w:rPr>
                <w:sz w:val="20"/>
                <w:szCs w:val="20"/>
                <w:lang w:val="en-US"/>
              </w:rPr>
            </w:pPr>
            <w:r w:rsidRPr="38E3CE12" w:rsidR="007E0664">
              <w:rPr>
                <w:sz w:val="20"/>
                <w:szCs w:val="20"/>
                <w:lang w:val="en-US"/>
              </w:rPr>
              <w:t>In FY23-24, there will be continued opportunities to collaborate, and ensure that the coordinating function of the Readiness Fund (which has now formally closed) is not lost.</w:t>
            </w:r>
            <w:r w:rsidRPr="38E3CE12" w:rsidR="007E0664">
              <w:rPr>
                <w:sz w:val="20"/>
                <w:szCs w:val="20"/>
                <w:lang w:val="en-US"/>
              </w:rPr>
              <w:t xml:space="preserve"> For example, there will be various REDD+ Knowledge Days – including one related to REDD+ Architecture at the upcoming CF27 in Washington in January 2024, and a collaborative UN-REDD discussion/event in Oslo in June 2024. </w:t>
            </w:r>
          </w:p>
        </w:tc>
      </w:tr>
    </w:tbl>
    <w:p w:rsidRPr="007E0664" w:rsidR="007E0664" w:rsidP="004D5FD5" w:rsidRDefault="007E0664" w14:paraId="5A35C892" w14:textId="77777777">
      <w:pPr>
        <w:jc w:val="both"/>
        <w:rPr>
          <w:rStyle w:val="Heading2Char"/>
          <w:lang w:val="en"/>
        </w:rPr>
      </w:pPr>
    </w:p>
    <w:p w:rsidR="001567A7" w:rsidP="004D5FD5" w:rsidRDefault="001567A7" w14:paraId="7E4A917A" w14:textId="77777777">
      <w:pPr>
        <w:jc w:val="both"/>
        <w:rPr>
          <w:rStyle w:val="Heading2Char"/>
        </w:rPr>
      </w:pPr>
    </w:p>
    <w:p w:rsidRPr="009E3F6E" w:rsidR="003D222C" w:rsidP="004D5FD5" w:rsidRDefault="003D222C" w14:paraId="788BE7E1" w14:textId="3F96265D">
      <w:pPr>
        <w:jc w:val="both"/>
      </w:pPr>
      <w:bookmarkStart w:name="_Toc155945401" w:id="7"/>
      <w:r w:rsidRPr="00004515">
        <w:rPr>
          <w:rStyle w:val="Heading2Char"/>
        </w:rPr>
        <w:t>Major lessons and recommendations for the year ahead</w:t>
      </w:r>
      <w:bookmarkEnd w:id="7"/>
      <w:r w:rsidRPr="009E3F6E">
        <w:t xml:space="preserve"> </w:t>
      </w:r>
    </w:p>
    <w:p w:rsidRPr="00D80C6C" w:rsidR="003D222C" w:rsidP="004D5FD5" w:rsidRDefault="003D222C" w14:paraId="2A4B8A97" w14:textId="77777777">
      <w:pPr>
        <w:tabs>
          <w:tab w:val="left" w:pos="6915"/>
          <w:tab w:val="left" w:pos="9495"/>
        </w:tabs>
        <w:jc w:val="both"/>
        <w:rPr>
          <w:rFonts w:cs="Arial"/>
          <w:sz w:val="22"/>
          <w:szCs w:val="22"/>
        </w:rPr>
      </w:pPr>
    </w:p>
    <w:p w:rsidR="004C1E3D" w:rsidP="00F11371" w:rsidRDefault="004C1E3D" w14:paraId="46B17CF9" w14:textId="0557CB42">
      <w:pPr>
        <w:tabs>
          <w:tab w:val="left" w:pos="6915"/>
          <w:tab w:val="left" w:pos="9495"/>
        </w:tabs>
        <w:jc w:val="both"/>
        <w:rPr>
          <w:b/>
          <w:bCs/>
          <w:sz w:val="22"/>
          <w:szCs w:val="22"/>
        </w:rPr>
      </w:pPr>
      <w:r>
        <w:rPr>
          <w:b/>
          <w:bCs/>
          <w:sz w:val="22"/>
          <w:szCs w:val="22"/>
        </w:rPr>
        <w:t xml:space="preserve">Lessons Learned </w:t>
      </w:r>
    </w:p>
    <w:p w:rsidR="004C1E3D" w:rsidP="00F11371" w:rsidRDefault="004C1E3D" w14:paraId="46EBD665" w14:textId="77777777">
      <w:pPr>
        <w:tabs>
          <w:tab w:val="left" w:pos="6915"/>
          <w:tab w:val="left" w:pos="9495"/>
        </w:tabs>
        <w:jc w:val="both"/>
        <w:rPr>
          <w:b/>
          <w:bCs/>
          <w:sz w:val="22"/>
          <w:szCs w:val="22"/>
        </w:rPr>
      </w:pPr>
    </w:p>
    <w:tbl>
      <w:tblPr>
        <w:tblW w:w="91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68"/>
        <w:gridCol w:w="1575"/>
        <w:gridCol w:w="1591"/>
        <w:gridCol w:w="1274"/>
        <w:gridCol w:w="1509"/>
        <w:gridCol w:w="1753"/>
      </w:tblGrid>
      <w:tr w:rsidRPr="007D0168" w:rsidR="002E3758" w:rsidTr="002E3758" w14:paraId="787F3300" w14:textId="77777777">
        <w:trPr>
          <w:trHeight w:val="277"/>
        </w:trPr>
        <w:tc>
          <w:tcPr>
            <w:tcW w:w="4634" w:type="dxa"/>
            <w:gridSpan w:val="3"/>
            <w:tcBorders>
              <w:top w:val="single" w:color="auto" w:sz="6" w:space="0"/>
              <w:left w:val="single" w:color="auto" w:sz="6" w:space="0"/>
              <w:bottom w:val="single" w:color="auto" w:sz="6" w:space="0"/>
              <w:right w:val="single" w:color="auto" w:sz="6" w:space="0"/>
            </w:tcBorders>
            <w:shd w:val="clear" w:color="auto" w:fill="D9E2F3"/>
            <w:hideMark/>
          </w:tcPr>
          <w:p w:rsidRPr="007D0168" w:rsidR="002E3758" w:rsidP="007D0168" w:rsidRDefault="002E3758" w14:paraId="7E9CB384" w14:textId="77777777">
            <w:pPr>
              <w:jc w:val="center"/>
              <w:textAlignment w:val="baseline"/>
              <w:rPr>
                <w:rFonts w:ascii="Segoe UI" w:hAnsi="Segoe UI" w:cs="Segoe UI"/>
                <w:sz w:val="18"/>
                <w:szCs w:val="18"/>
                <w:lang w:eastAsia="en-GB"/>
              </w:rPr>
            </w:pPr>
            <w:r w:rsidRPr="007D0168">
              <w:rPr>
                <w:rFonts w:cs="Arial"/>
                <w:b/>
                <w:bCs/>
                <w:lang w:eastAsia="en-GB"/>
              </w:rPr>
              <w:t>Lesson Learnt </w:t>
            </w:r>
            <w:r w:rsidRPr="007D0168">
              <w:rPr>
                <w:rFonts w:cs="Arial"/>
                <w:lang w:eastAsia="en-GB"/>
              </w:rPr>
              <w:t> </w:t>
            </w:r>
          </w:p>
        </w:tc>
        <w:tc>
          <w:tcPr>
            <w:tcW w:w="4536" w:type="dxa"/>
            <w:gridSpan w:val="3"/>
            <w:tcBorders>
              <w:top w:val="single" w:color="auto" w:sz="6" w:space="0"/>
              <w:left w:val="single" w:color="auto" w:sz="6" w:space="0"/>
              <w:bottom w:val="single" w:color="auto" w:sz="6" w:space="0"/>
              <w:right w:val="single" w:color="auto" w:sz="6" w:space="0"/>
            </w:tcBorders>
            <w:shd w:val="clear" w:color="auto" w:fill="D9E2F3"/>
            <w:hideMark/>
          </w:tcPr>
          <w:p w:rsidRPr="007D0168" w:rsidR="002E3758" w:rsidP="007D0168" w:rsidRDefault="002E3758" w14:paraId="5C9FC616" w14:textId="77777777">
            <w:pPr>
              <w:jc w:val="center"/>
              <w:textAlignment w:val="baseline"/>
              <w:rPr>
                <w:rFonts w:ascii="Segoe UI" w:hAnsi="Segoe UI" w:cs="Segoe UI"/>
                <w:sz w:val="18"/>
                <w:szCs w:val="18"/>
                <w:lang w:eastAsia="en-GB"/>
              </w:rPr>
            </w:pPr>
            <w:r w:rsidRPr="007D0168">
              <w:rPr>
                <w:rFonts w:cs="Arial"/>
                <w:b/>
                <w:bCs/>
                <w:lang w:eastAsia="en-GB"/>
              </w:rPr>
              <w:t>Wider Applicability</w:t>
            </w:r>
            <w:r w:rsidRPr="007D0168">
              <w:rPr>
                <w:rFonts w:cs="Arial"/>
                <w:lang w:eastAsia="en-GB"/>
              </w:rPr>
              <w:t> </w:t>
            </w:r>
          </w:p>
        </w:tc>
      </w:tr>
      <w:tr w:rsidRPr="007D0168" w:rsidR="002E3758" w:rsidTr="002E3758" w14:paraId="2BE0C176" w14:textId="77777777">
        <w:trPr>
          <w:trHeight w:val="1491"/>
        </w:trPr>
        <w:tc>
          <w:tcPr>
            <w:tcW w:w="1468" w:type="dxa"/>
            <w:tcBorders>
              <w:top w:val="single" w:color="auto" w:sz="6" w:space="0"/>
              <w:left w:val="single" w:color="auto" w:sz="6" w:space="0"/>
              <w:bottom w:val="single" w:color="auto" w:sz="6" w:space="0"/>
              <w:right w:val="single" w:color="auto" w:sz="6" w:space="0"/>
            </w:tcBorders>
            <w:shd w:val="clear" w:color="auto" w:fill="auto"/>
            <w:hideMark/>
          </w:tcPr>
          <w:p w:rsidRPr="007D0168" w:rsidR="002E3758" w:rsidP="007D0168" w:rsidRDefault="002E3758" w14:paraId="6A9672C7" w14:textId="77777777">
            <w:pPr>
              <w:textAlignment w:val="baseline"/>
              <w:rPr>
                <w:rFonts w:ascii="Segoe UI" w:hAnsi="Segoe UI" w:cs="Segoe UI"/>
                <w:b/>
                <w:bCs/>
                <w:sz w:val="18"/>
                <w:szCs w:val="18"/>
                <w:lang w:eastAsia="en-GB"/>
              </w:rPr>
            </w:pPr>
            <w:r w:rsidRPr="007D0168">
              <w:rPr>
                <w:rFonts w:cs="Arial"/>
                <w:b/>
                <w:bCs/>
                <w:sz w:val="18"/>
                <w:szCs w:val="18"/>
                <w:lang w:eastAsia="en-GB"/>
              </w:rPr>
              <w:t>What were the key successes and failures in this programme?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7D0168" w:rsidR="002E3758" w:rsidP="007D0168" w:rsidRDefault="002E3758" w14:paraId="28BE1ADB" w14:textId="77777777">
            <w:pPr>
              <w:textAlignment w:val="baseline"/>
              <w:rPr>
                <w:rFonts w:ascii="Segoe UI" w:hAnsi="Segoe UI" w:cs="Segoe UI"/>
                <w:b/>
                <w:bCs/>
                <w:sz w:val="18"/>
                <w:szCs w:val="18"/>
                <w:lang w:eastAsia="en-GB"/>
              </w:rPr>
            </w:pPr>
            <w:r w:rsidRPr="007D0168">
              <w:rPr>
                <w:rFonts w:cs="Arial"/>
                <w:b/>
                <w:bCs/>
                <w:sz w:val="18"/>
                <w:szCs w:val="18"/>
                <w:lang w:eastAsia="en-GB"/>
              </w:rPr>
              <w:t>What actions or circumstances do you think led to this success / failure? Why?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7D0168" w:rsidR="002E3758" w:rsidP="007D0168" w:rsidRDefault="002E3758" w14:paraId="2018FFE1" w14:textId="77777777">
            <w:pPr>
              <w:textAlignment w:val="baseline"/>
              <w:rPr>
                <w:rFonts w:ascii="Segoe UI" w:hAnsi="Segoe UI" w:cs="Segoe UI"/>
                <w:b/>
                <w:bCs/>
                <w:sz w:val="18"/>
                <w:szCs w:val="18"/>
                <w:lang w:eastAsia="en-GB"/>
              </w:rPr>
            </w:pPr>
            <w:r w:rsidRPr="007D0168">
              <w:rPr>
                <w:rFonts w:cs="Arial"/>
                <w:b/>
                <w:bCs/>
                <w:sz w:val="18"/>
                <w:szCs w:val="18"/>
                <w:lang w:eastAsia="en-GB"/>
              </w:rPr>
              <w:t>What do you think could be done to ensure continued success or remedy the problem for this and other relevant programmes? </w:t>
            </w:r>
          </w:p>
        </w:tc>
        <w:tc>
          <w:tcPr>
            <w:tcW w:w="1274" w:type="dxa"/>
            <w:tcBorders>
              <w:top w:val="single" w:color="auto" w:sz="6" w:space="0"/>
              <w:left w:val="single" w:color="auto" w:sz="6" w:space="0"/>
              <w:bottom w:val="single" w:color="auto" w:sz="6" w:space="0"/>
              <w:right w:val="single" w:color="auto" w:sz="6" w:space="0"/>
            </w:tcBorders>
            <w:shd w:val="clear" w:color="auto" w:fill="auto"/>
            <w:hideMark/>
          </w:tcPr>
          <w:p w:rsidRPr="007D0168" w:rsidR="002E3758" w:rsidP="007D0168" w:rsidRDefault="002E3758" w14:paraId="7A1D16AD" w14:textId="77777777">
            <w:pPr>
              <w:textAlignment w:val="baseline"/>
              <w:rPr>
                <w:rFonts w:ascii="Segoe UI" w:hAnsi="Segoe UI" w:cs="Segoe UI"/>
                <w:b/>
                <w:bCs/>
                <w:sz w:val="18"/>
                <w:szCs w:val="18"/>
                <w:lang w:eastAsia="en-GB"/>
              </w:rPr>
            </w:pPr>
            <w:r w:rsidRPr="007D0168">
              <w:rPr>
                <w:rFonts w:cs="Arial"/>
                <w:b/>
                <w:bCs/>
                <w:sz w:val="18"/>
                <w:szCs w:val="18"/>
                <w:lang w:eastAsia="en-GB"/>
              </w:rPr>
              <w:t>Which programme themes is the lesson applicable to? </w:t>
            </w:r>
          </w:p>
        </w:tc>
        <w:tc>
          <w:tcPr>
            <w:tcW w:w="1509" w:type="dxa"/>
            <w:tcBorders>
              <w:top w:val="single" w:color="auto" w:sz="6" w:space="0"/>
              <w:left w:val="single" w:color="auto" w:sz="6" w:space="0"/>
              <w:bottom w:val="single" w:color="auto" w:sz="6" w:space="0"/>
              <w:right w:val="single" w:color="auto" w:sz="6" w:space="0"/>
            </w:tcBorders>
            <w:shd w:val="clear" w:color="auto" w:fill="auto"/>
            <w:hideMark/>
          </w:tcPr>
          <w:p w:rsidRPr="007D0168" w:rsidR="002E3758" w:rsidP="007D0168" w:rsidRDefault="002E3758" w14:paraId="48FBF70A" w14:textId="77777777">
            <w:pPr>
              <w:textAlignment w:val="baseline"/>
              <w:rPr>
                <w:rFonts w:ascii="Segoe UI" w:hAnsi="Segoe UI" w:cs="Segoe UI"/>
                <w:b/>
                <w:bCs/>
                <w:sz w:val="18"/>
                <w:szCs w:val="18"/>
                <w:lang w:eastAsia="en-GB"/>
              </w:rPr>
            </w:pPr>
            <w:r w:rsidRPr="007D0168">
              <w:rPr>
                <w:rFonts w:cs="Arial"/>
                <w:b/>
                <w:bCs/>
                <w:sz w:val="18"/>
                <w:szCs w:val="18"/>
                <w:lang w:eastAsia="en-GB"/>
              </w:rPr>
              <w:t>Which of the PPM themes is the lesson applicable to? </w:t>
            </w:r>
          </w:p>
        </w:tc>
        <w:tc>
          <w:tcPr>
            <w:tcW w:w="1753" w:type="dxa"/>
            <w:tcBorders>
              <w:top w:val="single" w:color="auto" w:sz="6" w:space="0"/>
              <w:left w:val="single" w:color="auto" w:sz="6" w:space="0"/>
              <w:bottom w:val="single" w:color="auto" w:sz="6" w:space="0"/>
              <w:right w:val="single" w:color="auto" w:sz="6" w:space="0"/>
            </w:tcBorders>
            <w:shd w:val="clear" w:color="auto" w:fill="auto"/>
            <w:hideMark/>
          </w:tcPr>
          <w:p w:rsidRPr="007D0168" w:rsidR="002E3758" w:rsidP="007D0168" w:rsidRDefault="002E3758" w14:paraId="05410EC8" w14:textId="77777777">
            <w:pPr>
              <w:textAlignment w:val="baseline"/>
              <w:rPr>
                <w:rFonts w:ascii="Segoe UI" w:hAnsi="Segoe UI" w:cs="Segoe UI"/>
                <w:b/>
                <w:bCs/>
                <w:sz w:val="18"/>
                <w:szCs w:val="18"/>
                <w:lang w:eastAsia="en-GB"/>
              </w:rPr>
            </w:pPr>
            <w:r w:rsidRPr="007D0168">
              <w:rPr>
                <w:rFonts w:cs="Arial"/>
                <w:b/>
                <w:bCs/>
                <w:sz w:val="18"/>
                <w:szCs w:val="18"/>
                <w:lang w:eastAsia="en-GB"/>
              </w:rPr>
              <w:t>When in the programme cycle should this lesson be considered? </w:t>
            </w:r>
          </w:p>
        </w:tc>
      </w:tr>
      <w:tr w:rsidRPr="007D0168" w:rsidR="002E3758" w:rsidTr="002E3758" w14:paraId="6127FF56" w14:textId="77777777">
        <w:trPr>
          <w:trHeight w:val="1478"/>
        </w:trPr>
        <w:tc>
          <w:tcPr>
            <w:tcW w:w="1468" w:type="dxa"/>
            <w:tcBorders>
              <w:top w:val="single" w:color="auto" w:sz="6" w:space="0"/>
              <w:left w:val="single" w:color="auto" w:sz="6" w:space="0"/>
              <w:bottom w:val="single" w:color="auto" w:sz="6" w:space="0"/>
              <w:right w:val="single" w:color="auto" w:sz="6" w:space="0"/>
            </w:tcBorders>
            <w:shd w:val="clear" w:color="auto" w:fill="auto"/>
            <w:hideMark/>
          </w:tcPr>
          <w:p w:rsidRPr="007D0168" w:rsidR="002E3758" w:rsidP="007D0168" w:rsidRDefault="00D037C5" w14:paraId="59845A8D" w14:textId="65DC7BF9">
            <w:pPr>
              <w:textAlignment w:val="baseline"/>
              <w:rPr>
                <w:rFonts w:ascii="Segoe UI" w:hAnsi="Segoe UI" w:cs="Segoe UI"/>
                <w:sz w:val="18"/>
                <w:szCs w:val="18"/>
                <w:lang w:eastAsia="en-GB"/>
              </w:rPr>
            </w:pPr>
            <w:r w:rsidRPr="00263547">
              <w:rPr>
                <w:rFonts w:cs="Segoe UI"/>
                <w:sz w:val="18"/>
                <w:szCs w:val="18"/>
                <w:lang w:eastAsia="en-GB"/>
              </w:rPr>
              <w:t>Providing proof of concept on the implementation of forest carbon emissions reduction programmes</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7D0168" w:rsidR="002E3758" w:rsidP="007D0168" w:rsidRDefault="002E3758" w14:paraId="4592C470" w14:textId="72995316">
            <w:pPr>
              <w:textAlignment w:val="baseline"/>
              <w:rPr>
                <w:rFonts w:ascii="Segoe UI" w:hAnsi="Segoe UI" w:cs="Segoe UI"/>
                <w:sz w:val="18"/>
                <w:szCs w:val="18"/>
                <w:lang w:eastAsia="en-GB"/>
              </w:rPr>
            </w:pPr>
            <w:r w:rsidRPr="007D0168">
              <w:rPr>
                <w:rFonts w:cs="Arial"/>
                <w:sz w:val="18"/>
                <w:szCs w:val="18"/>
                <w:lang w:eastAsia="en-GB"/>
              </w:rPr>
              <w:t> </w:t>
            </w:r>
            <w:r w:rsidRPr="00263547" w:rsidR="008139CB">
              <w:rPr>
                <w:rFonts w:cs="Arial"/>
                <w:sz w:val="18"/>
                <w:szCs w:val="18"/>
                <w:lang w:eastAsia="en-GB"/>
              </w:rPr>
              <w:t xml:space="preserve">Partnered capacity building and technical assistance support within country, involving multiple entities </w:t>
            </w:r>
            <w:r w:rsidRPr="00263547" w:rsidR="00263547">
              <w:rPr>
                <w:rFonts w:cs="Arial"/>
                <w:sz w:val="18"/>
                <w:szCs w:val="18"/>
                <w:lang w:eastAsia="en-GB"/>
              </w:rPr>
              <w:t>working towards common goals</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7D0168" w:rsidR="002E3758" w:rsidP="007D0168" w:rsidRDefault="008139CB" w14:paraId="2A86E823" w14:textId="3B3DFA54">
            <w:pPr>
              <w:textAlignment w:val="baseline"/>
              <w:rPr>
                <w:rFonts w:ascii="Segoe UI" w:hAnsi="Segoe UI" w:cs="Segoe UI"/>
                <w:sz w:val="18"/>
                <w:szCs w:val="18"/>
                <w:lang w:eastAsia="en-GB"/>
              </w:rPr>
            </w:pPr>
            <w:r w:rsidRPr="00263547">
              <w:rPr>
                <w:rFonts w:cs="Arial"/>
                <w:sz w:val="18"/>
                <w:szCs w:val="18"/>
                <w:lang w:eastAsia="en-GB"/>
              </w:rPr>
              <w:t xml:space="preserve">Continued collaboration under the programme, and broader REDD+ interlinks, is essential. Particularly, strategic comms to debunk negative perspectives on the value of </w:t>
            </w:r>
            <w:proofErr w:type="spellStart"/>
            <w:r w:rsidRPr="00263547">
              <w:rPr>
                <w:rFonts w:cs="Arial"/>
                <w:sz w:val="18"/>
                <w:szCs w:val="18"/>
                <w:lang w:eastAsia="en-GB"/>
              </w:rPr>
              <w:t>jREDD</w:t>
            </w:r>
            <w:proofErr w:type="spellEnd"/>
            <w:r w:rsidRPr="00263547">
              <w:rPr>
                <w:rFonts w:cs="Arial"/>
                <w:sz w:val="18"/>
                <w:szCs w:val="18"/>
                <w:lang w:eastAsia="en-GB"/>
              </w:rPr>
              <w:t xml:space="preserve"> credits.</w:t>
            </w:r>
          </w:p>
        </w:tc>
        <w:tc>
          <w:tcPr>
            <w:tcW w:w="1274" w:type="dxa"/>
            <w:tcBorders>
              <w:top w:val="single" w:color="auto" w:sz="6" w:space="0"/>
              <w:left w:val="single" w:color="auto" w:sz="6" w:space="0"/>
              <w:bottom w:val="single" w:color="auto" w:sz="6" w:space="0"/>
              <w:right w:val="single" w:color="auto" w:sz="6" w:space="0"/>
            </w:tcBorders>
            <w:shd w:val="clear" w:color="auto" w:fill="auto"/>
            <w:hideMark/>
          </w:tcPr>
          <w:p w:rsidRPr="00263547" w:rsidR="002E3758" w:rsidP="007D0168" w:rsidRDefault="002E3758" w14:paraId="77A66359" w14:textId="3A86D22C">
            <w:pPr>
              <w:textAlignment w:val="baseline"/>
              <w:rPr>
                <w:rFonts w:ascii="Segoe UI" w:hAnsi="Segoe UI" w:cs="Segoe UI"/>
                <w:sz w:val="18"/>
                <w:szCs w:val="18"/>
                <w:lang w:eastAsia="en-GB"/>
              </w:rPr>
            </w:pPr>
            <w:r w:rsidRPr="007D0168">
              <w:rPr>
                <w:rFonts w:cs="Arial"/>
                <w:sz w:val="18"/>
                <w:szCs w:val="18"/>
                <w:lang w:eastAsia="en-GB"/>
              </w:rPr>
              <w:t>Forest and Land Use</w:t>
            </w:r>
            <w:r w:rsidRPr="00263547">
              <w:rPr>
                <w:rFonts w:cs="Arial"/>
                <w:sz w:val="18"/>
                <w:szCs w:val="18"/>
                <w:lang w:eastAsia="en-GB"/>
              </w:rPr>
              <w:t>;</w:t>
            </w:r>
          </w:p>
          <w:p w:rsidRPr="00263547" w:rsidR="002E3758" w:rsidP="007D0168" w:rsidRDefault="002E3758" w14:paraId="3FB18693" w14:textId="6139BD2C">
            <w:pPr>
              <w:textAlignment w:val="baseline"/>
              <w:rPr>
                <w:rFonts w:ascii="Segoe UI" w:hAnsi="Segoe UI" w:cs="Segoe UI"/>
                <w:sz w:val="18"/>
                <w:szCs w:val="18"/>
                <w:lang w:eastAsia="en-GB"/>
              </w:rPr>
            </w:pPr>
            <w:r w:rsidRPr="007D0168">
              <w:rPr>
                <w:rFonts w:cs="Arial"/>
                <w:sz w:val="18"/>
                <w:szCs w:val="18"/>
                <w:lang w:eastAsia="en-GB"/>
              </w:rPr>
              <w:t>Private Finance</w:t>
            </w:r>
            <w:r w:rsidRPr="00263547">
              <w:rPr>
                <w:rFonts w:cs="Arial"/>
                <w:sz w:val="18"/>
                <w:szCs w:val="18"/>
                <w:lang w:eastAsia="en-GB"/>
              </w:rPr>
              <w:t>;</w:t>
            </w:r>
            <w:r w:rsidRPr="007D0168">
              <w:rPr>
                <w:rFonts w:cs="Arial"/>
                <w:sz w:val="18"/>
                <w:szCs w:val="18"/>
                <w:lang w:eastAsia="en-GB"/>
              </w:rPr>
              <w:t>  </w:t>
            </w:r>
          </w:p>
          <w:p w:rsidRPr="007D0168" w:rsidR="002E3758" w:rsidP="007D0168" w:rsidRDefault="002E3758" w14:paraId="657B0FBA" w14:textId="45516272">
            <w:pPr>
              <w:textAlignment w:val="baseline"/>
              <w:rPr>
                <w:rFonts w:ascii="Segoe UI" w:hAnsi="Segoe UI" w:cs="Segoe UI"/>
                <w:sz w:val="18"/>
                <w:szCs w:val="18"/>
                <w:lang w:eastAsia="en-GB"/>
              </w:rPr>
            </w:pPr>
            <w:r w:rsidRPr="007D0168">
              <w:rPr>
                <w:rFonts w:cs="Arial"/>
                <w:sz w:val="18"/>
                <w:szCs w:val="18"/>
                <w:lang w:eastAsia="en-GB"/>
              </w:rPr>
              <w:t>Global Carbon Markets</w:t>
            </w:r>
            <w:r w:rsidRPr="00263547">
              <w:rPr>
                <w:rFonts w:cs="Arial"/>
                <w:sz w:val="18"/>
                <w:szCs w:val="18"/>
                <w:lang w:eastAsia="en-GB"/>
              </w:rPr>
              <w:t>;</w:t>
            </w:r>
            <w:r w:rsidRPr="007D0168">
              <w:rPr>
                <w:rFonts w:cs="Arial"/>
                <w:sz w:val="18"/>
                <w:szCs w:val="18"/>
                <w:lang w:eastAsia="en-GB"/>
              </w:rPr>
              <w:t> </w:t>
            </w:r>
          </w:p>
          <w:p w:rsidRPr="007D0168" w:rsidR="002E3758" w:rsidP="007D0168" w:rsidRDefault="002E3758" w14:paraId="3D0F89D1" w14:textId="26D5C683">
            <w:pPr>
              <w:textAlignment w:val="baseline"/>
              <w:rPr>
                <w:rFonts w:ascii="Segoe UI" w:hAnsi="Segoe UI" w:cs="Segoe UI"/>
                <w:sz w:val="18"/>
                <w:szCs w:val="18"/>
                <w:lang w:eastAsia="en-GB"/>
              </w:rPr>
            </w:pPr>
            <w:r w:rsidRPr="007D0168">
              <w:rPr>
                <w:rFonts w:cs="Arial"/>
                <w:sz w:val="18"/>
                <w:szCs w:val="18"/>
                <w:lang w:eastAsia="en-GB"/>
              </w:rPr>
              <w:t>​Capacity Building </w:t>
            </w:r>
          </w:p>
        </w:tc>
        <w:tc>
          <w:tcPr>
            <w:tcW w:w="1509" w:type="dxa"/>
            <w:tcBorders>
              <w:top w:val="single" w:color="auto" w:sz="6" w:space="0"/>
              <w:left w:val="single" w:color="auto" w:sz="6" w:space="0"/>
              <w:bottom w:val="single" w:color="auto" w:sz="6" w:space="0"/>
              <w:right w:val="single" w:color="auto" w:sz="6" w:space="0"/>
            </w:tcBorders>
            <w:shd w:val="clear" w:color="auto" w:fill="auto"/>
            <w:hideMark/>
          </w:tcPr>
          <w:p w:rsidRPr="007D0168" w:rsidR="002E3758" w:rsidP="007D0168" w:rsidRDefault="002E3758" w14:paraId="1826F051"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Planning </w:t>
            </w:r>
          </w:p>
          <w:p w:rsidRPr="007D0168" w:rsidR="002E3758" w:rsidP="007D0168" w:rsidRDefault="002E3758" w14:paraId="28DE21A7"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Governance </w:t>
            </w:r>
          </w:p>
          <w:p w:rsidRPr="007D0168" w:rsidR="002E3758" w:rsidP="007D0168" w:rsidRDefault="002E3758" w14:paraId="6CBDCF6B"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Finance </w:t>
            </w:r>
          </w:p>
          <w:p w:rsidRPr="007D0168" w:rsidR="002E3758" w:rsidP="007D0168" w:rsidRDefault="002E3758" w14:paraId="48CB2E36"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Stakeholders </w:t>
            </w:r>
          </w:p>
          <w:p w:rsidRPr="007D0168" w:rsidR="002E3758" w:rsidP="007D0168" w:rsidRDefault="002E3758" w14:paraId="35B8AEA6" w14:textId="07B87840">
            <w:pPr>
              <w:textAlignment w:val="baseline"/>
              <w:rPr>
                <w:rFonts w:ascii="Segoe UI" w:hAnsi="Segoe UI" w:cs="Segoe UI"/>
                <w:sz w:val="18"/>
                <w:szCs w:val="18"/>
                <w:lang w:eastAsia="en-GB"/>
              </w:rPr>
            </w:pPr>
          </w:p>
        </w:tc>
        <w:tc>
          <w:tcPr>
            <w:tcW w:w="1753" w:type="dxa"/>
            <w:tcBorders>
              <w:top w:val="single" w:color="auto" w:sz="6" w:space="0"/>
              <w:left w:val="single" w:color="auto" w:sz="6" w:space="0"/>
              <w:bottom w:val="single" w:color="auto" w:sz="6" w:space="0"/>
              <w:right w:val="single" w:color="auto" w:sz="6" w:space="0"/>
            </w:tcBorders>
            <w:shd w:val="clear" w:color="auto" w:fill="auto"/>
            <w:hideMark/>
          </w:tcPr>
          <w:p w:rsidRPr="007D0168" w:rsidR="002E3758" w:rsidP="007D0168" w:rsidRDefault="002E3758" w14:paraId="0910F8C4"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Business case development </w:t>
            </w:r>
          </w:p>
          <w:p w:rsidRPr="007D0168" w:rsidR="002E3758" w:rsidP="007D0168" w:rsidRDefault="002E3758" w14:paraId="6B241E3D"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Mobilisation </w:t>
            </w:r>
          </w:p>
          <w:p w:rsidRPr="007D0168" w:rsidR="002E3758" w:rsidP="007D0168" w:rsidRDefault="002E3758" w14:paraId="63A8FC59"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Implementation </w:t>
            </w:r>
          </w:p>
          <w:p w:rsidRPr="007D0168" w:rsidR="002E3758" w:rsidP="007D0168" w:rsidRDefault="002E3758" w14:paraId="64E5DBA4"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Developing the pipeline </w:t>
            </w:r>
          </w:p>
        </w:tc>
      </w:tr>
      <w:tr w:rsidRPr="007D0168" w:rsidR="002E3758" w:rsidTr="002E3758" w14:paraId="721EB2D9" w14:textId="77777777">
        <w:trPr>
          <w:trHeight w:val="1478"/>
        </w:trPr>
        <w:tc>
          <w:tcPr>
            <w:tcW w:w="1468" w:type="dxa"/>
            <w:tcBorders>
              <w:top w:val="single" w:color="auto" w:sz="6" w:space="0"/>
              <w:left w:val="single" w:color="auto" w:sz="6" w:space="0"/>
              <w:bottom w:val="single" w:color="auto" w:sz="6" w:space="0"/>
              <w:right w:val="single" w:color="auto" w:sz="6" w:space="0"/>
            </w:tcBorders>
            <w:shd w:val="clear" w:color="auto" w:fill="auto"/>
          </w:tcPr>
          <w:p w:rsidRPr="00263547" w:rsidR="002E3758" w:rsidP="007D0168" w:rsidRDefault="00263547" w14:paraId="7654D113" w14:textId="49138F01">
            <w:pPr>
              <w:textAlignment w:val="baseline"/>
              <w:rPr>
                <w:rFonts w:cs="Arial"/>
                <w:sz w:val="18"/>
                <w:szCs w:val="18"/>
                <w:lang w:eastAsia="en-GB"/>
              </w:rPr>
            </w:pPr>
            <w:r w:rsidRPr="00263547">
              <w:rPr>
                <w:rFonts w:cs="Arial"/>
                <w:sz w:val="18"/>
                <w:szCs w:val="18"/>
                <w:lang w:eastAsia="en-GB"/>
              </w:rPr>
              <w:t xml:space="preserve">Delays prominent, due to complexity of the programmes, the many different actors involved </w:t>
            </w:r>
            <w:r w:rsidR="00B17441">
              <w:rPr>
                <w:rFonts w:cs="Arial"/>
                <w:sz w:val="18"/>
                <w:szCs w:val="18"/>
                <w:lang w:eastAsia="en-GB"/>
              </w:rPr>
              <w:t>and often political instability within countries</w:t>
            </w:r>
          </w:p>
        </w:tc>
        <w:tc>
          <w:tcPr>
            <w:tcW w:w="1575" w:type="dxa"/>
            <w:tcBorders>
              <w:top w:val="single" w:color="auto" w:sz="6" w:space="0"/>
              <w:left w:val="single" w:color="auto" w:sz="6" w:space="0"/>
              <w:bottom w:val="single" w:color="auto" w:sz="6" w:space="0"/>
              <w:right w:val="single" w:color="auto" w:sz="6" w:space="0"/>
            </w:tcBorders>
            <w:shd w:val="clear" w:color="auto" w:fill="auto"/>
          </w:tcPr>
          <w:p w:rsidRPr="00263547" w:rsidR="002E3758" w:rsidP="007D0168" w:rsidRDefault="006052F2" w14:paraId="2EE5CD39" w14:textId="4005EB4B">
            <w:pPr>
              <w:textAlignment w:val="baseline"/>
              <w:rPr>
                <w:rFonts w:cs="Arial"/>
                <w:sz w:val="18"/>
                <w:szCs w:val="18"/>
                <w:lang w:eastAsia="en-GB"/>
              </w:rPr>
            </w:pPr>
            <w:r>
              <w:rPr>
                <w:rFonts w:cs="Arial"/>
                <w:sz w:val="18"/>
                <w:szCs w:val="18"/>
                <w:lang w:eastAsia="en-GB"/>
              </w:rPr>
              <w:t xml:space="preserve">REDD+ ER Programmes are huge, extremely technical and involve a variety of different partners, sometimes with conflicting views. Progress is also often dependent </w:t>
            </w:r>
            <w:r w:rsidR="00D63B29">
              <w:rPr>
                <w:rFonts w:cs="Arial"/>
                <w:sz w:val="18"/>
                <w:szCs w:val="18"/>
                <w:lang w:eastAsia="en-GB"/>
              </w:rPr>
              <w:t xml:space="preserve">extraneous variables, such as country political situation. </w:t>
            </w:r>
          </w:p>
        </w:tc>
        <w:tc>
          <w:tcPr>
            <w:tcW w:w="1590" w:type="dxa"/>
            <w:tcBorders>
              <w:top w:val="single" w:color="auto" w:sz="6" w:space="0"/>
              <w:left w:val="single" w:color="auto" w:sz="6" w:space="0"/>
              <w:bottom w:val="single" w:color="auto" w:sz="6" w:space="0"/>
              <w:right w:val="single" w:color="auto" w:sz="6" w:space="0"/>
            </w:tcBorders>
            <w:shd w:val="clear" w:color="auto" w:fill="auto"/>
          </w:tcPr>
          <w:p w:rsidRPr="00263547" w:rsidR="002E3758" w:rsidP="007D0168" w:rsidRDefault="006052F2" w14:paraId="40FEDF58" w14:textId="14B4EF41">
            <w:pPr>
              <w:textAlignment w:val="baseline"/>
              <w:rPr>
                <w:rFonts w:cs="Arial"/>
                <w:sz w:val="18"/>
                <w:szCs w:val="18"/>
                <w:lang w:eastAsia="en-GB"/>
              </w:rPr>
            </w:pPr>
            <w:r>
              <w:rPr>
                <w:rFonts w:cs="Arial"/>
                <w:sz w:val="18"/>
                <w:szCs w:val="18"/>
                <w:lang w:eastAsia="en-GB"/>
              </w:rPr>
              <w:t xml:space="preserve">Setting realistic milestones and timelines, and proactively working with </w:t>
            </w:r>
            <w:r w:rsidR="00D63B29">
              <w:rPr>
                <w:rFonts w:cs="Arial"/>
                <w:sz w:val="18"/>
                <w:szCs w:val="18"/>
                <w:lang w:eastAsia="en-GB"/>
              </w:rPr>
              <w:t>entities already operating in this space</w:t>
            </w:r>
            <w:r w:rsidR="00BC1D8A">
              <w:rPr>
                <w:rFonts w:cs="Arial"/>
                <w:sz w:val="18"/>
                <w:szCs w:val="18"/>
                <w:lang w:eastAsia="en-GB"/>
              </w:rPr>
              <w:t xml:space="preserve"> to streamline work.</w:t>
            </w:r>
          </w:p>
        </w:tc>
        <w:tc>
          <w:tcPr>
            <w:tcW w:w="1274" w:type="dxa"/>
            <w:tcBorders>
              <w:top w:val="single" w:color="auto" w:sz="6" w:space="0"/>
              <w:left w:val="single" w:color="auto" w:sz="6" w:space="0"/>
              <w:bottom w:val="single" w:color="auto" w:sz="6" w:space="0"/>
              <w:right w:val="single" w:color="auto" w:sz="6" w:space="0"/>
            </w:tcBorders>
            <w:shd w:val="clear" w:color="auto" w:fill="auto"/>
          </w:tcPr>
          <w:p w:rsidRPr="00263547" w:rsidR="00D63B29" w:rsidP="00D63B29" w:rsidRDefault="00D63B29" w14:paraId="28C698E0" w14:textId="77777777">
            <w:pPr>
              <w:textAlignment w:val="baseline"/>
              <w:rPr>
                <w:rFonts w:ascii="Segoe UI" w:hAnsi="Segoe UI" w:cs="Segoe UI"/>
                <w:sz w:val="18"/>
                <w:szCs w:val="18"/>
                <w:lang w:eastAsia="en-GB"/>
              </w:rPr>
            </w:pPr>
            <w:r w:rsidRPr="007D0168">
              <w:rPr>
                <w:rFonts w:cs="Arial"/>
                <w:sz w:val="18"/>
                <w:szCs w:val="18"/>
                <w:lang w:eastAsia="en-GB"/>
              </w:rPr>
              <w:t>Forest and Land Use</w:t>
            </w:r>
            <w:r w:rsidRPr="00263547">
              <w:rPr>
                <w:rFonts w:cs="Arial"/>
                <w:sz w:val="18"/>
                <w:szCs w:val="18"/>
                <w:lang w:eastAsia="en-GB"/>
              </w:rPr>
              <w:t>;</w:t>
            </w:r>
          </w:p>
          <w:p w:rsidRPr="00263547" w:rsidR="00D63B29" w:rsidP="00D63B29" w:rsidRDefault="00D63B29" w14:paraId="65E3981F" w14:textId="77777777">
            <w:pPr>
              <w:textAlignment w:val="baseline"/>
              <w:rPr>
                <w:rFonts w:ascii="Segoe UI" w:hAnsi="Segoe UI" w:cs="Segoe UI"/>
                <w:sz w:val="18"/>
                <w:szCs w:val="18"/>
                <w:lang w:eastAsia="en-GB"/>
              </w:rPr>
            </w:pPr>
            <w:r w:rsidRPr="007D0168">
              <w:rPr>
                <w:rFonts w:cs="Arial"/>
                <w:sz w:val="18"/>
                <w:szCs w:val="18"/>
                <w:lang w:eastAsia="en-GB"/>
              </w:rPr>
              <w:t>Private Finance</w:t>
            </w:r>
            <w:r w:rsidRPr="00263547">
              <w:rPr>
                <w:rFonts w:cs="Arial"/>
                <w:sz w:val="18"/>
                <w:szCs w:val="18"/>
                <w:lang w:eastAsia="en-GB"/>
              </w:rPr>
              <w:t>;</w:t>
            </w:r>
            <w:r w:rsidRPr="007D0168">
              <w:rPr>
                <w:rFonts w:cs="Arial"/>
                <w:sz w:val="18"/>
                <w:szCs w:val="18"/>
                <w:lang w:eastAsia="en-GB"/>
              </w:rPr>
              <w:t>  </w:t>
            </w:r>
          </w:p>
          <w:p w:rsidRPr="007D0168" w:rsidR="00D63B29" w:rsidP="00D63B29" w:rsidRDefault="00D63B29" w14:paraId="674FD9CA" w14:textId="77777777">
            <w:pPr>
              <w:textAlignment w:val="baseline"/>
              <w:rPr>
                <w:rFonts w:ascii="Segoe UI" w:hAnsi="Segoe UI" w:cs="Segoe UI"/>
                <w:sz w:val="18"/>
                <w:szCs w:val="18"/>
                <w:lang w:eastAsia="en-GB"/>
              </w:rPr>
            </w:pPr>
            <w:r w:rsidRPr="007D0168">
              <w:rPr>
                <w:rFonts w:cs="Arial"/>
                <w:sz w:val="18"/>
                <w:szCs w:val="18"/>
                <w:lang w:eastAsia="en-GB"/>
              </w:rPr>
              <w:t>Global Carbon Markets</w:t>
            </w:r>
            <w:r w:rsidRPr="00263547">
              <w:rPr>
                <w:rFonts w:cs="Arial"/>
                <w:sz w:val="18"/>
                <w:szCs w:val="18"/>
                <w:lang w:eastAsia="en-GB"/>
              </w:rPr>
              <w:t>;</w:t>
            </w:r>
            <w:r w:rsidRPr="007D0168">
              <w:rPr>
                <w:rFonts w:cs="Arial"/>
                <w:sz w:val="18"/>
                <w:szCs w:val="18"/>
                <w:lang w:eastAsia="en-GB"/>
              </w:rPr>
              <w:t> </w:t>
            </w:r>
          </w:p>
          <w:p w:rsidRPr="00263547" w:rsidR="002E3758" w:rsidP="00D63B29" w:rsidRDefault="00D63B29" w14:paraId="0CCB126E" w14:textId="7D63163C">
            <w:pPr>
              <w:textAlignment w:val="baseline"/>
              <w:rPr>
                <w:rFonts w:cs="Arial"/>
                <w:sz w:val="18"/>
                <w:szCs w:val="18"/>
                <w:lang w:eastAsia="en-GB"/>
              </w:rPr>
            </w:pPr>
            <w:r w:rsidRPr="007D0168">
              <w:rPr>
                <w:rFonts w:cs="Arial"/>
                <w:sz w:val="18"/>
                <w:szCs w:val="18"/>
                <w:lang w:eastAsia="en-GB"/>
              </w:rPr>
              <w:t>​Capacity Building </w:t>
            </w:r>
          </w:p>
        </w:tc>
        <w:tc>
          <w:tcPr>
            <w:tcW w:w="1509" w:type="dxa"/>
            <w:tcBorders>
              <w:top w:val="single" w:color="auto" w:sz="6" w:space="0"/>
              <w:left w:val="single" w:color="auto" w:sz="6" w:space="0"/>
              <w:bottom w:val="single" w:color="auto" w:sz="6" w:space="0"/>
              <w:right w:val="single" w:color="auto" w:sz="6" w:space="0"/>
            </w:tcBorders>
            <w:shd w:val="clear" w:color="auto" w:fill="auto"/>
          </w:tcPr>
          <w:p w:rsidRPr="007D0168" w:rsidR="00325038" w:rsidP="00325038" w:rsidRDefault="00325038" w14:paraId="10CAA8FF"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Planning </w:t>
            </w:r>
          </w:p>
          <w:p w:rsidRPr="007D0168" w:rsidR="00325038" w:rsidP="00325038" w:rsidRDefault="00325038" w14:paraId="49C20572"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Governance </w:t>
            </w:r>
          </w:p>
          <w:p w:rsidRPr="007D0168" w:rsidR="00325038" w:rsidP="00325038" w:rsidRDefault="00325038" w14:paraId="3357B2D8"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Finance </w:t>
            </w:r>
          </w:p>
          <w:p w:rsidRPr="007D0168" w:rsidR="00325038" w:rsidP="00325038" w:rsidRDefault="00325038" w14:paraId="4674C66F"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Stakeholders </w:t>
            </w:r>
          </w:p>
          <w:p w:rsidRPr="00263547" w:rsidR="002E3758" w:rsidP="007D0168" w:rsidRDefault="002E3758" w14:paraId="658EC92B" w14:textId="77777777">
            <w:pPr>
              <w:textAlignment w:val="baseline"/>
              <w:rPr>
                <w:rFonts w:cs="Arial"/>
                <w:sz w:val="18"/>
                <w:szCs w:val="18"/>
                <w:lang w:eastAsia="en-GB"/>
              </w:rPr>
            </w:pPr>
          </w:p>
        </w:tc>
        <w:tc>
          <w:tcPr>
            <w:tcW w:w="1753" w:type="dxa"/>
            <w:tcBorders>
              <w:top w:val="single" w:color="auto" w:sz="6" w:space="0"/>
              <w:left w:val="single" w:color="auto" w:sz="6" w:space="0"/>
              <w:bottom w:val="single" w:color="auto" w:sz="6" w:space="0"/>
              <w:right w:val="single" w:color="auto" w:sz="6" w:space="0"/>
            </w:tcBorders>
            <w:shd w:val="clear" w:color="auto" w:fill="auto"/>
          </w:tcPr>
          <w:p w:rsidRPr="007D0168" w:rsidR="00325038" w:rsidP="00325038" w:rsidRDefault="00325038" w14:paraId="2E65184E"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Business case development </w:t>
            </w:r>
          </w:p>
          <w:p w:rsidRPr="007D0168" w:rsidR="00325038" w:rsidP="00325038" w:rsidRDefault="00325038" w14:paraId="77622A32"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Mobilisation </w:t>
            </w:r>
          </w:p>
          <w:p w:rsidRPr="007D0168" w:rsidR="00325038" w:rsidP="00325038" w:rsidRDefault="00325038" w14:paraId="0BF9B368"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Implementation </w:t>
            </w:r>
          </w:p>
          <w:p w:rsidRPr="00263547" w:rsidR="002E3758" w:rsidP="00325038" w:rsidRDefault="00325038" w14:paraId="31C87434" w14:textId="05645E59">
            <w:pPr>
              <w:textAlignment w:val="baseline"/>
              <w:rPr>
                <w:rFonts w:cs="Arial"/>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Developing the pipeline </w:t>
            </w:r>
          </w:p>
        </w:tc>
      </w:tr>
      <w:tr w:rsidRPr="007D0168" w:rsidR="00325038" w:rsidTr="002E3758" w14:paraId="2D18716B" w14:textId="77777777">
        <w:trPr>
          <w:trHeight w:val="1478"/>
        </w:trPr>
        <w:tc>
          <w:tcPr>
            <w:tcW w:w="1468" w:type="dxa"/>
            <w:tcBorders>
              <w:top w:val="single" w:color="auto" w:sz="6" w:space="0"/>
              <w:left w:val="single" w:color="auto" w:sz="6" w:space="0"/>
              <w:bottom w:val="single" w:color="auto" w:sz="6" w:space="0"/>
              <w:right w:val="single" w:color="auto" w:sz="6" w:space="0"/>
            </w:tcBorders>
            <w:shd w:val="clear" w:color="auto" w:fill="auto"/>
          </w:tcPr>
          <w:p w:rsidRPr="00263547" w:rsidR="00325038" w:rsidP="007D0168" w:rsidRDefault="00325038" w14:paraId="2674F113" w14:textId="353414C3">
            <w:pPr>
              <w:textAlignment w:val="baseline"/>
              <w:rPr>
                <w:rFonts w:cs="Arial"/>
                <w:sz w:val="18"/>
                <w:szCs w:val="18"/>
                <w:lang w:eastAsia="en-GB"/>
              </w:rPr>
            </w:pPr>
            <w:r>
              <w:rPr>
                <w:rFonts w:cs="Arial"/>
                <w:sz w:val="18"/>
                <w:szCs w:val="18"/>
                <w:lang w:eastAsia="en-GB"/>
              </w:rPr>
              <w:t xml:space="preserve">Stakeholder engagement and social inclusion </w:t>
            </w:r>
            <w:r w:rsidR="00595C6A">
              <w:rPr>
                <w:rFonts w:cs="Arial"/>
                <w:sz w:val="18"/>
                <w:szCs w:val="18"/>
                <w:lang w:eastAsia="en-GB"/>
              </w:rPr>
              <w:t>– building local capacity, empowering communities with knowledge and skills to be integrated into sustainable forest management programmes</w:t>
            </w:r>
            <w:r w:rsidR="00474AE2">
              <w:rPr>
                <w:rFonts w:cs="Arial"/>
                <w:sz w:val="18"/>
                <w:szCs w:val="18"/>
                <w:lang w:eastAsia="en-GB"/>
              </w:rPr>
              <w:t xml:space="preserve">. Working with countries and communities together to build and support benefit sharing arrangements – however, these are often still to be tested and are critical to understand the success of the programme.  </w:t>
            </w:r>
          </w:p>
        </w:tc>
        <w:tc>
          <w:tcPr>
            <w:tcW w:w="1575" w:type="dxa"/>
            <w:tcBorders>
              <w:top w:val="single" w:color="auto" w:sz="6" w:space="0"/>
              <w:left w:val="single" w:color="auto" w:sz="6" w:space="0"/>
              <w:bottom w:val="single" w:color="auto" w:sz="6" w:space="0"/>
              <w:right w:val="single" w:color="auto" w:sz="6" w:space="0"/>
            </w:tcBorders>
            <w:shd w:val="clear" w:color="auto" w:fill="auto"/>
          </w:tcPr>
          <w:p w:rsidR="00325038" w:rsidP="007D0168" w:rsidRDefault="00474AE2" w14:paraId="6F511AA6" w14:textId="2514A3EB">
            <w:pPr>
              <w:textAlignment w:val="baseline"/>
              <w:rPr>
                <w:rFonts w:cs="Arial"/>
                <w:sz w:val="18"/>
                <w:szCs w:val="18"/>
                <w:lang w:eastAsia="en-GB"/>
              </w:rPr>
            </w:pPr>
            <w:r>
              <w:rPr>
                <w:rFonts w:cs="Arial"/>
                <w:sz w:val="18"/>
                <w:szCs w:val="18"/>
                <w:lang w:eastAsia="en-GB"/>
              </w:rPr>
              <w:t>Dedicated support</w:t>
            </w:r>
            <w:r w:rsidR="00241400">
              <w:rPr>
                <w:rFonts w:cs="Arial"/>
                <w:sz w:val="18"/>
                <w:szCs w:val="18"/>
                <w:lang w:eastAsia="en-GB"/>
              </w:rPr>
              <w:t xml:space="preserve"> programmes, e.g., the FCPF Capacity Building Programme, and now the EnABLE fund. Ensuring that KPIs and </w:t>
            </w:r>
            <w:r w:rsidR="008E3E49">
              <w:rPr>
                <w:rFonts w:cs="Arial"/>
                <w:sz w:val="18"/>
                <w:szCs w:val="18"/>
                <w:lang w:eastAsia="en-GB"/>
              </w:rPr>
              <w:t xml:space="preserve">impact/outcome considers GESI from the start. </w:t>
            </w:r>
          </w:p>
        </w:tc>
        <w:tc>
          <w:tcPr>
            <w:tcW w:w="1590" w:type="dxa"/>
            <w:tcBorders>
              <w:top w:val="single" w:color="auto" w:sz="6" w:space="0"/>
              <w:left w:val="single" w:color="auto" w:sz="6" w:space="0"/>
              <w:bottom w:val="single" w:color="auto" w:sz="6" w:space="0"/>
              <w:right w:val="single" w:color="auto" w:sz="6" w:space="0"/>
            </w:tcBorders>
            <w:shd w:val="clear" w:color="auto" w:fill="auto"/>
          </w:tcPr>
          <w:p w:rsidR="00325038" w:rsidP="007D0168" w:rsidRDefault="00474AE2" w14:paraId="15784DB7" w14:textId="3BC69228">
            <w:pPr>
              <w:textAlignment w:val="baseline"/>
              <w:rPr>
                <w:rFonts w:cs="Arial"/>
                <w:sz w:val="18"/>
                <w:szCs w:val="18"/>
                <w:lang w:eastAsia="en-GB"/>
              </w:rPr>
            </w:pPr>
            <w:r>
              <w:rPr>
                <w:rFonts w:cs="Arial"/>
                <w:sz w:val="18"/>
                <w:szCs w:val="18"/>
                <w:lang w:eastAsia="en-GB"/>
              </w:rPr>
              <w:t xml:space="preserve">Ensuring work is progressed through existing avenues of support can streamline and accelerate progress under programmes. Supporting through CSOs/IP organisations to ensure meaningful </w:t>
            </w:r>
            <w:r w:rsidR="00241400">
              <w:rPr>
                <w:rFonts w:cs="Arial"/>
                <w:sz w:val="18"/>
                <w:szCs w:val="18"/>
                <w:lang w:eastAsia="en-GB"/>
              </w:rPr>
              <w:t xml:space="preserve">action is taken </w:t>
            </w:r>
          </w:p>
        </w:tc>
        <w:tc>
          <w:tcPr>
            <w:tcW w:w="1274" w:type="dxa"/>
            <w:tcBorders>
              <w:top w:val="single" w:color="auto" w:sz="6" w:space="0"/>
              <w:left w:val="single" w:color="auto" w:sz="6" w:space="0"/>
              <w:bottom w:val="single" w:color="auto" w:sz="6" w:space="0"/>
              <w:right w:val="single" w:color="auto" w:sz="6" w:space="0"/>
            </w:tcBorders>
            <w:shd w:val="clear" w:color="auto" w:fill="auto"/>
          </w:tcPr>
          <w:p w:rsidRPr="00263547" w:rsidR="00474AE2" w:rsidP="00474AE2" w:rsidRDefault="00474AE2" w14:paraId="5E00E8A8" w14:textId="77777777">
            <w:pPr>
              <w:textAlignment w:val="baseline"/>
              <w:rPr>
                <w:rFonts w:ascii="Segoe UI" w:hAnsi="Segoe UI" w:cs="Segoe UI"/>
                <w:sz w:val="18"/>
                <w:szCs w:val="18"/>
                <w:lang w:eastAsia="en-GB"/>
              </w:rPr>
            </w:pPr>
            <w:r w:rsidRPr="007D0168">
              <w:rPr>
                <w:rFonts w:cs="Arial"/>
                <w:sz w:val="18"/>
                <w:szCs w:val="18"/>
                <w:lang w:eastAsia="en-GB"/>
              </w:rPr>
              <w:t>Forest and Land Use</w:t>
            </w:r>
            <w:r w:rsidRPr="00263547">
              <w:rPr>
                <w:rFonts w:cs="Arial"/>
                <w:sz w:val="18"/>
                <w:szCs w:val="18"/>
                <w:lang w:eastAsia="en-GB"/>
              </w:rPr>
              <w:t>;</w:t>
            </w:r>
          </w:p>
          <w:p w:rsidRPr="00263547" w:rsidR="00474AE2" w:rsidP="00474AE2" w:rsidRDefault="00474AE2" w14:paraId="63EA6CB1" w14:textId="77777777">
            <w:pPr>
              <w:textAlignment w:val="baseline"/>
              <w:rPr>
                <w:rFonts w:ascii="Segoe UI" w:hAnsi="Segoe UI" w:cs="Segoe UI"/>
                <w:sz w:val="18"/>
                <w:szCs w:val="18"/>
                <w:lang w:eastAsia="en-GB"/>
              </w:rPr>
            </w:pPr>
            <w:r w:rsidRPr="007D0168">
              <w:rPr>
                <w:rFonts w:cs="Arial"/>
                <w:sz w:val="18"/>
                <w:szCs w:val="18"/>
                <w:lang w:eastAsia="en-GB"/>
              </w:rPr>
              <w:t>Private Finance</w:t>
            </w:r>
            <w:r w:rsidRPr="00263547">
              <w:rPr>
                <w:rFonts w:cs="Arial"/>
                <w:sz w:val="18"/>
                <w:szCs w:val="18"/>
                <w:lang w:eastAsia="en-GB"/>
              </w:rPr>
              <w:t>;</w:t>
            </w:r>
            <w:r w:rsidRPr="007D0168">
              <w:rPr>
                <w:rFonts w:cs="Arial"/>
                <w:sz w:val="18"/>
                <w:szCs w:val="18"/>
                <w:lang w:eastAsia="en-GB"/>
              </w:rPr>
              <w:t>  </w:t>
            </w:r>
          </w:p>
          <w:p w:rsidRPr="007D0168" w:rsidR="00474AE2" w:rsidP="00474AE2" w:rsidRDefault="00474AE2" w14:paraId="33589F37" w14:textId="77777777">
            <w:pPr>
              <w:textAlignment w:val="baseline"/>
              <w:rPr>
                <w:rFonts w:ascii="Segoe UI" w:hAnsi="Segoe UI" w:cs="Segoe UI"/>
                <w:sz w:val="18"/>
                <w:szCs w:val="18"/>
                <w:lang w:eastAsia="en-GB"/>
              </w:rPr>
            </w:pPr>
            <w:r w:rsidRPr="007D0168">
              <w:rPr>
                <w:rFonts w:cs="Arial"/>
                <w:sz w:val="18"/>
                <w:szCs w:val="18"/>
                <w:lang w:eastAsia="en-GB"/>
              </w:rPr>
              <w:t>Global Carbon Markets</w:t>
            </w:r>
            <w:r w:rsidRPr="00263547">
              <w:rPr>
                <w:rFonts w:cs="Arial"/>
                <w:sz w:val="18"/>
                <w:szCs w:val="18"/>
                <w:lang w:eastAsia="en-GB"/>
              </w:rPr>
              <w:t>;</w:t>
            </w:r>
            <w:r w:rsidRPr="007D0168">
              <w:rPr>
                <w:rFonts w:cs="Arial"/>
                <w:sz w:val="18"/>
                <w:szCs w:val="18"/>
                <w:lang w:eastAsia="en-GB"/>
              </w:rPr>
              <w:t> </w:t>
            </w:r>
          </w:p>
          <w:p w:rsidRPr="007D0168" w:rsidR="00325038" w:rsidP="00474AE2" w:rsidRDefault="00474AE2" w14:paraId="434A1F40" w14:textId="69E0BD72">
            <w:pPr>
              <w:textAlignment w:val="baseline"/>
              <w:rPr>
                <w:rFonts w:cs="Arial"/>
                <w:sz w:val="18"/>
                <w:szCs w:val="18"/>
                <w:lang w:eastAsia="en-GB"/>
              </w:rPr>
            </w:pPr>
            <w:r w:rsidRPr="007D0168">
              <w:rPr>
                <w:rFonts w:cs="Arial"/>
                <w:sz w:val="18"/>
                <w:szCs w:val="18"/>
                <w:lang w:eastAsia="en-GB"/>
              </w:rPr>
              <w:t>​Capacity Building </w:t>
            </w:r>
          </w:p>
        </w:tc>
        <w:tc>
          <w:tcPr>
            <w:tcW w:w="1509" w:type="dxa"/>
            <w:tcBorders>
              <w:top w:val="single" w:color="auto" w:sz="6" w:space="0"/>
              <w:left w:val="single" w:color="auto" w:sz="6" w:space="0"/>
              <w:bottom w:val="single" w:color="auto" w:sz="6" w:space="0"/>
              <w:right w:val="single" w:color="auto" w:sz="6" w:space="0"/>
            </w:tcBorders>
            <w:shd w:val="clear" w:color="auto" w:fill="auto"/>
          </w:tcPr>
          <w:p w:rsidRPr="007D0168" w:rsidR="00667D9E" w:rsidP="00667D9E" w:rsidRDefault="00667D9E" w14:paraId="1DF29313"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Planning </w:t>
            </w:r>
          </w:p>
          <w:p w:rsidRPr="007D0168" w:rsidR="00667D9E" w:rsidP="00667D9E" w:rsidRDefault="00667D9E" w14:paraId="7E010F79"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Governance </w:t>
            </w:r>
          </w:p>
          <w:p w:rsidRPr="007D0168" w:rsidR="00667D9E" w:rsidP="00667D9E" w:rsidRDefault="00667D9E" w14:paraId="09BB916B"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Finance </w:t>
            </w:r>
          </w:p>
          <w:p w:rsidRPr="007D0168" w:rsidR="00667D9E" w:rsidP="00667D9E" w:rsidRDefault="00667D9E" w14:paraId="7BC65E1B"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Stakeholders </w:t>
            </w:r>
          </w:p>
          <w:p w:rsidRPr="007D0168" w:rsidR="00325038" w:rsidP="00325038" w:rsidRDefault="00325038" w14:paraId="0D9DB5D1" w14:textId="77777777">
            <w:pPr>
              <w:textAlignment w:val="baseline"/>
              <w:rPr>
                <w:rFonts w:cs="Arial"/>
                <w:sz w:val="18"/>
                <w:szCs w:val="18"/>
                <w:lang w:eastAsia="en-GB"/>
              </w:rPr>
            </w:pPr>
          </w:p>
        </w:tc>
        <w:tc>
          <w:tcPr>
            <w:tcW w:w="1753" w:type="dxa"/>
            <w:tcBorders>
              <w:top w:val="single" w:color="auto" w:sz="6" w:space="0"/>
              <w:left w:val="single" w:color="auto" w:sz="6" w:space="0"/>
              <w:bottom w:val="single" w:color="auto" w:sz="6" w:space="0"/>
              <w:right w:val="single" w:color="auto" w:sz="6" w:space="0"/>
            </w:tcBorders>
            <w:shd w:val="clear" w:color="auto" w:fill="auto"/>
          </w:tcPr>
          <w:p w:rsidRPr="007D0168" w:rsidR="00667D9E" w:rsidP="00667D9E" w:rsidRDefault="00667D9E" w14:paraId="36A51D7F"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Business case development </w:t>
            </w:r>
          </w:p>
          <w:p w:rsidRPr="007D0168" w:rsidR="00667D9E" w:rsidP="00667D9E" w:rsidRDefault="00667D9E" w14:paraId="77697038"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Mobilisation </w:t>
            </w:r>
          </w:p>
          <w:p w:rsidRPr="007D0168" w:rsidR="00667D9E" w:rsidP="00667D9E" w:rsidRDefault="00667D9E" w14:paraId="23030171"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Implementation </w:t>
            </w:r>
          </w:p>
          <w:p w:rsidRPr="007D0168" w:rsidR="00325038" w:rsidP="00667D9E" w:rsidRDefault="00667D9E" w14:paraId="7654C50D" w14:textId="455B1182">
            <w:pPr>
              <w:textAlignment w:val="baseline"/>
              <w:rPr>
                <w:rFonts w:cs="Arial"/>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Developing the pipeline </w:t>
            </w:r>
          </w:p>
        </w:tc>
      </w:tr>
      <w:tr w:rsidRPr="007D0168" w:rsidR="00595C6A" w:rsidTr="002E3758" w14:paraId="4510FE21" w14:textId="77777777">
        <w:trPr>
          <w:trHeight w:val="1478"/>
        </w:trPr>
        <w:tc>
          <w:tcPr>
            <w:tcW w:w="1468" w:type="dxa"/>
            <w:tcBorders>
              <w:top w:val="single" w:color="auto" w:sz="6" w:space="0"/>
              <w:left w:val="single" w:color="auto" w:sz="6" w:space="0"/>
              <w:bottom w:val="single" w:color="auto" w:sz="6" w:space="0"/>
              <w:right w:val="single" w:color="auto" w:sz="6" w:space="0"/>
            </w:tcBorders>
            <w:shd w:val="clear" w:color="auto" w:fill="auto"/>
          </w:tcPr>
          <w:p w:rsidR="00595C6A" w:rsidP="007D0168" w:rsidRDefault="00316505" w14:paraId="2C768960" w14:textId="10D15D66">
            <w:pPr>
              <w:textAlignment w:val="baseline"/>
              <w:rPr>
                <w:rFonts w:cs="Arial"/>
                <w:sz w:val="18"/>
                <w:szCs w:val="18"/>
                <w:lang w:eastAsia="en-GB"/>
              </w:rPr>
            </w:pPr>
            <w:r>
              <w:rPr>
                <w:rFonts w:cs="Arial"/>
                <w:sz w:val="18"/>
                <w:szCs w:val="18"/>
                <w:lang w:eastAsia="en-GB"/>
              </w:rPr>
              <w:t>Testing model for public-private partnerships and building</w:t>
            </w:r>
            <w:r w:rsidRPr="00263547">
              <w:rPr>
                <w:rFonts w:cs="Segoe UI"/>
                <w:sz w:val="18"/>
                <w:szCs w:val="18"/>
                <w:lang w:eastAsia="en-GB"/>
              </w:rPr>
              <w:t xml:space="preserve"> trust in future markets for prospective buyer</w:t>
            </w:r>
            <w:r w:rsidR="00BC1D8A">
              <w:rPr>
                <w:rFonts w:cs="Segoe UI"/>
                <w:sz w:val="18"/>
                <w:szCs w:val="18"/>
                <w:lang w:eastAsia="en-GB"/>
              </w:rPr>
              <w:t xml:space="preserve">s. </w:t>
            </w:r>
          </w:p>
        </w:tc>
        <w:tc>
          <w:tcPr>
            <w:tcW w:w="1575" w:type="dxa"/>
            <w:tcBorders>
              <w:top w:val="single" w:color="auto" w:sz="6" w:space="0"/>
              <w:left w:val="single" w:color="auto" w:sz="6" w:space="0"/>
              <w:bottom w:val="single" w:color="auto" w:sz="6" w:space="0"/>
              <w:right w:val="single" w:color="auto" w:sz="6" w:space="0"/>
            </w:tcBorders>
            <w:shd w:val="clear" w:color="auto" w:fill="auto"/>
          </w:tcPr>
          <w:p w:rsidR="00595C6A" w:rsidP="007D0168" w:rsidRDefault="008E3E49" w14:paraId="5A80FD24" w14:textId="738EE1E6">
            <w:pPr>
              <w:textAlignment w:val="baseline"/>
              <w:rPr>
                <w:rFonts w:cs="Arial"/>
                <w:sz w:val="18"/>
                <w:szCs w:val="18"/>
                <w:lang w:eastAsia="en-GB"/>
              </w:rPr>
            </w:pPr>
            <w:r>
              <w:rPr>
                <w:rFonts w:cs="Arial"/>
                <w:sz w:val="18"/>
                <w:szCs w:val="18"/>
                <w:lang w:eastAsia="en-GB"/>
              </w:rPr>
              <w:t xml:space="preserve">Collaborative </w:t>
            </w:r>
            <w:r w:rsidR="00653187">
              <w:rPr>
                <w:rFonts w:cs="Arial"/>
                <w:sz w:val="18"/>
                <w:szCs w:val="18"/>
                <w:lang w:eastAsia="en-GB"/>
              </w:rPr>
              <w:t>actions to build the FCPF into a partnership, where forest countries and sovereign partners, and other third-parties have a shared vision and goal</w:t>
            </w:r>
            <w:r w:rsidR="00BC1D8A">
              <w:rPr>
                <w:rFonts w:cs="Arial"/>
                <w:sz w:val="18"/>
                <w:szCs w:val="18"/>
                <w:lang w:eastAsia="en-GB"/>
              </w:rPr>
              <w:t xml:space="preserve">. Outreach on opportunities such as CORSIA also provide more confidence. </w:t>
            </w:r>
          </w:p>
        </w:tc>
        <w:tc>
          <w:tcPr>
            <w:tcW w:w="1590" w:type="dxa"/>
            <w:tcBorders>
              <w:top w:val="single" w:color="auto" w:sz="6" w:space="0"/>
              <w:left w:val="single" w:color="auto" w:sz="6" w:space="0"/>
              <w:bottom w:val="single" w:color="auto" w:sz="6" w:space="0"/>
              <w:right w:val="single" w:color="auto" w:sz="6" w:space="0"/>
            </w:tcBorders>
            <w:shd w:val="clear" w:color="auto" w:fill="auto"/>
          </w:tcPr>
          <w:p w:rsidR="00595C6A" w:rsidP="007D0168" w:rsidRDefault="00653187" w14:paraId="217C430B" w14:textId="60DBCA10">
            <w:pPr>
              <w:textAlignment w:val="baseline"/>
              <w:rPr>
                <w:rFonts w:cs="Arial"/>
                <w:sz w:val="18"/>
                <w:szCs w:val="18"/>
                <w:lang w:eastAsia="en-GB"/>
              </w:rPr>
            </w:pPr>
            <w:r>
              <w:rPr>
                <w:rFonts w:cs="Arial"/>
                <w:sz w:val="18"/>
                <w:szCs w:val="18"/>
                <w:lang w:eastAsia="en-GB"/>
              </w:rPr>
              <w:t>These collaborative actions should be taken forward – allowing space for discussions and developing approaches in a harmonised, coordination way</w:t>
            </w:r>
            <w:r w:rsidR="00BC1D8A">
              <w:rPr>
                <w:rFonts w:cs="Arial"/>
                <w:sz w:val="18"/>
                <w:szCs w:val="18"/>
                <w:lang w:eastAsia="en-GB"/>
              </w:rPr>
              <w:t xml:space="preserve">. Keeping abreast of developments in the carbon market sphere also critical. </w:t>
            </w:r>
          </w:p>
        </w:tc>
        <w:tc>
          <w:tcPr>
            <w:tcW w:w="1274" w:type="dxa"/>
            <w:tcBorders>
              <w:top w:val="single" w:color="auto" w:sz="6" w:space="0"/>
              <w:left w:val="single" w:color="auto" w:sz="6" w:space="0"/>
              <w:bottom w:val="single" w:color="auto" w:sz="6" w:space="0"/>
              <w:right w:val="single" w:color="auto" w:sz="6" w:space="0"/>
            </w:tcBorders>
            <w:shd w:val="clear" w:color="auto" w:fill="auto"/>
          </w:tcPr>
          <w:p w:rsidRPr="00263547" w:rsidR="00474AE2" w:rsidP="00474AE2" w:rsidRDefault="00474AE2" w14:paraId="11D54C5A" w14:textId="77777777">
            <w:pPr>
              <w:textAlignment w:val="baseline"/>
              <w:rPr>
                <w:rFonts w:ascii="Segoe UI" w:hAnsi="Segoe UI" w:cs="Segoe UI"/>
                <w:sz w:val="18"/>
                <w:szCs w:val="18"/>
                <w:lang w:eastAsia="en-GB"/>
              </w:rPr>
            </w:pPr>
            <w:r w:rsidRPr="007D0168">
              <w:rPr>
                <w:rFonts w:cs="Arial"/>
                <w:sz w:val="18"/>
                <w:szCs w:val="18"/>
                <w:lang w:eastAsia="en-GB"/>
              </w:rPr>
              <w:t>Forest and Land Use</w:t>
            </w:r>
            <w:r w:rsidRPr="00263547">
              <w:rPr>
                <w:rFonts w:cs="Arial"/>
                <w:sz w:val="18"/>
                <w:szCs w:val="18"/>
                <w:lang w:eastAsia="en-GB"/>
              </w:rPr>
              <w:t>;</w:t>
            </w:r>
          </w:p>
          <w:p w:rsidRPr="00263547" w:rsidR="00474AE2" w:rsidP="00474AE2" w:rsidRDefault="00474AE2" w14:paraId="3EDECC06" w14:textId="77777777">
            <w:pPr>
              <w:textAlignment w:val="baseline"/>
              <w:rPr>
                <w:rFonts w:ascii="Segoe UI" w:hAnsi="Segoe UI" w:cs="Segoe UI"/>
                <w:sz w:val="18"/>
                <w:szCs w:val="18"/>
                <w:lang w:eastAsia="en-GB"/>
              </w:rPr>
            </w:pPr>
            <w:r w:rsidRPr="007D0168">
              <w:rPr>
                <w:rFonts w:cs="Arial"/>
                <w:sz w:val="18"/>
                <w:szCs w:val="18"/>
                <w:lang w:eastAsia="en-GB"/>
              </w:rPr>
              <w:t>Private Finance</w:t>
            </w:r>
            <w:r w:rsidRPr="00263547">
              <w:rPr>
                <w:rFonts w:cs="Arial"/>
                <w:sz w:val="18"/>
                <w:szCs w:val="18"/>
                <w:lang w:eastAsia="en-GB"/>
              </w:rPr>
              <w:t>;</w:t>
            </w:r>
            <w:r w:rsidRPr="007D0168">
              <w:rPr>
                <w:rFonts w:cs="Arial"/>
                <w:sz w:val="18"/>
                <w:szCs w:val="18"/>
                <w:lang w:eastAsia="en-GB"/>
              </w:rPr>
              <w:t>  </w:t>
            </w:r>
          </w:p>
          <w:p w:rsidRPr="007D0168" w:rsidR="00474AE2" w:rsidP="00474AE2" w:rsidRDefault="00474AE2" w14:paraId="0445C5EB" w14:textId="77777777">
            <w:pPr>
              <w:textAlignment w:val="baseline"/>
              <w:rPr>
                <w:rFonts w:ascii="Segoe UI" w:hAnsi="Segoe UI" w:cs="Segoe UI"/>
                <w:sz w:val="18"/>
                <w:szCs w:val="18"/>
                <w:lang w:eastAsia="en-GB"/>
              </w:rPr>
            </w:pPr>
            <w:r w:rsidRPr="007D0168">
              <w:rPr>
                <w:rFonts w:cs="Arial"/>
                <w:sz w:val="18"/>
                <w:szCs w:val="18"/>
                <w:lang w:eastAsia="en-GB"/>
              </w:rPr>
              <w:t>Global Carbon Markets</w:t>
            </w:r>
            <w:r w:rsidRPr="00263547">
              <w:rPr>
                <w:rFonts w:cs="Arial"/>
                <w:sz w:val="18"/>
                <w:szCs w:val="18"/>
                <w:lang w:eastAsia="en-GB"/>
              </w:rPr>
              <w:t>;</w:t>
            </w:r>
            <w:r w:rsidRPr="007D0168">
              <w:rPr>
                <w:rFonts w:cs="Arial"/>
                <w:sz w:val="18"/>
                <w:szCs w:val="18"/>
                <w:lang w:eastAsia="en-GB"/>
              </w:rPr>
              <w:t> </w:t>
            </w:r>
          </w:p>
          <w:p w:rsidRPr="007D0168" w:rsidR="00595C6A" w:rsidP="00474AE2" w:rsidRDefault="00474AE2" w14:paraId="3724C53A" w14:textId="03C683A5">
            <w:pPr>
              <w:textAlignment w:val="baseline"/>
              <w:rPr>
                <w:rFonts w:cs="Arial"/>
                <w:sz w:val="18"/>
                <w:szCs w:val="18"/>
                <w:lang w:eastAsia="en-GB"/>
              </w:rPr>
            </w:pPr>
            <w:r w:rsidRPr="007D0168">
              <w:rPr>
                <w:rFonts w:cs="Arial"/>
                <w:sz w:val="18"/>
                <w:szCs w:val="18"/>
                <w:lang w:eastAsia="en-GB"/>
              </w:rPr>
              <w:t>​Capacity Building </w:t>
            </w:r>
          </w:p>
        </w:tc>
        <w:tc>
          <w:tcPr>
            <w:tcW w:w="1509" w:type="dxa"/>
            <w:tcBorders>
              <w:top w:val="single" w:color="auto" w:sz="6" w:space="0"/>
              <w:left w:val="single" w:color="auto" w:sz="6" w:space="0"/>
              <w:bottom w:val="single" w:color="auto" w:sz="6" w:space="0"/>
              <w:right w:val="single" w:color="auto" w:sz="6" w:space="0"/>
            </w:tcBorders>
            <w:shd w:val="clear" w:color="auto" w:fill="auto"/>
          </w:tcPr>
          <w:p w:rsidRPr="007D0168" w:rsidR="00474AE2" w:rsidP="00474AE2" w:rsidRDefault="00474AE2" w14:paraId="4D169827"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Planning </w:t>
            </w:r>
          </w:p>
          <w:p w:rsidRPr="007D0168" w:rsidR="00474AE2" w:rsidP="00474AE2" w:rsidRDefault="00474AE2" w14:paraId="76D7DB9E"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Governance </w:t>
            </w:r>
          </w:p>
          <w:p w:rsidRPr="007D0168" w:rsidR="00474AE2" w:rsidP="00474AE2" w:rsidRDefault="00474AE2" w14:paraId="5211393A"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Finance </w:t>
            </w:r>
          </w:p>
          <w:p w:rsidRPr="007D0168" w:rsidR="00474AE2" w:rsidP="00474AE2" w:rsidRDefault="00474AE2" w14:paraId="79CD5795"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Stakeholders </w:t>
            </w:r>
          </w:p>
          <w:p w:rsidRPr="007D0168" w:rsidR="00595C6A" w:rsidP="00325038" w:rsidRDefault="00595C6A" w14:paraId="18AF1FCF" w14:textId="77777777">
            <w:pPr>
              <w:textAlignment w:val="baseline"/>
              <w:rPr>
                <w:rFonts w:cs="Arial"/>
                <w:sz w:val="18"/>
                <w:szCs w:val="18"/>
                <w:lang w:eastAsia="en-GB"/>
              </w:rPr>
            </w:pPr>
          </w:p>
        </w:tc>
        <w:tc>
          <w:tcPr>
            <w:tcW w:w="1753" w:type="dxa"/>
            <w:tcBorders>
              <w:top w:val="single" w:color="auto" w:sz="6" w:space="0"/>
              <w:left w:val="single" w:color="auto" w:sz="6" w:space="0"/>
              <w:bottom w:val="single" w:color="auto" w:sz="6" w:space="0"/>
              <w:right w:val="single" w:color="auto" w:sz="6" w:space="0"/>
            </w:tcBorders>
            <w:shd w:val="clear" w:color="auto" w:fill="auto"/>
          </w:tcPr>
          <w:p w:rsidRPr="007D0168" w:rsidR="00667D9E" w:rsidP="00667D9E" w:rsidRDefault="00667D9E" w14:paraId="6079A9C4"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Business case development </w:t>
            </w:r>
          </w:p>
          <w:p w:rsidRPr="007D0168" w:rsidR="00667D9E" w:rsidP="00667D9E" w:rsidRDefault="00667D9E" w14:paraId="3672A396"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Mobilisation </w:t>
            </w:r>
          </w:p>
          <w:p w:rsidRPr="007D0168" w:rsidR="00667D9E" w:rsidP="00667D9E" w:rsidRDefault="00667D9E" w14:paraId="66FA9419" w14:textId="77777777">
            <w:pPr>
              <w:textAlignment w:val="baseline"/>
              <w:rPr>
                <w:rFonts w:ascii="Segoe UI" w:hAnsi="Segoe UI" w:cs="Segoe UI"/>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Implementation </w:t>
            </w:r>
          </w:p>
          <w:p w:rsidRPr="007D0168" w:rsidR="00595C6A" w:rsidP="00667D9E" w:rsidRDefault="00667D9E" w14:paraId="11640498" w14:textId="36105E6C">
            <w:pPr>
              <w:textAlignment w:val="baseline"/>
              <w:rPr>
                <w:rFonts w:cs="Arial"/>
                <w:sz w:val="18"/>
                <w:szCs w:val="18"/>
                <w:lang w:eastAsia="en-GB"/>
              </w:rPr>
            </w:pPr>
            <w:r w:rsidRPr="007D0168">
              <w:rPr>
                <w:rFonts w:cs="Arial"/>
                <w:sz w:val="18"/>
                <w:szCs w:val="18"/>
                <w:lang w:eastAsia="en-GB"/>
              </w:rPr>
              <w:t>​​</w:t>
            </w:r>
            <w:r w:rsidRPr="007D0168">
              <w:rPr>
                <w:rFonts w:hint="eastAsia" w:ascii="MS Gothic" w:hAnsi="MS Gothic" w:eastAsia="MS Gothic" w:cs="Segoe UI"/>
                <w:sz w:val="18"/>
                <w:szCs w:val="18"/>
                <w:lang w:eastAsia="en-GB"/>
              </w:rPr>
              <w:t>☐</w:t>
            </w:r>
            <w:r w:rsidRPr="007D0168">
              <w:rPr>
                <w:rFonts w:cs="Arial"/>
                <w:sz w:val="18"/>
                <w:szCs w:val="18"/>
                <w:lang w:eastAsia="en-GB"/>
              </w:rPr>
              <w:t>​ Developing the pipeline </w:t>
            </w:r>
          </w:p>
        </w:tc>
      </w:tr>
    </w:tbl>
    <w:p w:rsidRPr="004C1E3D" w:rsidR="004C1E3D" w:rsidP="00F11371" w:rsidRDefault="004C1E3D" w14:paraId="1318F6DB" w14:textId="373529B1">
      <w:pPr>
        <w:tabs>
          <w:tab w:val="left" w:pos="6915"/>
          <w:tab w:val="left" w:pos="9495"/>
        </w:tabs>
        <w:jc w:val="both"/>
        <w:rPr>
          <w:sz w:val="22"/>
          <w:szCs w:val="22"/>
        </w:rPr>
      </w:pPr>
    </w:p>
    <w:p w:rsidRPr="00144117" w:rsidR="00AD67FC" w:rsidP="00AD67FC" w:rsidRDefault="00AD67FC" w14:paraId="1447400D" w14:textId="2ADFE188">
      <w:pPr>
        <w:jc w:val="both"/>
        <w:rPr>
          <w:rFonts w:cs="Arial"/>
          <w:sz w:val="22"/>
          <w:szCs w:val="22"/>
        </w:rPr>
      </w:pPr>
      <w:r w:rsidRPr="00144117">
        <w:rPr>
          <w:rFonts w:cs="Arial"/>
          <w:sz w:val="22"/>
          <w:szCs w:val="22"/>
        </w:rPr>
        <w:t xml:space="preserve">We are </w:t>
      </w:r>
      <w:r>
        <w:rPr>
          <w:rFonts w:cs="Arial"/>
          <w:sz w:val="22"/>
          <w:szCs w:val="22"/>
        </w:rPr>
        <w:t>moving firmly into the stage of the</w:t>
      </w:r>
      <w:r w:rsidRPr="00144117">
        <w:rPr>
          <w:rFonts w:cs="Arial"/>
          <w:sz w:val="22"/>
          <w:szCs w:val="22"/>
        </w:rPr>
        <w:t xml:space="preserve"> Carbon Fund </w:t>
      </w:r>
      <w:r>
        <w:rPr>
          <w:rFonts w:cs="Arial"/>
          <w:sz w:val="22"/>
          <w:szCs w:val="22"/>
        </w:rPr>
        <w:t xml:space="preserve">that </w:t>
      </w:r>
      <w:r w:rsidRPr="00144117">
        <w:rPr>
          <w:rFonts w:cs="Arial"/>
          <w:sz w:val="22"/>
          <w:szCs w:val="22"/>
        </w:rPr>
        <w:t>will provide</w:t>
      </w:r>
      <w:r>
        <w:rPr>
          <w:rFonts w:cs="Arial"/>
          <w:sz w:val="22"/>
          <w:szCs w:val="22"/>
        </w:rPr>
        <w:t xml:space="preserve"> key</w:t>
      </w:r>
      <w:r w:rsidRPr="00144117">
        <w:rPr>
          <w:rFonts w:cs="Arial"/>
          <w:sz w:val="22"/>
          <w:szCs w:val="22"/>
        </w:rPr>
        <w:t xml:space="preserve"> evidence on how ERPAs can be implemented, and how benefits can be shared to all relevant beneficiaries in programme areas. </w:t>
      </w:r>
      <w:r w:rsidR="007D6AAD">
        <w:rPr>
          <w:rFonts w:cs="Arial"/>
          <w:sz w:val="22"/>
          <w:szCs w:val="22"/>
        </w:rPr>
        <w:t xml:space="preserve">Following the FY23 Evaluation, more evidenced detail will be able to be provided on sharing and dispersing lessons learned. </w:t>
      </w:r>
      <w:r w:rsidRPr="00144117">
        <w:rPr>
          <w:rFonts w:cs="Arial"/>
          <w:sz w:val="22"/>
          <w:szCs w:val="22"/>
        </w:rPr>
        <w:t>Key priorities going forward will be to ensure the</w:t>
      </w:r>
      <w:r>
        <w:rPr>
          <w:rFonts w:cs="Arial"/>
          <w:sz w:val="22"/>
          <w:szCs w:val="22"/>
        </w:rPr>
        <w:t xml:space="preserve"> outcomes of the</w:t>
      </w:r>
      <w:r w:rsidRPr="00144117">
        <w:rPr>
          <w:rFonts w:cs="Arial"/>
          <w:sz w:val="22"/>
          <w:szCs w:val="22"/>
        </w:rPr>
        <w:t xml:space="preserve"> FY23 Evaluation </w:t>
      </w:r>
      <w:r>
        <w:rPr>
          <w:rFonts w:cs="Arial"/>
          <w:sz w:val="22"/>
          <w:szCs w:val="22"/>
        </w:rPr>
        <w:t xml:space="preserve">can be </w:t>
      </w:r>
      <w:r w:rsidRPr="00144117">
        <w:rPr>
          <w:rFonts w:cs="Arial"/>
          <w:sz w:val="22"/>
          <w:szCs w:val="22"/>
        </w:rPr>
        <w:t xml:space="preserve">effectively </w:t>
      </w:r>
      <w:r>
        <w:rPr>
          <w:rFonts w:cs="Arial"/>
          <w:sz w:val="22"/>
          <w:szCs w:val="22"/>
        </w:rPr>
        <w:t>drawn out</w:t>
      </w:r>
      <w:r w:rsidR="00194C2A">
        <w:rPr>
          <w:rFonts w:cs="Arial"/>
          <w:sz w:val="22"/>
          <w:szCs w:val="22"/>
        </w:rPr>
        <w:t xml:space="preserve"> and delivered</w:t>
      </w:r>
      <w:r w:rsidRPr="00144117">
        <w:rPr>
          <w:rFonts w:cs="Arial"/>
          <w:sz w:val="22"/>
          <w:szCs w:val="22"/>
        </w:rPr>
        <w:t xml:space="preserve">. </w:t>
      </w:r>
      <w:r w:rsidRPr="00144117" w:rsidR="00DE17A8">
        <w:rPr>
          <w:rFonts w:cs="Arial"/>
          <w:sz w:val="22"/>
          <w:szCs w:val="22"/>
        </w:rPr>
        <w:t>It</w:t>
      </w:r>
      <w:r w:rsidRPr="00144117">
        <w:rPr>
          <w:rFonts w:cs="Arial"/>
          <w:sz w:val="22"/>
          <w:szCs w:val="22"/>
        </w:rPr>
        <w:t xml:space="preserve"> will be an opportunity to consider the extent to which the current challenges the programme faces are likely to prevent the programme from achieving its intended outcomes and impact. This includes focusing on what the overall reach, </w:t>
      </w:r>
      <w:r w:rsidRPr="00144117" w:rsidR="00DE17A8">
        <w:rPr>
          <w:rFonts w:cs="Arial"/>
          <w:sz w:val="22"/>
          <w:szCs w:val="22"/>
        </w:rPr>
        <w:t>value,</w:t>
      </w:r>
      <w:r w:rsidRPr="00144117">
        <w:rPr>
          <w:rFonts w:cs="Arial"/>
          <w:sz w:val="22"/>
          <w:szCs w:val="22"/>
        </w:rPr>
        <w:t xml:space="preserve"> and transformational nature that FCPF holds can be, and how this can be demonstrated beyond quantitative milestones for broader impact and comparability considerations.</w:t>
      </w:r>
      <w:r>
        <w:rPr>
          <w:rFonts w:cs="Arial"/>
          <w:sz w:val="22"/>
          <w:szCs w:val="22"/>
        </w:rPr>
        <w:t xml:space="preserve"> This is vital in considering the strategic future and architecture of REDD+ beyond pilot programme.</w:t>
      </w:r>
    </w:p>
    <w:p w:rsidRPr="00144117" w:rsidR="00AD67FC" w:rsidP="00AD67FC" w:rsidRDefault="00AD67FC" w14:paraId="0C70FDA8" w14:textId="77777777">
      <w:pPr>
        <w:jc w:val="both"/>
        <w:rPr>
          <w:rFonts w:cs="Arial"/>
          <w:sz w:val="22"/>
          <w:szCs w:val="22"/>
        </w:rPr>
      </w:pPr>
    </w:p>
    <w:p w:rsidRPr="00144117" w:rsidR="00AD67FC" w:rsidP="00AD67FC" w:rsidRDefault="00AD67FC" w14:paraId="65BFBBB8" w14:textId="62DED70F">
      <w:pPr>
        <w:jc w:val="both"/>
        <w:rPr>
          <w:sz w:val="22"/>
          <w:szCs w:val="22"/>
        </w:rPr>
      </w:pPr>
      <w:r w:rsidRPr="00144117">
        <w:rPr>
          <w:sz w:val="22"/>
          <w:szCs w:val="22"/>
        </w:rPr>
        <w:t>The underlying value for money depends on the</w:t>
      </w:r>
      <w:r>
        <w:rPr>
          <w:sz w:val="22"/>
          <w:szCs w:val="22"/>
        </w:rPr>
        <w:t xml:space="preserve"> continued disbursement of</w:t>
      </w:r>
      <w:r w:rsidRPr="00144117">
        <w:rPr>
          <w:sz w:val="22"/>
          <w:szCs w:val="22"/>
        </w:rPr>
        <w:t xml:space="preserve"> results-based payments and</w:t>
      </w:r>
      <w:r>
        <w:rPr>
          <w:sz w:val="22"/>
          <w:szCs w:val="22"/>
        </w:rPr>
        <w:t xml:space="preserve"> subsequent</w:t>
      </w:r>
      <w:r w:rsidRPr="00144117">
        <w:rPr>
          <w:sz w:val="22"/>
          <w:szCs w:val="22"/>
        </w:rPr>
        <w:t xml:space="preserve"> benefit sharing. Now that ERPAs are being operationalised, and benefit-sharing will now be taking place, a clearer assessment of progress on this can be made going forward. Currently, the UK believes that the progress this FY on FCPF Carbon Fund is sufficient evidence that it continues to represent good value for </w:t>
      </w:r>
      <w:r w:rsidRPr="00144117" w:rsidR="00DE17A8">
        <w:rPr>
          <w:sz w:val="22"/>
          <w:szCs w:val="22"/>
        </w:rPr>
        <w:t>money,</w:t>
      </w:r>
      <w:r>
        <w:rPr>
          <w:sz w:val="22"/>
          <w:szCs w:val="22"/>
        </w:rPr>
        <w:t xml:space="preserve"> and it has shown how the programme has been able to accelerate towards the latter years of implementation. </w:t>
      </w:r>
    </w:p>
    <w:p w:rsidRPr="00144117" w:rsidR="00AD67FC" w:rsidP="00AD67FC" w:rsidRDefault="00AD67FC" w14:paraId="079169B3" w14:textId="77777777">
      <w:pPr>
        <w:jc w:val="both"/>
        <w:rPr>
          <w:sz w:val="22"/>
          <w:szCs w:val="22"/>
        </w:rPr>
      </w:pPr>
    </w:p>
    <w:p w:rsidRPr="00144117" w:rsidR="00AD67FC" w:rsidP="00AD67FC" w:rsidRDefault="00AD67FC" w14:paraId="7090A20F" w14:textId="3A1A5D3E">
      <w:pPr>
        <w:jc w:val="both"/>
        <w:rPr>
          <w:sz w:val="22"/>
          <w:szCs w:val="22"/>
        </w:rPr>
      </w:pPr>
      <w:r w:rsidRPr="00144117">
        <w:rPr>
          <w:sz w:val="22"/>
          <w:szCs w:val="22"/>
        </w:rPr>
        <w:t>FCPF Carbon Fund aligns with UK ICF REDD+ policy priorities and the implementation of landscape-level approaches. FCPF continues to provide a solid foundation under the wider ICF portfolio as evidence of how a REDD+ programme can be implemented</w:t>
      </w:r>
      <w:r w:rsidR="007716E2">
        <w:rPr>
          <w:sz w:val="22"/>
          <w:szCs w:val="22"/>
        </w:rPr>
        <w:t xml:space="preserve"> for forest countries</w:t>
      </w:r>
      <w:r w:rsidRPr="00144117">
        <w:rPr>
          <w:sz w:val="22"/>
          <w:szCs w:val="22"/>
        </w:rPr>
        <w:t>. Lessons learned, both positive and negative can be, and have been, taken to inform wider ICF programming around forests and land-use</w:t>
      </w:r>
      <w:r>
        <w:rPr>
          <w:sz w:val="22"/>
          <w:szCs w:val="22"/>
        </w:rPr>
        <w:t xml:space="preserve"> – for example through the LEAF Coalition</w:t>
      </w:r>
      <w:r w:rsidRPr="00144117">
        <w:rPr>
          <w:sz w:val="22"/>
          <w:szCs w:val="22"/>
        </w:rPr>
        <w:t>.</w:t>
      </w:r>
      <w:r w:rsidR="007716E2">
        <w:rPr>
          <w:sz w:val="22"/>
          <w:szCs w:val="22"/>
        </w:rPr>
        <w:t xml:space="preserve"> Lessons learned from FCPF will also be critical in considering the future direction of REDD+ and UK strategic pipeline planning. </w:t>
      </w:r>
    </w:p>
    <w:p w:rsidR="00AD67FC" w:rsidP="00F11371" w:rsidRDefault="00AD67FC" w14:paraId="3235325D" w14:textId="77777777">
      <w:pPr>
        <w:tabs>
          <w:tab w:val="left" w:pos="6915"/>
          <w:tab w:val="left" w:pos="9495"/>
        </w:tabs>
        <w:jc w:val="both"/>
        <w:rPr>
          <w:b/>
          <w:bCs/>
          <w:sz w:val="22"/>
          <w:szCs w:val="22"/>
        </w:rPr>
      </w:pPr>
    </w:p>
    <w:p w:rsidRPr="00801533" w:rsidR="00F11371" w:rsidP="00F11371" w:rsidRDefault="00F11371" w14:paraId="403A682F" w14:textId="22142FA1">
      <w:pPr>
        <w:tabs>
          <w:tab w:val="left" w:pos="6915"/>
          <w:tab w:val="left" w:pos="9495"/>
        </w:tabs>
        <w:jc w:val="both"/>
        <w:rPr>
          <w:rFonts w:cs="Arial"/>
          <w:sz w:val="20"/>
          <w:szCs w:val="20"/>
        </w:rPr>
      </w:pPr>
      <w:r w:rsidRPr="00801533">
        <w:rPr>
          <w:b/>
          <w:bCs/>
          <w:sz w:val="22"/>
          <w:szCs w:val="22"/>
        </w:rPr>
        <w:t>Recommendations for the year ahead</w:t>
      </w:r>
    </w:p>
    <w:p w:rsidR="00F11371" w:rsidP="00F11371" w:rsidRDefault="00F11371" w14:paraId="1BBBA952" w14:textId="77777777">
      <w:pPr>
        <w:tabs>
          <w:tab w:val="left" w:pos="6915"/>
          <w:tab w:val="left" w:pos="9495"/>
        </w:tabs>
        <w:jc w:val="both"/>
        <w:rPr>
          <w:rFonts w:cs="Arial"/>
          <w:b/>
          <w:sz w:val="22"/>
          <w:szCs w:val="22"/>
        </w:rPr>
      </w:pPr>
    </w:p>
    <w:p w:rsidRPr="00006B72" w:rsidR="00F11371" w:rsidP="00F11371" w:rsidRDefault="00F11371" w14:paraId="095B64E4" w14:textId="77777777">
      <w:pPr>
        <w:pStyle w:val="ListParagraph"/>
        <w:numPr>
          <w:ilvl w:val="0"/>
          <w:numId w:val="21"/>
        </w:numPr>
        <w:jc w:val="both"/>
        <w:rPr>
          <w:rFonts w:cs="Arial"/>
          <w:b/>
          <w:sz w:val="22"/>
          <w:szCs w:val="22"/>
        </w:rPr>
      </w:pPr>
      <w:r>
        <w:rPr>
          <w:rFonts w:cs="Arial"/>
          <w:b/>
          <w:sz w:val="22"/>
          <w:szCs w:val="22"/>
        </w:rPr>
        <w:t xml:space="preserve">Recommendation 1: Standalone Standard &amp; Future of FCPF: </w:t>
      </w:r>
      <w:r w:rsidRPr="00FD6074">
        <w:rPr>
          <w:rFonts w:cs="Arial"/>
          <w:bCs/>
          <w:sz w:val="22"/>
          <w:szCs w:val="22"/>
        </w:rPr>
        <w:t>World Bank and Contributors continue to discuss options for the creation of a standalone FCPF standard. Contributors to review draft for approval by Carbon Fund 27 in January. World Bank and Contributors to discuss and explore the future and legacy of FCPF, including through SCALE.</w:t>
      </w:r>
      <w:r>
        <w:rPr>
          <w:rFonts w:cs="Arial"/>
          <w:bCs/>
          <w:sz w:val="22"/>
          <w:szCs w:val="22"/>
        </w:rPr>
        <w:t xml:space="preserve"> World Bank and Contributors to continue discussions and finalise decision on a possible extension of FCPF, beyond 2025 – decision to be made by Summer/Autumn 2024. </w:t>
      </w:r>
    </w:p>
    <w:p w:rsidRPr="00006B72" w:rsidR="00F11371" w:rsidP="00F11371" w:rsidRDefault="00F11371" w14:paraId="123A37DA" w14:textId="77777777">
      <w:pPr>
        <w:pStyle w:val="ListParagraph"/>
        <w:numPr>
          <w:ilvl w:val="0"/>
          <w:numId w:val="21"/>
        </w:numPr>
        <w:jc w:val="both"/>
        <w:rPr>
          <w:rFonts w:cs="Arial"/>
          <w:b/>
          <w:sz w:val="22"/>
          <w:szCs w:val="22"/>
        </w:rPr>
      </w:pPr>
      <w:r>
        <w:rPr>
          <w:rFonts w:cs="Arial"/>
          <w:b/>
          <w:sz w:val="22"/>
          <w:szCs w:val="22"/>
        </w:rPr>
        <w:t xml:space="preserve">Recommendation 2: Leveraging Finance: </w:t>
      </w:r>
      <w:r w:rsidRPr="00FD6074">
        <w:rPr>
          <w:rFonts w:cs="Arial"/>
          <w:bCs/>
          <w:sz w:val="22"/>
          <w:szCs w:val="22"/>
        </w:rPr>
        <w:t>World Bank and Contributors to continue exploring opportunities for leveraging finance beyond the fund, including through Call Options, Third Party Transactions, Auction Mechanism and wider collaborative discussions (e.g., with Emergent/LEAF</w:t>
      </w:r>
      <w:r w:rsidRPr="09A3F83C">
        <w:rPr>
          <w:rFonts w:cs="Arial"/>
          <w:sz w:val="22"/>
          <w:szCs w:val="22"/>
        </w:rPr>
        <w:t>) - a key moment to discuss will be the FCPF Carbon Fund 27 in January 2024, and any upcoming Call Options from ERPA payments.</w:t>
      </w:r>
    </w:p>
    <w:p w:rsidRPr="00006B72" w:rsidR="00F11371" w:rsidP="00F11371" w:rsidRDefault="00F11371" w14:paraId="5E7D6270" w14:textId="490916C6">
      <w:pPr>
        <w:pStyle w:val="ListParagraph"/>
        <w:numPr>
          <w:ilvl w:val="0"/>
          <w:numId w:val="21"/>
        </w:numPr>
        <w:jc w:val="both"/>
        <w:rPr>
          <w:rFonts w:cs="Arial"/>
          <w:b/>
          <w:sz w:val="22"/>
          <w:szCs w:val="22"/>
        </w:rPr>
      </w:pPr>
      <w:r>
        <w:rPr>
          <w:rFonts w:cs="Arial"/>
          <w:b/>
          <w:sz w:val="22"/>
          <w:szCs w:val="22"/>
        </w:rPr>
        <w:t xml:space="preserve">Recommendation 3: Coordination &amp; Collaboration: </w:t>
      </w:r>
      <w:r w:rsidRPr="00FD6074">
        <w:rPr>
          <w:rFonts w:cs="Arial"/>
          <w:bCs/>
          <w:sz w:val="22"/>
          <w:szCs w:val="22"/>
        </w:rPr>
        <w:t xml:space="preserve">World Bank and Contributors to ensure increased opportunities for </w:t>
      </w:r>
      <w:r w:rsidR="004000EC">
        <w:rPr>
          <w:rFonts w:cs="Arial"/>
          <w:bCs/>
          <w:sz w:val="22"/>
          <w:szCs w:val="22"/>
        </w:rPr>
        <w:t>c</w:t>
      </w:r>
      <w:r w:rsidRPr="00FD6074">
        <w:rPr>
          <w:rFonts w:cs="Arial"/>
          <w:bCs/>
          <w:sz w:val="22"/>
          <w:szCs w:val="22"/>
        </w:rPr>
        <w:t xml:space="preserve">ollaboration with </w:t>
      </w:r>
      <w:r w:rsidRPr="09A3F83C">
        <w:rPr>
          <w:rFonts w:cs="Arial"/>
          <w:sz w:val="22"/>
          <w:szCs w:val="22"/>
        </w:rPr>
        <w:t xml:space="preserve">a </w:t>
      </w:r>
      <w:r w:rsidRPr="00FD6074">
        <w:rPr>
          <w:rFonts w:cs="Arial"/>
          <w:bCs/>
          <w:sz w:val="22"/>
          <w:szCs w:val="22"/>
        </w:rPr>
        <w:t>wide pool of partners, including LEAF, UN-REDD, UN Agencies, other TA providers, and forest countries. Particularly, to ensure these partners are reflected in discussions related to the future of REDD+ (e.g., through the January Knowledge Day on REDD+ Architecture), and to ensure a coordinated approach to unlocking REDD+ RBP through both FCPF, and other programmes</w:t>
      </w:r>
      <w:r>
        <w:rPr>
          <w:rFonts w:cs="Arial"/>
          <w:bCs/>
          <w:sz w:val="22"/>
          <w:szCs w:val="22"/>
        </w:rPr>
        <w:t xml:space="preserve">. This includes </w:t>
      </w:r>
      <w:r w:rsidRPr="009309F0">
        <w:rPr>
          <w:rFonts w:cs="Arial"/>
          <w:bCs/>
          <w:sz w:val="22"/>
          <w:szCs w:val="22"/>
        </w:rPr>
        <w:t>considering how new UK investment in UN-REDD and through the new FAO AIM4Forests programme can support accelerated delivery of country Emissions Reductions Programmes.</w:t>
      </w:r>
    </w:p>
    <w:p w:rsidRPr="00FD6074" w:rsidR="00F11371" w:rsidP="00F11371" w:rsidRDefault="00F11371" w14:paraId="0B363E07" w14:textId="77777777">
      <w:pPr>
        <w:pStyle w:val="ListParagraph"/>
        <w:numPr>
          <w:ilvl w:val="0"/>
          <w:numId w:val="21"/>
        </w:numPr>
        <w:jc w:val="both"/>
        <w:rPr>
          <w:rFonts w:cs="Arial"/>
          <w:bCs/>
          <w:sz w:val="22"/>
          <w:szCs w:val="22"/>
        </w:rPr>
      </w:pPr>
      <w:r>
        <w:rPr>
          <w:rFonts w:cs="Arial"/>
          <w:b/>
          <w:sz w:val="22"/>
          <w:szCs w:val="22"/>
        </w:rPr>
        <w:t xml:space="preserve">Recommendation 4: </w:t>
      </w:r>
      <w:r w:rsidRPr="00006B72">
        <w:rPr>
          <w:rFonts w:cs="Arial"/>
          <w:b/>
          <w:sz w:val="22"/>
          <w:szCs w:val="22"/>
        </w:rPr>
        <w:t xml:space="preserve">Logframe: </w:t>
      </w:r>
      <w:r w:rsidRPr="00FD6074">
        <w:rPr>
          <w:rFonts w:cs="Arial"/>
          <w:bCs/>
          <w:sz w:val="22"/>
          <w:szCs w:val="22"/>
        </w:rPr>
        <w:t xml:space="preserve">World Bank to set milestones and target for Output Indicator 2.2 (WB Outcome Indicator 2D). </w:t>
      </w:r>
    </w:p>
    <w:p w:rsidR="00F11371" w:rsidP="00F11371" w:rsidRDefault="00F11371" w14:paraId="3AF65621" w14:textId="38BAD5B2">
      <w:pPr>
        <w:pStyle w:val="ListParagraph"/>
        <w:numPr>
          <w:ilvl w:val="0"/>
          <w:numId w:val="21"/>
        </w:numPr>
        <w:jc w:val="both"/>
        <w:rPr>
          <w:rFonts w:cs="Arial"/>
          <w:sz w:val="22"/>
          <w:szCs w:val="22"/>
        </w:rPr>
      </w:pPr>
      <w:r>
        <w:rPr>
          <w:rFonts w:cs="Arial"/>
          <w:b/>
          <w:sz w:val="22"/>
          <w:szCs w:val="22"/>
        </w:rPr>
        <w:t xml:space="preserve">Recommendation 5: </w:t>
      </w:r>
      <w:r w:rsidRPr="00006B72">
        <w:rPr>
          <w:rFonts w:cs="Arial"/>
          <w:b/>
          <w:sz w:val="22"/>
          <w:szCs w:val="22"/>
        </w:rPr>
        <w:t xml:space="preserve">Evaluation: </w:t>
      </w:r>
      <w:r w:rsidRPr="00FD6074">
        <w:rPr>
          <w:rFonts w:cs="Arial"/>
          <w:bCs/>
          <w:sz w:val="22"/>
          <w:szCs w:val="22"/>
        </w:rPr>
        <w:t>World Bank and Contributors to ensure outcomes from the FY23 Evaluation are effectively embedded into the FCPF Programme's operations</w:t>
      </w:r>
      <w:r w:rsidR="00D65163">
        <w:rPr>
          <w:rFonts w:cs="Arial"/>
          <w:bCs/>
          <w:sz w:val="22"/>
          <w:szCs w:val="22"/>
        </w:rPr>
        <w:t>, particularly in the</w:t>
      </w:r>
      <w:r w:rsidR="00013AD9">
        <w:rPr>
          <w:rFonts w:cs="Arial"/>
          <w:bCs/>
          <w:sz w:val="22"/>
          <w:szCs w:val="22"/>
        </w:rPr>
        <w:t xml:space="preserve"> acceleration of </w:t>
      </w:r>
      <w:r w:rsidR="00616E86">
        <w:rPr>
          <w:rFonts w:cs="Arial"/>
          <w:bCs/>
          <w:sz w:val="22"/>
          <w:szCs w:val="22"/>
        </w:rPr>
        <w:t>milestone achievement and the</w:t>
      </w:r>
      <w:r w:rsidR="00D65163">
        <w:rPr>
          <w:rFonts w:cs="Arial"/>
          <w:bCs/>
          <w:sz w:val="22"/>
          <w:szCs w:val="22"/>
        </w:rPr>
        <w:t xml:space="preserve"> delivery of benefits to </w:t>
      </w:r>
      <w:r w:rsidR="00013AD9">
        <w:rPr>
          <w:rFonts w:cs="Arial"/>
          <w:bCs/>
          <w:sz w:val="22"/>
          <w:szCs w:val="22"/>
        </w:rPr>
        <w:t>beneficiaries and partners</w:t>
      </w:r>
      <w:r w:rsidRPr="00FD6074">
        <w:rPr>
          <w:rFonts w:cs="Arial"/>
          <w:bCs/>
          <w:sz w:val="22"/>
          <w:szCs w:val="22"/>
        </w:rPr>
        <w:t>, and that lessons are shared and transferred to other initiatives, such as SCALE</w:t>
      </w:r>
      <w:r w:rsidRPr="09A3F83C">
        <w:rPr>
          <w:rFonts w:cs="Arial"/>
          <w:sz w:val="22"/>
          <w:szCs w:val="22"/>
        </w:rPr>
        <w:t>, over the next Fiscal Year.</w:t>
      </w:r>
    </w:p>
    <w:p w:rsidRPr="004C1E3D" w:rsidR="004C1E3D" w:rsidP="004C1E3D" w:rsidRDefault="004C1E3D" w14:paraId="4BB97B98" w14:textId="77777777">
      <w:pPr>
        <w:jc w:val="both"/>
        <w:rPr>
          <w:rFonts w:cs="Arial"/>
          <w:sz w:val="22"/>
          <w:szCs w:val="22"/>
        </w:rPr>
      </w:pPr>
    </w:p>
    <w:p w:rsidR="00CB2873" w:rsidP="004D5FD5" w:rsidRDefault="00CB2873" w14:paraId="7F17C967" w14:textId="4E965DD7">
      <w:pPr>
        <w:jc w:val="both"/>
      </w:pPr>
    </w:p>
    <w:p w:rsidR="004C1E3D" w:rsidRDefault="004C1E3D" w14:paraId="36E78C80" w14:textId="77777777">
      <w:bookmarkStart w:name="_Hlk110858960" w:id="8"/>
      <w:r>
        <w:br w:type="page"/>
      </w:r>
    </w:p>
    <w:tbl>
      <w:tblPr>
        <w:tblStyle w:val="TableGrid"/>
        <w:tblW w:w="0" w:type="auto"/>
        <w:tblLook w:val="04A0" w:firstRow="1" w:lastRow="0" w:firstColumn="1" w:lastColumn="0" w:noHBand="0" w:noVBand="1"/>
      </w:tblPr>
      <w:tblGrid>
        <w:gridCol w:w="9016"/>
      </w:tblGrid>
      <w:tr w:rsidR="00CB2873" w:rsidTr="00CB2873" w14:paraId="3D63871C" w14:textId="77777777">
        <w:tc>
          <w:tcPr>
            <w:tcW w:w="9016" w:type="dxa"/>
            <w:shd w:val="clear" w:color="auto" w:fill="DEEAF6" w:themeFill="accent5" w:themeFillTint="33"/>
          </w:tcPr>
          <w:p w:rsidR="00CB2873" w:rsidP="004D5FD5" w:rsidRDefault="00CB2873" w14:paraId="3A432808" w14:textId="0AF367F3">
            <w:pPr>
              <w:jc w:val="both"/>
            </w:pPr>
            <w:bookmarkStart w:name="_Toc155945402" w:id="9"/>
            <w:r w:rsidRPr="00CB2873">
              <w:rPr>
                <w:rStyle w:val="Heading1Char"/>
                <w:rFonts w:ascii="Arial" w:hAnsi="Arial" w:cs="Arial"/>
                <w:b/>
                <w:bCs/>
                <w:color w:val="auto"/>
              </w:rPr>
              <w:t xml:space="preserve">Section B: Theory of </w:t>
            </w:r>
            <w:r w:rsidR="00A5180E">
              <w:rPr>
                <w:rStyle w:val="Heading1Char"/>
                <w:rFonts w:ascii="Arial" w:hAnsi="Arial" w:cs="Arial"/>
                <w:b/>
                <w:bCs/>
                <w:color w:val="auto"/>
              </w:rPr>
              <w:t>c</w:t>
            </w:r>
            <w:r w:rsidRPr="00CB2873">
              <w:rPr>
                <w:rStyle w:val="Heading1Char"/>
                <w:rFonts w:ascii="Arial" w:hAnsi="Arial" w:cs="Arial"/>
                <w:b/>
                <w:bCs/>
                <w:color w:val="auto"/>
              </w:rPr>
              <w:t>hange and progress towards outcomes</w:t>
            </w:r>
            <w:bookmarkEnd w:id="9"/>
            <w:r w:rsidRPr="00CB2873">
              <w:t xml:space="preserve"> </w:t>
            </w:r>
            <w:r w:rsidRPr="009E3F6E">
              <w:t>[2 pages]</w:t>
            </w:r>
          </w:p>
        </w:tc>
      </w:tr>
      <w:bookmarkEnd w:id="8"/>
    </w:tbl>
    <w:p w:rsidRPr="009E3F6E" w:rsidR="00CB2873" w:rsidP="004D5FD5" w:rsidRDefault="00CB2873" w14:paraId="799AF0D2" w14:textId="77777777">
      <w:pPr>
        <w:jc w:val="both"/>
      </w:pPr>
    </w:p>
    <w:p w:rsidRPr="00004515" w:rsidR="003D222C" w:rsidP="004D5FD5" w:rsidRDefault="00AA718D" w14:paraId="25478844" w14:textId="7E28CE76">
      <w:pPr>
        <w:jc w:val="both"/>
      </w:pPr>
      <w:bookmarkStart w:name="_Toc155945403" w:id="10"/>
      <w:r>
        <w:rPr>
          <w:rStyle w:val="Heading2Char"/>
        </w:rPr>
        <w:t>Summary of the</w:t>
      </w:r>
      <w:r w:rsidR="007D6095">
        <w:rPr>
          <w:rStyle w:val="Heading2Char"/>
        </w:rPr>
        <w:t xml:space="preserve"> </w:t>
      </w:r>
      <w:r w:rsidRPr="00004515" w:rsidR="003D222C">
        <w:rPr>
          <w:rStyle w:val="Heading2Char"/>
        </w:rPr>
        <w:t>programme’s theory of change, including any changes to outcome and impact indicators from the original business case</w:t>
      </w:r>
      <w:bookmarkEnd w:id="10"/>
      <w:r w:rsidRPr="00004515" w:rsidR="003D222C">
        <w:t xml:space="preserve"> </w:t>
      </w:r>
    </w:p>
    <w:p w:rsidR="003D222C" w:rsidP="004D5FD5" w:rsidRDefault="003D222C" w14:paraId="44435565" w14:textId="77777777">
      <w:pPr>
        <w:jc w:val="both"/>
        <w:rPr>
          <w:rFonts w:cs="Arial"/>
          <w:b/>
          <w:sz w:val="22"/>
          <w:szCs w:val="22"/>
        </w:rPr>
      </w:pPr>
    </w:p>
    <w:p w:rsidRPr="00144117" w:rsidR="00624B06" w:rsidP="00624B06" w:rsidRDefault="00624B06" w14:paraId="079FE1B3" w14:textId="77777777">
      <w:pPr>
        <w:jc w:val="both"/>
        <w:rPr>
          <w:sz w:val="22"/>
          <w:szCs w:val="22"/>
        </w:rPr>
      </w:pPr>
      <w:r w:rsidRPr="00144117">
        <w:rPr>
          <w:sz w:val="22"/>
          <w:szCs w:val="22"/>
        </w:rPr>
        <w:t xml:space="preserve">The FCPF Carbon Fund intends to drive towards an overarching </w:t>
      </w:r>
      <w:r w:rsidRPr="00144117">
        <w:rPr>
          <w:b/>
          <w:bCs/>
          <w:sz w:val="22"/>
          <w:szCs w:val="22"/>
        </w:rPr>
        <w:t xml:space="preserve">impact </w:t>
      </w:r>
      <w:r w:rsidRPr="00144117">
        <w:rPr>
          <w:sz w:val="22"/>
          <w:szCs w:val="22"/>
        </w:rPr>
        <w:t xml:space="preserve">of a transformational reduction in global deforestation rates and sustained or enhanced biodiversity and livelihoods for forest dependent men and women. The intended </w:t>
      </w:r>
      <w:r w:rsidRPr="00144117">
        <w:rPr>
          <w:b/>
          <w:bCs/>
          <w:sz w:val="22"/>
          <w:szCs w:val="22"/>
        </w:rPr>
        <w:t>outcome</w:t>
      </w:r>
      <w:r w:rsidRPr="00144117">
        <w:rPr>
          <w:sz w:val="22"/>
          <w:szCs w:val="22"/>
        </w:rPr>
        <w:t xml:space="preserve"> relates to large-scale, results-based payments and Emission Reduction mechanisms being effectively demonstrated; the FCPF Carbon Fund incentivising the development and delivery of REDD+ ER Programmes; participant countries strengthening delivery of programming aimed at sustaining or enhancing livelihoods of local communities and conserving biodiversity; and enhanced learning from FCPF on the global implementation of REDD+. </w:t>
      </w:r>
      <w:r w:rsidRPr="00144117">
        <w:rPr>
          <w:b/>
          <w:bCs/>
          <w:sz w:val="22"/>
          <w:szCs w:val="22"/>
        </w:rPr>
        <w:t xml:space="preserve">Outputs </w:t>
      </w:r>
      <w:r w:rsidRPr="00144117">
        <w:rPr>
          <w:sz w:val="22"/>
          <w:szCs w:val="22"/>
        </w:rPr>
        <w:t xml:space="preserve">relate to planned and progressing high-quality ER Programmes, the successful implementation of ways to sustain and enhance livelihoods, enhance capacity and conserve biodiversity, and the knowledge gained and applied in the development of the FCPF and implementation of these ER Programmes. </w:t>
      </w:r>
    </w:p>
    <w:p w:rsidRPr="00144117" w:rsidR="00624B06" w:rsidP="00624B06" w:rsidRDefault="00624B06" w14:paraId="1BA2406F" w14:textId="77777777">
      <w:pPr>
        <w:jc w:val="both"/>
        <w:rPr>
          <w:sz w:val="22"/>
          <w:szCs w:val="22"/>
        </w:rPr>
      </w:pPr>
    </w:p>
    <w:p w:rsidR="28430F59" w:rsidP="28430F59" w:rsidRDefault="28430F59" w14:paraId="6E7A33C9" w14:textId="497FE4B2">
      <w:pPr>
        <w:jc w:val="both"/>
        <w:rPr>
          <w:rFonts w:cs="Arial"/>
          <w:sz w:val="22"/>
          <w:szCs w:val="22"/>
        </w:rPr>
      </w:pPr>
    </w:p>
    <w:p w:rsidRPr="00D80C6C" w:rsidR="003D222C" w:rsidP="004D5FD5" w:rsidRDefault="007D6095" w14:paraId="6744E67C" w14:textId="62B67C37">
      <w:pPr>
        <w:jc w:val="both"/>
        <w:rPr>
          <w:rFonts w:cs="Arial"/>
          <w:bCs/>
          <w:sz w:val="22"/>
          <w:szCs w:val="22"/>
        </w:rPr>
      </w:pPr>
      <w:bookmarkStart w:name="_Toc155945404" w:id="11"/>
      <w:r>
        <w:rPr>
          <w:rStyle w:val="Heading2Char"/>
        </w:rPr>
        <w:t>Progress against</w:t>
      </w:r>
      <w:r w:rsidRPr="00402699" w:rsidR="003D222C">
        <w:rPr>
          <w:rStyle w:val="Heading2Char"/>
        </w:rPr>
        <w:t xml:space="preserve"> the expected outcomes and </w:t>
      </w:r>
      <w:r>
        <w:rPr>
          <w:rStyle w:val="Heading2Char"/>
        </w:rPr>
        <w:t>impact, and</w:t>
      </w:r>
      <w:r w:rsidRPr="00402699" w:rsidR="003D222C">
        <w:rPr>
          <w:rStyle w:val="Heading2Char"/>
        </w:rPr>
        <w:t xml:space="preserve"> action</w:t>
      </w:r>
      <w:r>
        <w:rPr>
          <w:rStyle w:val="Heading2Char"/>
        </w:rPr>
        <w:t>s</w:t>
      </w:r>
      <w:r w:rsidRPr="00402699" w:rsidR="003D222C">
        <w:rPr>
          <w:rStyle w:val="Heading2Char"/>
        </w:rPr>
        <w:t xml:space="preserve"> planned </w:t>
      </w:r>
      <w:r w:rsidR="002D09A5">
        <w:rPr>
          <w:rStyle w:val="Heading2Char"/>
        </w:rPr>
        <w:t>for</w:t>
      </w:r>
      <w:r w:rsidRPr="00402699" w:rsidR="003D222C">
        <w:rPr>
          <w:rStyle w:val="Heading2Char"/>
        </w:rPr>
        <w:t xml:space="preserve"> the year ahead</w:t>
      </w:r>
      <w:bookmarkEnd w:id="11"/>
      <w:r w:rsidRPr="00D80C6C" w:rsidR="003D222C">
        <w:rPr>
          <w:rFonts w:cs="Arial"/>
          <w:bCs/>
          <w:sz w:val="22"/>
          <w:szCs w:val="22"/>
        </w:rPr>
        <w:t xml:space="preserve"> </w:t>
      </w:r>
      <w:r w:rsidRPr="00D80C6C" w:rsidDel="00677C2D" w:rsidR="003D222C">
        <w:rPr>
          <w:rFonts w:cs="Arial"/>
          <w:bCs/>
          <w:sz w:val="22"/>
          <w:szCs w:val="22"/>
        </w:rPr>
        <w:t xml:space="preserve"> </w:t>
      </w:r>
    </w:p>
    <w:p w:rsidRPr="00D80C6C" w:rsidR="003D222C" w:rsidP="004D5FD5" w:rsidRDefault="003D222C" w14:paraId="594B159C" w14:textId="77777777">
      <w:pPr>
        <w:jc w:val="both"/>
        <w:rPr>
          <w:rFonts w:cs="Arial"/>
          <w:b/>
          <w:sz w:val="22"/>
          <w:szCs w:val="22"/>
        </w:rPr>
      </w:pPr>
    </w:p>
    <w:p w:rsidRPr="007F5AEC" w:rsidR="00D742EB" w:rsidP="00D742EB" w:rsidRDefault="00D742EB" w14:paraId="5EF0FA20" w14:textId="77777777">
      <w:pPr>
        <w:jc w:val="both"/>
        <w:rPr>
          <w:i/>
          <w:iCs/>
          <w:sz w:val="22"/>
          <w:szCs w:val="22"/>
        </w:rPr>
      </w:pPr>
      <w:r w:rsidRPr="00144117">
        <w:rPr>
          <w:sz w:val="22"/>
          <w:szCs w:val="22"/>
        </w:rPr>
        <w:t xml:space="preserve">The Carbon Fund’s ultimate success will be measured in terms of its step-wise progress against its intended outcome statement: </w:t>
      </w:r>
      <w:r w:rsidRPr="007F5AEC">
        <w:rPr>
          <w:b/>
          <w:bCs/>
          <w:i/>
          <w:iCs/>
          <w:sz w:val="22"/>
          <w:szCs w:val="22"/>
        </w:rPr>
        <w:t>The FCPF Carbon Fund has strengthened governance, built institutional capacity and mobilised investment for sustainable forest management in participant countries, to equitably support Reduced Emissions from Deforestation and forest Degradation (REDD+), and has contributed to the creation of global standards for REDD+</w:t>
      </w:r>
      <w:r w:rsidRPr="007F5AEC">
        <w:rPr>
          <w:i/>
          <w:iCs/>
          <w:sz w:val="22"/>
          <w:szCs w:val="22"/>
        </w:rPr>
        <w:t>.</w:t>
      </w:r>
    </w:p>
    <w:p w:rsidRPr="00144117" w:rsidR="00D742EB" w:rsidP="00D742EB" w:rsidRDefault="00D742EB" w14:paraId="5DB87D15" w14:textId="77777777">
      <w:pPr>
        <w:jc w:val="both"/>
        <w:rPr>
          <w:sz w:val="22"/>
          <w:szCs w:val="22"/>
        </w:rPr>
      </w:pPr>
    </w:p>
    <w:p w:rsidRPr="00144117" w:rsidR="00D742EB" w:rsidP="00D742EB" w:rsidRDefault="00D742EB" w14:paraId="09A37835" w14:textId="77777777">
      <w:pPr>
        <w:jc w:val="both"/>
        <w:rPr>
          <w:sz w:val="22"/>
          <w:szCs w:val="22"/>
        </w:rPr>
      </w:pPr>
      <w:r w:rsidRPr="00144117">
        <w:rPr>
          <w:sz w:val="22"/>
          <w:szCs w:val="22"/>
        </w:rPr>
        <w:t>Progress on outcome-level indicators is mixed and a number of these indicators are not yet reporting results</w:t>
      </w:r>
      <w:r w:rsidRPr="00144117">
        <w:rPr>
          <w:rStyle w:val="FootnoteReference"/>
          <w:sz w:val="22"/>
          <w:szCs w:val="22"/>
        </w:rPr>
        <w:footnoteReference w:id="7"/>
      </w:r>
      <w:r w:rsidRPr="00144117">
        <w:rPr>
          <w:sz w:val="22"/>
          <w:szCs w:val="22"/>
        </w:rPr>
        <w:t xml:space="preserve">. </w:t>
      </w:r>
      <w:r>
        <w:rPr>
          <w:sz w:val="22"/>
          <w:szCs w:val="22"/>
        </w:rPr>
        <w:t>Key outcomes and a reflection on progress will be detailed in the upcoming external Evaluation, which has been progressing this past year. This</w:t>
      </w:r>
      <w:r w:rsidRPr="007F5AEC">
        <w:rPr>
          <w:sz w:val="22"/>
          <w:szCs w:val="22"/>
        </w:rPr>
        <w:t xml:space="preserve"> </w:t>
      </w:r>
      <w:r>
        <w:rPr>
          <w:sz w:val="22"/>
          <w:szCs w:val="22"/>
        </w:rPr>
        <w:t>external</w:t>
      </w:r>
      <w:r w:rsidRPr="007F5AEC">
        <w:rPr>
          <w:sz w:val="22"/>
          <w:szCs w:val="22"/>
        </w:rPr>
        <w:t xml:space="preserve"> Evaluation will include a final summative evaluation of the FCPF Readiness Fund, examine ongoing implementation in the FCPF Carbon Fund, and assess FCPF’s influence on the broader REDD+ architecture in recipient countries as well as its contributions to local livelihoods and other sustainable development co-benefits.</w:t>
      </w:r>
    </w:p>
    <w:p w:rsidRPr="00144117" w:rsidR="00D742EB" w:rsidP="00D742EB" w:rsidRDefault="00D742EB" w14:paraId="5F473A1B" w14:textId="77777777">
      <w:pPr>
        <w:jc w:val="both"/>
        <w:rPr>
          <w:sz w:val="22"/>
          <w:szCs w:val="22"/>
        </w:rPr>
      </w:pPr>
    </w:p>
    <w:p w:rsidRPr="00144117" w:rsidR="00D742EB" w:rsidP="00D742EB" w:rsidRDefault="00D742EB" w14:paraId="4A8D0822" w14:textId="77777777">
      <w:pPr>
        <w:jc w:val="both"/>
        <w:rPr>
          <w:sz w:val="22"/>
          <w:szCs w:val="22"/>
        </w:rPr>
      </w:pPr>
      <w:r w:rsidRPr="00144117">
        <w:rPr>
          <w:sz w:val="22"/>
          <w:szCs w:val="22"/>
        </w:rPr>
        <w:t xml:space="preserve">Considerations on the progress for individual outcome-level indicators are provided below. </w:t>
      </w:r>
    </w:p>
    <w:p w:rsidRPr="00144117" w:rsidR="00D742EB" w:rsidP="00D742EB" w:rsidRDefault="00D742EB" w14:paraId="1F7DD087" w14:textId="77777777">
      <w:pPr>
        <w:jc w:val="both"/>
        <w:rPr>
          <w:sz w:val="22"/>
          <w:szCs w:val="22"/>
        </w:rPr>
      </w:pPr>
    </w:p>
    <w:p w:rsidRPr="00144117" w:rsidR="00D742EB" w:rsidP="00D742EB" w:rsidRDefault="00D742EB" w14:paraId="38B58C28" w14:textId="77777777">
      <w:pPr>
        <w:jc w:val="both"/>
        <w:rPr>
          <w:b/>
          <w:bCs/>
          <w:i/>
          <w:iCs/>
          <w:sz w:val="22"/>
          <w:szCs w:val="22"/>
        </w:rPr>
      </w:pPr>
      <w:r w:rsidRPr="00144117">
        <w:rPr>
          <w:b/>
          <w:bCs/>
          <w:i/>
          <w:iCs/>
          <w:sz w:val="22"/>
          <w:szCs w:val="22"/>
        </w:rPr>
        <w:t>Number of participant countries where learning, evidence and knowledge products generated through FCPF has influenced other REDD+ programmes and practices</w:t>
      </w:r>
      <w:r>
        <w:rPr>
          <w:b/>
          <w:bCs/>
          <w:i/>
          <w:iCs/>
          <w:sz w:val="22"/>
          <w:szCs w:val="22"/>
        </w:rPr>
        <w:t>.</w:t>
      </w:r>
    </w:p>
    <w:p w:rsidRPr="00144117" w:rsidR="00D742EB" w:rsidP="00D742EB" w:rsidRDefault="00D742EB" w14:paraId="27CEAE74" w14:textId="77777777">
      <w:pPr>
        <w:jc w:val="both"/>
        <w:rPr>
          <w:sz w:val="22"/>
          <w:szCs w:val="22"/>
        </w:rPr>
      </w:pPr>
    </w:p>
    <w:p w:rsidR="00D742EB" w:rsidP="00D742EB" w:rsidRDefault="00D742EB" w14:paraId="3F075C67" w14:textId="77777777">
      <w:pPr>
        <w:jc w:val="both"/>
        <w:rPr>
          <w:sz w:val="22"/>
          <w:szCs w:val="22"/>
        </w:rPr>
      </w:pPr>
      <w:r w:rsidRPr="00963694">
        <w:rPr>
          <w:sz w:val="22"/>
          <w:szCs w:val="22"/>
        </w:rPr>
        <w:t xml:space="preserve">There is anecdotal evidence to suggest that FCPF is influencing other REDD+ programmes and practice, for example in the development of methodological frameworks for other multilateral or independent REDD+ results-based payment initiatives. The BioCarbon Fund Initiative for Sustainable Forest Landscapes (ISFL), also funded by UK ICF, has been able to draw upon FCPF precedent and experience in its operational design. For example, the ISFL Methodological Framework and ERPA Terms have directly drawn upon drafting from FCPF frameworks. Other programmes where there can be anecdotal evidence of influence include the Green Climate Fund scorecard, the ART/TREES approach, and the California Tropical Forest Standard. The FCPF has also been referenced in discussions relating to the technical criteria for programmes eligible under ICAO’s CORSIA. Additionally, countries showing early interest and moving forward with the Lowering Emissions by Accelerating Forest Finance (LEAF) Coalition are often countries that have had FCPF Readiness and Carbon Fund support (e.g., Nepal, Costa Rica, DRC, Guyana, Mexico, PNG, Burkina, Ghana, Kenya, Nigeria, Uganda). This provides anecdotal evidence that lessons drawn from FCPF are utilised within forest countries to advance progression in other forest carbon opportunities. </w:t>
      </w:r>
    </w:p>
    <w:p w:rsidR="00D742EB" w:rsidP="00D742EB" w:rsidRDefault="00D742EB" w14:paraId="1870A11B" w14:textId="77777777">
      <w:pPr>
        <w:jc w:val="both"/>
        <w:rPr>
          <w:sz w:val="22"/>
          <w:szCs w:val="22"/>
        </w:rPr>
      </w:pPr>
    </w:p>
    <w:p w:rsidRPr="00963694" w:rsidR="00D742EB" w:rsidP="00D742EB" w:rsidRDefault="00D742EB" w14:paraId="33E13970" w14:textId="77777777">
      <w:pPr>
        <w:jc w:val="both"/>
        <w:rPr>
          <w:sz w:val="22"/>
          <w:szCs w:val="22"/>
        </w:rPr>
      </w:pPr>
      <w:r>
        <w:rPr>
          <w:sz w:val="22"/>
          <w:szCs w:val="22"/>
        </w:rPr>
        <w:t>Early supporting evidence from the FY23 Evaluation (to be published in the coming months) indicate that FCPF countries have utilised data, methods and tools developed through FCPF to access resource from other initiatives, such as GCF and LEAF. For some countries, t</w:t>
      </w:r>
      <w:r w:rsidRPr="00A05346">
        <w:rPr>
          <w:sz w:val="22"/>
          <w:szCs w:val="22"/>
        </w:rPr>
        <w:t xml:space="preserve">he </w:t>
      </w:r>
      <w:r>
        <w:rPr>
          <w:sz w:val="22"/>
          <w:szCs w:val="22"/>
        </w:rPr>
        <w:t>p</w:t>
      </w:r>
      <w:r w:rsidRPr="00A05346">
        <w:rPr>
          <w:sz w:val="22"/>
          <w:szCs w:val="22"/>
        </w:rPr>
        <w:t>rovision of tools, guidance, templates and formats for MRV (methodological framework), safeguards, benefit sharing arrangements, as well as a range of readiness activities (National REDD+ strategy, NFMS, FREL etc) were useful in delivering key milestones under UNFCCC as well as WB support.</w:t>
      </w:r>
      <w:r>
        <w:rPr>
          <w:sz w:val="22"/>
          <w:szCs w:val="22"/>
        </w:rPr>
        <w:t xml:space="preserve"> Some countries also shared that there were clear synergies between National REDD+ processes and the FCPF, and that the programme has been instrumental to supporting REDD+ process. </w:t>
      </w:r>
    </w:p>
    <w:p w:rsidRPr="00963694" w:rsidR="00D742EB" w:rsidP="00D742EB" w:rsidRDefault="00D742EB" w14:paraId="6265531B" w14:textId="77777777">
      <w:pPr>
        <w:jc w:val="both"/>
        <w:rPr>
          <w:sz w:val="22"/>
          <w:szCs w:val="22"/>
        </w:rPr>
      </w:pPr>
    </w:p>
    <w:p w:rsidRPr="002845B9" w:rsidR="00D742EB" w:rsidP="00D742EB" w:rsidRDefault="00D742EB" w14:paraId="64320F58" w14:textId="77777777">
      <w:pPr>
        <w:jc w:val="both"/>
        <w:rPr>
          <w:i/>
          <w:iCs/>
          <w:sz w:val="22"/>
          <w:szCs w:val="22"/>
        </w:rPr>
      </w:pPr>
      <w:r>
        <w:rPr>
          <w:sz w:val="22"/>
          <w:szCs w:val="22"/>
        </w:rPr>
        <w:t>Further, more detailed progress</w:t>
      </w:r>
      <w:r w:rsidRPr="00963694">
        <w:rPr>
          <w:sz w:val="22"/>
          <w:szCs w:val="22"/>
        </w:rPr>
        <w:t xml:space="preserve"> on this will be measured through the FY23 Third Programme Evaluation</w:t>
      </w:r>
      <w:r>
        <w:rPr>
          <w:sz w:val="22"/>
          <w:szCs w:val="22"/>
        </w:rPr>
        <w:t xml:space="preserve"> </w:t>
      </w:r>
      <w:r w:rsidRPr="00963694">
        <w:rPr>
          <w:sz w:val="22"/>
          <w:szCs w:val="22"/>
        </w:rPr>
        <w:t>findings</w:t>
      </w:r>
      <w:r>
        <w:rPr>
          <w:sz w:val="22"/>
          <w:szCs w:val="22"/>
        </w:rPr>
        <w:t xml:space="preserve"> once published</w:t>
      </w:r>
      <w:r w:rsidRPr="00963694">
        <w:rPr>
          <w:sz w:val="22"/>
          <w:szCs w:val="22"/>
        </w:rPr>
        <w:t>, which will draw upon whether countries have used FCPF knowledge products, with tangible examples of such influence (e.g., specific processes, policies, benefit sharing etc.) provided. We should more effectively be able to assess this indicator following this evaluation</w:t>
      </w:r>
      <w:r>
        <w:rPr>
          <w:sz w:val="22"/>
          <w:szCs w:val="22"/>
        </w:rPr>
        <w:t xml:space="preserve"> publication</w:t>
      </w:r>
      <w:r w:rsidRPr="00963694">
        <w:rPr>
          <w:sz w:val="22"/>
          <w:szCs w:val="22"/>
        </w:rPr>
        <w:t>.</w:t>
      </w:r>
      <w:r w:rsidRPr="002845B9">
        <w:rPr>
          <w:i/>
          <w:iCs/>
          <w:sz w:val="22"/>
          <w:szCs w:val="22"/>
        </w:rPr>
        <w:t xml:space="preserve"> </w:t>
      </w:r>
    </w:p>
    <w:p w:rsidRPr="00144117" w:rsidR="00D742EB" w:rsidP="00D742EB" w:rsidRDefault="00D742EB" w14:paraId="6F838951" w14:textId="77777777">
      <w:pPr>
        <w:jc w:val="both"/>
        <w:rPr>
          <w:sz w:val="22"/>
          <w:szCs w:val="22"/>
        </w:rPr>
      </w:pPr>
    </w:p>
    <w:p w:rsidRPr="00144117" w:rsidR="00D742EB" w:rsidP="00D742EB" w:rsidRDefault="00D742EB" w14:paraId="2437ED47" w14:textId="77777777">
      <w:pPr>
        <w:jc w:val="both"/>
        <w:rPr>
          <w:b/>
          <w:bCs/>
          <w:i/>
          <w:iCs/>
          <w:sz w:val="22"/>
          <w:szCs w:val="22"/>
        </w:rPr>
      </w:pPr>
      <w:r w:rsidRPr="00144117">
        <w:rPr>
          <w:b/>
          <w:bCs/>
          <w:i/>
          <w:iCs/>
          <w:sz w:val="22"/>
          <w:szCs w:val="22"/>
        </w:rPr>
        <w:t>Number of participant counties where FCPF has influenced REDD+ country participants’ national approaches to sustainable forest resource management (including among women, women’s groups, IPS, CSOs, local communities)</w:t>
      </w:r>
    </w:p>
    <w:p w:rsidRPr="00144117" w:rsidR="00D742EB" w:rsidP="00D742EB" w:rsidRDefault="00D742EB" w14:paraId="10967238" w14:textId="77777777">
      <w:pPr>
        <w:jc w:val="both"/>
        <w:rPr>
          <w:sz w:val="22"/>
          <w:szCs w:val="22"/>
        </w:rPr>
      </w:pPr>
    </w:p>
    <w:p w:rsidR="00D742EB" w:rsidP="00D742EB" w:rsidRDefault="00D742EB" w14:paraId="76A8955F" w14:textId="77777777">
      <w:pPr>
        <w:jc w:val="both"/>
        <w:rPr>
          <w:sz w:val="22"/>
          <w:szCs w:val="22"/>
        </w:rPr>
      </w:pPr>
      <w:r w:rsidRPr="00144117">
        <w:rPr>
          <w:sz w:val="22"/>
          <w:szCs w:val="22"/>
        </w:rPr>
        <w:t>This is a key indicator to consider the transformational nature of the FCPF Carbon Fund. Some anecdotal evidence of FCPF’s impact can be provided at this stage. F</w:t>
      </w:r>
      <w:r>
        <w:rPr>
          <w:sz w:val="22"/>
          <w:szCs w:val="22"/>
        </w:rPr>
        <w:t xml:space="preserve">or example, the Dominican Republic ER Programme provides an example of how FCPF has supported advancements in developing their national REDD+ strategy. Here, a strategic guideline focused on sustainable forest management models designed to protect and preserve forest resources while mitigating the impacts of climate change. </w:t>
      </w:r>
      <w:r w:rsidRPr="000B72E3">
        <w:rPr>
          <w:sz w:val="22"/>
          <w:szCs w:val="22"/>
        </w:rPr>
        <w:t>The strategic actions aim to promote sustainable livelihoods at the local level, as a basis for communities</w:t>
      </w:r>
      <w:r>
        <w:rPr>
          <w:sz w:val="22"/>
          <w:szCs w:val="22"/>
        </w:rPr>
        <w:t xml:space="preserve"> </w:t>
      </w:r>
      <w:r w:rsidRPr="000B72E3">
        <w:rPr>
          <w:sz w:val="22"/>
          <w:szCs w:val="22"/>
        </w:rPr>
        <w:t>to strengthen their role as overseers of natural resources in their territories.</w:t>
      </w:r>
    </w:p>
    <w:p w:rsidR="00D742EB" w:rsidP="00D742EB" w:rsidRDefault="00D742EB" w14:paraId="3C776535" w14:textId="77777777">
      <w:pPr>
        <w:jc w:val="both"/>
        <w:rPr>
          <w:i/>
          <w:iCs/>
          <w:sz w:val="22"/>
          <w:szCs w:val="22"/>
        </w:rPr>
      </w:pPr>
    </w:p>
    <w:p w:rsidRPr="00EF072E" w:rsidR="00D742EB" w:rsidP="00D742EB" w:rsidRDefault="00D742EB" w14:paraId="4B727A4B" w14:textId="77777777">
      <w:pPr>
        <w:jc w:val="both"/>
        <w:rPr>
          <w:sz w:val="22"/>
          <w:szCs w:val="22"/>
        </w:rPr>
      </w:pPr>
      <w:r>
        <w:rPr>
          <w:sz w:val="22"/>
          <w:szCs w:val="22"/>
        </w:rPr>
        <w:t>A</w:t>
      </w:r>
      <w:r w:rsidRPr="00EF072E">
        <w:rPr>
          <w:sz w:val="22"/>
          <w:szCs w:val="22"/>
        </w:rPr>
        <w:t xml:space="preserve">ctual reporting of this indicator will commence post-FY23, where qualitative progress will be measured through the FY23 Evaluation. Specific questions will relate to how FCPF has influenced national approaches, specific governance questions, engagement of certain stakeholder groups (CSOs, IPs, women’s groups) and a comparison of countries with broader and limited representation of FCPF influence. Following this FY23 evaluation, we should be able to consider the progress of this indicator and therefore more effectively understand the wider </w:t>
      </w:r>
      <w:r>
        <w:rPr>
          <w:sz w:val="22"/>
          <w:szCs w:val="22"/>
        </w:rPr>
        <w:t xml:space="preserve">influencing </w:t>
      </w:r>
      <w:r w:rsidRPr="00EF072E">
        <w:rPr>
          <w:sz w:val="22"/>
          <w:szCs w:val="22"/>
        </w:rPr>
        <w:t>impact of FCPF.</w:t>
      </w:r>
    </w:p>
    <w:p w:rsidRPr="00144117" w:rsidR="00D742EB" w:rsidP="00D742EB" w:rsidRDefault="00D742EB" w14:paraId="01CA7980" w14:textId="77777777">
      <w:pPr>
        <w:jc w:val="both"/>
        <w:rPr>
          <w:sz w:val="22"/>
          <w:szCs w:val="22"/>
        </w:rPr>
      </w:pPr>
    </w:p>
    <w:p w:rsidRPr="00144117" w:rsidR="00D742EB" w:rsidP="00D742EB" w:rsidRDefault="00D742EB" w14:paraId="4FA3C657" w14:textId="77777777">
      <w:pPr>
        <w:jc w:val="both"/>
        <w:rPr>
          <w:b/>
          <w:bCs/>
          <w:i/>
          <w:iCs/>
          <w:sz w:val="22"/>
          <w:szCs w:val="22"/>
        </w:rPr>
      </w:pPr>
      <w:r w:rsidRPr="00144117">
        <w:rPr>
          <w:b/>
          <w:bCs/>
          <w:i/>
          <w:iCs/>
          <w:sz w:val="22"/>
          <w:szCs w:val="22"/>
        </w:rPr>
        <w:t>Net change in Greenhouse Gas Emissions (tCO2e) – tonnes of reduced or avoided GHG emissions from CF programmes</w:t>
      </w:r>
      <w:r>
        <w:rPr>
          <w:b/>
          <w:bCs/>
          <w:i/>
          <w:iCs/>
          <w:sz w:val="22"/>
          <w:szCs w:val="22"/>
        </w:rPr>
        <w:t>.</w:t>
      </w:r>
    </w:p>
    <w:p w:rsidRPr="00144117" w:rsidR="00D742EB" w:rsidP="00D742EB" w:rsidRDefault="00D742EB" w14:paraId="58FCE334" w14:textId="77777777">
      <w:pPr>
        <w:jc w:val="both"/>
        <w:rPr>
          <w:sz w:val="22"/>
          <w:szCs w:val="22"/>
        </w:rPr>
      </w:pPr>
    </w:p>
    <w:p w:rsidRPr="009F4BD3" w:rsidR="00D742EB" w:rsidP="00D742EB" w:rsidRDefault="00D742EB" w14:paraId="78A52C6F" w14:textId="77777777">
      <w:pPr>
        <w:jc w:val="both"/>
        <w:rPr>
          <w:sz w:val="22"/>
          <w:szCs w:val="22"/>
        </w:rPr>
      </w:pPr>
      <w:r w:rsidRPr="009F4BD3">
        <w:rPr>
          <w:sz w:val="22"/>
          <w:szCs w:val="22"/>
        </w:rPr>
        <w:t>A key indicator at the outcome level is the net change in greenhouse gas emissions that the Carbon Fund has enabled. The lifetime target for the programme is 170m tonnes of carbon dioxide equivalent (tCO2eq). 76.56 million tonnes of CO2eq have been avoided/reduced this FY. This has exceeded expectations of the Logframe milestone (47mtCO2eq). This provides positive quantitative evidence of progress towards this outcome for the Programm</w:t>
      </w:r>
      <w:r>
        <w:rPr>
          <w:sz w:val="22"/>
          <w:szCs w:val="22"/>
        </w:rPr>
        <w:t>e.</w:t>
      </w:r>
    </w:p>
    <w:p w:rsidRPr="009F4BD3" w:rsidR="00D742EB" w:rsidP="00D742EB" w:rsidRDefault="00D742EB" w14:paraId="73A6A9C3" w14:textId="77777777">
      <w:pPr>
        <w:jc w:val="both"/>
        <w:rPr>
          <w:sz w:val="22"/>
          <w:szCs w:val="22"/>
        </w:rPr>
      </w:pPr>
    </w:p>
    <w:p w:rsidRPr="009F4BD3" w:rsidR="00D742EB" w:rsidP="00D742EB" w:rsidRDefault="00D742EB" w14:paraId="5BCB9F64" w14:textId="77777777">
      <w:pPr>
        <w:jc w:val="both"/>
        <w:rPr>
          <w:sz w:val="22"/>
          <w:szCs w:val="22"/>
        </w:rPr>
      </w:pPr>
      <w:r w:rsidRPr="009F4BD3">
        <w:rPr>
          <w:sz w:val="22"/>
          <w:szCs w:val="22"/>
        </w:rPr>
        <w:t xml:space="preserve">As more ERPAs are now being implemented, we should expect this outcome indicator to accelerate as the years move on, and as countries become more experienced and familiar with verifications during subsequent monitoring periods.  </w:t>
      </w:r>
    </w:p>
    <w:p w:rsidR="00D742EB" w:rsidP="00D742EB" w:rsidRDefault="00D742EB" w14:paraId="2DAE9B6B" w14:textId="77777777">
      <w:pPr>
        <w:jc w:val="both"/>
        <w:rPr>
          <w:i/>
          <w:iCs/>
          <w:sz w:val="22"/>
          <w:szCs w:val="22"/>
        </w:rPr>
      </w:pPr>
    </w:p>
    <w:p w:rsidR="00D742EB" w:rsidP="00D742EB" w:rsidRDefault="00D742EB" w14:paraId="1E8D146A" w14:textId="77777777">
      <w:pPr>
        <w:jc w:val="both"/>
        <w:rPr>
          <w:sz w:val="22"/>
          <w:szCs w:val="22"/>
        </w:rPr>
      </w:pPr>
      <w:r w:rsidRPr="00476BD1">
        <w:rPr>
          <w:sz w:val="22"/>
          <w:szCs w:val="22"/>
        </w:rPr>
        <w:t xml:space="preserve">The World Bank presents a portfolio management update to contributors at every Carbon Fund Meeting. This update includes various delivery simulations which provide detail on ER delivery risks. </w:t>
      </w:r>
      <w:r>
        <w:rPr>
          <w:sz w:val="22"/>
          <w:szCs w:val="22"/>
        </w:rPr>
        <w:t xml:space="preserve">As all FCPF Programmes are now under implementation, ER Monitoring Reports are being delivered and some have already completed validation and verification – more information is now available on the potential performance of programmes. Therefore, the World Bank is making updates to the model to (i) assess ER Delivery risks; (ii) model projects for total potential delivery and; (iii) assess reversal risks to understand if there is sufficient non-permanence buffer to cover the risk of the reversals beyond the lifetime of the Carbon Fund. The updated model will be based on data submitted through monitoring reports and risk assessments and will combine several elements to provide a forward-looking assessment of the Carbon Fund’s delivery. This is currently under development and will be presented at the next Carbon Fund Meeting in January 2024. This product will be critical to sound management of the programme and consideration on delivery risks. </w:t>
      </w:r>
    </w:p>
    <w:p w:rsidR="00D742EB" w:rsidP="00D742EB" w:rsidRDefault="00D742EB" w14:paraId="2554F75B" w14:textId="77777777">
      <w:pPr>
        <w:jc w:val="both"/>
        <w:rPr>
          <w:sz w:val="22"/>
          <w:szCs w:val="22"/>
        </w:rPr>
      </w:pPr>
    </w:p>
    <w:p w:rsidRPr="00476BD1" w:rsidR="00D742EB" w:rsidP="00D742EB" w:rsidRDefault="00D742EB" w14:paraId="47A23786" w14:textId="77777777">
      <w:pPr>
        <w:jc w:val="both"/>
        <w:rPr>
          <w:sz w:val="22"/>
          <w:szCs w:val="22"/>
        </w:rPr>
      </w:pPr>
      <w:r>
        <w:rPr>
          <w:sz w:val="22"/>
          <w:szCs w:val="22"/>
        </w:rPr>
        <w:t>As ever, d</w:t>
      </w:r>
      <w:r w:rsidRPr="00476BD1">
        <w:rPr>
          <w:sz w:val="22"/>
          <w:szCs w:val="22"/>
        </w:rPr>
        <w:t>iversification and risk management of the portfolio remains important. Various approaches to mitigating under-delivery risk have been built-in to the design and process of the ERPAs, including potential to utilise call options, the creation of a diverse portfolio, and detailed ER Programme Documents (ERPDs) and activities.</w:t>
      </w:r>
    </w:p>
    <w:p w:rsidRPr="00144117" w:rsidR="00D742EB" w:rsidP="00D742EB" w:rsidRDefault="00D742EB" w14:paraId="3538E4E0" w14:textId="77777777">
      <w:pPr>
        <w:jc w:val="both"/>
        <w:rPr>
          <w:sz w:val="22"/>
          <w:szCs w:val="22"/>
        </w:rPr>
      </w:pPr>
    </w:p>
    <w:p w:rsidRPr="00144117" w:rsidR="00D742EB" w:rsidP="00D742EB" w:rsidRDefault="00D742EB" w14:paraId="62B12D01" w14:textId="77777777">
      <w:pPr>
        <w:jc w:val="both"/>
        <w:rPr>
          <w:b/>
          <w:bCs/>
          <w:i/>
          <w:iCs/>
          <w:sz w:val="22"/>
          <w:szCs w:val="22"/>
        </w:rPr>
      </w:pPr>
      <w:r w:rsidRPr="00144117">
        <w:rPr>
          <w:b/>
          <w:bCs/>
          <w:i/>
          <w:iCs/>
          <w:sz w:val="22"/>
          <w:szCs w:val="22"/>
        </w:rPr>
        <w:t>Volume of finance mobilised for climate change purposes as a result of ICF funding (disaggregated by non-ODA public finance and private finance)</w:t>
      </w:r>
    </w:p>
    <w:p w:rsidRPr="00144117" w:rsidR="00D742EB" w:rsidP="00D742EB" w:rsidRDefault="00D742EB" w14:paraId="42187214" w14:textId="77777777">
      <w:pPr>
        <w:jc w:val="both"/>
        <w:rPr>
          <w:sz w:val="22"/>
          <w:szCs w:val="22"/>
        </w:rPr>
      </w:pPr>
    </w:p>
    <w:p w:rsidRPr="00707F74" w:rsidR="00D742EB" w:rsidP="00D742EB" w:rsidRDefault="00D742EB" w14:paraId="3EDD46A0" w14:textId="0BE7AF0F">
      <w:pPr>
        <w:jc w:val="both"/>
        <w:rPr>
          <w:sz w:val="22"/>
          <w:szCs w:val="22"/>
        </w:rPr>
      </w:pPr>
      <w:r w:rsidRPr="00707F74">
        <w:rPr>
          <w:sz w:val="22"/>
          <w:szCs w:val="22"/>
        </w:rPr>
        <w:t xml:space="preserve">The current value reported this year for the Carbon Fund finance mobilised is $571m (76% </w:t>
      </w:r>
      <w:r w:rsidRPr="18892D60">
        <w:rPr>
          <w:sz w:val="22"/>
          <w:szCs w:val="22"/>
        </w:rPr>
        <w:t>p</w:t>
      </w:r>
      <w:r w:rsidRPr="18892D60" w:rsidR="35DC569E">
        <w:rPr>
          <w:sz w:val="22"/>
          <w:szCs w:val="22"/>
        </w:rPr>
        <w:t>ublic</w:t>
      </w:r>
      <w:r w:rsidRPr="00707F74">
        <w:rPr>
          <w:sz w:val="22"/>
          <w:szCs w:val="22"/>
        </w:rPr>
        <w:t xml:space="preserve">, 22% </w:t>
      </w:r>
      <w:r w:rsidRPr="18892D60" w:rsidR="36D8BC20">
        <w:rPr>
          <w:sz w:val="22"/>
          <w:szCs w:val="22"/>
        </w:rPr>
        <w:t>private</w:t>
      </w:r>
      <w:r w:rsidRPr="00707F74">
        <w:rPr>
          <w:sz w:val="22"/>
          <w:szCs w:val="22"/>
        </w:rPr>
        <w:t>, 14% ER programmes, 20% grants, 4% loans, and 0.1% equity). The Carbon Fund is some way off achieving the end of programme target of £2.1bn in non-ODA public and £1.55bn in private finance</w:t>
      </w:r>
      <w:r w:rsidR="00575FCB">
        <w:rPr>
          <w:sz w:val="22"/>
          <w:szCs w:val="22"/>
        </w:rPr>
        <w:t>.</w:t>
      </w:r>
      <w:r w:rsidRPr="00707F74">
        <w:rPr>
          <w:sz w:val="22"/>
          <w:szCs w:val="22"/>
        </w:rPr>
        <w:t xml:space="preserve"> </w:t>
      </w:r>
    </w:p>
    <w:p w:rsidRPr="00707F74" w:rsidR="00D742EB" w:rsidP="00D742EB" w:rsidRDefault="00D742EB" w14:paraId="49EB4E67" w14:textId="77777777">
      <w:pPr>
        <w:jc w:val="both"/>
        <w:rPr>
          <w:sz w:val="22"/>
          <w:szCs w:val="22"/>
        </w:rPr>
      </w:pPr>
    </w:p>
    <w:p w:rsidRPr="00707F74" w:rsidR="00D742EB" w:rsidP="00D742EB" w:rsidRDefault="00D742EB" w14:paraId="632B9CEF" w14:textId="285E1EDD">
      <w:pPr>
        <w:jc w:val="both"/>
        <w:rPr>
          <w:sz w:val="22"/>
          <w:szCs w:val="22"/>
        </w:rPr>
      </w:pPr>
      <w:r w:rsidRPr="29A7B73B">
        <w:rPr>
          <w:sz w:val="22"/>
          <w:szCs w:val="22"/>
        </w:rPr>
        <w:t xml:space="preserve">However, collating the various public and private financing sources set out in Country Emissions Reduction Programme Document (ERPD) Financing Plans, suggests that the forecast total is approximately $1.7bn (~£1.4bn). </w:t>
      </w:r>
    </w:p>
    <w:p w:rsidRPr="00707F74" w:rsidR="00D742EB" w:rsidP="00D742EB" w:rsidRDefault="00D742EB" w14:paraId="1B305CA9" w14:textId="77777777">
      <w:pPr>
        <w:jc w:val="both"/>
        <w:rPr>
          <w:sz w:val="22"/>
          <w:szCs w:val="22"/>
        </w:rPr>
      </w:pPr>
    </w:p>
    <w:p w:rsidRPr="00707F74" w:rsidR="00D742EB" w:rsidP="00D742EB" w:rsidRDefault="00D742EB" w14:paraId="295F7F16" w14:textId="77777777">
      <w:pPr>
        <w:jc w:val="both"/>
        <w:rPr>
          <w:sz w:val="22"/>
          <w:szCs w:val="22"/>
        </w:rPr>
      </w:pPr>
      <w:r w:rsidRPr="00707F74">
        <w:rPr>
          <w:sz w:val="22"/>
          <w:szCs w:val="22"/>
        </w:rPr>
        <w:t>Previous Annual Reviews have noted the barriers to, and concerns with, unlocking private finance within the Carbon Fund, and these issues continue. During this FY, some additional efforts were made to enhance prospects for private sector finance</w:t>
      </w:r>
      <w:r>
        <w:rPr>
          <w:sz w:val="22"/>
          <w:szCs w:val="22"/>
        </w:rPr>
        <w:t>, including FCPF’s acceptance onto CORISA’s Pilot Phase. This provides an enabling opportunity for the forest countries under the FCPF to be eligible to supply their credits under the CORSIA scheme – providing an increase in the pool of potential buyers and interest from carbon markets</w:t>
      </w:r>
      <w:r w:rsidRPr="00707F74">
        <w:rPr>
          <w:sz w:val="22"/>
          <w:szCs w:val="22"/>
        </w:rPr>
        <w:t>.</w:t>
      </w:r>
      <w:r>
        <w:rPr>
          <w:sz w:val="22"/>
          <w:szCs w:val="22"/>
        </w:rPr>
        <w:t xml:space="preserve"> </w:t>
      </w:r>
    </w:p>
    <w:p w:rsidRPr="00707F74" w:rsidR="00D742EB" w:rsidP="00D742EB" w:rsidRDefault="00D742EB" w14:paraId="4F9B319A" w14:textId="77777777">
      <w:pPr>
        <w:jc w:val="both"/>
        <w:rPr>
          <w:sz w:val="22"/>
          <w:szCs w:val="22"/>
        </w:rPr>
      </w:pPr>
    </w:p>
    <w:p w:rsidRPr="00707F74" w:rsidR="00D742EB" w:rsidP="00D742EB" w:rsidRDefault="00D742EB" w14:paraId="0FCACD25" w14:textId="77777777">
      <w:pPr>
        <w:jc w:val="both"/>
        <w:rPr>
          <w:sz w:val="22"/>
          <w:szCs w:val="22"/>
        </w:rPr>
      </w:pPr>
      <w:r w:rsidRPr="00707F74">
        <w:rPr>
          <w:sz w:val="22"/>
          <w:szCs w:val="22"/>
        </w:rPr>
        <w:t>Another route for attracting finance to the fund is via a new World Bank facilitated auction mechanism which may be a route for Carbon Fund countries to transact excess ERs beyond specific ERPA contract ERs, and therefore mobilising increased public or private finance. This is an interesting concept and opportunity for forest countries and buyers alike, and we will continue to remain engaged in its development and promotion with the World Bank</w:t>
      </w:r>
      <w:r>
        <w:rPr>
          <w:sz w:val="22"/>
          <w:szCs w:val="22"/>
        </w:rPr>
        <w:t xml:space="preserve">. This will </w:t>
      </w:r>
      <w:r w:rsidRPr="008A11D8">
        <w:rPr>
          <w:sz w:val="22"/>
          <w:szCs w:val="22"/>
        </w:rPr>
        <w:t>help countries commerciali</w:t>
      </w:r>
      <w:r>
        <w:rPr>
          <w:sz w:val="22"/>
          <w:szCs w:val="22"/>
        </w:rPr>
        <w:t>s</w:t>
      </w:r>
      <w:r w:rsidRPr="008A11D8">
        <w:rPr>
          <w:sz w:val="22"/>
          <w:szCs w:val="22"/>
        </w:rPr>
        <w:t>e these market-grade excess ER credits and leverage additional finance.</w:t>
      </w:r>
      <w:r>
        <w:rPr>
          <w:sz w:val="22"/>
          <w:szCs w:val="22"/>
        </w:rPr>
        <w:t xml:space="preserve"> World Bank has commenced conversations with countries that have already produced additional, excess Emissions Reductions.</w:t>
      </w:r>
    </w:p>
    <w:p w:rsidRPr="00707F74" w:rsidR="00D742EB" w:rsidP="00D742EB" w:rsidRDefault="00D742EB" w14:paraId="722CC301" w14:textId="77777777">
      <w:pPr>
        <w:jc w:val="both"/>
        <w:rPr>
          <w:sz w:val="22"/>
          <w:szCs w:val="22"/>
        </w:rPr>
      </w:pPr>
    </w:p>
    <w:p w:rsidRPr="00707F74" w:rsidR="00D742EB" w:rsidP="00D742EB" w:rsidRDefault="00D742EB" w14:paraId="3A41F0E7" w14:textId="523393C9">
      <w:pPr>
        <w:jc w:val="both"/>
        <w:rPr>
          <w:sz w:val="22"/>
          <w:szCs w:val="22"/>
        </w:rPr>
      </w:pPr>
      <w:r w:rsidRPr="00707F74">
        <w:rPr>
          <w:sz w:val="22"/>
          <w:szCs w:val="22"/>
        </w:rPr>
        <w:t>Additionally, a potential future direction and option for the FCPF Carbon Fund will be how it relates to the World Bank’s new Scaling Climate Action by Lowering Emissions (SCALE) Trust Fund, which was launched at COP27 following the World Bank’s Trust Fund reform. Under this facility, there may be novel and complementary options for finance for forest carbon credits and building support to enable this. We will continue to engage with other contributors and World Bank on the evolution and design of SCALE, and the interlinks with FCPF and the Natural Climate Solutions Pillar, including the utilisation of FCPF as a potential standalone standard within this (and beyond). This is a key emphasis over the year ahead.</w:t>
      </w:r>
    </w:p>
    <w:p w:rsidRPr="00D80C6C" w:rsidR="003D222C" w:rsidP="004D5FD5" w:rsidRDefault="003D222C" w14:paraId="20DA03C6" w14:textId="77777777">
      <w:pPr>
        <w:jc w:val="both"/>
        <w:rPr>
          <w:rFonts w:cs="Arial"/>
          <w:sz w:val="22"/>
          <w:szCs w:val="22"/>
        </w:rPr>
      </w:pPr>
    </w:p>
    <w:p w:rsidRPr="00D80C6C" w:rsidR="003D222C" w:rsidP="004D5FD5" w:rsidRDefault="00B34EB5" w14:paraId="40D01C03" w14:textId="2DDBE8B6">
      <w:pPr>
        <w:contextualSpacing/>
        <w:jc w:val="both"/>
        <w:rPr>
          <w:rFonts w:cs="Arial"/>
          <w:bCs/>
          <w:sz w:val="22"/>
          <w:szCs w:val="22"/>
        </w:rPr>
      </w:pPr>
      <w:bookmarkStart w:name="_Toc155945405" w:id="12"/>
      <w:r>
        <w:rPr>
          <w:rStyle w:val="Heading2Char"/>
        </w:rPr>
        <w:t>L</w:t>
      </w:r>
      <w:r w:rsidRPr="00402699" w:rsidR="003D222C">
        <w:rPr>
          <w:rStyle w:val="Heading2Char"/>
        </w:rPr>
        <w:t>ogframe</w:t>
      </w:r>
      <w:r>
        <w:rPr>
          <w:rStyle w:val="Heading2Char"/>
        </w:rPr>
        <w:t xml:space="preserve"> </w:t>
      </w:r>
      <w:r w:rsidRPr="00402699" w:rsidR="003D222C">
        <w:rPr>
          <w:rStyle w:val="Heading2Char"/>
        </w:rPr>
        <w:t>update</w:t>
      </w:r>
      <w:r>
        <w:rPr>
          <w:rStyle w:val="Heading2Char"/>
        </w:rPr>
        <w:t>s</w:t>
      </w:r>
      <w:r w:rsidRPr="00402699" w:rsidR="003D222C">
        <w:rPr>
          <w:rStyle w:val="Heading2Char"/>
        </w:rPr>
        <w:t xml:space="preserve"> since the last review</w:t>
      </w:r>
      <w:bookmarkEnd w:id="12"/>
      <w:r w:rsidR="00F013F9">
        <w:rPr>
          <w:rFonts w:cs="Arial"/>
          <w:b/>
          <w:sz w:val="22"/>
          <w:szCs w:val="22"/>
        </w:rPr>
        <w:t xml:space="preserve"> </w:t>
      </w:r>
    </w:p>
    <w:p w:rsidRPr="00D80C6C" w:rsidR="003D222C" w:rsidP="004D5FD5" w:rsidRDefault="003D222C" w14:paraId="0ACF7E8D" w14:textId="77777777">
      <w:pPr>
        <w:jc w:val="both"/>
        <w:rPr>
          <w:rFonts w:cs="Arial"/>
          <w:i/>
          <w:iCs/>
          <w:sz w:val="22"/>
          <w:szCs w:val="22"/>
        </w:rPr>
      </w:pPr>
    </w:p>
    <w:p w:rsidR="00700FF7" w:rsidP="00700FF7" w:rsidRDefault="00700FF7" w14:paraId="63443B74" w14:textId="77777777">
      <w:pPr>
        <w:jc w:val="both"/>
        <w:rPr>
          <w:sz w:val="22"/>
          <w:szCs w:val="22"/>
        </w:rPr>
      </w:pPr>
      <w:r w:rsidRPr="00144117">
        <w:rPr>
          <w:sz w:val="22"/>
          <w:szCs w:val="22"/>
        </w:rPr>
        <w:t xml:space="preserve">The Logframe has been updated following recommendations from </w:t>
      </w:r>
      <w:r>
        <w:rPr>
          <w:sz w:val="22"/>
          <w:szCs w:val="22"/>
        </w:rPr>
        <w:t>last year’s</w:t>
      </w:r>
      <w:r w:rsidRPr="00144117">
        <w:rPr>
          <w:sz w:val="22"/>
          <w:szCs w:val="22"/>
        </w:rPr>
        <w:t xml:space="preserve"> Annual Review. </w:t>
      </w:r>
      <w:r>
        <w:rPr>
          <w:sz w:val="22"/>
          <w:szCs w:val="22"/>
        </w:rPr>
        <w:t xml:space="preserve">Updates include: </w:t>
      </w:r>
    </w:p>
    <w:p w:rsidR="00700FF7" w:rsidP="00700FF7" w:rsidRDefault="00700FF7" w14:paraId="4BA9ACDA" w14:textId="77777777">
      <w:pPr>
        <w:pStyle w:val="ListParagraph"/>
        <w:numPr>
          <w:ilvl w:val="0"/>
          <w:numId w:val="21"/>
        </w:numPr>
        <w:jc w:val="both"/>
        <w:rPr>
          <w:sz w:val="22"/>
          <w:szCs w:val="22"/>
        </w:rPr>
      </w:pPr>
      <w:r w:rsidRPr="00731039">
        <w:rPr>
          <w:sz w:val="22"/>
          <w:szCs w:val="22"/>
        </w:rPr>
        <w:t xml:space="preserve">Output 1.1: </w:t>
      </w:r>
      <w:r>
        <w:rPr>
          <w:sz w:val="22"/>
          <w:szCs w:val="22"/>
        </w:rPr>
        <w:t>A new methodology to</w:t>
      </w:r>
      <w:r w:rsidRPr="00731039">
        <w:rPr>
          <w:sz w:val="22"/>
          <w:szCs w:val="22"/>
        </w:rPr>
        <w:t xml:space="preserve"> setting interim milestones</w:t>
      </w:r>
      <w:r>
        <w:rPr>
          <w:sz w:val="22"/>
          <w:szCs w:val="22"/>
        </w:rPr>
        <w:t xml:space="preserve"> has been applied using and previous Output 1.1 has now also been co</w:t>
      </w:r>
      <w:r w:rsidRPr="00731039">
        <w:rPr>
          <w:sz w:val="22"/>
          <w:szCs w:val="22"/>
        </w:rPr>
        <w:t>mbi</w:t>
      </w:r>
      <w:r>
        <w:rPr>
          <w:sz w:val="22"/>
          <w:szCs w:val="22"/>
        </w:rPr>
        <w:t>ned</w:t>
      </w:r>
      <w:r w:rsidRPr="00731039">
        <w:rPr>
          <w:sz w:val="22"/>
          <w:szCs w:val="22"/>
        </w:rPr>
        <w:t xml:space="preserve"> with Output 1.4 to track absolute and percentage progress. </w:t>
      </w:r>
      <w:r w:rsidRPr="00E22B87">
        <w:rPr>
          <w:sz w:val="22"/>
          <w:szCs w:val="22"/>
        </w:rPr>
        <w:t xml:space="preserve">We used a growth approach to re-baseline targets for </w:t>
      </w:r>
      <w:r>
        <w:rPr>
          <w:sz w:val="22"/>
          <w:szCs w:val="22"/>
        </w:rPr>
        <w:t xml:space="preserve">these </w:t>
      </w:r>
      <w:r w:rsidRPr="00E22B87">
        <w:rPr>
          <w:sz w:val="22"/>
          <w:szCs w:val="22"/>
        </w:rPr>
        <w:t>indicators</w:t>
      </w:r>
      <w:r>
        <w:rPr>
          <w:sz w:val="22"/>
          <w:szCs w:val="22"/>
        </w:rPr>
        <w:t>, now</w:t>
      </w:r>
      <w:r w:rsidRPr="00E22B87">
        <w:rPr>
          <w:sz w:val="22"/>
          <w:szCs w:val="22"/>
        </w:rPr>
        <w:t xml:space="preserve"> 1.1a and 1.1b. Initially we tried to use a regression approach to calculate targets but discovered that variables were not yielding statistically significant results. Developing a sophisticated econometric approach would take up disproportionate resource. Thus</w:t>
      </w:r>
      <w:r>
        <w:rPr>
          <w:sz w:val="22"/>
          <w:szCs w:val="22"/>
        </w:rPr>
        <w:t>,</w:t>
      </w:r>
      <w:r w:rsidRPr="00E22B87">
        <w:rPr>
          <w:sz w:val="22"/>
          <w:szCs w:val="22"/>
        </w:rPr>
        <w:t xml:space="preserve"> we decided to assume constant growth rates for both indicator targets, with achieved results till FY22 as our initial point and final targets in FY26 being our end point. We then calculated the intermediate targets based on our initial and end points, as a geometric (growth) series.</w:t>
      </w:r>
    </w:p>
    <w:p w:rsidR="00700FF7" w:rsidP="00700FF7" w:rsidRDefault="00700FF7" w14:paraId="47590D9F" w14:textId="77777777">
      <w:pPr>
        <w:pStyle w:val="ListParagraph"/>
        <w:numPr>
          <w:ilvl w:val="0"/>
          <w:numId w:val="21"/>
        </w:numPr>
        <w:jc w:val="both"/>
        <w:rPr>
          <w:sz w:val="22"/>
          <w:szCs w:val="22"/>
        </w:rPr>
      </w:pPr>
      <w:r w:rsidRPr="00CE42B2">
        <w:rPr>
          <w:sz w:val="22"/>
          <w:szCs w:val="22"/>
        </w:rPr>
        <w:t xml:space="preserve">Output 1.2 and Output 1.3: </w:t>
      </w:r>
      <w:r>
        <w:rPr>
          <w:sz w:val="22"/>
          <w:szCs w:val="22"/>
        </w:rPr>
        <w:t xml:space="preserve">Previous outs were removed as </w:t>
      </w:r>
      <w:r w:rsidRPr="00CE42B2">
        <w:rPr>
          <w:sz w:val="22"/>
          <w:szCs w:val="22"/>
        </w:rPr>
        <w:t>CoE have now been complete for countries</w:t>
      </w:r>
      <w:r>
        <w:rPr>
          <w:sz w:val="22"/>
          <w:szCs w:val="22"/>
        </w:rPr>
        <w:t>.</w:t>
      </w:r>
    </w:p>
    <w:p w:rsidR="00700FF7" w:rsidP="00700FF7" w:rsidRDefault="00700FF7" w14:paraId="3E6C7237" w14:textId="77777777">
      <w:pPr>
        <w:pStyle w:val="ListParagraph"/>
        <w:numPr>
          <w:ilvl w:val="0"/>
          <w:numId w:val="21"/>
        </w:numPr>
        <w:jc w:val="both"/>
        <w:rPr>
          <w:sz w:val="22"/>
          <w:szCs w:val="22"/>
        </w:rPr>
      </w:pPr>
      <w:r>
        <w:rPr>
          <w:sz w:val="22"/>
          <w:szCs w:val="22"/>
        </w:rPr>
        <w:t xml:space="preserve">A </w:t>
      </w:r>
      <w:r w:rsidRPr="00CE42B2">
        <w:rPr>
          <w:sz w:val="22"/>
          <w:szCs w:val="22"/>
        </w:rPr>
        <w:t>new indicator</w:t>
      </w:r>
      <w:r>
        <w:rPr>
          <w:sz w:val="22"/>
          <w:szCs w:val="22"/>
        </w:rPr>
        <w:t xml:space="preserve"> was added</w:t>
      </w:r>
      <w:r w:rsidRPr="00CE42B2">
        <w:rPr>
          <w:sz w:val="22"/>
          <w:szCs w:val="22"/>
        </w:rPr>
        <w:t xml:space="preserve"> to Output 1 set on implementation of ER programmes (submission of Monitoring Reports (to track timely implementation of ERPAs), and completion of verification/validation). </w:t>
      </w:r>
    </w:p>
    <w:p w:rsidRPr="00624B06" w:rsidR="00700FF7" w:rsidP="00700FF7" w:rsidRDefault="00700FF7" w14:paraId="61667F92" w14:textId="77777777">
      <w:pPr>
        <w:pStyle w:val="ListParagraph"/>
        <w:numPr>
          <w:ilvl w:val="0"/>
          <w:numId w:val="21"/>
        </w:numPr>
        <w:jc w:val="both"/>
        <w:rPr>
          <w:sz w:val="22"/>
          <w:szCs w:val="22"/>
        </w:rPr>
      </w:pPr>
      <w:r w:rsidRPr="00AE6A42">
        <w:rPr>
          <w:sz w:val="22"/>
          <w:szCs w:val="22"/>
        </w:rPr>
        <w:t xml:space="preserve">Output 2.1 </w:t>
      </w:r>
      <w:r>
        <w:rPr>
          <w:sz w:val="22"/>
          <w:szCs w:val="22"/>
        </w:rPr>
        <w:t xml:space="preserve">was updated to: </w:t>
      </w:r>
      <w:r w:rsidRPr="00AE6A42">
        <w:rPr>
          <w:i/>
          <w:iCs/>
          <w:sz w:val="22"/>
          <w:szCs w:val="22"/>
        </w:rPr>
        <w:t>Number of Participant countries and extent to which FCPF has supported country efforts to sustain and enhance livelihoods within REDD+ interventions areas (including among women, women's groups, IPs, CSOs, and local communities)</w:t>
      </w:r>
    </w:p>
    <w:p w:rsidRPr="00700FF7" w:rsidR="00CB2873" w:rsidP="004D5FD5" w:rsidRDefault="00CB2873" w14:paraId="63CDC9F3" w14:textId="68C950C2">
      <w:pPr>
        <w:jc w:val="both"/>
        <w:rPr>
          <w:rFonts w:cs="Arial"/>
          <w:sz w:val="22"/>
          <w:szCs w:val="22"/>
          <w:lang w:eastAsia="en-GB"/>
        </w:rPr>
      </w:pPr>
    </w:p>
    <w:p w:rsidR="00D742EB" w:rsidRDefault="00D742EB" w14:paraId="2D9D7536" w14:textId="77777777">
      <w:r>
        <w:br w:type="page"/>
      </w:r>
    </w:p>
    <w:tbl>
      <w:tblPr>
        <w:tblStyle w:val="TableGrid"/>
        <w:tblW w:w="0" w:type="auto"/>
        <w:tblLook w:val="04A0" w:firstRow="1" w:lastRow="0" w:firstColumn="1" w:lastColumn="0" w:noHBand="0" w:noVBand="1"/>
      </w:tblPr>
      <w:tblGrid>
        <w:gridCol w:w="9016"/>
      </w:tblGrid>
      <w:tr w:rsidR="00CB2873" w:rsidTr="00FC16A6" w14:paraId="13F66B93" w14:textId="77777777">
        <w:tc>
          <w:tcPr>
            <w:tcW w:w="9016" w:type="dxa"/>
            <w:shd w:val="clear" w:color="auto" w:fill="DEEAF6" w:themeFill="accent5" w:themeFillTint="33"/>
          </w:tcPr>
          <w:p w:rsidR="00CB2873" w:rsidP="004D5FD5" w:rsidRDefault="00CB2873" w14:paraId="3D58D529" w14:textId="663DE177">
            <w:pPr>
              <w:jc w:val="both"/>
            </w:pPr>
            <w:bookmarkStart w:name="_Toc155945406" w:id="13"/>
            <w:r w:rsidRPr="00CB2873">
              <w:rPr>
                <w:rStyle w:val="Heading1Char"/>
                <w:rFonts w:ascii="Arial" w:hAnsi="Arial" w:cs="Arial"/>
                <w:b/>
                <w:bCs/>
                <w:color w:val="auto"/>
              </w:rPr>
              <w:t xml:space="preserve">Section C: Output </w:t>
            </w:r>
            <w:r w:rsidR="00401217">
              <w:rPr>
                <w:rStyle w:val="Heading1Char"/>
                <w:rFonts w:ascii="Arial" w:hAnsi="Arial" w:cs="Arial"/>
                <w:b/>
                <w:bCs/>
                <w:color w:val="auto"/>
              </w:rPr>
              <w:t>s</w:t>
            </w:r>
            <w:r w:rsidRPr="00CB2873">
              <w:rPr>
                <w:rStyle w:val="Heading1Char"/>
                <w:rFonts w:ascii="Arial" w:hAnsi="Arial" w:cs="Arial"/>
                <w:b/>
                <w:bCs/>
                <w:color w:val="auto"/>
              </w:rPr>
              <w:t>coring</w:t>
            </w:r>
            <w:bookmarkEnd w:id="13"/>
            <w:r w:rsidRPr="00CB2873">
              <w:t xml:space="preserve"> </w:t>
            </w:r>
          </w:p>
        </w:tc>
      </w:tr>
    </w:tbl>
    <w:p w:rsidRPr="00953846" w:rsidR="00953846" w:rsidP="004D5FD5" w:rsidRDefault="00953846" w14:paraId="452661DA" w14:textId="1D8C7052">
      <w:pPr>
        <w:pStyle w:val="Heading2"/>
        <w:jc w:val="both"/>
        <w:rPr>
          <w:sz w:val="24"/>
          <w:szCs w:val="24"/>
        </w:rPr>
      </w:pPr>
      <w:bookmarkStart w:name="_Toc155945407" w:id="14"/>
      <w:r>
        <w:t xml:space="preserve">Output 1: </w:t>
      </w:r>
      <w:r w:rsidRPr="00DE17A8" w:rsidR="00C518F8">
        <w:rPr>
          <w:rFonts w:cs="Arial"/>
          <w:bCs/>
          <w:color w:val="000000"/>
          <w:sz w:val="22"/>
          <w:szCs w:val="22"/>
          <w:shd w:val="clear" w:color="auto" w:fill="FFFFFF"/>
        </w:rPr>
        <w:t>Emissions Reductions Programmes planned and implemented/ progressing through the Carbon Fund process</w:t>
      </w:r>
      <w:r w:rsidRPr="00DE17A8" w:rsidR="00896B64">
        <w:rPr>
          <w:rFonts w:cs="Arial"/>
          <w:bCs/>
          <w:color w:val="000000"/>
          <w:sz w:val="22"/>
          <w:szCs w:val="22"/>
          <w:shd w:val="clear" w:color="auto" w:fill="FFFFFF"/>
        </w:rPr>
        <w:t>.</w:t>
      </w:r>
      <w:bookmarkEnd w:id="14"/>
    </w:p>
    <w:p w:rsidRPr="00D80C6C" w:rsidR="00C22C27" w:rsidP="004D5FD5" w:rsidRDefault="00C22C27" w14:paraId="055FDF8F" w14:textId="77777777">
      <w:pPr>
        <w:jc w:val="both"/>
        <w:rPr>
          <w:rFonts w:cs="Arial"/>
          <w:sz w:val="22"/>
          <w:szCs w:val="22"/>
        </w:rPr>
      </w:pPr>
    </w:p>
    <w:tbl>
      <w:tblPr>
        <w:tblStyle w:val="TableGrid"/>
        <w:tblW w:w="9072" w:type="dxa"/>
        <w:tblInd w:w="-5" w:type="dxa"/>
        <w:tblLook w:val="04A0" w:firstRow="1" w:lastRow="0" w:firstColumn="1" w:lastColumn="0" w:noHBand="0" w:noVBand="1"/>
      </w:tblPr>
      <w:tblGrid>
        <w:gridCol w:w="1553"/>
        <w:gridCol w:w="601"/>
        <w:gridCol w:w="1061"/>
        <w:gridCol w:w="2929"/>
        <w:gridCol w:w="2928"/>
      </w:tblGrid>
      <w:tr w:rsidRPr="00D80C6C" w:rsidR="006A1163" w:rsidTr="00BF49E3" w14:paraId="2102EB17" w14:textId="77777777">
        <w:trPr>
          <w:trHeight w:val="489"/>
        </w:trPr>
        <w:tc>
          <w:tcPr>
            <w:tcW w:w="1553"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E01FB1" w:rsidP="00E01FB1" w:rsidRDefault="00E01FB1" w14:paraId="1A85D6B2" w14:textId="5C6AE804">
            <w:pPr>
              <w:jc w:val="both"/>
              <w:rPr>
                <w:rFonts w:cs="Arial"/>
                <w:b/>
                <w:bCs/>
                <w:sz w:val="22"/>
                <w:szCs w:val="22"/>
              </w:rPr>
            </w:pPr>
            <w:r w:rsidRPr="008A4154">
              <w:rPr>
                <w:b/>
                <w:bCs/>
                <w:sz w:val="20"/>
                <w:szCs w:val="22"/>
              </w:rPr>
              <w:t xml:space="preserve">Output Title </w:t>
            </w:r>
          </w:p>
        </w:tc>
        <w:tc>
          <w:tcPr>
            <w:tcW w:w="7519"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D80C6C" w:rsidR="00E01FB1" w:rsidP="00E01FB1" w:rsidRDefault="00E01FB1" w14:paraId="1B8A3AEA" w14:textId="073BB045">
            <w:pPr>
              <w:jc w:val="both"/>
              <w:rPr>
                <w:rFonts w:cs="Arial"/>
                <w:bCs/>
                <w:i/>
                <w:color w:val="FF0000"/>
                <w:sz w:val="22"/>
                <w:szCs w:val="22"/>
              </w:rPr>
            </w:pPr>
            <w:r w:rsidRPr="00F468ED">
              <w:rPr>
                <w:rFonts w:cs="Arial"/>
                <w:b/>
                <w:bCs/>
                <w:color w:val="000000"/>
                <w:sz w:val="18"/>
                <w:szCs w:val="18"/>
                <w:shd w:val="clear" w:color="auto" w:fill="FFFFFF"/>
              </w:rPr>
              <w:t>Emissions Reductions Programmes planned and implemented/ progressing through the Carbon Fund process</w:t>
            </w:r>
          </w:p>
        </w:tc>
      </w:tr>
      <w:tr w:rsidRPr="00D80C6C" w:rsidR="004A51B0" w:rsidTr="00BF49E3" w14:paraId="0CA17513" w14:textId="77777777">
        <w:trPr>
          <w:trHeight w:val="347"/>
        </w:trPr>
        <w:tc>
          <w:tcPr>
            <w:tcW w:w="2154"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BF49E3" w:rsidP="00BF49E3" w:rsidRDefault="00BF49E3" w14:paraId="0801A128" w14:textId="6D2E13A4">
            <w:pPr>
              <w:jc w:val="both"/>
              <w:rPr>
                <w:rFonts w:cs="Arial"/>
                <w:bCs/>
                <w:sz w:val="22"/>
                <w:szCs w:val="22"/>
              </w:rPr>
            </w:pPr>
            <w:r w:rsidRPr="008A4154">
              <w:rPr>
                <w:bCs/>
                <w:sz w:val="20"/>
                <w:szCs w:val="22"/>
              </w:rPr>
              <w:t xml:space="preserve">Output number: </w:t>
            </w:r>
          </w:p>
        </w:tc>
        <w:tc>
          <w:tcPr>
            <w:tcW w:w="1061" w:type="dxa"/>
            <w:tcBorders>
              <w:top w:val="single" w:color="auto" w:sz="4" w:space="0"/>
              <w:left w:val="single" w:color="auto" w:sz="4" w:space="0"/>
              <w:bottom w:val="single" w:color="auto" w:sz="4" w:space="0"/>
              <w:right w:val="single" w:color="auto" w:sz="4" w:space="0"/>
            </w:tcBorders>
          </w:tcPr>
          <w:p w:rsidRPr="00D80C6C" w:rsidR="00BF49E3" w:rsidP="00BF49E3" w:rsidRDefault="00BF49E3" w14:paraId="4190402A" w14:textId="1BB45D30">
            <w:pPr>
              <w:jc w:val="both"/>
              <w:rPr>
                <w:rFonts w:cs="Arial"/>
                <w:sz w:val="22"/>
                <w:szCs w:val="22"/>
              </w:rPr>
            </w:pPr>
            <w:r>
              <w:rPr>
                <w:sz w:val="20"/>
                <w:szCs w:val="20"/>
              </w:rPr>
              <w:t>1</w:t>
            </w:r>
          </w:p>
        </w:tc>
        <w:tc>
          <w:tcPr>
            <w:tcW w:w="2929"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BF49E3" w:rsidP="00BF49E3" w:rsidRDefault="00BF49E3" w14:paraId="55FA73C8" w14:textId="2D7EFC30">
            <w:pPr>
              <w:jc w:val="both"/>
              <w:rPr>
                <w:rFonts w:cs="Arial"/>
                <w:sz w:val="22"/>
                <w:szCs w:val="22"/>
              </w:rPr>
            </w:pPr>
            <w:r w:rsidRPr="008A4154">
              <w:rPr>
                <w:bCs/>
                <w:sz w:val="20"/>
                <w:szCs w:val="22"/>
              </w:rPr>
              <w:t xml:space="preserve">Output Score: </w:t>
            </w:r>
          </w:p>
        </w:tc>
        <w:tc>
          <w:tcPr>
            <w:tcW w:w="2928" w:type="dxa"/>
            <w:tcBorders>
              <w:top w:val="single" w:color="auto" w:sz="4" w:space="0"/>
              <w:left w:val="single" w:color="auto" w:sz="4" w:space="0"/>
              <w:bottom w:val="single" w:color="auto" w:sz="4" w:space="0"/>
              <w:right w:val="single" w:color="auto" w:sz="4" w:space="0"/>
            </w:tcBorders>
          </w:tcPr>
          <w:p w:rsidRPr="00DB3B57" w:rsidR="00BF49E3" w:rsidP="00BF49E3" w:rsidRDefault="00BF49E3" w14:paraId="0438A869" w14:textId="63E47CF3">
            <w:pPr>
              <w:jc w:val="both"/>
              <w:rPr>
                <w:rFonts w:cs="Arial"/>
                <w:b/>
                <w:bCs/>
                <w:iCs/>
                <w:sz w:val="22"/>
                <w:szCs w:val="22"/>
              </w:rPr>
            </w:pPr>
            <w:r>
              <w:rPr>
                <w:sz w:val="20"/>
                <w:szCs w:val="20"/>
              </w:rPr>
              <w:t>A</w:t>
            </w:r>
          </w:p>
        </w:tc>
      </w:tr>
      <w:tr w:rsidRPr="00D80C6C" w:rsidR="004A51B0" w:rsidTr="00BF49E3" w14:paraId="322D9463" w14:textId="77777777">
        <w:trPr>
          <w:trHeight w:val="345"/>
        </w:trPr>
        <w:tc>
          <w:tcPr>
            <w:tcW w:w="2154"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BF49E3" w:rsidP="00BF49E3" w:rsidRDefault="00BF49E3" w14:paraId="291524D5" w14:textId="31C13918">
            <w:pPr>
              <w:jc w:val="both"/>
              <w:rPr>
                <w:rFonts w:cs="Arial"/>
                <w:sz w:val="22"/>
                <w:szCs w:val="22"/>
              </w:rPr>
            </w:pPr>
            <w:r w:rsidRPr="008A4154">
              <w:rPr>
                <w:bCs/>
                <w:sz w:val="20"/>
                <w:szCs w:val="22"/>
              </w:rPr>
              <w:t xml:space="preserve">Impact weighting (%):  </w:t>
            </w:r>
          </w:p>
        </w:tc>
        <w:tc>
          <w:tcPr>
            <w:tcW w:w="1061" w:type="dxa"/>
            <w:tcBorders>
              <w:top w:val="single" w:color="auto" w:sz="4" w:space="0"/>
              <w:left w:val="single" w:color="auto" w:sz="4" w:space="0"/>
              <w:bottom w:val="single" w:color="auto" w:sz="4" w:space="0"/>
              <w:right w:val="single" w:color="auto" w:sz="4" w:space="0"/>
            </w:tcBorders>
            <w:hideMark/>
          </w:tcPr>
          <w:p w:rsidRPr="00D80C6C" w:rsidR="00BF49E3" w:rsidP="00BF49E3" w:rsidRDefault="00BF49E3" w14:paraId="2B32CB6F" w14:textId="5CB82190">
            <w:pPr>
              <w:jc w:val="both"/>
              <w:rPr>
                <w:rFonts w:cs="Arial"/>
                <w:bCs/>
                <w:sz w:val="22"/>
                <w:szCs w:val="22"/>
              </w:rPr>
            </w:pPr>
            <w:r w:rsidRPr="7DDA78EF">
              <w:rPr>
                <w:sz w:val="20"/>
                <w:szCs w:val="20"/>
              </w:rPr>
              <w:t>40</w:t>
            </w:r>
          </w:p>
        </w:tc>
        <w:tc>
          <w:tcPr>
            <w:tcW w:w="2929"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BF49E3" w:rsidP="00BF49E3" w:rsidRDefault="00BF49E3" w14:paraId="56B322CF" w14:textId="736FA1F9">
            <w:pPr>
              <w:jc w:val="both"/>
              <w:rPr>
                <w:rFonts w:cs="Arial"/>
                <w:bCs/>
                <w:sz w:val="22"/>
                <w:szCs w:val="22"/>
              </w:rPr>
            </w:pPr>
            <w:r>
              <w:rPr>
                <w:bCs/>
                <w:sz w:val="20"/>
                <w:szCs w:val="22"/>
              </w:rPr>
              <w:t>W</w:t>
            </w:r>
            <w:r w:rsidRPr="008A4154">
              <w:rPr>
                <w:bCs/>
                <w:sz w:val="20"/>
                <w:szCs w:val="22"/>
              </w:rPr>
              <w:t xml:space="preserve">eighting revised since last AR? </w:t>
            </w:r>
          </w:p>
        </w:tc>
        <w:tc>
          <w:tcPr>
            <w:tcW w:w="2928" w:type="dxa"/>
            <w:tcBorders>
              <w:top w:val="single" w:color="auto" w:sz="4" w:space="0"/>
              <w:left w:val="single" w:color="auto" w:sz="4" w:space="0"/>
              <w:bottom w:val="single" w:color="auto" w:sz="4" w:space="0"/>
              <w:right w:val="single" w:color="auto" w:sz="4" w:space="0"/>
            </w:tcBorders>
          </w:tcPr>
          <w:p w:rsidRPr="00D80C6C" w:rsidR="00BF49E3" w:rsidP="00BF49E3" w:rsidRDefault="00BF49E3" w14:paraId="314B55F6" w14:textId="1FC9DE67">
            <w:pPr>
              <w:jc w:val="both"/>
              <w:rPr>
                <w:rFonts w:cs="Arial"/>
                <w:bCs/>
                <w:sz w:val="22"/>
                <w:szCs w:val="22"/>
              </w:rPr>
            </w:pPr>
            <w:r>
              <w:rPr>
                <w:sz w:val="20"/>
                <w:szCs w:val="20"/>
              </w:rPr>
              <w:t>No</w:t>
            </w:r>
          </w:p>
        </w:tc>
      </w:tr>
      <w:tr w:rsidRPr="00D80C6C" w:rsidR="004A51B0" w:rsidTr="00BF49E3" w14:paraId="49FF75D8" w14:textId="77777777">
        <w:trPr>
          <w:trHeight w:val="345"/>
        </w:trPr>
        <w:tc>
          <w:tcPr>
            <w:tcW w:w="2154"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80C6C" w:rsidR="00BF49E3" w:rsidP="00BF49E3" w:rsidRDefault="00BF49E3" w14:paraId="19A26186" w14:textId="705017E5">
            <w:pPr>
              <w:jc w:val="both"/>
              <w:rPr>
                <w:rFonts w:cs="Arial"/>
                <w:bCs/>
                <w:sz w:val="22"/>
                <w:szCs w:val="22"/>
              </w:rPr>
            </w:pPr>
            <w:r w:rsidRPr="00D15017">
              <w:rPr>
                <w:bCs/>
                <w:sz w:val="20"/>
                <w:szCs w:val="20"/>
              </w:rPr>
              <w:t>Risk rating</w:t>
            </w:r>
          </w:p>
        </w:tc>
        <w:tc>
          <w:tcPr>
            <w:tcW w:w="1061" w:type="dxa"/>
            <w:tcBorders>
              <w:top w:val="single" w:color="auto" w:sz="4" w:space="0"/>
              <w:left w:val="single" w:color="auto" w:sz="4" w:space="0"/>
              <w:bottom w:val="single" w:color="auto" w:sz="4" w:space="0"/>
              <w:right w:val="single" w:color="auto" w:sz="4" w:space="0"/>
            </w:tcBorders>
          </w:tcPr>
          <w:p w:rsidRPr="00D80C6C" w:rsidR="00BF49E3" w:rsidP="00BF49E3" w:rsidRDefault="00BF49E3" w14:paraId="05841711" w14:textId="4BB1A92C">
            <w:pPr>
              <w:jc w:val="both"/>
              <w:rPr>
                <w:rFonts w:cs="Arial"/>
                <w:bCs/>
                <w:sz w:val="22"/>
                <w:szCs w:val="22"/>
              </w:rPr>
            </w:pPr>
            <w:r>
              <w:rPr>
                <w:sz w:val="20"/>
                <w:szCs w:val="20"/>
              </w:rPr>
              <w:t>Moderate</w:t>
            </w:r>
          </w:p>
        </w:tc>
        <w:tc>
          <w:tcPr>
            <w:tcW w:w="292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80C6C" w:rsidR="00BF49E3" w:rsidP="00BF49E3" w:rsidRDefault="00BF49E3" w14:paraId="3775A24C" w14:textId="440F1163">
            <w:pPr>
              <w:jc w:val="both"/>
              <w:rPr>
                <w:rFonts w:cs="Arial"/>
                <w:bCs/>
                <w:sz w:val="22"/>
                <w:szCs w:val="22"/>
              </w:rPr>
            </w:pPr>
            <w:r w:rsidRPr="00D15017">
              <w:rPr>
                <w:bCs/>
                <w:sz w:val="20"/>
                <w:szCs w:val="20"/>
              </w:rPr>
              <w:t>Risk revised since last AR?</w:t>
            </w:r>
          </w:p>
        </w:tc>
        <w:tc>
          <w:tcPr>
            <w:tcW w:w="2928" w:type="dxa"/>
            <w:tcBorders>
              <w:top w:val="single" w:color="auto" w:sz="4" w:space="0"/>
              <w:left w:val="single" w:color="auto" w:sz="4" w:space="0"/>
              <w:bottom w:val="single" w:color="auto" w:sz="4" w:space="0"/>
              <w:right w:val="single" w:color="auto" w:sz="4" w:space="0"/>
            </w:tcBorders>
          </w:tcPr>
          <w:p w:rsidRPr="00D80C6C" w:rsidR="00BF49E3" w:rsidP="00BF49E3" w:rsidRDefault="00BF49E3" w14:paraId="36DFFD26" w14:textId="4D95C804">
            <w:pPr>
              <w:jc w:val="both"/>
              <w:rPr>
                <w:rFonts w:cs="Arial"/>
                <w:bCs/>
                <w:sz w:val="22"/>
                <w:szCs w:val="22"/>
              </w:rPr>
            </w:pPr>
            <w:r>
              <w:rPr>
                <w:sz w:val="20"/>
                <w:szCs w:val="20"/>
              </w:rPr>
              <w:t>Yes – reduced</w:t>
            </w:r>
          </w:p>
        </w:tc>
      </w:tr>
    </w:tbl>
    <w:p w:rsidR="003D222C" w:rsidP="004D5FD5" w:rsidRDefault="003D222C" w14:paraId="6858AD8B" w14:textId="77777777">
      <w:pPr>
        <w:jc w:val="both"/>
        <w:rPr>
          <w:rFonts w:cs="Arial"/>
          <w:b/>
          <w:sz w:val="22"/>
          <w:szCs w:val="22"/>
        </w:rPr>
      </w:pPr>
    </w:p>
    <w:p w:rsidRPr="00D80C6C" w:rsidR="00ED69B5" w:rsidP="004D5FD5" w:rsidRDefault="00ED69B5" w14:paraId="79362C00" w14:textId="77777777">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2490"/>
        <w:gridCol w:w="1533"/>
        <w:gridCol w:w="5044"/>
      </w:tblGrid>
      <w:tr w:rsidRPr="00D80C6C" w:rsidR="00B70281" w:rsidTr="26360E20" w14:paraId="2C0E4C57" w14:textId="77777777">
        <w:trPr>
          <w:trHeight w:val="273"/>
        </w:trPr>
        <w:tc>
          <w:tcPr>
            <w:tcW w:w="249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B70281" w:rsidP="00B70281" w:rsidRDefault="00B70281" w14:paraId="2D0691AD" w14:textId="23ABC92F">
            <w:pPr>
              <w:jc w:val="both"/>
              <w:rPr>
                <w:rFonts w:cs="Arial"/>
                <w:b/>
                <w:bCs/>
                <w:sz w:val="22"/>
                <w:szCs w:val="22"/>
              </w:rPr>
            </w:pPr>
            <w:r w:rsidRPr="00E548EA">
              <w:rPr>
                <w:b/>
                <w:bCs/>
                <w:sz w:val="20"/>
                <w:szCs w:val="22"/>
              </w:rPr>
              <w:t>Indicator(s)</w:t>
            </w:r>
          </w:p>
        </w:tc>
        <w:tc>
          <w:tcPr>
            <w:tcW w:w="1533"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B70281" w:rsidP="00B70281" w:rsidRDefault="00B70281" w14:paraId="700F6E10" w14:textId="2D2F19BB">
            <w:pPr>
              <w:jc w:val="both"/>
              <w:rPr>
                <w:rFonts w:cs="Arial"/>
                <w:b/>
                <w:bCs/>
                <w:sz w:val="22"/>
                <w:szCs w:val="22"/>
              </w:rPr>
            </w:pPr>
            <w:r w:rsidRPr="28EC7401">
              <w:rPr>
                <w:b/>
                <w:bCs/>
                <w:sz w:val="20"/>
                <w:szCs w:val="20"/>
              </w:rPr>
              <w:t xml:space="preserve">Milestone(s) </w:t>
            </w:r>
          </w:p>
        </w:tc>
        <w:tc>
          <w:tcPr>
            <w:tcW w:w="504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B70281" w:rsidP="00B70281" w:rsidRDefault="00B70281" w14:paraId="1AFE6250" w14:textId="6E065EB3">
            <w:pPr>
              <w:jc w:val="both"/>
              <w:rPr>
                <w:rFonts w:cs="Arial"/>
                <w:b/>
                <w:bCs/>
                <w:sz w:val="22"/>
                <w:szCs w:val="22"/>
              </w:rPr>
            </w:pPr>
            <w:r w:rsidRPr="38BDA48C">
              <w:rPr>
                <w:b/>
                <w:bCs/>
                <w:sz w:val="20"/>
                <w:szCs w:val="20"/>
              </w:rPr>
              <w:t xml:space="preserve">Progress </w:t>
            </w:r>
            <w:r>
              <w:rPr>
                <w:b/>
                <w:bCs/>
                <w:sz w:val="20"/>
                <w:szCs w:val="20"/>
              </w:rPr>
              <w:t>(FY23)</w:t>
            </w:r>
          </w:p>
        </w:tc>
      </w:tr>
      <w:tr w:rsidRPr="00D80C6C" w:rsidR="00B70281" w:rsidTr="26360E20" w14:paraId="4F7F057D" w14:textId="77777777">
        <w:tc>
          <w:tcPr>
            <w:tcW w:w="2490" w:type="dxa"/>
            <w:tcBorders>
              <w:top w:val="single" w:color="auto" w:sz="4" w:space="0"/>
              <w:left w:val="single" w:color="auto" w:sz="4" w:space="0"/>
              <w:bottom w:val="single" w:color="auto" w:sz="4" w:space="0"/>
              <w:right w:val="single" w:color="auto" w:sz="4" w:space="0"/>
            </w:tcBorders>
          </w:tcPr>
          <w:p w:rsidR="00BB58BB" w:rsidP="00BB58BB" w:rsidRDefault="00B70281" w14:paraId="183E2D05" w14:textId="77777777">
            <w:pPr>
              <w:pStyle w:val="ListParagraph"/>
              <w:numPr>
                <w:ilvl w:val="0"/>
                <w:numId w:val="22"/>
              </w:numPr>
              <w:rPr>
                <w:rFonts w:cs="Arial"/>
                <w:sz w:val="16"/>
                <w:szCs w:val="16"/>
              </w:rPr>
            </w:pPr>
            <w:r>
              <w:rPr>
                <w:rFonts w:cs="Arial"/>
                <w:sz w:val="16"/>
                <w:szCs w:val="16"/>
              </w:rPr>
              <w:t xml:space="preserve">(a) </w:t>
            </w:r>
            <w:r w:rsidRPr="005213E4">
              <w:rPr>
                <w:rFonts w:cs="Arial"/>
                <w:sz w:val="16"/>
                <w:szCs w:val="16"/>
              </w:rPr>
              <w:t>Amount of disbursements for ER payments ($, cumulative</w:t>
            </w:r>
            <w:r w:rsidR="00BB58BB">
              <w:rPr>
                <w:rFonts w:cs="Arial"/>
                <w:sz w:val="16"/>
                <w:szCs w:val="16"/>
              </w:rPr>
              <w:t>)</w:t>
            </w:r>
          </w:p>
          <w:p w:rsidR="00BB58BB" w:rsidP="00BB58BB" w:rsidRDefault="00BB58BB" w14:paraId="74D17FFB" w14:textId="77777777">
            <w:pPr>
              <w:pStyle w:val="ListParagraph"/>
              <w:ind w:left="360"/>
              <w:rPr>
                <w:rFonts w:cs="Arial"/>
                <w:sz w:val="16"/>
                <w:szCs w:val="16"/>
              </w:rPr>
            </w:pPr>
          </w:p>
          <w:p w:rsidRPr="00BB58BB" w:rsidR="00B70281" w:rsidP="00BB58BB" w:rsidRDefault="00B70281" w14:paraId="3B935EB4" w14:textId="2451E52C">
            <w:pPr>
              <w:pStyle w:val="ListParagraph"/>
              <w:ind w:left="360"/>
              <w:rPr>
                <w:rFonts w:cs="Arial"/>
                <w:sz w:val="16"/>
                <w:szCs w:val="16"/>
              </w:rPr>
            </w:pPr>
            <w:r w:rsidRPr="00BB58BB">
              <w:rPr>
                <w:rFonts w:cs="Arial"/>
                <w:sz w:val="16"/>
                <w:szCs w:val="16"/>
              </w:rPr>
              <w:t>(b) Actual ERs purchased by CF as % of originally committed ERs (as per ERPA)</w:t>
            </w:r>
          </w:p>
        </w:tc>
        <w:tc>
          <w:tcPr>
            <w:tcW w:w="1533" w:type="dxa"/>
            <w:tcBorders>
              <w:top w:val="single" w:color="auto" w:sz="4" w:space="0"/>
              <w:left w:val="single" w:color="auto" w:sz="4" w:space="0"/>
              <w:bottom w:val="single" w:color="auto" w:sz="4" w:space="0"/>
              <w:right w:val="single" w:color="auto" w:sz="4" w:space="0"/>
            </w:tcBorders>
          </w:tcPr>
          <w:p w:rsidRPr="00D80C6C" w:rsidR="00B70281" w:rsidP="00B70281" w:rsidRDefault="00B70281" w14:paraId="1FA4E29B" w14:textId="1AA76B49">
            <w:pPr>
              <w:jc w:val="both"/>
              <w:rPr>
                <w:rFonts w:cs="Arial"/>
                <w:bCs/>
                <w:iCs/>
                <w:sz w:val="22"/>
                <w:szCs w:val="22"/>
              </w:rPr>
            </w:pPr>
            <w:r w:rsidRPr="005213E4">
              <w:rPr>
                <w:sz w:val="16"/>
                <w:szCs w:val="16"/>
              </w:rPr>
              <w:t>FY2</w:t>
            </w:r>
            <w:r>
              <w:rPr>
                <w:sz w:val="16"/>
                <w:szCs w:val="16"/>
              </w:rPr>
              <w:t>3: (a) $32.6m; (b) 3%</w:t>
            </w:r>
          </w:p>
        </w:tc>
        <w:tc>
          <w:tcPr>
            <w:tcW w:w="5044" w:type="dxa"/>
            <w:tcBorders>
              <w:top w:val="single" w:color="auto" w:sz="4" w:space="0"/>
              <w:left w:val="single" w:color="auto" w:sz="4" w:space="0"/>
              <w:bottom w:val="single" w:color="auto" w:sz="4" w:space="0"/>
              <w:right w:val="single" w:color="auto" w:sz="4" w:space="0"/>
            </w:tcBorders>
          </w:tcPr>
          <w:p w:rsidRPr="00D55E0F" w:rsidR="00B70281" w:rsidP="00B70281" w:rsidRDefault="00B70281" w14:paraId="509E4B9F" w14:textId="77777777">
            <w:pPr>
              <w:rPr>
                <w:rFonts w:cs="Arial"/>
                <w:sz w:val="16"/>
                <w:szCs w:val="16"/>
              </w:rPr>
            </w:pPr>
            <w:r>
              <w:rPr>
                <w:rFonts w:cs="Arial"/>
                <w:b/>
                <w:bCs/>
                <w:sz w:val="16"/>
                <w:szCs w:val="16"/>
              </w:rPr>
              <w:t xml:space="preserve">FY23 Result: (a) $53.2m (including advance payments) </w:t>
            </w:r>
            <w:r>
              <w:rPr>
                <w:rFonts w:cs="Arial"/>
                <w:sz w:val="16"/>
                <w:szCs w:val="16"/>
              </w:rPr>
              <w:t xml:space="preserve">– payments made to Costa Rica, Cote d’Ivoire, Ghana, Indonesia, Lao PDR, Mozambique. </w:t>
            </w:r>
            <w:r w:rsidRPr="00481ACC">
              <w:rPr>
                <w:rFonts w:cs="Arial"/>
                <w:b/>
                <w:bCs/>
                <w:sz w:val="16"/>
                <w:szCs w:val="16"/>
              </w:rPr>
              <w:t>Progress exceeded expectation.</w:t>
            </w:r>
            <w:r>
              <w:rPr>
                <w:rFonts w:cs="Arial"/>
                <w:sz w:val="16"/>
                <w:szCs w:val="16"/>
              </w:rPr>
              <w:t xml:space="preserve"> </w:t>
            </w:r>
          </w:p>
          <w:p w:rsidR="00B70281" w:rsidP="00B70281" w:rsidRDefault="00B70281" w14:paraId="63C7E1F6" w14:textId="77777777">
            <w:pPr>
              <w:rPr>
                <w:rFonts w:cs="Arial"/>
                <w:b/>
                <w:bCs/>
                <w:sz w:val="16"/>
                <w:szCs w:val="16"/>
              </w:rPr>
            </w:pPr>
          </w:p>
          <w:p w:rsidRPr="00D80C6C" w:rsidR="00B70281" w:rsidP="00B70281" w:rsidRDefault="00B70281" w14:paraId="1DF15CBA" w14:textId="063473FC">
            <w:pPr>
              <w:contextualSpacing/>
              <w:jc w:val="both"/>
              <w:rPr>
                <w:rFonts w:cs="Arial"/>
                <w:bCs/>
                <w:iCs/>
                <w:sz w:val="22"/>
                <w:szCs w:val="22"/>
              </w:rPr>
            </w:pPr>
            <w:r>
              <w:rPr>
                <w:rFonts w:cs="Arial"/>
                <w:b/>
                <w:bCs/>
                <w:sz w:val="16"/>
                <w:szCs w:val="16"/>
              </w:rPr>
              <w:t xml:space="preserve">(b) 3.8% </w:t>
            </w:r>
            <w:r w:rsidRPr="005E7FBD">
              <w:rPr>
                <w:rFonts w:cs="Arial"/>
                <w:sz w:val="16"/>
                <w:szCs w:val="16"/>
              </w:rPr>
              <w:t>(includes actual emission reductions purchased from Costa Rica, Ghana, and Mozambique)</w:t>
            </w:r>
            <w:r>
              <w:rPr>
                <w:rFonts w:cs="Arial"/>
                <w:sz w:val="16"/>
                <w:szCs w:val="16"/>
              </w:rPr>
              <w:t xml:space="preserve">. </w:t>
            </w:r>
            <w:r w:rsidRPr="00481ACC">
              <w:rPr>
                <w:rFonts w:cs="Arial"/>
                <w:b/>
                <w:bCs/>
                <w:sz w:val="16"/>
                <w:szCs w:val="16"/>
              </w:rPr>
              <w:t>Progress met expectation</w:t>
            </w:r>
          </w:p>
        </w:tc>
      </w:tr>
      <w:tr w:rsidRPr="00D80C6C" w:rsidR="00B70281" w:rsidTr="26360E20" w14:paraId="5FC9728D" w14:textId="77777777">
        <w:tc>
          <w:tcPr>
            <w:tcW w:w="2490" w:type="dxa"/>
            <w:tcBorders>
              <w:top w:val="single" w:color="auto" w:sz="4" w:space="0"/>
              <w:left w:val="single" w:color="auto" w:sz="4" w:space="0"/>
              <w:bottom w:val="single" w:color="auto" w:sz="4" w:space="0"/>
              <w:right w:val="single" w:color="auto" w:sz="4" w:space="0"/>
            </w:tcBorders>
          </w:tcPr>
          <w:p w:rsidRPr="00BB58BB" w:rsidR="00B70281" w:rsidP="00BB58BB" w:rsidRDefault="00B70281" w14:paraId="7962695B" w14:textId="74C2AA2B">
            <w:pPr>
              <w:pStyle w:val="ListParagraph"/>
              <w:numPr>
                <w:ilvl w:val="0"/>
                <w:numId w:val="22"/>
              </w:numPr>
              <w:jc w:val="both"/>
              <w:rPr>
                <w:rFonts w:cs="Arial"/>
                <w:i/>
                <w:iCs/>
                <w:sz w:val="22"/>
                <w:szCs w:val="22"/>
              </w:rPr>
            </w:pPr>
            <w:r w:rsidRPr="00BB58BB">
              <w:rPr>
                <w:rFonts w:cs="Arial"/>
                <w:sz w:val="16"/>
                <w:szCs w:val="16"/>
              </w:rPr>
              <w:t>Number of Participant countries that have fulfilled conditions of effectiveness and are monitoring ERs</w:t>
            </w:r>
          </w:p>
        </w:tc>
        <w:tc>
          <w:tcPr>
            <w:tcW w:w="1533" w:type="dxa"/>
            <w:tcBorders>
              <w:top w:val="single" w:color="auto" w:sz="4" w:space="0"/>
              <w:left w:val="single" w:color="auto" w:sz="4" w:space="0"/>
              <w:bottom w:val="single" w:color="auto" w:sz="4" w:space="0"/>
              <w:right w:val="single" w:color="auto" w:sz="4" w:space="0"/>
            </w:tcBorders>
          </w:tcPr>
          <w:p w:rsidRPr="00D80C6C" w:rsidR="00B70281" w:rsidP="00B70281" w:rsidRDefault="00B70281" w14:paraId="4F70BD3F" w14:textId="6086ADD0">
            <w:pPr>
              <w:jc w:val="both"/>
              <w:rPr>
                <w:rFonts w:cs="Arial"/>
                <w:i/>
                <w:iCs/>
                <w:sz w:val="22"/>
                <w:szCs w:val="22"/>
              </w:rPr>
            </w:pPr>
            <w:r w:rsidRPr="005213E4">
              <w:rPr>
                <w:sz w:val="16"/>
                <w:szCs w:val="16"/>
              </w:rPr>
              <w:t>FY2</w:t>
            </w:r>
            <w:r>
              <w:rPr>
                <w:sz w:val="16"/>
                <w:szCs w:val="16"/>
              </w:rPr>
              <w:t>3: 15</w:t>
            </w:r>
          </w:p>
        </w:tc>
        <w:tc>
          <w:tcPr>
            <w:tcW w:w="5044" w:type="dxa"/>
            <w:tcBorders>
              <w:top w:val="single" w:color="auto" w:sz="4" w:space="0"/>
              <w:left w:val="single" w:color="auto" w:sz="4" w:space="0"/>
              <w:bottom w:val="single" w:color="auto" w:sz="4" w:space="0"/>
              <w:right w:val="single" w:color="auto" w:sz="4" w:space="0"/>
            </w:tcBorders>
          </w:tcPr>
          <w:p w:rsidRPr="00D80C6C" w:rsidR="00B70281" w:rsidP="00B70281" w:rsidRDefault="00B70281" w14:paraId="3318F706" w14:textId="29C6F807">
            <w:pPr>
              <w:contextualSpacing/>
              <w:jc w:val="both"/>
              <w:rPr>
                <w:rFonts w:cs="Arial"/>
                <w:i/>
                <w:iCs/>
                <w:sz w:val="22"/>
                <w:szCs w:val="22"/>
              </w:rPr>
            </w:pPr>
            <w:r w:rsidRPr="005213E4">
              <w:rPr>
                <w:rFonts w:cs="Arial"/>
                <w:b/>
                <w:bCs/>
                <w:sz w:val="16"/>
                <w:szCs w:val="16"/>
              </w:rPr>
              <w:t>FY2</w:t>
            </w:r>
            <w:r>
              <w:rPr>
                <w:rFonts w:cs="Arial"/>
                <w:b/>
                <w:bCs/>
                <w:sz w:val="16"/>
                <w:szCs w:val="16"/>
              </w:rPr>
              <w:t>3</w:t>
            </w:r>
            <w:r w:rsidRPr="005213E4">
              <w:rPr>
                <w:rFonts w:cs="Arial"/>
                <w:b/>
                <w:bCs/>
                <w:sz w:val="16"/>
                <w:szCs w:val="16"/>
              </w:rPr>
              <w:t xml:space="preserve"> result: 1</w:t>
            </w:r>
            <w:r>
              <w:rPr>
                <w:rFonts w:cs="Arial"/>
                <w:b/>
                <w:bCs/>
                <w:sz w:val="16"/>
                <w:szCs w:val="16"/>
              </w:rPr>
              <w:t>5</w:t>
            </w:r>
            <w:r w:rsidRPr="005213E4">
              <w:rPr>
                <w:rFonts w:cs="Arial"/>
                <w:b/>
                <w:bCs/>
                <w:sz w:val="16"/>
                <w:szCs w:val="16"/>
              </w:rPr>
              <w:t>.</w:t>
            </w:r>
            <w:r>
              <w:rPr>
                <w:rFonts w:cs="Arial"/>
                <w:sz w:val="16"/>
                <w:szCs w:val="16"/>
              </w:rPr>
              <w:t xml:space="preserve"> All countries have fulfilled conditions of effectiveness. </w:t>
            </w:r>
            <w:r w:rsidRPr="00685674">
              <w:rPr>
                <w:rFonts w:cs="Arial"/>
                <w:b/>
                <w:bCs/>
                <w:sz w:val="16"/>
                <w:szCs w:val="16"/>
              </w:rPr>
              <w:t>Progress met expectation.</w:t>
            </w:r>
            <w:r>
              <w:rPr>
                <w:rFonts w:cs="Arial"/>
                <w:sz w:val="16"/>
                <w:szCs w:val="16"/>
              </w:rPr>
              <w:t xml:space="preserve"> </w:t>
            </w:r>
            <w:r w:rsidRPr="005213E4">
              <w:rPr>
                <w:rFonts w:cs="Arial"/>
                <w:sz w:val="16"/>
                <w:szCs w:val="16"/>
              </w:rPr>
              <w:t xml:space="preserve">  </w:t>
            </w:r>
          </w:p>
        </w:tc>
      </w:tr>
      <w:tr w:rsidRPr="00D80C6C" w:rsidR="00B70281" w:rsidTr="26360E20" w14:paraId="72738FE9" w14:textId="77777777">
        <w:tc>
          <w:tcPr>
            <w:tcW w:w="2490" w:type="dxa"/>
            <w:tcBorders>
              <w:top w:val="single" w:color="auto" w:sz="4" w:space="0"/>
              <w:left w:val="single" w:color="auto" w:sz="4" w:space="0"/>
              <w:bottom w:val="single" w:color="auto" w:sz="4" w:space="0"/>
              <w:right w:val="single" w:color="auto" w:sz="4" w:space="0"/>
            </w:tcBorders>
          </w:tcPr>
          <w:p w:rsidRPr="00BB58BB" w:rsidR="00B70281" w:rsidP="00BB58BB" w:rsidRDefault="00B70281" w14:paraId="4FA9F5FC" w14:textId="33498C40">
            <w:pPr>
              <w:pStyle w:val="ListParagraph"/>
              <w:numPr>
                <w:ilvl w:val="0"/>
                <w:numId w:val="22"/>
              </w:numPr>
              <w:jc w:val="both"/>
              <w:rPr>
                <w:rFonts w:cs="Arial"/>
                <w:i/>
                <w:iCs/>
                <w:sz w:val="22"/>
                <w:szCs w:val="22"/>
              </w:rPr>
            </w:pPr>
            <w:r w:rsidRPr="00BB58BB">
              <w:rPr>
                <w:rFonts w:cs="Arial"/>
                <w:sz w:val="16"/>
                <w:szCs w:val="16"/>
              </w:rPr>
              <w:t>Efficient implementation of ER Programmes (a) Number of Monitoring Reports submitted (cumulative); and (b) Number of Monitoring Reports successfully verified and validated</w:t>
            </w:r>
          </w:p>
        </w:tc>
        <w:tc>
          <w:tcPr>
            <w:tcW w:w="1533" w:type="dxa"/>
            <w:tcBorders>
              <w:top w:val="single" w:color="auto" w:sz="4" w:space="0"/>
              <w:left w:val="single" w:color="auto" w:sz="4" w:space="0"/>
              <w:bottom w:val="single" w:color="auto" w:sz="4" w:space="0"/>
              <w:right w:val="single" w:color="auto" w:sz="4" w:space="0"/>
            </w:tcBorders>
          </w:tcPr>
          <w:p w:rsidRPr="00D80C6C" w:rsidR="00B70281" w:rsidP="00B70281" w:rsidRDefault="00B70281" w14:paraId="464E98B1" w14:textId="3915AD5A">
            <w:pPr>
              <w:jc w:val="both"/>
              <w:rPr>
                <w:rFonts w:cs="Arial"/>
                <w:i/>
                <w:iCs/>
                <w:sz w:val="22"/>
                <w:szCs w:val="22"/>
              </w:rPr>
            </w:pPr>
            <w:r w:rsidRPr="005213E4">
              <w:rPr>
                <w:sz w:val="16"/>
                <w:szCs w:val="16"/>
              </w:rPr>
              <w:t>FY2</w:t>
            </w:r>
            <w:r>
              <w:rPr>
                <w:sz w:val="16"/>
                <w:szCs w:val="16"/>
              </w:rPr>
              <w:t>3: (a) 18; (b) 5</w:t>
            </w:r>
          </w:p>
        </w:tc>
        <w:tc>
          <w:tcPr>
            <w:tcW w:w="5044" w:type="dxa"/>
            <w:tcBorders>
              <w:top w:val="single" w:color="auto" w:sz="4" w:space="0"/>
              <w:left w:val="single" w:color="auto" w:sz="4" w:space="0"/>
              <w:bottom w:val="single" w:color="auto" w:sz="4" w:space="0"/>
              <w:right w:val="single" w:color="auto" w:sz="4" w:space="0"/>
            </w:tcBorders>
          </w:tcPr>
          <w:p w:rsidRPr="00F853EE" w:rsidR="00B70281" w:rsidP="00B70281" w:rsidRDefault="00B70281" w14:paraId="0FA830F6" w14:textId="77777777">
            <w:pPr>
              <w:rPr>
                <w:rFonts w:cs="Arial"/>
                <w:sz w:val="16"/>
                <w:szCs w:val="16"/>
              </w:rPr>
            </w:pPr>
            <w:r w:rsidRPr="005213E4">
              <w:rPr>
                <w:rFonts w:cs="Arial"/>
                <w:b/>
                <w:bCs/>
                <w:sz w:val="16"/>
                <w:szCs w:val="16"/>
              </w:rPr>
              <w:t>FY2</w:t>
            </w:r>
            <w:r>
              <w:rPr>
                <w:rFonts w:cs="Arial"/>
                <w:b/>
                <w:bCs/>
                <w:sz w:val="16"/>
                <w:szCs w:val="16"/>
              </w:rPr>
              <w:t xml:space="preserve">3: (a) 15 (13 first Monitoring Reports and 2 second Monitoring Reports). </w:t>
            </w:r>
            <w:r w:rsidRPr="00B94C9F">
              <w:rPr>
                <w:rFonts w:cs="Arial"/>
                <w:b/>
                <w:bCs/>
                <w:sz w:val="16"/>
                <w:szCs w:val="16"/>
              </w:rPr>
              <w:t>Progress moderately did not meet expectation.</w:t>
            </w:r>
            <w:r>
              <w:rPr>
                <w:rFonts w:cs="Arial"/>
                <w:sz w:val="16"/>
                <w:szCs w:val="16"/>
              </w:rPr>
              <w:t xml:space="preserve"> </w:t>
            </w:r>
          </w:p>
          <w:p w:rsidR="00B70281" w:rsidP="00B70281" w:rsidRDefault="00B70281" w14:paraId="426B09FC" w14:textId="77777777">
            <w:pPr>
              <w:rPr>
                <w:rFonts w:cs="Arial"/>
                <w:b/>
                <w:bCs/>
                <w:sz w:val="16"/>
                <w:szCs w:val="16"/>
              </w:rPr>
            </w:pPr>
          </w:p>
          <w:p w:rsidRPr="00D80C6C" w:rsidR="00B70281" w:rsidP="00B70281" w:rsidRDefault="00B70281" w14:paraId="50449777" w14:textId="1F6AE05D">
            <w:pPr>
              <w:contextualSpacing/>
              <w:jc w:val="both"/>
              <w:rPr>
                <w:rFonts w:cs="Arial"/>
                <w:i/>
                <w:iCs/>
                <w:sz w:val="22"/>
                <w:szCs w:val="22"/>
              </w:rPr>
            </w:pPr>
            <w:r>
              <w:rPr>
                <w:rFonts w:cs="Arial"/>
                <w:b/>
                <w:bCs/>
                <w:sz w:val="16"/>
                <w:szCs w:val="16"/>
              </w:rPr>
              <w:t xml:space="preserve">(b) 5. </w:t>
            </w:r>
            <w:r w:rsidRPr="00F853EE">
              <w:rPr>
                <w:rFonts w:cs="Arial"/>
                <w:sz w:val="16"/>
                <w:szCs w:val="16"/>
              </w:rPr>
              <w:t>Costa Rica, Ghana, Mozambique</w:t>
            </w:r>
            <w:r>
              <w:rPr>
                <w:rFonts w:cs="Arial"/>
                <w:sz w:val="16"/>
                <w:szCs w:val="16"/>
              </w:rPr>
              <w:t xml:space="preserve"> (x2)</w:t>
            </w:r>
            <w:r w:rsidRPr="00F853EE">
              <w:rPr>
                <w:rFonts w:cs="Arial"/>
                <w:sz w:val="16"/>
                <w:szCs w:val="16"/>
              </w:rPr>
              <w:t>, Mad</w:t>
            </w:r>
            <w:r>
              <w:rPr>
                <w:rFonts w:cs="Arial"/>
                <w:sz w:val="16"/>
                <w:szCs w:val="16"/>
              </w:rPr>
              <w:t xml:space="preserve">agascar. </w:t>
            </w:r>
            <w:r w:rsidRPr="00BE6185">
              <w:rPr>
                <w:rFonts w:cs="Arial"/>
                <w:b/>
                <w:bCs/>
                <w:sz w:val="16"/>
                <w:szCs w:val="16"/>
              </w:rPr>
              <w:t>Progress met expectation.</w:t>
            </w:r>
            <w:r>
              <w:rPr>
                <w:rFonts w:cs="Arial"/>
                <w:sz w:val="16"/>
                <w:szCs w:val="16"/>
              </w:rPr>
              <w:t xml:space="preserve"> </w:t>
            </w:r>
          </w:p>
        </w:tc>
      </w:tr>
    </w:tbl>
    <w:p w:rsidR="00ED69B5" w:rsidP="00ED69B5" w:rsidRDefault="00ED69B5" w14:paraId="14298F7F" w14:textId="77777777">
      <w:pPr>
        <w:jc w:val="both"/>
        <w:rPr>
          <w:rFonts w:eastAsia="Arial" w:cs="Arial"/>
          <w:sz w:val="22"/>
          <w:szCs w:val="22"/>
        </w:rPr>
      </w:pPr>
      <w:r>
        <w:rPr>
          <w:rFonts w:eastAsia="Arial" w:cs="Arial"/>
          <w:sz w:val="22"/>
          <w:szCs w:val="22"/>
        </w:rPr>
        <w:t>In the FY22-23, substantial additional progress has been made towards the Carbon Fund’s Emissions Reduction (ER) Programme implementation – with additional payments, fulfilments in Conditions of Effectiveness and Monitoring Reports/Verification Reports being submitted. As all countries have fulfilled Conditions of Effectiveness, a previous indicator on rate of fulfilment has now been removed from this set. Additionally, for Output 1.1., the UK has set interim milestones, as the World Bank will not set milestones. We</w:t>
      </w:r>
      <w:r w:rsidRPr="00DA6BA9">
        <w:rPr>
          <w:rFonts w:eastAsia="Arial" w:cs="Arial"/>
          <w:sz w:val="22"/>
          <w:szCs w:val="22"/>
        </w:rPr>
        <w:t xml:space="preserve"> used a growth approach to re-baseline targets for logframe indicators 1.1a and 1.1b. Initially we tried to use a regression approach to calculate targets but discovered that variables were not yielding statistically significant results. Developing a sophisticated econometric approach would take up disproportionate resource. Thus</w:t>
      </w:r>
      <w:r>
        <w:rPr>
          <w:rFonts w:eastAsia="Arial" w:cs="Arial"/>
          <w:sz w:val="22"/>
          <w:szCs w:val="22"/>
        </w:rPr>
        <w:t>,</w:t>
      </w:r>
      <w:r w:rsidRPr="00DA6BA9">
        <w:rPr>
          <w:rFonts w:eastAsia="Arial" w:cs="Arial"/>
          <w:sz w:val="22"/>
          <w:szCs w:val="22"/>
        </w:rPr>
        <w:t xml:space="preserve"> we decided to assume constant growth rates for both indicator targets, with achieved results</w:t>
      </w:r>
      <w:r>
        <w:rPr>
          <w:rFonts w:eastAsia="Arial" w:cs="Arial"/>
          <w:sz w:val="22"/>
          <w:szCs w:val="22"/>
        </w:rPr>
        <w:t xml:space="preserve"> of</w:t>
      </w:r>
      <w:r w:rsidRPr="00DA6BA9">
        <w:rPr>
          <w:rFonts w:eastAsia="Arial" w:cs="Arial"/>
          <w:sz w:val="22"/>
          <w:szCs w:val="22"/>
        </w:rPr>
        <w:t xml:space="preserve"> FY22 as our initial point and final targets in FY26 being our end point. We then calculated the intermediate targets based on our initial and end points, as a geometric (growth) series.</w:t>
      </w:r>
    </w:p>
    <w:p w:rsidR="00ED69B5" w:rsidP="00ED69B5" w:rsidRDefault="00ED69B5" w14:paraId="1972C8B1" w14:textId="77777777">
      <w:pPr>
        <w:jc w:val="both"/>
        <w:rPr>
          <w:rFonts w:eastAsia="Arial" w:cs="Arial"/>
          <w:sz w:val="22"/>
          <w:szCs w:val="22"/>
        </w:rPr>
      </w:pPr>
    </w:p>
    <w:p w:rsidR="00ED69B5" w:rsidP="00ED69B5" w:rsidRDefault="00ED69B5" w14:paraId="6389E1B3" w14:textId="77777777">
      <w:pPr>
        <w:jc w:val="both"/>
        <w:rPr>
          <w:rFonts w:eastAsia="Arial" w:cs="Arial"/>
          <w:sz w:val="22"/>
          <w:szCs w:val="22"/>
        </w:rPr>
      </w:pPr>
      <w:r>
        <w:rPr>
          <w:rFonts w:eastAsia="Arial" w:cs="Arial"/>
          <w:sz w:val="22"/>
          <w:szCs w:val="22"/>
        </w:rPr>
        <w:t xml:space="preserve">Notably, the Carbon Fund was able to disburse two additional results-based payments for ERs, to Costa Rica and Ghana, as well as advance payments for ERs to Indonesia, Lao PDR and Cote d’Ivoire, all who are nearing verification of the first Monitoring Reports. Output Indicator 1.1.a. has therefore exceeded expectations in the amount of disbursements for ER payments – with a total of $53.2m now disbursed, including advance payments. While the fund is a long way off the $782.7 target for 2026, with the current growth rate of payments year to year it is likely that the fund will achieve this target. However, implementation and disbursements do need to accelerate throughout the remainder of the programme’s delivery period, and some countries present more significant delivery risks than others. On the other hand, some countries are already over-delivering on Emissions Reductions within their first Monitoring Reports. It will be important to continue to track under and over delivery throughout the coming year, and adjust expectations accordingly. </w:t>
      </w:r>
    </w:p>
    <w:p w:rsidR="00ED69B5" w:rsidP="00ED69B5" w:rsidRDefault="00ED69B5" w14:paraId="3BA48118" w14:textId="77777777">
      <w:pPr>
        <w:jc w:val="both"/>
        <w:rPr>
          <w:rFonts w:eastAsia="Arial" w:cs="Arial"/>
          <w:sz w:val="22"/>
          <w:szCs w:val="22"/>
        </w:rPr>
      </w:pPr>
    </w:p>
    <w:p w:rsidRPr="002D442A" w:rsidR="00ED69B5" w:rsidP="00ED69B5" w:rsidRDefault="00ED69B5" w14:paraId="30F9533B" w14:textId="77777777">
      <w:pPr>
        <w:jc w:val="both"/>
        <w:rPr>
          <w:rFonts w:eastAsia="Arial" w:cs="Arial"/>
          <w:sz w:val="22"/>
          <w:szCs w:val="22"/>
        </w:rPr>
      </w:pPr>
      <w:r>
        <w:rPr>
          <w:rFonts w:eastAsia="Arial" w:cs="Arial"/>
          <w:sz w:val="22"/>
          <w:szCs w:val="22"/>
        </w:rPr>
        <w:t xml:space="preserve">With regard to the actual ERs purchased by the Carbon Fund as a percentage of originally committed ERs (Output 1.1.b.), expectations have been met at 3.8% of the fund – ERs purchased through Costa Rica and Ghana now combine with Mozambique’s transaction. This provides evidence that the programme is on track to achieve targets, and has tripled since last year – indicating continued acceleration. </w:t>
      </w:r>
    </w:p>
    <w:p w:rsidR="00ED69B5" w:rsidP="00ED69B5" w:rsidRDefault="00ED69B5" w14:paraId="67FACC48" w14:textId="77777777">
      <w:pPr>
        <w:jc w:val="both"/>
        <w:rPr>
          <w:rFonts w:eastAsia="Arial" w:cs="Arial"/>
          <w:b/>
          <w:bCs/>
          <w:sz w:val="22"/>
          <w:szCs w:val="22"/>
        </w:rPr>
      </w:pPr>
    </w:p>
    <w:p w:rsidRPr="00C76A30" w:rsidR="00ED69B5" w:rsidP="00ED69B5" w:rsidRDefault="00ED69B5" w14:paraId="1B7BDBCC" w14:textId="77777777">
      <w:pPr>
        <w:jc w:val="both"/>
        <w:rPr>
          <w:rFonts w:eastAsia="Arial" w:cs="Arial"/>
          <w:sz w:val="22"/>
          <w:szCs w:val="22"/>
        </w:rPr>
      </w:pPr>
      <w:r>
        <w:rPr>
          <w:rFonts w:eastAsia="Arial" w:cs="Arial"/>
          <w:sz w:val="22"/>
          <w:szCs w:val="22"/>
        </w:rPr>
        <w:t xml:space="preserve">Output 1.2 and 1.3 provide additional evidence on broader country implementation on their ER Programmes. All countries have now fulfilled Conditions of Effectiveness (Output 1.2.), indication that the building blocks for ERPA realisation are now in place, and can ensure that countries can effectively accelerate to delivery. 13 countries have successfully submitted Monitoring Reports – including two countries that have submitted second Monitoring Reports, totalling 15 Monitoring Reports overall (Output 1.3.a.). Of these Monitoring Report submissions, Costa Rica, Ghana, and Madagascar have successfully verified and validated results – indicating the step-wise progress to payment provision. Notably, Mozambique submitted and successfully verified and validated a second Monitoring Report in FY22-23. This provides some evidence to suggest that where a country is able to submit a first Monitoring Report, that a second one can occur in quick succession. This builds the rationale for an acceleration of delivery in later years as countries become more accustomed to the requirements of the programme and fund disbursement. Over the next year, it will be important for FCPF to continue moving rapidly forward. New UK investment in both the UN-REDD Programme, and the FAO Accelerating Innovative Monitoring for Forests (AIM4Forests) have the opportunity to support unlocking payment for country ER Programmes through providing technical assistance and enhanced innovation, tools and technologies. We will continue to explore ways for programmes to support one another and reach intended milestones. </w:t>
      </w:r>
    </w:p>
    <w:p w:rsidRPr="007F51D9" w:rsidR="00ED69B5" w:rsidP="00ED69B5" w:rsidRDefault="00ED69B5" w14:paraId="79ABDB53" w14:textId="77777777">
      <w:pPr>
        <w:jc w:val="both"/>
        <w:rPr>
          <w:rFonts w:eastAsia="Arial" w:cs="Arial"/>
          <w:b/>
          <w:bCs/>
          <w:sz w:val="22"/>
          <w:szCs w:val="22"/>
        </w:rPr>
      </w:pPr>
    </w:p>
    <w:p w:rsidR="00ED69B5" w:rsidP="00ED69B5" w:rsidRDefault="00ED69B5" w14:paraId="510A0486" w14:textId="77777777">
      <w:pPr>
        <w:jc w:val="both"/>
        <w:rPr>
          <w:rFonts w:eastAsia="Arial" w:cs="Arial"/>
          <w:b/>
          <w:bCs/>
          <w:sz w:val="22"/>
          <w:szCs w:val="22"/>
        </w:rPr>
      </w:pPr>
      <w:r w:rsidRPr="007F51D9">
        <w:rPr>
          <w:rFonts w:eastAsia="Arial" w:cs="Arial"/>
          <w:b/>
          <w:bCs/>
          <w:sz w:val="22"/>
          <w:szCs w:val="22"/>
        </w:rPr>
        <w:t>Recommendations</w:t>
      </w:r>
      <w:r w:rsidRPr="005E20C7">
        <w:rPr>
          <w:rFonts w:eastAsia="Arial" w:cs="Arial"/>
          <w:b/>
          <w:bCs/>
          <w:sz w:val="22"/>
          <w:szCs w:val="22"/>
        </w:rPr>
        <w:t xml:space="preserve"> for the year ahead</w:t>
      </w:r>
    </w:p>
    <w:p w:rsidR="00ED69B5" w:rsidP="00ED69B5" w:rsidRDefault="00ED69B5" w14:paraId="085C6ED0" w14:textId="77777777">
      <w:pPr>
        <w:jc w:val="both"/>
        <w:rPr>
          <w:rFonts w:eastAsia="Arial" w:cs="Arial"/>
          <w:b/>
          <w:bCs/>
          <w:sz w:val="20"/>
          <w:szCs w:val="20"/>
        </w:rPr>
      </w:pPr>
    </w:p>
    <w:p w:rsidRPr="00ED69B5" w:rsidR="004A367B" w:rsidP="00ED69B5" w:rsidRDefault="00ED69B5" w14:paraId="2B956A99" w14:textId="5DDC30CC">
      <w:pPr>
        <w:pStyle w:val="ListParagraph"/>
        <w:numPr>
          <w:ilvl w:val="0"/>
          <w:numId w:val="21"/>
        </w:numPr>
        <w:jc w:val="both"/>
        <w:rPr>
          <w:rFonts w:cs="Arial"/>
          <w:sz w:val="22"/>
          <w:szCs w:val="22"/>
        </w:rPr>
      </w:pPr>
      <w:r w:rsidRPr="00ED69B5">
        <w:rPr>
          <w:rFonts w:eastAsia="Arial" w:cs="Arial"/>
          <w:b/>
          <w:bCs/>
          <w:sz w:val="22"/>
          <w:szCs w:val="22"/>
        </w:rPr>
        <w:t>Coordination for accelerated delivery:</w:t>
      </w:r>
      <w:r w:rsidRPr="00ED69B5">
        <w:rPr>
          <w:rFonts w:eastAsia="Arial" w:cs="Arial"/>
          <w:sz w:val="22"/>
          <w:szCs w:val="22"/>
        </w:rPr>
        <w:t xml:space="preserve"> Ensure a coordinated approach to unlocking REDD+ RBP through FCPF – including considering how new UK investment in UN-REDD and through the new FAO AIM4Forests programme can support accelerated delivery of country Emissions Reductions Programmes.</w:t>
      </w:r>
    </w:p>
    <w:p w:rsidRPr="00CD1CE9" w:rsidR="003D222C" w:rsidP="004D5FD5" w:rsidRDefault="003D222C" w14:paraId="2B87EB36" w14:textId="4C5367C4">
      <w:pPr>
        <w:jc w:val="both"/>
        <w:rPr>
          <w:rFonts w:cs="Arial"/>
          <w:b/>
          <w:bCs/>
          <w:i/>
          <w:iCs/>
        </w:rPr>
      </w:pPr>
    </w:p>
    <w:p w:rsidR="00ED69B5" w:rsidRDefault="00ED69B5" w14:paraId="15E97C9D" w14:textId="77777777">
      <w:pPr>
        <w:spacing w:after="160" w:line="259" w:lineRule="auto"/>
        <w:rPr>
          <w:b/>
          <w:i/>
          <w:kern w:val="28"/>
          <w:sz w:val="28"/>
          <w:szCs w:val="28"/>
        </w:rPr>
      </w:pPr>
      <w:r>
        <w:br w:type="page"/>
      </w:r>
    </w:p>
    <w:p w:rsidR="004A367B" w:rsidP="004D5FD5" w:rsidRDefault="004A367B" w14:paraId="6F13DE51" w14:textId="1755DBF3">
      <w:pPr>
        <w:pStyle w:val="Heading2"/>
        <w:jc w:val="both"/>
        <w:rPr>
          <w:sz w:val="20"/>
          <w:szCs w:val="20"/>
        </w:rPr>
      </w:pPr>
      <w:bookmarkStart w:name="_Toc155945408" w:id="15"/>
      <w:r>
        <w:t xml:space="preserve">Output 2: </w:t>
      </w:r>
      <w:r w:rsidRPr="00DE17A8" w:rsidR="00C518F8">
        <w:rPr>
          <w:bCs/>
          <w:sz w:val="22"/>
          <w:szCs w:val="22"/>
        </w:rPr>
        <w:t>Countries implement programmes that conserve biodiversity and contribute positively to local socio-economic development, as well as generating emission reductions</w:t>
      </w:r>
      <w:bookmarkEnd w:id="15"/>
    </w:p>
    <w:p w:rsidRPr="00691842" w:rsidR="00691842" w:rsidP="00691842" w:rsidRDefault="00691842" w14:paraId="6614CA3C" w14:textId="77777777"/>
    <w:tbl>
      <w:tblPr>
        <w:tblStyle w:val="TableGrid"/>
        <w:tblW w:w="9072" w:type="dxa"/>
        <w:tblInd w:w="-5" w:type="dxa"/>
        <w:tblLook w:val="04A0" w:firstRow="1" w:lastRow="0" w:firstColumn="1" w:lastColumn="0" w:noHBand="0" w:noVBand="1"/>
      </w:tblPr>
      <w:tblGrid>
        <w:gridCol w:w="1553"/>
        <w:gridCol w:w="601"/>
        <w:gridCol w:w="1061"/>
        <w:gridCol w:w="2929"/>
        <w:gridCol w:w="2928"/>
      </w:tblGrid>
      <w:tr w:rsidRPr="00D80C6C" w:rsidR="006A1163" w:rsidTr="00485028" w14:paraId="41CE7F22" w14:textId="77777777">
        <w:trPr>
          <w:trHeight w:val="489"/>
        </w:trPr>
        <w:tc>
          <w:tcPr>
            <w:tcW w:w="1553"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A174CA" w:rsidP="00A174CA" w:rsidRDefault="00A174CA" w14:paraId="7057EFC7" w14:textId="7394DEBF">
            <w:pPr>
              <w:jc w:val="both"/>
              <w:rPr>
                <w:rFonts w:cs="Arial"/>
                <w:b/>
                <w:bCs/>
                <w:sz w:val="22"/>
                <w:szCs w:val="22"/>
              </w:rPr>
            </w:pPr>
            <w:r>
              <w:rPr>
                <w:b/>
                <w:bCs/>
                <w:sz w:val="20"/>
                <w:szCs w:val="20"/>
              </w:rPr>
              <w:t xml:space="preserve">Output Title: </w:t>
            </w:r>
          </w:p>
        </w:tc>
        <w:tc>
          <w:tcPr>
            <w:tcW w:w="7519"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ED5FD4" w:rsidR="00A174CA" w:rsidP="00A174CA" w:rsidRDefault="00A174CA" w14:paraId="78968739" w14:textId="31322885">
            <w:pPr>
              <w:jc w:val="both"/>
              <w:rPr>
                <w:rFonts w:cs="Arial"/>
                <w:bCs/>
                <w:iCs/>
                <w:color w:val="FF0000"/>
                <w:sz w:val="22"/>
                <w:szCs w:val="22"/>
              </w:rPr>
            </w:pPr>
            <w:r w:rsidRPr="00F468ED">
              <w:rPr>
                <w:b/>
                <w:bCs/>
                <w:sz w:val="20"/>
                <w:szCs w:val="20"/>
              </w:rPr>
              <w:t>Countries implement programmes that conserve biodiversity and contribute positively to local socio-economic development, as well as generating emission reductions</w:t>
            </w:r>
          </w:p>
        </w:tc>
      </w:tr>
      <w:tr w:rsidRPr="00D80C6C" w:rsidR="004A51B0" w:rsidTr="00485028" w14:paraId="1A461D66" w14:textId="77777777">
        <w:trPr>
          <w:trHeight w:val="347"/>
        </w:trPr>
        <w:tc>
          <w:tcPr>
            <w:tcW w:w="2154"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485028" w:rsidP="00485028" w:rsidRDefault="00485028" w14:paraId="29F004B5" w14:textId="4FA10DBA">
            <w:pPr>
              <w:jc w:val="both"/>
              <w:rPr>
                <w:rFonts w:cs="Arial"/>
                <w:bCs/>
                <w:sz w:val="22"/>
                <w:szCs w:val="22"/>
              </w:rPr>
            </w:pPr>
            <w:r w:rsidRPr="008A4154">
              <w:rPr>
                <w:bCs/>
                <w:sz w:val="20"/>
                <w:szCs w:val="22"/>
              </w:rPr>
              <w:t xml:space="preserve">Output number: </w:t>
            </w:r>
          </w:p>
        </w:tc>
        <w:tc>
          <w:tcPr>
            <w:tcW w:w="1061" w:type="dxa"/>
            <w:tcBorders>
              <w:top w:val="single" w:color="auto" w:sz="4" w:space="0"/>
              <w:left w:val="single" w:color="auto" w:sz="4" w:space="0"/>
              <w:bottom w:val="single" w:color="auto" w:sz="4" w:space="0"/>
              <w:right w:val="single" w:color="auto" w:sz="4" w:space="0"/>
            </w:tcBorders>
          </w:tcPr>
          <w:p w:rsidRPr="00D80C6C" w:rsidR="00485028" w:rsidP="00485028" w:rsidRDefault="00485028" w14:paraId="77F166EC" w14:textId="70986AEA">
            <w:pPr>
              <w:jc w:val="both"/>
              <w:rPr>
                <w:rFonts w:cs="Arial"/>
                <w:sz w:val="22"/>
                <w:szCs w:val="22"/>
              </w:rPr>
            </w:pPr>
            <w:r>
              <w:rPr>
                <w:sz w:val="20"/>
                <w:szCs w:val="20"/>
              </w:rPr>
              <w:t>2</w:t>
            </w:r>
          </w:p>
        </w:tc>
        <w:tc>
          <w:tcPr>
            <w:tcW w:w="2929"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485028" w:rsidP="00485028" w:rsidRDefault="00485028" w14:paraId="03065D68" w14:textId="59A794AC">
            <w:pPr>
              <w:jc w:val="both"/>
              <w:rPr>
                <w:rFonts w:cs="Arial"/>
                <w:sz w:val="22"/>
                <w:szCs w:val="22"/>
              </w:rPr>
            </w:pPr>
            <w:r w:rsidRPr="008A4154">
              <w:rPr>
                <w:bCs/>
                <w:sz w:val="20"/>
                <w:szCs w:val="22"/>
              </w:rPr>
              <w:t xml:space="preserve">Output Score: </w:t>
            </w:r>
          </w:p>
        </w:tc>
        <w:tc>
          <w:tcPr>
            <w:tcW w:w="2928" w:type="dxa"/>
            <w:tcBorders>
              <w:top w:val="single" w:color="auto" w:sz="4" w:space="0"/>
              <w:left w:val="single" w:color="auto" w:sz="4" w:space="0"/>
              <w:bottom w:val="single" w:color="auto" w:sz="4" w:space="0"/>
              <w:right w:val="single" w:color="auto" w:sz="4" w:space="0"/>
            </w:tcBorders>
          </w:tcPr>
          <w:p w:rsidRPr="00DB3B57" w:rsidR="00485028" w:rsidP="00485028" w:rsidRDefault="00485028" w14:paraId="263A0106" w14:textId="3CB5B5F4">
            <w:pPr>
              <w:jc w:val="both"/>
              <w:rPr>
                <w:rFonts w:cs="Arial"/>
                <w:b/>
                <w:bCs/>
                <w:iCs/>
                <w:sz w:val="22"/>
                <w:szCs w:val="22"/>
              </w:rPr>
            </w:pPr>
            <w:r>
              <w:rPr>
                <w:sz w:val="20"/>
                <w:szCs w:val="20"/>
              </w:rPr>
              <w:t>A</w:t>
            </w:r>
          </w:p>
        </w:tc>
      </w:tr>
      <w:tr w:rsidRPr="00D80C6C" w:rsidR="004A51B0" w:rsidTr="00485028" w14:paraId="08DC1373" w14:textId="77777777">
        <w:trPr>
          <w:trHeight w:val="345"/>
        </w:trPr>
        <w:tc>
          <w:tcPr>
            <w:tcW w:w="2154"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485028" w:rsidP="00485028" w:rsidRDefault="00485028" w14:paraId="0EE290D9" w14:textId="1FD38967">
            <w:pPr>
              <w:jc w:val="both"/>
              <w:rPr>
                <w:rFonts w:cs="Arial"/>
                <w:sz w:val="22"/>
                <w:szCs w:val="22"/>
              </w:rPr>
            </w:pPr>
            <w:r w:rsidRPr="008A4154">
              <w:rPr>
                <w:bCs/>
                <w:sz w:val="20"/>
                <w:szCs w:val="22"/>
              </w:rPr>
              <w:t xml:space="preserve">Impact weighting (%):  </w:t>
            </w:r>
          </w:p>
        </w:tc>
        <w:tc>
          <w:tcPr>
            <w:tcW w:w="1061" w:type="dxa"/>
            <w:tcBorders>
              <w:top w:val="single" w:color="auto" w:sz="4" w:space="0"/>
              <w:left w:val="single" w:color="auto" w:sz="4" w:space="0"/>
              <w:bottom w:val="single" w:color="auto" w:sz="4" w:space="0"/>
              <w:right w:val="single" w:color="auto" w:sz="4" w:space="0"/>
            </w:tcBorders>
            <w:hideMark/>
          </w:tcPr>
          <w:p w:rsidRPr="00D80C6C" w:rsidR="00485028" w:rsidP="00485028" w:rsidRDefault="00485028" w14:paraId="24DB908D" w14:textId="114AEB1E">
            <w:pPr>
              <w:jc w:val="both"/>
              <w:rPr>
                <w:rFonts w:cs="Arial"/>
                <w:bCs/>
                <w:sz w:val="22"/>
                <w:szCs w:val="22"/>
              </w:rPr>
            </w:pPr>
            <w:r w:rsidRPr="7DDA78EF">
              <w:rPr>
                <w:sz w:val="20"/>
                <w:szCs w:val="20"/>
              </w:rPr>
              <w:t>50</w:t>
            </w:r>
          </w:p>
        </w:tc>
        <w:tc>
          <w:tcPr>
            <w:tcW w:w="2929"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485028" w:rsidP="00485028" w:rsidRDefault="00485028" w14:paraId="16454226" w14:textId="2EA7B905">
            <w:pPr>
              <w:jc w:val="both"/>
              <w:rPr>
                <w:rFonts w:cs="Arial"/>
                <w:bCs/>
                <w:sz w:val="22"/>
                <w:szCs w:val="22"/>
              </w:rPr>
            </w:pPr>
            <w:r>
              <w:rPr>
                <w:bCs/>
                <w:sz w:val="20"/>
                <w:szCs w:val="22"/>
              </w:rPr>
              <w:t>W</w:t>
            </w:r>
            <w:r w:rsidRPr="008A4154">
              <w:rPr>
                <w:bCs/>
                <w:sz w:val="20"/>
                <w:szCs w:val="22"/>
              </w:rPr>
              <w:t xml:space="preserve">eighting revised since last AR? </w:t>
            </w:r>
          </w:p>
        </w:tc>
        <w:tc>
          <w:tcPr>
            <w:tcW w:w="2928" w:type="dxa"/>
            <w:tcBorders>
              <w:top w:val="single" w:color="auto" w:sz="4" w:space="0"/>
              <w:left w:val="single" w:color="auto" w:sz="4" w:space="0"/>
              <w:bottom w:val="single" w:color="auto" w:sz="4" w:space="0"/>
              <w:right w:val="single" w:color="auto" w:sz="4" w:space="0"/>
            </w:tcBorders>
          </w:tcPr>
          <w:p w:rsidRPr="00D80C6C" w:rsidR="00485028" w:rsidP="00485028" w:rsidRDefault="00485028" w14:paraId="7A0765DF" w14:textId="6E7C86EF">
            <w:pPr>
              <w:jc w:val="both"/>
              <w:rPr>
                <w:rFonts w:cs="Arial"/>
                <w:bCs/>
                <w:sz w:val="22"/>
                <w:szCs w:val="22"/>
              </w:rPr>
            </w:pPr>
            <w:r>
              <w:rPr>
                <w:sz w:val="20"/>
                <w:szCs w:val="20"/>
              </w:rPr>
              <w:t>No</w:t>
            </w:r>
          </w:p>
        </w:tc>
      </w:tr>
      <w:tr w:rsidRPr="00D80C6C" w:rsidR="004A51B0" w:rsidTr="00485028" w14:paraId="2D4E6664" w14:textId="77777777">
        <w:trPr>
          <w:trHeight w:val="345"/>
        </w:trPr>
        <w:tc>
          <w:tcPr>
            <w:tcW w:w="2154"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80C6C" w:rsidR="00485028" w:rsidP="00485028" w:rsidRDefault="00485028" w14:paraId="7DE2EAEE" w14:textId="398779F9">
            <w:pPr>
              <w:jc w:val="both"/>
              <w:rPr>
                <w:rFonts w:cs="Arial"/>
                <w:bCs/>
                <w:sz w:val="22"/>
                <w:szCs w:val="22"/>
              </w:rPr>
            </w:pPr>
            <w:r>
              <w:rPr>
                <w:bCs/>
                <w:sz w:val="20"/>
                <w:szCs w:val="22"/>
              </w:rPr>
              <w:t>Risk rating</w:t>
            </w:r>
          </w:p>
        </w:tc>
        <w:tc>
          <w:tcPr>
            <w:tcW w:w="1061" w:type="dxa"/>
            <w:tcBorders>
              <w:top w:val="single" w:color="auto" w:sz="4" w:space="0"/>
              <w:left w:val="single" w:color="auto" w:sz="4" w:space="0"/>
              <w:bottom w:val="single" w:color="auto" w:sz="4" w:space="0"/>
              <w:right w:val="single" w:color="auto" w:sz="4" w:space="0"/>
            </w:tcBorders>
          </w:tcPr>
          <w:p w:rsidRPr="00D80C6C" w:rsidR="00485028" w:rsidP="00485028" w:rsidRDefault="00485028" w14:paraId="055BA998" w14:textId="1D5F23CC">
            <w:pPr>
              <w:jc w:val="both"/>
              <w:rPr>
                <w:rFonts w:cs="Arial"/>
                <w:bCs/>
                <w:sz w:val="22"/>
                <w:szCs w:val="22"/>
              </w:rPr>
            </w:pPr>
            <w:r w:rsidRPr="00180D9B">
              <w:rPr>
                <w:sz w:val="20"/>
                <w:szCs w:val="20"/>
              </w:rPr>
              <w:t>Moderate</w:t>
            </w:r>
          </w:p>
        </w:tc>
        <w:tc>
          <w:tcPr>
            <w:tcW w:w="292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80C6C" w:rsidR="00485028" w:rsidP="00485028" w:rsidRDefault="00485028" w14:paraId="2885ECE2" w14:textId="644C383C">
            <w:pPr>
              <w:jc w:val="both"/>
              <w:rPr>
                <w:rFonts w:cs="Arial"/>
                <w:bCs/>
                <w:sz w:val="22"/>
                <w:szCs w:val="22"/>
              </w:rPr>
            </w:pPr>
            <w:r>
              <w:rPr>
                <w:bCs/>
                <w:sz w:val="20"/>
                <w:szCs w:val="22"/>
              </w:rPr>
              <w:t>Risk revised since last AR?</w:t>
            </w:r>
          </w:p>
        </w:tc>
        <w:tc>
          <w:tcPr>
            <w:tcW w:w="2928" w:type="dxa"/>
            <w:tcBorders>
              <w:top w:val="single" w:color="auto" w:sz="4" w:space="0"/>
              <w:left w:val="single" w:color="auto" w:sz="4" w:space="0"/>
              <w:bottom w:val="single" w:color="auto" w:sz="4" w:space="0"/>
              <w:right w:val="single" w:color="auto" w:sz="4" w:space="0"/>
            </w:tcBorders>
          </w:tcPr>
          <w:p w:rsidRPr="00D80C6C" w:rsidR="00485028" w:rsidP="00485028" w:rsidRDefault="00485028" w14:paraId="34DD6A93" w14:textId="00EB86D3">
            <w:pPr>
              <w:jc w:val="both"/>
              <w:rPr>
                <w:rFonts w:cs="Arial"/>
                <w:bCs/>
                <w:sz w:val="22"/>
                <w:szCs w:val="22"/>
              </w:rPr>
            </w:pPr>
            <w:r w:rsidRPr="7DDA78EF">
              <w:rPr>
                <w:sz w:val="20"/>
                <w:szCs w:val="20"/>
              </w:rPr>
              <w:t>No</w:t>
            </w:r>
          </w:p>
        </w:tc>
      </w:tr>
    </w:tbl>
    <w:p w:rsidRPr="00D80C6C" w:rsidR="00C518F8" w:rsidP="00691842" w:rsidRDefault="00C518F8" w14:paraId="6A851ED7" w14:textId="77777777">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2405"/>
        <w:gridCol w:w="2268"/>
        <w:gridCol w:w="4394"/>
      </w:tblGrid>
      <w:tr w:rsidRPr="00D80C6C" w:rsidR="00CE66C5" w:rsidTr="56C63D6C" w14:paraId="72BA5779" w14:textId="77777777">
        <w:trPr>
          <w:trHeight w:val="273"/>
        </w:trPr>
        <w:tc>
          <w:tcPr>
            <w:tcW w:w="2405"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CE66C5" w:rsidP="00CE66C5" w:rsidRDefault="00CE66C5" w14:paraId="20749DF7" w14:textId="55BCC58E">
            <w:pPr>
              <w:jc w:val="both"/>
              <w:rPr>
                <w:rFonts w:cs="Arial"/>
                <w:b/>
                <w:bCs/>
                <w:sz w:val="22"/>
                <w:szCs w:val="22"/>
              </w:rPr>
            </w:pPr>
            <w:r w:rsidRPr="00E548EA">
              <w:rPr>
                <w:b/>
                <w:bCs/>
                <w:sz w:val="20"/>
                <w:szCs w:val="22"/>
              </w:rPr>
              <w:t>Indicator(s)</w:t>
            </w:r>
          </w:p>
        </w:tc>
        <w:tc>
          <w:tcPr>
            <w:tcW w:w="2268"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CE66C5" w:rsidP="00CE66C5" w:rsidRDefault="00CE66C5" w14:paraId="34DCC454" w14:textId="4F8924C8">
            <w:pPr>
              <w:jc w:val="both"/>
              <w:rPr>
                <w:rFonts w:cs="Arial"/>
                <w:b/>
                <w:bCs/>
                <w:sz w:val="22"/>
                <w:szCs w:val="22"/>
              </w:rPr>
            </w:pPr>
            <w:r w:rsidRPr="28EC7401">
              <w:rPr>
                <w:b/>
                <w:bCs/>
                <w:sz w:val="20"/>
                <w:szCs w:val="20"/>
              </w:rPr>
              <w:t>Milestone(s) for this review</w:t>
            </w:r>
          </w:p>
        </w:tc>
        <w:tc>
          <w:tcPr>
            <w:tcW w:w="439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CE66C5" w:rsidP="00CE66C5" w:rsidRDefault="00CE66C5" w14:paraId="14649BD1" w14:textId="61525C5F">
            <w:pPr>
              <w:jc w:val="both"/>
              <w:rPr>
                <w:rFonts w:cs="Arial"/>
                <w:b/>
                <w:bCs/>
                <w:sz w:val="22"/>
                <w:szCs w:val="22"/>
              </w:rPr>
            </w:pPr>
            <w:r w:rsidRPr="38BDA48C">
              <w:rPr>
                <w:b/>
                <w:bCs/>
                <w:sz w:val="20"/>
                <w:szCs w:val="20"/>
              </w:rPr>
              <w:t xml:space="preserve">Progress </w:t>
            </w:r>
            <w:r>
              <w:rPr>
                <w:b/>
                <w:bCs/>
                <w:sz w:val="20"/>
                <w:szCs w:val="20"/>
              </w:rPr>
              <w:t>(FY23)</w:t>
            </w:r>
          </w:p>
        </w:tc>
      </w:tr>
      <w:tr w:rsidRPr="00D80C6C" w:rsidR="00CE66C5" w:rsidTr="56C63D6C" w14:paraId="1A9B1DC3" w14:textId="77777777">
        <w:tc>
          <w:tcPr>
            <w:tcW w:w="2405" w:type="dxa"/>
            <w:tcBorders>
              <w:top w:val="single" w:color="auto" w:sz="4" w:space="0"/>
              <w:left w:val="single" w:color="auto" w:sz="4" w:space="0"/>
              <w:bottom w:val="single" w:color="auto" w:sz="4" w:space="0"/>
              <w:right w:val="single" w:color="auto" w:sz="4" w:space="0"/>
            </w:tcBorders>
          </w:tcPr>
          <w:p w:rsidRPr="00BB58BB" w:rsidR="00CE66C5" w:rsidP="00BB58BB" w:rsidRDefault="00CE66C5" w14:paraId="71BA9FC9" w14:textId="11A001FB">
            <w:pPr>
              <w:pStyle w:val="ListParagraph"/>
              <w:numPr>
                <w:ilvl w:val="0"/>
                <w:numId w:val="25"/>
              </w:numPr>
              <w:jc w:val="both"/>
              <w:rPr>
                <w:rFonts w:cs="Arial"/>
                <w:bCs/>
                <w:iCs/>
                <w:sz w:val="22"/>
                <w:szCs w:val="22"/>
              </w:rPr>
            </w:pPr>
            <w:r w:rsidRPr="00BB58BB">
              <w:rPr>
                <w:rFonts w:cs="Arial"/>
                <w:sz w:val="16"/>
                <w:szCs w:val="16"/>
              </w:rPr>
              <w:t>Number of Participant countries where FCPF has supported country efforts to sustain and enhance livelihoods within REDD+ interventions areas (including among women, women's groups, IPs, CSOs, and local communities)</w:t>
            </w:r>
          </w:p>
        </w:tc>
        <w:tc>
          <w:tcPr>
            <w:tcW w:w="2268" w:type="dxa"/>
            <w:tcBorders>
              <w:top w:val="single" w:color="auto" w:sz="4" w:space="0"/>
              <w:left w:val="single" w:color="auto" w:sz="4" w:space="0"/>
              <w:bottom w:val="single" w:color="auto" w:sz="4" w:space="0"/>
              <w:right w:val="single" w:color="auto" w:sz="4" w:space="0"/>
            </w:tcBorders>
          </w:tcPr>
          <w:p w:rsidRPr="00D80C6C" w:rsidR="00CE66C5" w:rsidP="00CE66C5" w:rsidRDefault="00CE66C5" w14:paraId="1F90D257" w14:textId="553023D7">
            <w:pPr>
              <w:jc w:val="both"/>
              <w:rPr>
                <w:rFonts w:cs="Arial"/>
                <w:bCs/>
                <w:iCs/>
                <w:sz w:val="22"/>
                <w:szCs w:val="22"/>
              </w:rPr>
            </w:pPr>
            <w:r>
              <w:rPr>
                <w:sz w:val="16"/>
                <w:szCs w:val="16"/>
              </w:rPr>
              <w:t xml:space="preserve">FY23: </w:t>
            </w:r>
            <w:r w:rsidRPr="004A010D">
              <w:rPr>
                <w:sz w:val="16"/>
                <w:szCs w:val="16"/>
              </w:rPr>
              <w:t>6: Countries provide evidence that REDD+ interventions have changed livelihoods for people living and working in project area, including different groups (women, IP, CSO), with evidence of specific FCPF processes/requirements having a significant influence, and such FCPF processes being applied beyond intervention areas</w:t>
            </w:r>
          </w:p>
        </w:tc>
        <w:tc>
          <w:tcPr>
            <w:tcW w:w="4394" w:type="dxa"/>
            <w:tcBorders>
              <w:top w:val="single" w:color="auto" w:sz="4" w:space="0"/>
              <w:left w:val="single" w:color="auto" w:sz="4" w:space="0"/>
              <w:bottom w:val="single" w:color="auto" w:sz="4" w:space="0"/>
              <w:right w:val="single" w:color="auto" w:sz="4" w:space="0"/>
            </w:tcBorders>
          </w:tcPr>
          <w:p w:rsidR="00144AFE" w:rsidP="00CE66C5" w:rsidRDefault="00CE66C5" w14:paraId="38131A7B" w14:textId="77777777">
            <w:pPr>
              <w:contextualSpacing/>
              <w:jc w:val="both"/>
              <w:rPr>
                <w:sz w:val="16"/>
                <w:szCs w:val="16"/>
              </w:rPr>
            </w:pPr>
            <w:r w:rsidRPr="00CD0386">
              <w:rPr>
                <w:b/>
                <w:bCs/>
                <w:sz w:val="16"/>
                <w:szCs w:val="16"/>
              </w:rPr>
              <w:t>N/A</w:t>
            </w:r>
            <w:r w:rsidRPr="00000AAA">
              <w:rPr>
                <w:sz w:val="16"/>
                <w:szCs w:val="16"/>
              </w:rPr>
              <w:t xml:space="preserve"> – reporting will be provided through FY23 qualitative evidence from Evaluation.</w:t>
            </w:r>
            <w:r>
              <w:rPr>
                <w:sz w:val="16"/>
                <w:szCs w:val="16"/>
              </w:rPr>
              <w:t xml:space="preserve"> See below on some initial findings from the unpublished FY23 Evaluation, which provide some initial evidence on progress towards this indicator. Through this, some qualitative evidence has been provided </w:t>
            </w:r>
            <w:r w:rsidRPr="00CD0386">
              <w:rPr>
                <w:b/>
                <w:bCs/>
                <w:sz w:val="16"/>
                <w:szCs w:val="16"/>
              </w:rPr>
              <w:t>of 8 countries</w:t>
            </w:r>
            <w:r>
              <w:rPr>
                <w:sz w:val="16"/>
                <w:szCs w:val="16"/>
              </w:rPr>
              <w:t xml:space="preserve"> implementing approaches to sustain and enhance livelihoods – reaching over 360,000 beneficiaries across the programme. Some evidence has been provided of how these are reaching different groups and influencing country action in addressing climate. A more comprehensive review of this indicator will be integrated next fiscal year. </w:t>
            </w:r>
          </w:p>
          <w:p w:rsidR="00144AFE" w:rsidP="00CE66C5" w:rsidRDefault="00144AFE" w14:paraId="1F7C8E15" w14:textId="77777777">
            <w:pPr>
              <w:contextualSpacing/>
              <w:jc w:val="both"/>
              <w:rPr>
                <w:sz w:val="16"/>
                <w:szCs w:val="16"/>
              </w:rPr>
            </w:pPr>
          </w:p>
          <w:p w:rsidRPr="00D80C6C" w:rsidR="00CE66C5" w:rsidP="00CE66C5" w:rsidRDefault="00CD0386" w14:paraId="1C0583B9" w14:textId="4FEBADEF">
            <w:pPr>
              <w:contextualSpacing/>
              <w:jc w:val="both"/>
              <w:rPr>
                <w:rFonts w:cs="Arial"/>
                <w:bCs/>
                <w:iCs/>
                <w:sz w:val="22"/>
                <w:szCs w:val="22"/>
              </w:rPr>
            </w:pPr>
            <w:r>
              <w:rPr>
                <w:sz w:val="16"/>
                <w:szCs w:val="16"/>
              </w:rPr>
              <w:t>We will report on this indicator in alignment with the World Bank reporting</w:t>
            </w:r>
            <w:r w:rsidR="00144AFE">
              <w:rPr>
                <w:sz w:val="16"/>
                <w:szCs w:val="16"/>
              </w:rPr>
              <w:t xml:space="preserve">, upon formal publication of the FY23 Evaluation Findings. </w:t>
            </w:r>
          </w:p>
        </w:tc>
      </w:tr>
      <w:tr w:rsidRPr="00D80C6C" w:rsidR="00CE66C5" w:rsidTr="56C63D6C" w14:paraId="6F627DFA" w14:textId="77777777">
        <w:tc>
          <w:tcPr>
            <w:tcW w:w="2405" w:type="dxa"/>
            <w:tcBorders>
              <w:top w:val="single" w:color="auto" w:sz="4" w:space="0"/>
              <w:left w:val="single" w:color="auto" w:sz="4" w:space="0"/>
              <w:bottom w:val="single" w:color="auto" w:sz="4" w:space="0"/>
              <w:right w:val="single" w:color="auto" w:sz="4" w:space="0"/>
            </w:tcBorders>
          </w:tcPr>
          <w:p w:rsidRPr="00BB58BB" w:rsidR="00CE66C5" w:rsidP="00BB58BB" w:rsidRDefault="00CE66C5" w14:paraId="4BD1753E" w14:textId="5345F52E">
            <w:pPr>
              <w:pStyle w:val="ListParagraph"/>
              <w:numPr>
                <w:ilvl w:val="0"/>
                <w:numId w:val="25"/>
              </w:numPr>
              <w:jc w:val="both"/>
              <w:rPr>
                <w:rFonts w:cs="Arial"/>
                <w:bCs/>
                <w:iCs/>
                <w:sz w:val="22"/>
                <w:szCs w:val="22"/>
              </w:rPr>
            </w:pPr>
            <w:r w:rsidRPr="00BB58BB">
              <w:rPr>
                <w:rFonts w:cs="Arial"/>
                <w:sz w:val="16"/>
                <w:szCs w:val="16"/>
              </w:rPr>
              <w:t>% of monetary benefits from CF programmes shared with beneficiaries (disaggregated by gender, CSOs, IPs, Local Communities)</w:t>
            </w:r>
          </w:p>
        </w:tc>
        <w:tc>
          <w:tcPr>
            <w:tcW w:w="2268" w:type="dxa"/>
            <w:tcBorders>
              <w:top w:val="single" w:color="auto" w:sz="4" w:space="0"/>
              <w:left w:val="single" w:color="auto" w:sz="4" w:space="0"/>
              <w:bottom w:val="single" w:color="auto" w:sz="4" w:space="0"/>
              <w:right w:val="single" w:color="auto" w:sz="4" w:space="0"/>
            </w:tcBorders>
          </w:tcPr>
          <w:p w:rsidRPr="00D80C6C" w:rsidR="00CE66C5" w:rsidP="00CE66C5" w:rsidRDefault="00CE66C5" w14:paraId="3D8B963A" w14:textId="625F2870">
            <w:pPr>
              <w:jc w:val="both"/>
              <w:rPr>
                <w:rFonts w:cs="Arial"/>
                <w:bCs/>
                <w:iCs/>
                <w:sz w:val="22"/>
                <w:szCs w:val="22"/>
              </w:rPr>
            </w:pPr>
            <w:r w:rsidRPr="00000AAA">
              <w:rPr>
                <w:sz w:val="16"/>
                <w:szCs w:val="16"/>
              </w:rPr>
              <w:t>To be set once final BSPs are approved</w:t>
            </w:r>
          </w:p>
        </w:tc>
        <w:tc>
          <w:tcPr>
            <w:tcW w:w="4394" w:type="dxa"/>
            <w:tcBorders>
              <w:top w:val="single" w:color="auto" w:sz="4" w:space="0"/>
              <w:left w:val="single" w:color="auto" w:sz="4" w:space="0"/>
              <w:bottom w:val="single" w:color="auto" w:sz="4" w:space="0"/>
              <w:right w:val="single" w:color="auto" w:sz="4" w:space="0"/>
            </w:tcBorders>
          </w:tcPr>
          <w:p w:rsidRPr="00D80C6C" w:rsidR="00CE66C5" w:rsidP="00CE66C5" w:rsidRDefault="00CE66C5" w14:paraId="2F0F0C95" w14:textId="779F4919">
            <w:pPr>
              <w:contextualSpacing/>
              <w:jc w:val="both"/>
              <w:rPr>
                <w:rFonts w:cs="Arial"/>
                <w:bCs/>
                <w:iCs/>
                <w:sz w:val="22"/>
                <w:szCs w:val="22"/>
              </w:rPr>
            </w:pPr>
            <w:r w:rsidRPr="00000AAA">
              <w:rPr>
                <w:b/>
                <w:bCs/>
                <w:sz w:val="16"/>
                <w:szCs w:val="16"/>
              </w:rPr>
              <w:t>FY2</w:t>
            </w:r>
            <w:r>
              <w:rPr>
                <w:b/>
                <w:bCs/>
                <w:sz w:val="16"/>
                <w:szCs w:val="16"/>
              </w:rPr>
              <w:t>3</w:t>
            </w:r>
            <w:r w:rsidRPr="00000AAA">
              <w:rPr>
                <w:b/>
                <w:bCs/>
                <w:sz w:val="16"/>
                <w:szCs w:val="16"/>
              </w:rPr>
              <w:t xml:space="preserve"> Results: 0%</w:t>
            </w:r>
            <w:r>
              <w:rPr>
                <w:b/>
                <w:bCs/>
                <w:sz w:val="16"/>
                <w:szCs w:val="16"/>
              </w:rPr>
              <w:t>. S</w:t>
            </w:r>
            <w:r w:rsidRPr="003B1010">
              <w:rPr>
                <w:sz w:val="16"/>
                <w:szCs w:val="16"/>
              </w:rPr>
              <w:t xml:space="preserve">ee below on </w:t>
            </w:r>
            <w:r>
              <w:rPr>
                <w:sz w:val="16"/>
                <w:szCs w:val="16"/>
              </w:rPr>
              <w:t>some initial findings</w:t>
            </w:r>
            <w:r w:rsidRPr="003B1010">
              <w:rPr>
                <w:sz w:val="16"/>
                <w:szCs w:val="16"/>
              </w:rPr>
              <w:t xml:space="preserve"> from the unpublished FY23 Evaluation.</w:t>
            </w:r>
          </w:p>
        </w:tc>
      </w:tr>
      <w:tr w:rsidRPr="00D80C6C" w:rsidR="00CE66C5" w:rsidTr="56C63D6C" w14:paraId="000119B5" w14:textId="77777777">
        <w:tc>
          <w:tcPr>
            <w:tcW w:w="2405" w:type="dxa"/>
            <w:tcBorders>
              <w:top w:val="single" w:color="auto" w:sz="4" w:space="0"/>
              <w:left w:val="single" w:color="auto" w:sz="4" w:space="0"/>
              <w:bottom w:val="single" w:color="auto" w:sz="4" w:space="0"/>
              <w:right w:val="single" w:color="auto" w:sz="4" w:space="0"/>
            </w:tcBorders>
          </w:tcPr>
          <w:p w:rsidRPr="00BB58BB" w:rsidR="00CE66C5" w:rsidP="00BB58BB" w:rsidRDefault="00CE66C5" w14:paraId="682F4042" w14:textId="404D878A">
            <w:pPr>
              <w:pStyle w:val="ListParagraph"/>
              <w:numPr>
                <w:ilvl w:val="0"/>
                <w:numId w:val="25"/>
              </w:numPr>
              <w:jc w:val="both"/>
              <w:rPr>
                <w:rFonts w:cs="Arial"/>
                <w:bCs/>
                <w:iCs/>
                <w:sz w:val="22"/>
                <w:szCs w:val="22"/>
              </w:rPr>
            </w:pPr>
            <w:r w:rsidRPr="00BB58BB">
              <w:rPr>
                <w:rFonts w:cs="Arial"/>
                <w:sz w:val="16"/>
                <w:szCs w:val="16"/>
              </w:rPr>
              <w:t>Number of Benefit Sharing Plans implemented &amp; types of benefits being shared with a diverse range of beneficiaries (gender, CSOs, IPs, LCs)</w:t>
            </w:r>
          </w:p>
        </w:tc>
        <w:tc>
          <w:tcPr>
            <w:tcW w:w="2268" w:type="dxa"/>
            <w:tcBorders>
              <w:top w:val="single" w:color="auto" w:sz="4" w:space="0"/>
              <w:left w:val="single" w:color="auto" w:sz="4" w:space="0"/>
              <w:bottom w:val="single" w:color="auto" w:sz="4" w:space="0"/>
              <w:right w:val="single" w:color="auto" w:sz="4" w:space="0"/>
            </w:tcBorders>
          </w:tcPr>
          <w:p w:rsidRPr="00D80C6C" w:rsidR="00CE66C5" w:rsidP="00CE66C5" w:rsidRDefault="00CE66C5" w14:paraId="77C11FAE" w14:textId="6596D7A1">
            <w:pPr>
              <w:jc w:val="both"/>
              <w:rPr>
                <w:rFonts w:cs="Arial"/>
                <w:bCs/>
                <w:iCs/>
                <w:sz w:val="22"/>
                <w:szCs w:val="22"/>
              </w:rPr>
            </w:pPr>
            <w:r>
              <w:rPr>
                <w:sz w:val="16"/>
                <w:szCs w:val="16"/>
              </w:rPr>
              <w:t>FY23: 3 BSPs implemented with evidence of benefits (monetary and non-monetary) being shared with a diverse range of stakeholders)</w:t>
            </w:r>
          </w:p>
        </w:tc>
        <w:tc>
          <w:tcPr>
            <w:tcW w:w="4394" w:type="dxa"/>
            <w:tcBorders>
              <w:top w:val="single" w:color="auto" w:sz="4" w:space="0"/>
              <w:left w:val="single" w:color="auto" w:sz="4" w:space="0"/>
              <w:bottom w:val="single" w:color="auto" w:sz="4" w:space="0"/>
              <w:right w:val="single" w:color="auto" w:sz="4" w:space="0"/>
            </w:tcBorders>
          </w:tcPr>
          <w:p w:rsidRPr="00D80C6C" w:rsidR="00CE66C5" w:rsidP="00CE66C5" w:rsidRDefault="00CE66C5" w14:paraId="46E95224" w14:textId="66DB3745">
            <w:pPr>
              <w:contextualSpacing/>
              <w:jc w:val="both"/>
              <w:rPr>
                <w:rFonts w:cs="Arial"/>
                <w:bCs/>
                <w:iCs/>
                <w:sz w:val="22"/>
                <w:szCs w:val="22"/>
              </w:rPr>
            </w:pPr>
            <w:r>
              <w:rPr>
                <w:b/>
                <w:bCs/>
                <w:sz w:val="16"/>
                <w:szCs w:val="16"/>
              </w:rPr>
              <w:t>FY23 Results: 3 BSPs being implemented (Costa Rica, Mozambique, Ghana)</w:t>
            </w:r>
            <w:r>
              <w:rPr>
                <w:sz w:val="16"/>
                <w:szCs w:val="16"/>
              </w:rPr>
              <w:t xml:space="preserve">. Please see below on some initial findings from the unpublished FY23 Evaluation, including evidence from Case Studies from all three countries. Generally, there is some evidence of benefits being shared, however – there is not enough detail to ascertain whether this has been provided to diverse groups. </w:t>
            </w:r>
            <w:r w:rsidRPr="009D11C1">
              <w:rPr>
                <w:b/>
                <w:bCs/>
                <w:sz w:val="16"/>
                <w:szCs w:val="16"/>
              </w:rPr>
              <w:t>Met expectations on number of BSPs, not enough evidence to determine progress on types shared with diverse groups.</w:t>
            </w:r>
            <w:r>
              <w:rPr>
                <w:sz w:val="16"/>
                <w:szCs w:val="16"/>
              </w:rPr>
              <w:t xml:space="preserve"> </w:t>
            </w:r>
          </w:p>
        </w:tc>
      </w:tr>
      <w:tr w:rsidRPr="00D80C6C" w:rsidR="00CE66C5" w:rsidTr="56C63D6C" w14:paraId="3C3C3F98" w14:textId="77777777">
        <w:tc>
          <w:tcPr>
            <w:tcW w:w="2405" w:type="dxa"/>
            <w:tcBorders>
              <w:top w:val="single" w:color="auto" w:sz="4" w:space="0"/>
              <w:left w:val="single" w:color="auto" w:sz="4" w:space="0"/>
              <w:bottom w:val="single" w:color="auto" w:sz="4" w:space="0"/>
              <w:right w:val="single" w:color="auto" w:sz="4" w:space="0"/>
            </w:tcBorders>
          </w:tcPr>
          <w:p w:rsidRPr="00BB58BB" w:rsidR="00CE66C5" w:rsidP="56C63D6C" w:rsidRDefault="00CE66C5" w14:paraId="75735E48" w14:textId="4A6393E3">
            <w:pPr>
              <w:pStyle w:val="ListParagraph"/>
              <w:numPr>
                <w:ilvl w:val="0"/>
                <w:numId w:val="25"/>
              </w:numPr>
              <w:jc w:val="both"/>
              <w:rPr>
                <w:rFonts w:cs="Arial"/>
                <w:sz w:val="22"/>
                <w:szCs w:val="22"/>
              </w:rPr>
            </w:pPr>
            <w:r w:rsidRPr="00BB58BB">
              <w:rPr>
                <w:rFonts w:cs="Arial"/>
                <w:sz w:val="16"/>
                <w:szCs w:val="16"/>
              </w:rPr>
              <w:t>Number of Carbon Fund Programmes that test ways to sustain and enhance livelihoods.</w:t>
            </w:r>
            <w:r w:rsidR="000E49EE">
              <w:rPr>
                <w:rStyle w:val="FootnoteReference"/>
                <w:sz w:val="16"/>
                <w:szCs w:val="16"/>
              </w:rPr>
              <w:footnoteReference w:id="8"/>
            </w:r>
          </w:p>
        </w:tc>
        <w:tc>
          <w:tcPr>
            <w:tcW w:w="2268" w:type="dxa"/>
            <w:tcBorders>
              <w:top w:val="single" w:color="auto" w:sz="4" w:space="0"/>
              <w:left w:val="single" w:color="auto" w:sz="4" w:space="0"/>
              <w:bottom w:val="single" w:color="auto" w:sz="4" w:space="0"/>
              <w:right w:val="single" w:color="auto" w:sz="4" w:space="0"/>
            </w:tcBorders>
          </w:tcPr>
          <w:p w:rsidRPr="00D80C6C" w:rsidR="00CE66C5" w:rsidP="00CE66C5" w:rsidRDefault="00CE66C5" w14:paraId="65F4DB60" w14:textId="58DA7227">
            <w:pPr>
              <w:jc w:val="both"/>
              <w:rPr>
                <w:rFonts w:cs="Arial"/>
                <w:bCs/>
                <w:iCs/>
                <w:sz w:val="22"/>
                <w:szCs w:val="22"/>
              </w:rPr>
            </w:pPr>
            <w:r w:rsidRPr="00000AAA">
              <w:rPr>
                <w:sz w:val="16"/>
                <w:szCs w:val="16"/>
              </w:rPr>
              <w:t>FY2</w:t>
            </w:r>
            <w:r>
              <w:rPr>
                <w:sz w:val="16"/>
                <w:szCs w:val="16"/>
              </w:rPr>
              <w:t>3: 14</w:t>
            </w:r>
          </w:p>
        </w:tc>
        <w:tc>
          <w:tcPr>
            <w:tcW w:w="4394" w:type="dxa"/>
            <w:tcBorders>
              <w:top w:val="single" w:color="auto" w:sz="4" w:space="0"/>
              <w:left w:val="single" w:color="auto" w:sz="4" w:space="0"/>
              <w:bottom w:val="single" w:color="auto" w:sz="4" w:space="0"/>
              <w:right w:val="single" w:color="auto" w:sz="4" w:space="0"/>
            </w:tcBorders>
          </w:tcPr>
          <w:p w:rsidRPr="00D80C6C" w:rsidR="00CE66C5" w:rsidP="00CE66C5" w:rsidRDefault="00CE66C5" w14:paraId="7D90EF60" w14:textId="5B643218">
            <w:pPr>
              <w:contextualSpacing/>
              <w:jc w:val="both"/>
              <w:rPr>
                <w:rFonts w:cs="Arial"/>
                <w:bCs/>
                <w:iCs/>
                <w:sz w:val="22"/>
                <w:szCs w:val="22"/>
              </w:rPr>
            </w:pPr>
            <w:r w:rsidRPr="00C672CB">
              <w:rPr>
                <w:b/>
                <w:bCs/>
                <w:sz w:val="16"/>
                <w:szCs w:val="16"/>
              </w:rPr>
              <w:t>FY23 Results</w:t>
            </w:r>
            <w:r w:rsidRPr="00000AAA">
              <w:rPr>
                <w:sz w:val="16"/>
                <w:szCs w:val="16"/>
              </w:rPr>
              <w:t xml:space="preserve">: </w:t>
            </w:r>
            <w:r w:rsidRPr="00000AAA">
              <w:rPr>
                <w:b/>
                <w:bCs/>
                <w:sz w:val="16"/>
                <w:szCs w:val="16"/>
              </w:rPr>
              <w:t>1</w:t>
            </w:r>
            <w:r>
              <w:rPr>
                <w:b/>
                <w:bCs/>
                <w:sz w:val="16"/>
                <w:szCs w:val="16"/>
              </w:rPr>
              <w:t>8</w:t>
            </w:r>
            <w:r w:rsidRPr="00000AAA">
              <w:rPr>
                <w:sz w:val="16"/>
                <w:szCs w:val="16"/>
              </w:rPr>
              <w:t xml:space="preserve"> programmes have planned tests to sustain and enhance livelihoods. </w:t>
            </w:r>
            <w:r>
              <w:rPr>
                <w:b/>
                <w:bCs/>
                <w:sz w:val="16"/>
                <w:szCs w:val="16"/>
              </w:rPr>
              <w:t>7</w:t>
            </w:r>
            <w:r w:rsidRPr="00000AAA">
              <w:rPr>
                <w:sz w:val="16"/>
                <w:szCs w:val="16"/>
              </w:rPr>
              <w:t xml:space="preserve"> programmes have actually tested approaches to sustain and enhance livelihoods. </w:t>
            </w:r>
            <w:r w:rsidRPr="00000AAA">
              <w:rPr>
                <w:b/>
                <w:bCs/>
                <w:sz w:val="16"/>
                <w:szCs w:val="16"/>
              </w:rPr>
              <w:t>Exceeds expectations on planned tests, does not meet expectations on actual tests.</w:t>
            </w:r>
          </w:p>
        </w:tc>
      </w:tr>
      <w:tr w:rsidRPr="00D80C6C" w:rsidR="00CE66C5" w:rsidTr="56C63D6C" w14:paraId="5DC2C154" w14:textId="77777777">
        <w:tc>
          <w:tcPr>
            <w:tcW w:w="2405" w:type="dxa"/>
            <w:tcBorders>
              <w:top w:val="single" w:color="auto" w:sz="4" w:space="0"/>
              <w:left w:val="single" w:color="auto" w:sz="4" w:space="0"/>
              <w:bottom w:val="single" w:color="auto" w:sz="4" w:space="0"/>
              <w:right w:val="single" w:color="auto" w:sz="4" w:space="0"/>
            </w:tcBorders>
          </w:tcPr>
          <w:p w:rsidRPr="00BB58BB" w:rsidR="00CE66C5" w:rsidP="00BB58BB" w:rsidRDefault="00CE66C5" w14:paraId="0427B90A" w14:textId="1C1EB08C">
            <w:pPr>
              <w:pStyle w:val="ListParagraph"/>
              <w:numPr>
                <w:ilvl w:val="0"/>
                <w:numId w:val="25"/>
              </w:numPr>
              <w:jc w:val="both"/>
              <w:rPr>
                <w:rFonts w:cs="Arial"/>
                <w:bCs/>
                <w:iCs/>
                <w:sz w:val="22"/>
                <w:szCs w:val="22"/>
              </w:rPr>
            </w:pPr>
            <w:r w:rsidRPr="00BB58BB">
              <w:rPr>
                <w:rFonts w:cs="Arial"/>
                <w:sz w:val="16"/>
                <w:szCs w:val="16"/>
              </w:rPr>
              <w:t>Number of Carbon Fund Programmes that test ways to conserve biodiversity</w:t>
            </w:r>
            <w:r w:rsidR="000E49EE">
              <w:rPr>
                <w:rStyle w:val="FootnoteReference"/>
                <w:sz w:val="16"/>
                <w:szCs w:val="16"/>
              </w:rPr>
              <w:footnoteReference w:id="9"/>
            </w:r>
          </w:p>
        </w:tc>
        <w:tc>
          <w:tcPr>
            <w:tcW w:w="2268" w:type="dxa"/>
            <w:tcBorders>
              <w:top w:val="single" w:color="auto" w:sz="4" w:space="0"/>
              <w:left w:val="single" w:color="auto" w:sz="4" w:space="0"/>
              <w:bottom w:val="single" w:color="auto" w:sz="4" w:space="0"/>
              <w:right w:val="single" w:color="auto" w:sz="4" w:space="0"/>
            </w:tcBorders>
          </w:tcPr>
          <w:p w:rsidRPr="00D80C6C" w:rsidR="00CE66C5" w:rsidP="00CE66C5" w:rsidRDefault="00CE66C5" w14:paraId="02F26929" w14:textId="5ABFDE70">
            <w:pPr>
              <w:jc w:val="both"/>
              <w:rPr>
                <w:rFonts w:cs="Arial"/>
                <w:bCs/>
                <w:iCs/>
                <w:sz w:val="22"/>
                <w:szCs w:val="22"/>
              </w:rPr>
            </w:pPr>
            <w:r w:rsidRPr="00000AAA">
              <w:rPr>
                <w:sz w:val="16"/>
                <w:szCs w:val="16"/>
              </w:rPr>
              <w:t>FY2</w:t>
            </w:r>
            <w:r>
              <w:rPr>
                <w:sz w:val="16"/>
                <w:szCs w:val="16"/>
              </w:rPr>
              <w:t>3: 15</w:t>
            </w:r>
          </w:p>
        </w:tc>
        <w:tc>
          <w:tcPr>
            <w:tcW w:w="4394" w:type="dxa"/>
            <w:tcBorders>
              <w:top w:val="single" w:color="auto" w:sz="4" w:space="0"/>
              <w:left w:val="single" w:color="auto" w:sz="4" w:space="0"/>
              <w:bottom w:val="single" w:color="auto" w:sz="4" w:space="0"/>
              <w:right w:val="single" w:color="auto" w:sz="4" w:space="0"/>
            </w:tcBorders>
          </w:tcPr>
          <w:p w:rsidRPr="00D80C6C" w:rsidR="00CE66C5" w:rsidP="00CE66C5" w:rsidRDefault="00CE66C5" w14:paraId="28B90A09" w14:textId="398F7EAA">
            <w:pPr>
              <w:contextualSpacing/>
              <w:jc w:val="both"/>
              <w:rPr>
                <w:rFonts w:cs="Arial"/>
                <w:bCs/>
                <w:iCs/>
                <w:sz w:val="22"/>
                <w:szCs w:val="22"/>
              </w:rPr>
            </w:pPr>
            <w:r w:rsidRPr="00000AAA">
              <w:rPr>
                <w:sz w:val="16"/>
                <w:szCs w:val="16"/>
              </w:rPr>
              <w:t xml:space="preserve">FY22 Results: </w:t>
            </w:r>
            <w:r w:rsidRPr="00000AAA">
              <w:rPr>
                <w:b/>
                <w:bCs/>
                <w:sz w:val="16"/>
                <w:szCs w:val="16"/>
              </w:rPr>
              <w:t>18</w:t>
            </w:r>
            <w:r w:rsidRPr="00000AAA">
              <w:rPr>
                <w:sz w:val="16"/>
                <w:szCs w:val="16"/>
              </w:rPr>
              <w:t xml:space="preserve"> programmes have planned tests to conserve biodiversity.</w:t>
            </w:r>
            <w:r w:rsidRPr="00000AAA">
              <w:rPr>
                <w:b/>
                <w:bCs/>
                <w:sz w:val="16"/>
                <w:szCs w:val="16"/>
              </w:rPr>
              <w:t xml:space="preserve"> </w:t>
            </w:r>
            <w:r w:rsidRPr="00C672CB">
              <w:rPr>
                <w:b/>
                <w:bCs/>
                <w:sz w:val="16"/>
                <w:szCs w:val="16"/>
              </w:rPr>
              <w:t>7</w:t>
            </w:r>
            <w:r w:rsidRPr="00000AAA">
              <w:rPr>
                <w:sz w:val="16"/>
                <w:szCs w:val="16"/>
              </w:rPr>
              <w:t xml:space="preserve"> programmes have actually tested approaches to conserve biodiversity. </w:t>
            </w:r>
            <w:r w:rsidRPr="00000AAA">
              <w:rPr>
                <w:b/>
                <w:bCs/>
                <w:sz w:val="16"/>
                <w:szCs w:val="16"/>
              </w:rPr>
              <w:t>Exceeds expectations on planned tests, does not meet expectations on actual tests.</w:t>
            </w:r>
          </w:p>
        </w:tc>
      </w:tr>
    </w:tbl>
    <w:p w:rsidR="00C518F8" w:rsidP="00C518F8" w:rsidRDefault="00C518F8" w14:paraId="2DE2E34D" w14:textId="77777777">
      <w:pPr>
        <w:jc w:val="both"/>
        <w:rPr>
          <w:rFonts w:eastAsia="Arial" w:cs="Arial"/>
          <w:sz w:val="22"/>
          <w:szCs w:val="22"/>
        </w:rPr>
      </w:pPr>
      <w:r>
        <w:rPr>
          <w:rFonts w:eastAsia="Arial" w:cs="Arial"/>
          <w:sz w:val="22"/>
          <w:szCs w:val="22"/>
        </w:rPr>
        <w:t xml:space="preserve">A new indicator has been added to this Output Set – Output 2.3. provides evidence on number of Benefit Sharing Plans being implemented, and the types of benefits being shared with a diverse range of beneficiaries. This was included to provide additional quantitative and qualitative evidence of benefits being distributed. </w:t>
      </w:r>
    </w:p>
    <w:p w:rsidR="00C518F8" w:rsidP="00C518F8" w:rsidRDefault="00C518F8" w14:paraId="7436BE09" w14:textId="77777777">
      <w:pPr>
        <w:jc w:val="both"/>
        <w:rPr>
          <w:rFonts w:eastAsia="Arial" w:cs="Arial"/>
          <w:sz w:val="22"/>
          <w:szCs w:val="22"/>
        </w:rPr>
      </w:pPr>
    </w:p>
    <w:p w:rsidR="00C518F8" w:rsidP="00C518F8" w:rsidRDefault="00C518F8" w14:paraId="732560E5" w14:textId="77777777">
      <w:pPr>
        <w:jc w:val="both"/>
        <w:rPr>
          <w:rFonts w:eastAsia="Arial" w:cs="Arial"/>
          <w:sz w:val="22"/>
          <w:szCs w:val="22"/>
        </w:rPr>
      </w:pPr>
      <w:r>
        <w:rPr>
          <w:rFonts w:eastAsia="Arial" w:cs="Arial"/>
          <w:sz w:val="22"/>
          <w:szCs w:val="22"/>
        </w:rPr>
        <w:t>Throughout FY22-23, Carbon Fund countries have provided some positive evidence of implementing programmes that conserve biodiversity and contribute positively to local socio-economic development, as well as to generating Emissions Reductions. However, there is still much work to progress here, particularly in relation to the disbursement of ER payments to beneficiaries, including women, women’s groups, Indigenous People, Civil Society Organisations and local communities. Indeed, i</w:t>
      </w:r>
      <w:r w:rsidRPr="00DF337B">
        <w:rPr>
          <w:rFonts w:eastAsia="Arial" w:cs="Arial"/>
          <w:sz w:val="22"/>
          <w:szCs w:val="22"/>
        </w:rPr>
        <w:t>t is not possible to provide a fully comprehensive assessment</w:t>
      </w:r>
      <w:r>
        <w:rPr>
          <w:rFonts w:eastAsia="Arial" w:cs="Arial"/>
          <w:sz w:val="22"/>
          <w:szCs w:val="22"/>
        </w:rPr>
        <w:t xml:space="preserve"> of benefit sharing</w:t>
      </w:r>
      <w:r w:rsidRPr="00DF337B">
        <w:rPr>
          <w:rFonts w:eastAsia="Arial" w:cs="Arial"/>
          <w:sz w:val="22"/>
          <w:szCs w:val="22"/>
        </w:rPr>
        <w:t>, in most part because of the lack of distribution of benefits</w:t>
      </w:r>
      <w:r>
        <w:rPr>
          <w:rFonts w:eastAsia="Arial" w:cs="Arial"/>
          <w:sz w:val="22"/>
          <w:szCs w:val="22"/>
        </w:rPr>
        <w:t xml:space="preserve">. However, some initial findings from the FY23 evaluation outcomes are provided below. </w:t>
      </w:r>
    </w:p>
    <w:p w:rsidR="00C518F8" w:rsidP="00C518F8" w:rsidRDefault="00C518F8" w14:paraId="7C031451" w14:textId="77777777">
      <w:pPr>
        <w:jc w:val="both"/>
        <w:rPr>
          <w:rFonts w:eastAsia="Arial" w:cs="Arial"/>
          <w:sz w:val="22"/>
          <w:szCs w:val="22"/>
        </w:rPr>
      </w:pPr>
    </w:p>
    <w:p w:rsidR="00C518F8" w:rsidP="00C518F8" w:rsidRDefault="00C518F8" w14:paraId="1D2F739E" w14:textId="77777777">
      <w:pPr>
        <w:jc w:val="both"/>
        <w:rPr>
          <w:rFonts w:eastAsia="Arial" w:cs="Arial"/>
          <w:sz w:val="22"/>
          <w:szCs w:val="22"/>
        </w:rPr>
      </w:pPr>
      <w:r>
        <w:rPr>
          <w:rFonts w:eastAsia="Arial" w:cs="Arial"/>
          <w:sz w:val="22"/>
          <w:szCs w:val="22"/>
        </w:rPr>
        <w:t>Currently, the fund has not been able to provide evidence for monetary benefits disbursed to beneficiaries – and this Output 2.2 still stands at 0%, however, new Output 2.3 indicates that 3 countries are now implementing Benefit Sharing Plans – meeting milestone expectations for implementation. Going forward, World Bank will look to setting milestones and targets for the Output 2.2 indicator now that Benefit Sharing Plans have been finalised.</w:t>
      </w:r>
    </w:p>
    <w:p w:rsidR="00C518F8" w:rsidP="00C518F8" w:rsidRDefault="00C518F8" w14:paraId="4073488B" w14:textId="77777777">
      <w:pPr>
        <w:jc w:val="both"/>
        <w:rPr>
          <w:rFonts w:eastAsia="Arial" w:cs="Arial"/>
          <w:sz w:val="22"/>
          <w:szCs w:val="22"/>
        </w:rPr>
      </w:pPr>
    </w:p>
    <w:p w:rsidR="00C518F8" w:rsidP="00C518F8" w:rsidRDefault="00C518F8" w14:paraId="21B2D5AA" w14:textId="77777777">
      <w:pPr>
        <w:jc w:val="both"/>
        <w:rPr>
          <w:rFonts w:eastAsia="Arial" w:cs="Arial"/>
          <w:sz w:val="22"/>
          <w:szCs w:val="22"/>
        </w:rPr>
      </w:pPr>
      <w:r>
        <w:rPr>
          <w:rFonts w:eastAsia="Arial" w:cs="Arial"/>
          <w:sz w:val="22"/>
          <w:szCs w:val="22"/>
        </w:rPr>
        <w:t xml:space="preserve">It is essential that FCPF is able to realise benefits for the partners and beneficiaries involved in the programme implementation, and that they are rewarded for their actions to reduce emissions. Initial findings from the FY23 Evaluation provide some qualitative and quantitative evidence to support the results here.  </w:t>
      </w:r>
      <w:r w:rsidRPr="00997496">
        <w:rPr>
          <w:rFonts w:eastAsia="Arial" w:cs="Arial"/>
          <w:sz w:val="22"/>
          <w:szCs w:val="22"/>
        </w:rPr>
        <w:t>The evidence was captured by the draft case studies produced by the third-party evaluation</w:t>
      </w:r>
      <w:r>
        <w:rPr>
          <w:rFonts w:eastAsia="Arial" w:cs="Arial"/>
          <w:sz w:val="22"/>
          <w:szCs w:val="22"/>
        </w:rPr>
        <w:t xml:space="preserve"> – it should be noted</w:t>
      </w:r>
      <w:r w:rsidRPr="00997496">
        <w:rPr>
          <w:rFonts w:eastAsia="Arial" w:cs="Arial"/>
          <w:sz w:val="22"/>
          <w:szCs w:val="22"/>
        </w:rPr>
        <w:t xml:space="preserve"> that some of the narratives and evidence might be slightly revised during the triangulation process and prior to publication</w:t>
      </w:r>
      <w:r>
        <w:rPr>
          <w:rFonts w:eastAsia="Arial" w:cs="Arial"/>
          <w:sz w:val="22"/>
          <w:szCs w:val="22"/>
        </w:rPr>
        <w:t xml:space="preserve"> of the evaluation</w:t>
      </w:r>
      <w:r w:rsidRPr="00997496">
        <w:rPr>
          <w:rFonts w:eastAsia="Arial" w:cs="Arial"/>
          <w:sz w:val="22"/>
          <w:szCs w:val="22"/>
        </w:rPr>
        <w:t>.</w:t>
      </w:r>
      <w:r>
        <w:rPr>
          <w:rFonts w:eastAsia="Arial" w:cs="Arial"/>
          <w:sz w:val="22"/>
          <w:szCs w:val="22"/>
        </w:rPr>
        <w:t xml:space="preserve"> </w:t>
      </w:r>
    </w:p>
    <w:p w:rsidR="00C518F8" w:rsidP="00C518F8" w:rsidRDefault="00C518F8" w14:paraId="64BB9413" w14:textId="77777777">
      <w:pPr>
        <w:pStyle w:val="ListParagraph"/>
        <w:numPr>
          <w:ilvl w:val="0"/>
          <w:numId w:val="21"/>
        </w:numPr>
        <w:jc w:val="both"/>
        <w:rPr>
          <w:rFonts w:eastAsia="Arial" w:cs="Arial"/>
          <w:sz w:val="22"/>
          <w:szCs w:val="22"/>
        </w:rPr>
      </w:pPr>
      <w:r>
        <w:rPr>
          <w:rFonts w:eastAsia="Arial" w:cs="Arial"/>
          <w:sz w:val="22"/>
          <w:szCs w:val="22"/>
        </w:rPr>
        <w:t xml:space="preserve">Costa Rica: Evidence shows that around 1000 private forest owners have received benefits, 2 territories received a total of USD$645k, benefitting approximately 2,000 inhabitants. </w:t>
      </w:r>
    </w:p>
    <w:p w:rsidR="00C518F8" w:rsidP="00C518F8" w:rsidRDefault="00C518F8" w14:paraId="0B2C9B63" w14:textId="77777777">
      <w:pPr>
        <w:pStyle w:val="ListParagraph"/>
        <w:numPr>
          <w:ilvl w:val="0"/>
          <w:numId w:val="21"/>
        </w:numPr>
        <w:jc w:val="both"/>
        <w:rPr>
          <w:rFonts w:eastAsia="Arial" w:cs="Arial"/>
          <w:sz w:val="22"/>
          <w:szCs w:val="22"/>
        </w:rPr>
      </w:pPr>
      <w:r>
        <w:rPr>
          <w:rFonts w:eastAsia="Arial" w:cs="Arial"/>
          <w:sz w:val="22"/>
          <w:szCs w:val="22"/>
        </w:rPr>
        <w:t xml:space="preserve">Mozambique: Evidence shows that the country was able to mobilise USD$50m to invest in nine districts with a population estimated at 2.3million people. A total of USD$580k has been distributed to provincial and district governments, and the Gile National Reserve. Payments to communities have been delayed, and only 2-6 (out of 135) communities have received payments so far. </w:t>
      </w:r>
    </w:p>
    <w:p w:rsidRPr="00997496" w:rsidR="00C518F8" w:rsidP="00C518F8" w:rsidRDefault="00C518F8" w14:paraId="4951C974" w14:textId="77777777">
      <w:pPr>
        <w:pStyle w:val="ListParagraph"/>
        <w:numPr>
          <w:ilvl w:val="0"/>
          <w:numId w:val="21"/>
        </w:numPr>
        <w:jc w:val="both"/>
        <w:rPr>
          <w:rFonts w:eastAsia="Arial" w:cs="Arial"/>
          <w:sz w:val="22"/>
          <w:szCs w:val="22"/>
        </w:rPr>
      </w:pPr>
      <w:r>
        <w:rPr>
          <w:rFonts w:eastAsia="Arial" w:cs="Arial"/>
          <w:sz w:val="22"/>
          <w:szCs w:val="22"/>
        </w:rPr>
        <w:t>Ghana: 27% of Ghana’s first RBP were transferred to government allocations. Further allocations have showed some distribution of benefits – with cocoa farmers receiving 40% of their total allocated amount, communities receiving 27% of total amount and traditional authorities receiving 2% of total amount.</w:t>
      </w:r>
    </w:p>
    <w:p w:rsidR="00C518F8" w:rsidP="00C518F8" w:rsidRDefault="00C518F8" w14:paraId="61AA5296" w14:textId="6F7A44B6">
      <w:pPr>
        <w:jc w:val="both"/>
        <w:rPr>
          <w:rFonts w:eastAsia="Arial" w:cs="Arial"/>
          <w:sz w:val="22"/>
          <w:szCs w:val="22"/>
        </w:rPr>
      </w:pPr>
      <w:r>
        <w:rPr>
          <w:rFonts w:eastAsia="Arial" w:cs="Arial"/>
          <w:sz w:val="22"/>
          <w:szCs w:val="22"/>
        </w:rPr>
        <w:t>This provides some positive evidence of benefits starting to be distributed within FCPF countries</w:t>
      </w:r>
      <w:r w:rsidR="00B10D68">
        <w:rPr>
          <w:rFonts w:eastAsia="Arial" w:cs="Arial"/>
          <w:sz w:val="22"/>
          <w:szCs w:val="22"/>
        </w:rPr>
        <w:t xml:space="preserve"> that have received payments (Ghana, Costa Rica and Mozambique)</w:t>
      </w:r>
      <w:r>
        <w:rPr>
          <w:rFonts w:eastAsia="Arial" w:cs="Arial"/>
          <w:sz w:val="22"/>
          <w:szCs w:val="22"/>
        </w:rPr>
        <w:t>. All countries have provided some detail on benefits going towards forest dwellers/communities and farmers/forest owners, however, delays appear to remain</w:t>
      </w:r>
      <w:r w:rsidR="001D7DAC">
        <w:rPr>
          <w:rFonts w:eastAsia="Arial" w:cs="Arial"/>
          <w:sz w:val="22"/>
          <w:szCs w:val="22"/>
        </w:rPr>
        <w:t xml:space="preserve"> and there is not enough detail to assess</w:t>
      </w:r>
      <w:r w:rsidR="00613C74">
        <w:rPr>
          <w:rFonts w:eastAsia="Arial" w:cs="Arial"/>
          <w:sz w:val="22"/>
          <w:szCs w:val="22"/>
        </w:rPr>
        <w:t xml:space="preserve"> whether and how benefits have been distributed to a diverse range of stakeholders</w:t>
      </w:r>
      <w:r>
        <w:rPr>
          <w:rFonts w:eastAsia="Arial" w:cs="Arial"/>
          <w:sz w:val="22"/>
          <w:szCs w:val="22"/>
        </w:rPr>
        <w:t>. A more detail</w:t>
      </w:r>
      <w:r w:rsidR="00613C74">
        <w:rPr>
          <w:rFonts w:eastAsia="Arial" w:cs="Arial"/>
          <w:sz w:val="22"/>
          <w:szCs w:val="22"/>
        </w:rPr>
        <w:t>ed</w:t>
      </w:r>
      <w:r>
        <w:rPr>
          <w:rFonts w:eastAsia="Arial" w:cs="Arial"/>
          <w:sz w:val="22"/>
          <w:szCs w:val="22"/>
        </w:rPr>
        <w:t xml:space="preserve"> evaluation and synthesis of these findings will be provided upon publication of the FY23 Evaluation report, which will enable more effective appraisal of these indicators. </w:t>
      </w:r>
      <w:r w:rsidR="00B10D68">
        <w:rPr>
          <w:rFonts w:eastAsia="Arial" w:cs="Arial"/>
          <w:sz w:val="22"/>
          <w:szCs w:val="22"/>
        </w:rPr>
        <w:t>It is imperative that FCPF is able to deliver benefits on the ground</w:t>
      </w:r>
      <w:r w:rsidR="00613C74">
        <w:rPr>
          <w:rFonts w:eastAsia="Arial" w:cs="Arial"/>
          <w:sz w:val="22"/>
          <w:szCs w:val="22"/>
        </w:rPr>
        <w:t xml:space="preserve">, and that these are </w:t>
      </w:r>
      <w:r w:rsidR="00EA409C">
        <w:rPr>
          <w:rFonts w:eastAsia="Arial" w:cs="Arial"/>
          <w:sz w:val="22"/>
          <w:szCs w:val="22"/>
        </w:rPr>
        <w:t xml:space="preserve">distributed to the wide variety of stakeholders involved in programme implementation, including </w:t>
      </w:r>
      <w:r w:rsidR="00433A67">
        <w:rPr>
          <w:rFonts w:eastAsia="Arial" w:cs="Arial"/>
          <w:sz w:val="22"/>
          <w:szCs w:val="22"/>
        </w:rPr>
        <w:t xml:space="preserve">often </w:t>
      </w:r>
      <w:r w:rsidR="00EA409C">
        <w:rPr>
          <w:rFonts w:eastAsia="Arial" w:cs="Arial"/>
          <w:sz w:val="22"/>
          <w:szCs w:val="22"/>
        </w:rPr>
        <w:t>marginalised communities</w:t>
      </w:r>
      <w:r w:rsidR="00433A67">
        <w:rPr>
          <w:rFonts w:eastAsia="Arial" w:cs="Arial"/>
          <w:sz w:val="22"/>
          <w:szCs w:val="22"/>
        </w:rPr>
        <w:t xml:space="preserve"> such as </w:t>
      </w:r>
      <w:r w:rsidRPr="18892D60" w:rsidR="251BD8C0">
        <w:rPr>
          <w:rFonts w:eastAsia="Arial" w:cs="Arial"/>
          <w:sz w:val="22"/>
          <w:szCs w:val="22"/>
        </w:rPr>
        <w:t>Indigenous Peoples (IPs) and Local Communities (LCs)</w:t>
      </w:r>
      <w:r w:rsidRPr="18892D60" w:rsidR="00433A67">
        <w:rPr>
          <w:rFonts w:eastAsia="Arial" w:cs="Arial"/>
          <w:sz w:val="22"/>
          <w:szCs w:val="22"/>
        </w:rPr>
        <w:t>.</w:t>
      </w:r>
      <w:r w:rsidR="00B10D68">
        <w:rPr>
          <w:rFonts w:eastAsia="Arial" w:cs="Arial"/>
          <w:sz w:val="22"/>
          <w:szCs w:val="22"/>
        </w:rPr>
        <w:t xml:space="preserve"> </w:t>
      </w:r>
      <w:r w:rsidR="00433A67">
        <w:rPr>
          <w:rFonts w:eastAsia="Arial" w:cs="Arial"/>
          <w:sz w:val="22"/>
          <w:szCs w:val="22"/>
        </w:rPr>
        <w:t>T</w:t>
      </w:r>
      <w:r w:rsidR="00B10D68">
        <w:rPr>
          <w:rFonts w:eastAsia="Arial" w:cs="Arial"/>
          <w:sz w:val="22"/>
          <w:szCs w:val="22"/>
        </w:rPr>
        <w:t xml:space="preserve">his indicator remains key to assessing </w:t>
      </w:r>
      <w:r w:rsidR="00DF31B2">
        <w:rPr>
          <w:rFonts w:eastAsia="Arial" w:cs="Arial"/>
          <w:sz w:val="22"/>
          <w:szCs w:val="22"/>
        </w:rPr>
        <w:t>the programme’s effectiveness</w:t>
      </w:r>
      <w:r w:rsidR="00AE4D91">
        <w:rPr>
          <w:rFonts w:eastAsia="Arial" w:cs="Arial"/>
          <w:sz w:val="22"/>
          <w:szCs w:val="22"/>
        </w:rPr>
        <w:t xml:space="preserve"> and transformational impact</w:t>
      </w:r>
      <w:r w:rsidR="0041260C">
        <w:rPr>
          <w:rFonts w:eastAsia="Arial" w:cs="Arial"/>
          <w:sz w:val="22"/>
          <w:szCs w:val="22"/>
        </w:rPr>
        <w:t xml:space="preserve">. Once more second </w:t>
      </w:r>
      <w:r w:rsidR="00920A59">
        <w:rPr>
          <w:rFonts w:eastAsia="Arial" w:cs="Arial"/>
          <w:sz w:val="22"/>
          <w:szCs w:val="22"/>
        </w:rPr>
        <w:t>Monitoring</w:t>
      </w:r>
      <w:r w:rsidR="0041260C">
        <w:rPr>
          <w:rFonts w:eastAsia="Arial" w:cs="Arial"/>
          <w:sz w:val="22"/>
          <w:szCs w:val="22"/>
        </w:rPr>
        <w:t xml:space="preserve"> Reports are submitted, that provide more detailed evidence on benefit sharing, and then verified</w:t>
      </w:r>
      <w:r w:rsidR="00920A59">
        <w:rPr>
          <w:rFonts w:eastAsia="Arial" w:cs="Arial"/>
          <w:sz w:val="22"/>
          <w:szCs w:val="22"/>
        </w:rPr>
        <w:t xml:space="preserve">, we will more appropriately be able to appraise this indicator and FCPF’s progress to ensuring benefits are equitably and effectively distributed amongst programme beneficiaries and partners. </w:t>
      </w:r>
    </w:p>
    <w:p w:rsidR="00C518F8" w:rsidP="00C518F8" w:rsidRDefault="00C518F8" w14:paraId="5E2F3076" w14:textId="77777777">
      <w:pPr>
        <w:jc w:val="both"/>
        <w:rPr>
          <w:rFonts w:eastAsia="Arial" w:cs="Arial"/>
          <w:sz w:val="22"/>
          <w:szCs w:val="22"/>
        </w:rPr>
      </w:pPr>
    </w:p>
    <w:p w:rsidR="00C518F8" w:rsidP="00C518F8" w:rsidRDefault="00C518F8" w14:paraId="53631541" w14:textId="77777777">
      <w:pPr>
        <w:jc w:val="both"/>
        <w:rPr>
          <w:rFonts w:eastAsia="Arial" w:cs="Arial"/>
          <w:sz w:val="22"/>
          <w:szCs w:val="22"/>
        </w:rPr>
      </w:pPr>
      <w:r>
        <w:rPr>
          <w:rFonts w:eastAsia="Arial" w:cs="Arial"/>
          <w:sz w:val="22"/>
          <w:szCs w:val="22"/>
        </w:rPr>
        <w:t xml:space="preserve">All Carbon Fund ER Programmes have included approaches to sustaining and enhancing livelihoods and biodiversity (Output 2.4 and Output 2.5). Of that, 7 programmes are now implementing these approaches. </w:t>
      </w:r>
      <w:r>
        <w:rPr>
          <w:rStyle w:val="normaltextrun"/>
          <w:rFonts w:cs="Arial"/>
          <w:color w:val="000000"/>
          <w:sz w:val="22"/>
          <w:szCs w:val="22"/>
          <w:shd w:val="clear" w:color="auto" w:fill="FFFFFF"/>
        </w:rPr>
        <w:t>Within all Carbon Fund country ERPDs there have been explicit targeted programme objectives and activities that focus on improvements to livelihoods. Examples of such benefits that extend beyond just carbon vary depending on specific country needs and context, and can be related to improvements to ecosystems, strengthening food security, enhancing land tenure, conservation of social and cultural values, reducing poverty, community-based landscape governance, and many other activities.  Additionally, within all advanced draft Benefit Sharing Plans, there have been non-carbon benefits explicitly incorporated and explained to consider improved livelihoods for programme beneficiaries. This is real positive progress in demonstrating how Carbon Fund countries are planning on sustaining and enhancing livelihoods within their ER Programmes.</w:t>
      </w:r>
      <w:r>
        <w:rPr>
          <w:rFonts w:eastAsia="Arial" w:cs="Arial"/>
          <w:sz w:val="22"/>
          <w:szCs w:val="22"/>
        </w:rPr>
        <w:t xml:space="preserve"> </w:t>
      </w:r>
    </w:p>
    <w:p w:rsidR="00C518F8" w:rsidP="00C518F8" w:rsidRDefault="00C518F8" w14:paraId="1B333828" w14:textId="77777777">
      <w:pPr>
        <w:jc w:val="both"/>
        <w:rPr>
          <w:rFonts w:eastAsia="Arial" w:cs="Arial"/>
          <w:sz w:val="22"/>
          <w:szCs w:val="22"/>
        </w:rPr>
      </w:pPr>
    </w:p>
    <w:p w:rsidR="00C518F8" w:rsidP="00C518F8" w:rsidRDefault="00C518F8" w14:paraId="16FE0C55" w14:textId="4B7FD68F">
      <w:pPr>
        <w:jc w:val="both"/>
        <w:rPr>
          <w:rFonts w:eastAsia="Arial" w:cs="Arial"/>
          <w:sz w:val="22"/>
          <w:szCs w:val="22"/>
        </w:rPr>
      </w:pPr>
      <w:r>
        <w:rPr>
          <w:rFonts w:eastAsia="Arial" w:cs="Arial"/>
          <w:sz w:val="22"/>
          <w:szCs w:val="22"/>
        </w:rPr>
        <w:t>Some initial findings from the FY23 Evaluation are provided</w:t>
      </w:r>
      <w:r w:rsidR="009837D8">
        <w:rPr>
          <w:rFonts w:eastAsia="Arial" w:cs="Arial"/>
          <w:sz w:val="22"/>
          <w:szCs w:val="22"/>
        </w:rPr>
        <w:t xml:space="preserve"> on approaches actively being delivered, </w:t>
      </w:r>
      <w:r w:rsidR="009A6F40">
        <w:rPr>
          <w:rFonts w:eastAsia="Arial" w:cs="Arial"/>
          <w:sz w:val="22"/>
          <w:szCs w:val="22"/>
        </w:rPr>
        <w:t>supporting both Output Indicator 2.1 and 2.4 on sustained and enhanced livelihoods</w:t>
      </w:r>
      <w:r>
        <w:rPr>
          <w:rFonts w:eastAsia="Arial" w:cs="Arial"/>
          <w:sz w:val="22"/>
          <w:szCs w:val="22"/>
        </w:rPr>
        <w:t>. To note that s</w:t>
      </w:r>
      <w:r w:rsidRPr="00DA7243">
        <w:rPr>
          <w:rFonts w:eastAsia="Arial" w:cs="Arial"/>
          <w:sz w:val="22"/>
          <w:szCs w:val="22"/>
        </w:rPr>
        <w:t>ome of the narratives and evidence might be slightly updated before publication.</w:t>
      </w:r>
      <w:r>
        <w:rPr>
          <w:rFonts w:eastAsia="Arial" w:cs="Arial"/>
          <w:sz w:val="22"/>
          <w:szCs w:val="22"/>
        </w:rPr>
        <w:t xml:space="preserve"> </w:t>
      </w:r>
      <w:r w:rsidRPr="00DA7243">
        <w:rPr>
          <w:rFonts w:eastAsia="Arial" w:cs="Arial"/>
          <w:sz w:val="22"/>
          <w:szCs w:val="22"/>
        </w:rPr>
        <w:t xml:space="preserve">Based on the ER Monitoring Reports (some are not yet published) and the draft case studies produced by the third-party evaluation, at least 8 countries have shown </w:t>
      </w:r>
      <w:r w:rsidR="00CD0386">
        <w:rPr>
          <w:rFonts w:eastAsia="Arial" w:cs="Arial"/>
          <w:sz w:val="22"/>
          <w:szCs w:val="22"/>
        </w:rPr>
        <w:t xml:space="preserve">progressed </w:t>
      </w:r>
      <w:r w:rsidRPr="00DA7243">
        <w:rPr>
          <w:rFonts w:eastAsia="Arial" w:cs="Arial"/>
          <w:sz w:val="22"/>
          <w:szCs w:val="22"/>
        </w:rPr>
        <w:t xml:space="preserve">evidence to sustain and enhance livelihoods, reaching over 360,000 beneficiaries. </w:t>
      </w:r>
      <w:r>
        <w:rPr>
          <w:rFonts w:eastAsia="Arial" w:cs="Arial"/>
          <w:sz w:val="22"/>
          <w:szCs w:val="22"/>
        </w:rPr>
        <w:t>For example:</w:t>
      </w:r>
    </w:p>
    <w:p w:rsidR="00C518F8" w:rsidP="00C518F8" w:rsidRDefault="00C518F8" w14:paraId="2B2BDC64" w14:textId="77777777">
      <w:pPr>
        <w:pStyle w:val="ListParagraph"/>
        <w:numPr>
          <w:ilvl w:val="0"/>
          <w:numId w:val="24"/>
        </w:numPr>
        <w:jc w:val="both"/>
        <w:rPr>
          <w:rFonts w:eastAsia="Arial" w:cs="Arial"/>
          <w:sz w:val="22"/>
          <w:szCs w:val="22"/>
        </w:rPr>
      </w:pPr>
      <w:r>
        <w:rPr>
          <w:rFonts w:eastAsia="Arial" w:cs="Arial"/>
          <w:sz w:val="22"/>
          <w:szCs w:val="22"/>
        </w:rPr>
        <w:t>I</w:t>
      </w:r>
      <w:r w:rsidRPr="00B55353">
        <w:rPr>
          <w:rFonts w:eastAsia="Arial" w:cs="Arial"/>
          <w:sz w:val="22"/>
          <w:szCs w:val="22"/>
        </w:rPr>
        <w:t xml:space="preserve">n Ghana, stakeholders are working to help approximately 240,000 Ghanian farmers increase cocoa production using climate-smart agriculture </w:t>
      </w:r>
      <w:proofErr w:type="spellStart"/>
      <w:r w:rsidRPr="00B55353">
        <w:rPr>
          <w:rFonts w:eastAsia="Arial" w:cs="Arial"/>
          <w:sz w:val="22"/>
          <w:szCs w:val="22"/>
        </w:rPr>
        <w:t>agro</w:t>
      </w:r>
      <w:proofErr w:type="spellEnd"/>
      <w:r w:rsidRPr="00B55353">
        <w:rPr>
          <w:rFonts w:eastAsia="Arial" w:cs="Arial"/>
          <w:sz w:val="22"/>
          <w:szCs w:val="22"/>
        </w:rPr>
        <w:t xml:space="preserve">-forestry approaches. </w:t>
      </w:r>
    </w:p>
    <w:p w:rsidR="00C518F8" w:rsidP="00C518F8" w:rsidRDefault="00C518F8" w14:paraId="4CB2B50E" w14:textId="77777777">
      <w:pPr>
        <w:pStyle w:val="ListParagraph"/>
        <w:numPr>
          <w:ilvl w:val="0"/>
          <w:numId w:val="24"/>
        </w:numPr>
        <w:jc w:val="both"/>
        <w:rPr>
          <w:rFonts w:eastAsia="Arial" w:cs="Arial"/>
          <w:sz w:val="22"/>
          <w:szCs w:val="22"/>
        </w:rPr>
      </w:pPr>
      <w:r w:rsidRPr="00B55353">
        <w:rPr>
          <w:rFonts w:eastAsia="Arial" w:cs="Arial"/>
          <w:sz w:val="22"/>
          <w:szCs w:val="22"/>
        </w:rPr>
        <w:t>In Mozambique, 453,35ha of agroforestry systems were established, including 1086 farmers from 3 communities involved; and 263 ha of restored area.</w:t>
      </w:r>
      <w:r>
        <w:rPr>
          <w:rFonts w:eastAsia="Arial" w:cs="Arial"/>
          <w:sz w:val="22"/>
          <w:szCs w:val="22"/>
        </w:rPr>
        <w:t xml:space="preserve"> Support has reached almost 70,000 beneficiaries. </w:t>
      </w:r>
    </w:p>
    <w:p w:rsidR="00C518F8" w:rsidP="00C518F8" w:rsidRDefault="00C518F8" w14:paraId="7ED8B3EC" w14:textId="77777777">
      <w:pPr>
        <w:pStyle w:val="ListParagraph"/>
        <w:numPr>
          <w:ilvl w:val="0"/>
          <w:numId w:val="24"/>
        </w:numPr>
        <w:jc w:val="both"/>
        <w:rPr>
          <w:rFonts w:eastAsia="Arial" w:cs="Arial"/>
          <w:sz w:val="22"/>
          <w:szCs w:val="22"/>
        </w:rPr>
      </w:pPr>
      <w:r w:rsidRPr="00B55353">
        <w:rPr>
          <w:rFonts w:eastAsia="Arial" w:cs="Arial"/>
          <w:sz w:val="22"/>
          <w:szCs w:val="22"/>
        </w:rPr>
        <w:t xml:space="preserve">In Indonesia, 307,000 hectares of state forest land had been formally allocated to community groups through social forestry licenses, impacting 170 communities. 14,867 households have been provided with greater access to forest resources since 2019. This improved access is being reinforced with support to economic activities, such as development of non-timber forest products, facilitated by local NGOs. </w:t>
      </w:r>
    </w:p>
    <w:p w:rsidR="00C518F8" w:rsidP="00C518F8" w:rsidRDefault="00C518F8" w14:paraId="5A7B5CC5" w14:textId="77777777">
      <w:pPr>
        <w:pStyle w:val="ListParagraph"/>
        <w:numPr>
          <w:ilvl w:val="0"/>
          <w:numId w:val="24"/>
        </w:numPr>
        <w:jc w:val="both"/>
        <w:rPr>
          <w:rFonts w:eastAsia="Arial" w:cs="Arial"/>
          <w:sz w:val="22"/>
          <w:szCs w:val="22"/>
        </w:rPr>
      </w:pPr>
      <w:r>
        <w:rPr>
          <w:rFonts w:eastAsia="Arial" w:cs="Arial"/>
          <w:sz w:val="22"/>
          <w:szCs w:val="22"/>
        </w:rPr>
        <w:t xml:space="preserve">In Madagascar, 6,778 beneficiaries have been reached in the implementation of income-generating activities related to community development and field activities, as well as micro-projects, strengthened techniques on rice cultivation, the implementation of a Sustainable Wildlife Management Programme and training to improve occupations and skills. </w:t>
      </w:r>
    </w:p>
    <w:p w:rsidR="00C518F8" w:rsidP="00C518F8" w:rsidRDefault="00C518F8" w14:paraId="49A2CB1B" w14:textId="77777777">
      <w:pPr>
        <w:pStyle w:val="ListParagraph"/>
        <w:numPr>
          <w:ilvl w:val="0"/>
          <w:numId w:val="24"/>
        </w:numPr>
        <w:jc w:val="both"/>
        <w:rPr>
          <w:rFonts w:eastAsia="Arial" w:cs="Arial"/>
          <w:sz w:val="22"/>
          <w:szCs w:val="22"/>
        </w:rPr>
      </w:pPr>
      <w:r>
        <w:rPr>
          <w:rFonts w:eastAsia="Arial" w:cs="Arial"/>
          <w:sz w:val="22"/>
          <w:szCs w:val="22"/>
        </w:rPr>
        <w:t xml:space="preserve">In Vietnam, </w:t>
      </w:r>
      <w:r w:rsidRPr="003553D4">
        <w:rPr>
          <w:rFonts w:eastAsia="Arial" w:cs="Arial"/>
          <w:sz w:val="22"/>
          <w:szCs w:val="22"/>
        </w:rPr>
        <w:t>activities have maintained sustainable livelihoods, as well as culture and community in local communities under the ER region of six provinces. Over 3 years implementation from 2018-2021, the provinces invested in bamboo development (77 ha), 98ha for non-timber forest products in forest areas, several free-deforestation agriculture cultivation models and 65 good practice models (VietGAP62) for rice production</w:t>
      </w:r>
      <w:r>
        <w:rPr>
          <w:rFonts w:eastAsia="Arial" w:cs="Arial"/>
          <w:sz w:val="22"/>
          <w:szCs w:val="22"/>
        </w:rPr>
        <w:t xml:space="preserve">. Almost 29,000 beneficiaries have been reached through the programme’s support to various sustainable livelihoods models. </w:t>
      </w:r>
    </w:p>
    <w:p w:rsidR="00C518F8" w:rsidP="00C518F8" w:rsidRDefault="00C518F8" w14:paraId="0556A6F9" w14:textId="77777777">
      <w:pPr>
        <w:pStyle w:val="ListParagraph"/>
        <w:numPr>
          <w:ilvl w:val="0"/>
          <w:numId w:val="24"/>
        </w:numPr>
        <w:jc w:val="both"/>
        <w:rPr>
          <w:rFonts w:eastAsia="Arial" w:cs="Arial"/>
          <w:sz w:val="22"/>
          <w:szCs w:val="22"/>
        </w:rPr>
      </w:pPr>
      <w:r>
        <w:rPr>
          <w:rFonts w:eastAsia="Arial" w:cs="Arial"/>
          <w:sz w:val="22"/>
          <w:szCs w:val="22"/>
        </w:rPr>
        <w:t xml:space="preserve">In the Republic of Congo, almost 1,500 beneficiaries have been reached with financing on agroforestry, cocoa-growing, capacity building and training. </w:t>
      </w:r>
    </w:p>
    <w:p w:rsidR="00C518F8" w:rsidP="00C518F8" w:rsidRDefault="00C518F8" w14:paraId="685061F7" w14:textId="40AAFBA2">
      <w:pPr>
        <w:pStyle w:val="ListParagraph"/>
        <w:numPr>
          <w:ilvl w:val="0"/>
          <w:numId w:val="24"/>
        </w:numPr>
        <w:jc w:val="both"/>
        <w:rPr>
          <w:rFonts w:eastAsia="Arial" w:cs="Arial"/>
          <w:sz w:val="22"/>
          <w:szCs w:val="22"/>
        </w:rPr>
      </w:pPr>
      <w:r>
        <w:rPr>
          <w:rFonts w:eastAsia="Arial" w:cs="Arial"/>
          <w:sz w:val="22"/>
          <w:szCs w:val="22"/>
        </w:rPr>
        <w:t>In Guatemala, almost 1,700 beneficiaries have been supported through non-carbon benefits, including s</w:t>
      </w:r>
      <w:r w:rsidRPr="00777E41">
        <w:rPr>
          <w:rFonts w:eastAsia="Arial" w:cs="Arial"/>
          <w:sz w:val="22"/>
          <w:szCs w:val="22"/>
        </w:rPr>
        <w:t>ocio-economic benefits, with a focus on improved livelihoods</w:t>
      </w:r>
      <w:r>
        <w:rPr>
          <w:rFonts w:eastAsia="Arial" w:cs="Arial"/>
          <w:sz w:val="22"/>
          <w:szCs w:val="22"/>
        </w:rPr>
        <w:t>. (</w:t>
      </w:r>
      <w:r w:rsidRPr="00777E41">
        <w:rPr>
          <w:rFonts w:eastAsia="Arial" w:cs="Arial"/>
          <w:sz w:val="22"/>
          <w:szCs w:val="22"/>
        </w:rPr>
        <w:t>1,694 people, of which 418 women, benefitted from timber, non-timber or tourism forest management activities, and 568 jobs were generated, including 86 for women.</w:t>
      </w:r>
      <w:r>
        <w:rPr>
          <w:rFonts w:eastAsia="Arial" w:cs="Arial"/>
          <w:sz w:val="22"/>
          <w:szCs w:val="22"/>
        </w:rPr>
        <w:t>)</w:t>
      </w:r>
    </w:p>
    <w:p w:rsidR="00C518F8" w:rsidP="00C518F8" w:rsidRDefault="00C518F8" w14:paraId="6ECB33D1" w14:textId="77777777">
      <w:pPr>
        <w:pStyle w:val="ListParagraph"/>
        <w:numPr>
          <w:ilvl w:val="0"/>
          <w:numId w:val="24"/>
        </w:numPr>
        <w:jc w:val="both"/>
        <w:rPr>
          <w:rFonts w:eastAsia="Arial" w:cs="Arial"/>
          <w:sz w:val="22"/>
          <w:szCs w:val="22"/>
        </w:rPr>
      </w:pPr>
      <w:r>
        <w:rPr>
          <w:rFonts w:eastAsia="Arial" w:cs="Arial"/>
          <w:sz w:val="22"/>
          <w:szCs w:val="22"/>
        </w:rPr>
        <w:t>In Nepal, n</w:t>
      </w:r>
      <w:r w:rsidRPr="00CA579E">
        <w:rPr>
          <w:rFonts w:eastAsia="Arial" w:cs="Arial"/>
          <w:sz w:val="22"/>
          <w:szCs w:val="22"/>
        </w:rPr>
        <w:t xml:space="preserve">on-carbon benefits of the </w:t>
      </w:r>
      <w:r>
        <w:rPr>
          <w:rFonts w:eastAsia="Arial" w:cs="Arial"/>
          <w:sz w:val="22"/>
          <w:szCs w:val="22"/>
        </w:rPr>
        <w:t>ER Programme</w:t>
      </w:r>
      <w:r w:rsidRPr="00CA579E">
        <w:rPr>
          <w:rFonts w:eastAsia="Arial" w:cs="Arial"/>
          <w:sz w:val="22"/>
          <w:szCs w:val="22"/>
        </w:rPr>
        <w:t xml:space="preserve"> include improved incomes from increased forest productivity; strengthened forest governance (e.g., through the establishment of community and collaborative forests); improved health outcomes and time availability for women (from expanded uptake of biogas and cookstoves); sustainable livelihood opportunities in forest management, and agroforestry; and maintained and enhanced biodiversity inside and outside of Protected Areas.</w:t>
      </w:r>
    </w:p>
    <w:p w:rsidR="007566AA" w:rsidP="00C518F8" w:rsidRDefault="00C518F8" w14:paraId="123A44AE" w14:textId="77777777">
      <w:pPr>
        <w:jc w:val="both"/>
        <w:rPr>
          <w:rFonts w:eastAsia="Arial" w:cs="Arial"/>
          <w:sz w:val="22"/>
          <w:szCs w:val="22"/>
        </w:rPr>
      </w:pPr>
      <w:r>
        <w:rPr>
          <w:rFonts w:eastAsia="Arial" w:cs="Arial"/>
          <w:sz w:val="22"/>
          <w:szCs w:val="22"/>
        </w:rPr>
        <w:t>As such, s</w:t>
      </w:r>
      <w:r w:rsidRPr="00C33FDA">
        <w:rPr>
          <w:rFonts w:eastAsia="Arial" w:cs="Arial"/>
          <w:sz w:val="22"/>
          <w:szCs w:val="22"/>
        </w:rPr>
        <w:t xml:space="preserve">ome evidence has been provided of how </w:t>
      </w:r>
      <w:r>
        <w:rPr>
          <w:rFonts w:eastAsia="Arial" w:cs="Arial"/>
          <w:sz w:val="22"/>
          <w:szCs w:val="22"/>
        </w:rPr>
        <w:t>FCPF is able</w:t>
      </w:r>
      <w:r w:rsidR="004F2FF5">
        <w:rPr>
          <w:rFonts w:eastAsia="Arial" w:cs="Arial"/>
          <w:sz w:val="22"/>
          <w:szCs w:val="22"/>
        </w:rPr>
        <w:t xml:space="preserve"> support </w:t>
      </w:r>
      <w:r w:rsidR="00B10D68">
        <w:rPr>
          <w:rFonts w:eastAsia="Arial" w:cs="Arial"/>
          <w:sz w:val="22"/>
          <w:szCs w:val="22"/>
        </w:rPr>
        <w:t>countries</w:t>
      </w:r>
      <w:r>
        <w:rPr>
          <w:rFonts w:eastAsia="Arial" w:cs="Arial"/>
          <w:sz w:val="22"/>
          <w:szCs w:val="22"/>
        </w:rPr>
        <w:t xml:space="preserve"> to sustain and enhance livelihoods, and how such benefits</w:t>
      </w:r>
      <w:r w:rsidRPr="00C33FDA">
        <w:rPr>
          <w:rFonts w:eastAsia="Arial" w:cs="Arial"/>
          <w:sz w:val="22"/>
          <w:szCs w:val="22"/>
        </w:rPr>
        <w:t xml:space="preserve"> are reaching different groups and influencing country action in addressing climate. </w:t>
      </w:r>
      <w:r w:rsidR="00CD0386">
        <w:rPr>
          <w:rFonts w:eastAsia="Arial" w:cs="Arial"/>
          <w:sz w:val="22"/>
          <w:szCs w:val="22"/>
        </w:rPr>
        <w:t>This provides</w:t>
      </w:r>
      <w:r w:rsidR="00B10D68">
        <w:rPr>
          <w:rFonts w:eastAsia="Arial" w:cs="Arial"/>
          <w:sz w:val="22"/>
          <w:szCs w:val="22"/>
        </w:rPr>
        <w:t xml:space="preserve"> some</w:t>
      </w:r>
      <w:r w:rsidR="00CD0386">
        <w:rPr>
          <w:rFonts w:eastAsia="Arial" w:cs="Arial"/>
          <w:sz w:val="22"/>
          <w:szCs w:val="22"/>
        </w:rPr>
        <w:t xml:space="preserve"> good supporting evidence of how this output set is achieving on </w:t>
      </w:r>
      <w:r w:rsidR="00B10D68">
        <w:rPr>
          <w:rFonts w:eastAsia="Arial" w:cs="Arial"/>
          <w:sz w:val="22"/>
          <w:szCs w:val="22"/>
        </w:rPr>
        <w:t xml:space="preserve">most of its </w:t>
      </w:r>
      <w:r w:rsidR="00CD0386">
        <w:rPr>
          <w:rFonts w:eastAsia="Arial" w:cs="Arial"/>
          <w:sz w:val="22"/>
          <w:szCs w:val="22"/>
        </w:rPr>
        <w:t>expected outcomes</w:t>
      </w:r>
      <w:r w:rsidR="004F2FF5">
        <w:rPr>
          <w:rFonts w:eastAsia="Arial" w:cs="Arial"/>
          <w:sz w:val="22"/>
          <w:szCs w:val="22"/>
        </w:rPr>
        <w:t xml:space="preserve"> – and moving towards </w:t>
      </w:r>
      <w:r w:rsidR="005B3DCB">
        <w:rPr>
          <w:rFonts w:eastAsia="Arial" w:cs="Arial"/>
          <w:sz w:val="22"/>
          <w:szCs w:val="22"/>
        </w:rPr>
        <w:t xml:space="preserve">full realisation of country programmes actively implementing approaches, i.e., </w:t>
      </w:r>
      <w:r w:rsidR="00B10D68">
        <w:rPr>
          <w:rFonts w:eastAsia="Arial" w:cs="Arial"/>
          <w:sz w:val="22"/>
          <w:szCs w:val="22"/>
        </w:rPr>
        <w:t xml:space="preserve">operationalising and </w:t>
      </w:r>
      <w:r w:rsidR="009837D8">
        <w:rPr>
          <w:rFonts w:eastAsia="Arial" w:cs="Arial"/>
          <w:sz w:val="22"/>
          <w:szCs w:val="22"/>
        </w:rPr>
        <w:t xml:space="preserve">delivering on </w:t>
      </w:r>
      <w:r w:rsidR="00B10D68">
        <w:rPr>
          <w:rFonts w:eastAsia="Arial" w:cs="Arial"/>
          <w:sz w:val="22"/>
          <w:szCs w:val="22"/>
        </w:rPr>
        <w:t>any</w:t>
      </w:r>
      <w:r w:rsidR="009837D8">
        <w:rPr>
          <w:rFonts w:eastAsia="Arial" w:cs="Arial"/>
          <w:sz w:val="22"/>
          <w:szCs w:val="22"/>
        </w:rPr>
        <w:t xml:space="preserve"> planned tests</w:t>
      </w:r>
      <w:r w:rsidR="00B10D68">
        <w:rPr>
          <w:rFonts w:eastAsia="Arial" w:cs="Arial"/>
          <w:sz w:val="22"/>
          <w:szCs w:val="22"/>
        </w:rPr>
        <w:t>, and more effectively sharing benefits once payments are received</w:t>
      </w:r>
      <w:r w:rsidR="00CD0386">
        <w:rPr>
          <w:rFonts w:eastAsia="Arial" w:cs="Arial"/>
          <w:sz w:val="22"/>
          <w:szCs w:val="22"/>
        </w:rPr>
        <w:t xml:space="preserve">. </w:t>
      </w:r>
      <w:r w:rsidRPr="00C33FDA">
        <w:rPr>
          <w:rFonts w:eastAsia="Arial" w:cs="Arial"/>
          <w:sz w:val="22"/>
          <w:szCs w:val="22"/>
        </w:rPr>
        <w:t>A more comprehensive review of th</w:t>
      </w:r>
      <w:r w:rsidR="00B10D68">
        <w:rPr>
          <w:rFonts w:eastAsia="Arial" w:cs="Arial"/>
          <w:sz w:val="22"/>
          <w:szCs w:val="22"/>
        </w:rPr>
        <w:t>ese</w:t>
      </w:r>
      <w:r w:rsidRPr="00C33FDA">
        <w:rPr>
          <w:rFonts w:eastAsia="Arial" w:cs="Arial"/>
          <w:sz w:val="22"/>
          <w:szCs w:val="22"/>
        </w:rPr>
        <w:t xml:space="preserve"> indicator</w:t>
      </w:r>
      <w:r w:rsidR="00B10D68">
        <w:rPr>
          <w:rFonts w:eastAsia="Arial" w:cs="Arial"/>
          <w:sz w:val="22"/>
          <w:szCs w:val="22"/>
        </w:rPr>
        <w:t>s</w:t>
      </w:r>
      <w:r w:rsidRPr="00C33FDA">
        <w:rPr>
          <w:rFonts w:eastAsia="Arial" w:cs="Arial"/>
          <w:sz w:val="22"/>
          <w:szCs w:val="22"/>
        </w:rPr>
        <w:t xml:space="preserve"> </w:t>
      </w:r>
      <w:r w:rsidR="00CD0386">
        <w:rPr>
          <w:rFonts w:eastAsia="Arial" w:cs="Arial"/>
          <w:sz w:val="22"/>
          <w:szCs w:val="22"/>
        </w:rPr>
        <w:t xml:space="preserve">and </w:t>
      </w:r>
      <w:r w:rsidR="00B10D68">
        <w:rPr>
          <w:rFonts w:eastAsia="Arial" w:cs="Arial"/>
          <w:sz w:val="22"/>
          <w:szCs w:val="22"/>
        </w:rPr>
        <w:t xml:space="preserve">the full </w:t>
      </w:r>
      <w:r w:rsidR="00CD0386">
        <w:rPr>
          <w:rFonts w:eastAsia="Arial" w:cs="Arial"/>
          <w:sz w:val="22"/>
          <w:szCs w:val="22"/>
        </w:rPr>
        <w:t xml:space="preserve">output set </w:t>
      </w:r>
      <w:r w:rsidRPr="00C33FDA">
        <w:rPr>
          <w:rFonts w:eastAsia="Arial" w:cs="Arial"/>
          <w:sz w:val="22"/>
          <w:szCs w:val="22"/>
        </w:rPr>
        <w:t>will be integrated next fiscal year</w:t>
      </w:r>
      <w:r w:rsidR="00CD0386">
        <w:rPr>
          <w:rFonts w:eastAsia="Arial" w:cs="Arial"/>
          <w:sz w:val="22"/>
          <w:szCs w:val="22"/>
        </w:rPr>
        <w:t xml:space="preserve"> once the FY23 Evaluation is </w:t>
      </w:r>
      <w:r w:rsidR="00B10D68">
        <w:rPr>
          <w:rFonts w:eastAsia="Arial" w:cs="Arial"/>
          <w:sz w:val="22"/>
          <w:szCs w:val="22"/>
        </w:rPr>
        <w:t xml:space="preserve">finalised and </w:t>
      </w:r>
      <w:r w:rsidR="00CD0386">
        <w:rPr>
          <w:rFonts w:eastAsia="Arial" w:cs="Arial"/>
          <w:sz w:val="22"/>
          <w:szCs w:val="22"/>
        </w:rPr>
        <w:t>published</w:t>
      </w:r>
      <w:r w:rsidRPr="00C33FDA">
        <w:rPr>
          <w:rFonts w:eastAsia="Arial" w:cs="Arial"/>
          <w:sz w:val="22"/>
          <w:szCs w:val="22"/>
        </w:rPr>
        <w:t>.</w:t>
      </w:r>
      <w:r w:rsidR="007566AA">
        <w:rPr>
          <w:rFonts w:eastAsia="Arial" w:cs="Arial"/>
          <w:sz w:val="22"/>
          <w:szCs w:val="22"/>
        </w:rPr>
        <w:t xml:space="preserve"> </w:t>
      </w:r>
    </w:p>
    <w:p w:rsidR="007566AA" w:rsidP="00C518F8" w:rsidRDefault="007566AA" w14:paraId="742EF623" w14:textId="77777777">
      <w:pPr>
        <w:jc w:val="both"/>
        <w:rPr>
          <w:rFonts w:eastAsia="Arial" w:cs="Arial"/>
          <w:sz w:val="22"/>
          <w:szCs w:val="22"/>
        </w:rPr>
      </w:pPr>
    </w:p>
    <w:p w:rsidRPr="00C33FDA" w:rsidR="000D6D9F" w:rsidP="000D6D9F" w:rsidRDefault="000D6D9F" w14:paraId="4C8BF839" w14:textId="2A5B8C63">
      <w:pPr>
        <w:jc w:val="both"/>
        <w:rPr>
          <w:rFonts w:eastAsia="Arial" w:cs="Arial"/>
          <w:sz w:val="22"/>
          <w:szCs w:val="22"/>
        </w:rPr>
      </w:pPr>
      <w:r>
        <w:rPr>
          <w:rFonts w:eastAsia="Arial" w:cs="Arial"/>
          <w:sz w:val="22"/>
          <w:szCs w:val="22"/>
        </w:rPr>
        <w:t>Progress will need to accelerate towards the final years of the programme in order to deliver benefits appropriately and effectively to forest countries.</w:t>
      </w:r>
      <w:r w:rsidR="00A12BF4">
        <w:rPr>
          <w:rFonts w:eastAsia="Arial" w:cs="Arial"/>
          <w:sz w:val="22"/>
          <w:szCs w:val="22"/>
        </w:rPr>
        <w:t xml:space="preserve"> One avenue to ensure adaptive management and uptick in progress will be through embedding lessons learned and recommendations from the upcoming Evaluation. Additionally,</w:t>
      </w:r>
      <w:r>
        <w:rPr>
          <w:rFonts w:eastAsia="Arial" w:cs="Arial"/>
          <w:sz w:val="22"/>
          <w:szCs w:val="22"/>
        </w:rPr>
        <w:t xml:space="preserve"> </w:t>
      </w:r>
      <w:r w:rsidR="00A12BF4">
        <w:rPr>
          <w:rFonts w:eastAsia="Arial" w:cs="Arial"/>
          <w:sz w:val="22"/>
          <w:szCs w:val="22"/>
        </w:rPr>
        <w:t>di</w:t>
      </w:r>
      <w:r>
        <w:rPr>
          <w:rFonts w:eastAsia="Arial" w:cs="Arial"/>
          <w:sz w:val="22"/>
          <w:szCs w:val="22"/>
        </w:rPr>
        <w:t xml:space="preserve">scussions have already begun on a possible FCPF extension, and current programme milestone achievement will need to be considered as part of this decision piece.  </w:t>
      </w:r>
    </w:p>
    <w:p w:rsidR="00C518F8" w:rsidP="00C518F8" w:rsidRDefault="00C518F8" w14:paraId="1D8998BD" w14:textId="77777777">
      <w:pPr>
        <w:jc w:val="both"/>
        <w:rPr>
          <w:rFonts w:eastAsia="Arial" w:cs="Arial"/>
          <w:b/>
          <w:bCs/>
          <w:sz w:val="22"/>
          <w:szCs w:val="22"/>
        </w:rPr>
      </w:pPr>
    </w:p>
    <w:p w:rsidR="00C518F8" w:rsidP="00C518F8" w:rsidRDefault="00C518F8" w14:paraId="42B544A8" w14:textId="77777777">
      <w:pPr>
        <w:jc w:val="both"/>
        <w:rPr>
          <w:rFonts w:eastAsia="Arial" w:cs="Arial"/>
          <w:b/>
          <w:bCs/>
          <w:sz w:val="22"/>
          <w:szCs w:val="22"/>
        </w:rPr>
      </w:pPr>
      <w:r w:rsidRPr="0E290FE4">
        <w:rPr>
          <w:rFonts w:eastAsia="Arial" w:cs="Arial"/>
          <w:b/>
          <w:bCs/>
          <w:sz w:val="22"/>
          <w:szCs w:val="22"/>
        </w:rPr>
        <w:t>Recommendations for the year ahead:</w:t>
      </w:r>
    </w:p>
    <w:p w:rsidR="00C518F8" w:rsidP="00C518F8" w:rsidRDefault="00C518F8" w14:paraId="25A6CEA2" w14:textId="77777777">
      <w:pPr>
        <w:pStyle w:val="ListParagraph"/>
        <w:numPr>
          <w:ilvl w:val="0"/>
          <w:numId w:val="23"/>
        </w:numPr>
        <w:jc w:val="both"/>
        <w:rPr>
          <w:rFonts w:eastAsia="Arial" w:cs="Arial"/>
          <w:b/>
          <w:bCs/>
          <w:sz w:val="22"/>
          <w:szCs w:val="22"/>
        </w:rPr>
      </w:pPr>
      <w:r>
        <w:rPr>
          <w:rFonts w:eastAsia="Arial" w:cs="Arial"/>
          <w:b/>
          <w:bCs/>
          <w:sz w:val="22"/>
          <w:szCs w:val="22"/>
        </w:rPr>
        <w:t>L</w:t>
      </w:r>
      <w:r w:rsidRPr="00DA691A">
        <w:rPr>
          <w:rFonts w:eastAsia="Arial" w:cs="Arial"/>
          <w:b/>
          <w:bCs/>
          <w:sz w:val="22"/>
          <w:szCs w:val="22"/>
        </w:rPr>
        <w:t xml:space="preserve">ogframe: </w:t>
      </w:r>
      <w:r w:rsidRPr="00DA691A">
        <w:rPr>
          <w:rFonts w:eastAsia="Arial" w:cs="Arial"/>
          <w:sz w:val="22"/>
          <w:szCs w:val="22"/>
        </w:rPr>
        <w:t>World Bank to set milestones and target for Output Indicator 2.2 (WB Outcome Indicator 2D).</w:t>
      </w:r>
      <w:r w:rsidRPr="00DA691A">
        <w:rPr>
          <w:rFonts w:eastAsia="Arial" w:cs="Arial"/>
          <w:b/>
          <w:bCs/>
          <w:sz w:val="22"/>
          <w:szCs w:val="22"/>
        </w:rPr>
        <w:t xml:space="preserve"> </w:t>
      </w:r>
    </w:p>
    <w:p w:rsidRPr="00C518F8" w:rsidR="00C518F8" w:rsidP="00C518F8" w:rsidRDefault="00C518F8" w14:paraId="35D7FBEA" w14:textId="728B5B78">
      <w:pPr>
        <w:pStyle w:val="ListParagraph"/>
        <w:numPr>
          <w:ilvl w:val="0"/>
          <w:numId w:val="23"/>
        </w:numPr>
        <w:jc w:val="both"/>
        <w:rPr>
          <w:rFonts w:eastAsia="Arial" w:cs="Arial"/>
          <w:b/>
          <w:bCs/>
          <w:sz w:val="22"/>
          <w:szCs w:val="22"/>
        </w:rPr>
      </w:pPr>
      <w:r w:rsidRPr="00C518F8">
        <w:rPr>
          <w:rFonts w:eastAsia="Arial" w:cs="Arial"/>
          <w:b/>
          <w:bCs/>
          <w:sz w:val="22"/>
          <w:szCs w:val="22"/>
        </w:rPr>
        <w:t xml:space="preserve">Evaluation: </w:t>
      </w:r>
      <w:r w:rsidRPr="00C518F8">
        <w:rPr>
          <w:rFonts w:eastAsia="Arial" w:cs="Arial"/>
          <w:sz w:val="22"/>
          <w:szCs w:val="22"/>
        </w:rPr>
        <w:t xml:space="preserve">World Bank and Contributors to ensure outcomes from the FY23 Evaluation are effectively embedded into the FCPF Programme's operations, </w:t>
      </w:r>
      <w:r w:rsidR="00B85D7F">
        <w:rPr>
          <w:rFonts w:eastAsia="Arial" w:cs="Arial"/>
          <w:sz w:val="22"/>
          <w:szCs w:val="22"/>
        </w:rPr>
        <w:t xml:space="preserve">particularly in the acceleration of milestone achievement and delivery of benefits to beneficiaries, </w:t>
      </w:r>
      <w:r w:rsidRPr="00C518F8">
        <w:rPr>
          <w:rFonts w:eastAsia="Arial" w:cs="Arial"/>
          <w:sz w:val="22"/>
          <w:szCs w:val="22"/>
        </w:rPr>
        <w:t>and that lessons are shared and transferred to other initiatives, such as SCALE.</w:t>
      </w:r>
    </w:p>
    <w:p w:rsidR="00C518F8" w:rsidRDefault="00C518F8" w14:paraId="15DBA689" w14:textId="77777777">
      <w:pPr>
        <w:spacing w:after="160" w:line="259" w:lineRule="auto"/>
        <w:rPr>
          <w:b/>
          <w:i/>
          <w:kern w:val="28"/>
          <w:sz w:val="28"/>
          <w:szCs w:val="28"/>
        </w:rPr>
      </w:pPr>
      <w:r>
        <w:br w:type="page"/>
      </w:r>
    </w:p>
    <w:p w:rsidR="004A367B" w:rsidP="004D5FD5" w:rsidRDefault="004A367B" w14:paraId="345661C3" w14:textId="366EF103">
      <w:pPr>
        <w:pStyle w:val="Heading2"/>
        <w:jc w:val="both"/>
      </w:pPr>
      <w:bookmarkStart w:name="_Toc155945409" w:id="16"/>
      <w:r>
        <w:t xml:space="preserve">Output 3: </w:t>
      </w:r>
      <w:r w:rsidRPr="00DE17A8" w:rsidR="00BB58BB">
        <w:rPr>
          <w:bCs/>
          <w:sz w:val="22"/>
          <w:szCs w:val="22"/>
        </w:rPr>
        <w:t>Knowledge gained in the development of the FCPF</w:t>
      </w:r>
      <w:r w:rsidR="00DE17A8">
        <w:rPr>
          <w:bCs/>
          <w:sz w:val="22"/>
          <w:szCs w:val="22"/>
        </w:rPr>
        <w:t>,</w:t>
      </w:r>
      <w:r w:rsidRPr="00DE17A8" w:rsidR="00BB58BB">
        <w:rPr>
          <w:bCs/>
          <w:sz w:val="22"/>
          <w:szCs w:val="22"/>
        </w:rPr>
        <w:t xml:space="preserve"> and implementation of ER programmes are broadly shared and used by international REDD+ practitioners</w:t>
      </w:r>
      <w:bookmarkEnd w:id="16"/>
    </w:p>
    <w:p w:rsidRPr="00ED5FD4" w:rsidR="00ED5FD4" w:rsidP="00ED5FD4" w:rsidRDefault="00ED5FD4" w14:paraId="23CF0139" w14:textId="77777777"/>
    <w:tbl>
      <w:tblPr>
        <w:tblStyle w:val="TableGrid"/>
        <w:tblW w:w="9072" w:type="dxa"/>
        <w:tblInd w:w="-5" w:type="dxa"/>
        <w:tblLook w:val="04A0" w:firstRow="1" w:lastRow="0" w:firstColumn="1" w:lastColumn="0" w:noHBand="0" w:noVBand="1"/>
      </w:tblPr>
      <w:tblGrid>
        <w:gridCol w:w="1566"/>
        <w:gridCol w:w="616"/>
        <w:gridCol w:w="937"/>
        <w:gridCol w:w="2977"/>
        <w:gridCol w:w="2976"/>
      </w:tblGrid>
      <w:tr w:rsidRPr="00D80C6C" w:rsidR="00E12EF4" w14:paraId="343E8A59" w14:textId="77777777">
        <w:trPr>
          <w:trHeight w:val="489"/>
        </w:trPr>
        <w:tc>
          <w:tcPr>
            <w:tcW w:w="1566"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365453" w:rsidP="00365453" w:rsidRDefault="00365453" w14:paraId="7F6358D7" w14:textId="13D47AF7">
            <w:pPr>
              <w:jc w:val="both"/>
              <w:rPr>
                <w:rFonts w:cs="Arial"/>
                <w:b/>
                <w:bCs/>
                <w:sz w:val="22"/>
                <w:szCs w:val="22"/>
              </w:rPr>
            </w:pPr>
            <w:r w:rsidRPr="008A4154">
              <w:rPr>
                <w:b/>
                <w:bCs/>
                <w:sz w:val="20"/>
                <w:szCs w:val="22"/>
              </w:rPr>
              <w:t xml:space="preserve">Output Title </w:t>
            </w:r>
          </w:p>
        </w:tc>
        <w:tc>
          <w:tcPr>
            <w:tcW w:w="7506" w:type="dxa"/>
            <w:gridSpan w:val="4"/>
            <w:tcBorders>
              <w:top w:val="single" w:color="auto" w:sz="4" w:space="0"/>
              <w:left w:val="single" w:color="auto" w:sz="4" w:space="0"/>
              <w:bottom w:val="single" w:color="auto" w:sz="4" w:space="0"/>
              <w:right w:val="single" w:color="auto" w:sz="4" w:space="0"/>
            </w:tcBorders>
            <w:shd w:val="clear" w:color="auto" w:fill="FFFFFF" w:themeFill="background1"/>
          </w:tcPr>
          <w:p w:rsidRPr="00ED5FD4" w:rsidR="00365453" w:rsidP="00365453" w:rsidRDefault="00365453" w14:paraId="215425E5" w14:textId="597E1E1C">
            <w:pPr>
              <w:jc w:val="both"/>
              <w:rPr>
                <w:rFonts w:cs="Arial"/>
                <w:bCs/>
                <w:iCs/>
                <w:color w:val="FF0000"/>
                <w:sz w:val="22"/>
                <w:szCs w:val="22"/>
              </w:rPr>
            </w:pPr>
            <w:r w:rsidRPr="00F468ED">
              <w:rPr>
                <w:b/>
                <w:bCs/>
                <w:sz w:val="20"/>
                <w:szCs w:val="20"/>
              </w:rPr>
              <w:t>Knowledge gained in the development of the FCPF and implementation of ER programmes are broadly shared and used by international REDD+ practitioners</w:t>
            </w:r>
          </w:p>
        </w:tc>
      </w:tr>
      <w:tr w:rsidRPr="00D80C6C" w:rsidR="00C13455" w14:paraId="0D129A7F" w14:textId="77777777">
        <w:trPr>
          <w:trHeight w:val="347"/>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E83E4B" w:rsidP="00E83E4B" w:rsidRDefault="00E83E4B" w14:paraId="5E4E4F19" w14:textId="3CDE4FFC">
            <w:pPr>
              <w:jc w:val="both"/>
              <w:rPr>
                <w:rFonts w:cs="Arial"/>
                <w:bCs/>
                <w:sz w:val="22"/>
                <w:szCs w:val="22"/>
              </w:rPr>
            </w:pPr>
            <w:r w:rsidRPr="008A4154">
              <w:rPr>
                <w:bCs/>
                <w:sz w:val="20"/>
                <w:szCs w:val="22"/>
              </w:rPr>
              <w:t xml:space="preserve">Output number: </w:t>
            </w:r>
          </w:p>
        </w:tc>
        <w:tc>
          <w:tcPr>
            <w:tcW w:w="937" w:type="dxa"/>
            <w:tcBorders>
              <w:top w:val="single" w:color="auto" w:sz="4" w:space="0"/>
              <w:left w:val="single" w:color="auto" w:sz="4" w:space="0"/>
              <w:bottom w:val="single" w:color="auto" w:sz="4" w:space="0"/>
              <w:right w:val="single" w:color="auto" w:sz="4" w:space="0"/>
            </w:tcBorders>
          </w:tcPr>
          <w:p w:rsidRPr="00D80C6C" w:rsidR="00E83E4B" w:rsidP="00E83E4B" w:rsidRDefault="00E83E4B" w14:paraId="7D3D58F5" w14:textId="37AF3A35">
            <w:pPr>
              <w:jc w:val="both"/>
              <w:rPr>
                <w:rFonts w:cs="Arial"/>
                <w:sz w:val="22"/>
                <w:szCs w:val="22"/>
              </w:rPr>
            </w:pPr>
            <w:r>
              <w:rPr>
                <w:sz w:val="20"/>
                <w:szCs w:val="20"/>
              </w:rPr>
              <w:t>3</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E83E4B" w:rsidP="00E83E4B" w:rsidRDefault="00E83E4B" w14:paraId="358A97E8" w14:textId="19A6FA7F">
            <w:pPr>
              <w:jc w:val="both"/>
              <w:rPr>
                <w:rFonts w:cs="Arial"/>
                <w:sz w:val="22"/>
                <w:szCs w:val="22"/>
              </w:rPr>
            </w:pPr>
            <w:r w:rsidRPr="008A4154">
              <w:rPr>
                <w:bCs/>
                <w:sz w:val="20"/>
                <w:szCs w:val="22"/>
              </w:rPr>
              <w:t xml:space="preserve">Output Score: </w:t>
            </w:r>
          </w:p>
        </w:tc>
        <w:tc>
          <w:tcPr>
            <w:tcW w:w="2976" w:type="dxa"/>
            <w:tcBorders>
              <w:top w:val="single" w:color="auto" w:sz="4" w:space="0"/>
              <w:left w:val="single" w:color="auto" w:sz="4" w:space="0"/>
              <w:bottom w:val="single" w:color="auto" w:sz="4" w:space="0"/>
              <w:right w:val="single" w:color="auto" w:sz="4" w:space="0"/>
            </w:tcBorders>
          </w:tcPr>
          <w:p w:rsidRPr="00DB3B57" w:rsidR="00E83E4B" w:rsidP="00E83E4B" w:rsidRDefault="00E83E4B" w14:paraId="20F25E26" w14:textId="1CA38B80">
            <w:pPr>
              <w:jc w:val="both"/>
              <w:rPr>
                <w:rFonts w:cs="Arial"/>
                <w:b/>
                <w:bCs/>
                <w:iCs/>
                <w:sz w:val="22"/>
                <w:szCs w:val="22"/>
              </w:rPr>
            </w:pPr>
            <w:r>
              <w:rPr>
                <w:sz w:val="20"/>
                <w:szCs w:val="20"/>
              </w:rPr>
              <w:t>A+</w:t>
            </w:r>
          </w:p>
        </w:tc>
      </w:tr>
      <w:tr w:rsidRPr="00D80C6C" w:rsidR="00C13455" w14:paraId="71D6D4AA" w14:textId="77777777">
        <w:trPr>
          <w:trHeight w:val="345"/>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E83E4B" w:rsidP="00E83E4B" w:rsidRDefault="00E83E4B" w14:paraId="1DBDA094" w14:textId="644651F7">
            <w:pPr>
              <w:jc w:val="both"/>
              <w:rPr>
                <w:rFonts w:cs="Arial"/>
                <w:sz w:val="22"/>
                <w:szCs w:val="22"/>
              </w:rPr>
            </w:pPr>
            <w:r w:rsidRPr="008A4154">
              <w:rPr>
                <w:bCs/>
                <w:sz w:val="20"/>
                <w:szCs w:val="22"/>
              </w:rPr>
              <w:t xml:space="preserve">Impact weighting (%):  </w:t>
            </w:r>
          </w:p>
        </w:tc>
        <w:tc>
          <w:tcPr>
            <w:tcW w:w="937" w:type="dxa"/>
            <w:tcBorders>
              <w:top w:val="single" w:color="auto" w:sz="4" w:space="0"/>
              <w:left w:val="single" w:color="auto" w:sz="4" w:space="0"/>
              <w:bottom w:val="single" w:color="auto" w:sz="4" w:space="0"/>
              <w:right w:val="single" w:color="auto" w:sz="4" w:space="0"/>
            </w:tcBorders>
            <w:hideMark/>
          </w:tcPr>
          <w:p w:rsidRPr="00D80C6C" w:rsidR="00E83E4B" w:rsidP="00E83E4B" w:rsidRDefault="00E83E4B" w14:paraId="0EC60837" w14:textId="78C36983">
            <w:pPr>
              <w:jc w:val="both"/>
              <w:rPr>
                <w:rFonts w:cs="Arial"/>
                <w:bCs/>
                <w:sz w:val="22"/>
                <w:szCs w:val="22"/>
              </w:rPr>
            </w:pPr>
            <w:r w:rsidRPr="7DDA78EF">
              <w:rPr>
                <w:sz w:val="20"/>
                <w:szCs w:val="20"/>
              </w:rPr>
              <w:t>10</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E83E4B" w:rsidP="00E83E4B" w:rsidRDefault="00E83E4B" w14:paraId="5E35CD2B" w14:textId="24FCB167">
            <w:pPr>
              <w:jc w:val="both"/>
              <w:rPr>
                <w:rFonts w:cs="Arial"/>
                <w:bCs/>
                <w:sz w:val="22"/>
                <w:szCs w:val="22"/>
              </w:rPr>
            </w:pPr>
            <w:r>
              <w:rPr>
                <w:bCs/>
                <w:sz w:val="20"/>
                <w:szCs w:val="22"/>
              </w:rPr>
              <w:t>W</w:t>
            </w:r>
            <w:r w:rsidRPr="008A4154">
              <w:rPr>
                <w:bCs/>
                <w:sz w:val="20"/>
                <w:szCs w:val="22"/>
              </w:rPr>
              <w:t xml:space="preserve">eighting revised since last AR? </w:t>
            </w:r>
          </w:p>
        </w:tc>
        <w:tc>
          <w:tcPr>
            <w:tcW w:w="2976" w:type="dxa"/>
            <w:tcBorders>
              <w:top w:val="single" w:color="auto" w:sz="4" w:space="0"/>
              <w:left w:val="single" w:color="auto" w:sz="4" w:space="0"/>
              <w:bottom w:val="single" w:color="auto" w:sz="4" w:space="0"/>
              <w:right w:val="single" w:color="auto" w:sz="4" w:space="0"/>
            </w:tcBorders>
          </w:tcPr>
          <w:p w:rsidRPr="00D80C6C" w:rsidR="00E83E4B" w:rsidP="00E83E4B" w:rsidRDefault="00E83E4B" w14:paraId="510CC462" w14:textId="4AD4E6DC">
            <w:pPr>
              <w:jc w:val="both"/>
              <w:rPr>
                <w:rFonts w:cs="Arial"/>
                <w:bCs/>
                <w:sz w:val="22"/>
                <w:szCs w:val="22"/>
              </w:rPr>
            </w:pPr>
            <w:r>
              <w:rPr>
                <w:sz w:val="20"/>
                <w:szCs w:val="20"/>
              </w:rPr>
              <w:t>No</w:t>
            </w:r>
          </w:p>
        </w:tc>
      </w:tr>
      <w:tr w:rsidRPr="00D80C6C" w:rsidR="00C13455" w14:paraId="13EB579E" w14:textId="77777777">
        <w:trPr>
          <w:trHeight w:val="345"/>
        </w:trPr>
        <w:tc>
          <w:tcPr>
            <w:tcW w:w="2182"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80C6C" w:rsidR="00E83E4B" w:rsidP="00E83E4B" w:rsidRDefault="00E83E4B" w14:paraId="59A981A1" w14:textId="39BEB86D">
            <w:pPr>
              <w:jc w:val="both"/>
              <w:rPr>
                <w:rFonts w:cs="Arial"/>
                <w:bCs/>
                <w:sz w:val="22"/>
                <w:szCs w:val="22"/>
              </w:rPr>
            </w:pPr>
            <w:r>
              <w:rPr>
                <w:bCs/>
                <w:sz w:val="20"/>
                <w:szCs w:val="22"/>
              </w:rPr>
              <w:t>Risk rating</w:t>
            </w:r>
          </w:p>
        </w:tc>
        <w:tc>
          <w:tcPr>
            <w:tcW w:w="937" w:type="dxa"/>
            <w:tcBorders>
              <w:top w:val="single" w:color="auto" w:sz="4" w:space="0"/>
              <w:left w:val="single" w:color="auto" w:sz="4" w:space="0"/>
              <w:bottom w:val="single" w:color="auto" w:sz="4" w:space="0"/>
              <w:right w:val="single" w:color="auto" w:sz="4" w:space="0"/>
            </w:tcBorders>
          </w:tcPr>
          <w:p w:rsidRPr="00D80C6C" w:rsidR="00E83E4B" w:rsidP="00E83E4B" w:rsidRDefault="00E83E4B" w14:paraId="56DEF1B3" w14:textId="64B60423">
            <w:pPr>
              <w:jc w:val="both"/>
              <w:rPr>
                <w:rFonts w:cs="Arial"/>
                <w:bCs/>
                <w:sz w:val="22"/>
                <w:szCs w:val="22"/>
              </w:rPr>
            </w:pPr>
            <w:r>
              <w:rPr>
                <w:sz w:val="20"/>
                <w:szCs w:val="20"/>
              </w:rPr>
              <w:t>Minor</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80C6C" w:rsidR="00E83E4B" w:rsidP="00E83E4B" w:rsidRDefault="00E83E4B" w14:paraId="41EB55AA" w14:textId="53D3AA98">
            <w:pPr>
              <w:jc w:val="both"/>
              <w:rPr>
                <w:rFonts w:cs="Arial"/>
                <w:bCs/>
                <w:sz w:val="22"/>
                <w:szCs w:val="22"/>
              </w:rPr>
            </w:pPr>
            <w:r>
              <w:rPr>
                <w:bCs/>
                <w:sz w:val="20"/>
                <w:szCs w:val="22"/>
              </w:rPr>
              <w:t>Risk revised since last AR?</w:t>
            </w:r>
          </w:p>
        </w:tc>
        <w:tc>
          <w:tcPr>
            <w:tcW w:w="2976" w:type="dxa"/>
            <w:tcBorders>
              <w:top w:val="single" w:color="auto" w:sz="4" w:space="0"/>
              <w:left w:val="single" w:color="auto" w:sz="4" w:space="0"/>
              <w:bottom w:val="single" w:color="auto" w:sz="4" w:space="0"/>
              <w:right w:val="single" w:color="auto" w:sz="4" w:space="0"/>
            </w:tcBorders>
          </w:tcPr>
          <w:p w:rsidRPr="00D80C6C" w:rsidR="00E83E4B" w:rsidP="00E83E4B" w:rsidRDefault="00E83E4B" w14:paraId="7C423B56" w14:textId="2C820928">
            <w:pPr>
              <w:jc w:val="both"/>
              <w:rPr>
                <w:rFonts w:cs="Arial"/>
                <w:bCs/>
                <w:sz w:val="22"/>
                <w:szCs w:val="22"/>
              </w:rPr>
            </w:pPr>
            <w:r>
              <w:rPr>
                <w:sz w:val="20"/>
                <w:szCs w:val="20"/>
              </w:rPr>
              <w:t>No</w:t>
            </w:r>
          </w:p>
        </w:tc>
      </w:tr>
    </w:tbl>
    <w:p w:rsidRPr="00D80C6C" w:rsidR="00ED5FD4" w:rsidP="00ED5FD4" w:rsidRDefault="00ED5FD4" w14:paraId="468D082A" w14:textId="77777777">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2830"/>
        <w:gridCol w:w="2977"/>
        <w:gridCol w:w="3260"/>
      </w:tblGrid>
      <w:tr w:rsidRPr="00D80C6C" w:rsidR="00BB58BB" w:rsidTr="00BB58BB" w14:paraId="1DCF0917" w14:textId="77777777">
        <w:trPr>
          <w:trHeight w:val="273"/>
        </w:trPr>
        <w:tc>
          <w:tcPr>
            <w:tcW w:w="283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BB58BB" w:rsidP="00BB58BB" w:rsidRDefault="00BB58BB" w14:paraId="2B7EFCD7" w14:textId="5A13D908">
            <w:pPr>
              <w:jc w:val="both"/>
              <w:rPr>
                <w:rFonts w:cs="Arial"/>
                <w:b/>
                <w:bCs/>
                <w:sz w:val="22"/>
                <w:szCs w:val="22"/>
              </w:rPr>
            </w:pPr>
            <w:r w:rsidRPr="00E548EA">
              <w:rPr>
                <w:b/>
                <w:bCs/>
                <w:sz w:val="20"/>
                <w:szCs w:val="22"/>
              </w:rPr>
              <w:t>Indicator(s)</w:t>
            </w:r>
          </w:p>
        </w:tc>
        <w:tc>
          <w:tcPr>
            <w:tcW w:w="297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BB58BB" w:rsidP="00BB58BB" w:rsidRDefault="00BB58BB" w14:paraId="41B685D1" w14:textId="4FB04D36">
            <w:pPr>
              <w:jc w:val="both"/>
              <w:rPr>
                <w:rFonts w:cs="Arial"/>
                <w:b/>
                <w:bCs/>
                <w:sz w:val="22"/>
                <w:szCs w:val="22"/>
              </w:rPr>
            </w:pPr>
            <w:r w:rsidRPr="00E548EA">
              <w:rPr>
                <w:b/>
                <w:bCs/>
                <w:sz w:val="20"/>
                <w:szCs w:val="22"/>
              </w:rPr>
              <w:t>Milestone(s) for this review</w:t>
            </w:r>
          </w:p>
        </w:tc>
        <w:tc>
          <w:tcPr>
            <w:tcW w:w="326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80C6C" w:rsidR="00BB58BB" w:rsidP="00BB58BB" w:rsidRDefault="00BB58BB" w14:paraId="1238883B" w14:textId="39106FD6">
            <w:pPr>
              <w:jc w:val="both"/>
              <w:rPr>
                <w:rFonts w:cs="Arial"/>
                <w:b/>
                <w:bCs/>
                <w:sz w:val="22"/>
                <w:szCs w:val="22"/>
              </w:rPr>
            </w:pPr>
            <w:r w:rsidRPr="38BDA48C">
              <w:rPr>
                <w:b/>
                <w:bCs/>
                <w:sz w:val="20"/>
                <w:szCs w:val="20"/>
              </w:rPr>
              <w:t xml:space="preserve">Progress </w:t>
            </w:r>
            <w:r>
              <w:rPr>
                <w:b/>
                <w:bCs/>
                <w:sz w:val="20"/>
                <w:szCs w:val="20"/>
              </w:rPr>
              <w:t>(FY23)</w:t>
            </w:r>
          </w:p>
        </w:tc>
      </w:tr>
      <w:tr w:rsidRPr="00D80C6C" w:rsidR="00BB58BB" w:rsidTr="00BB58BB" w14:paraId="0D9D6326" w14:textId="77777777">
        <w:tc>
          <w:tcPr>
            <w:tcW w:w="2830" w:type="dxa"/>
            <w:tcBorders>
              <w:top w:val="single" w:color="auto" w:sz="4" w:space="0"/>
              <w:left w:val="single" w:color="auto" w:sz="4" w:space="0"/>
              <w:bottom w:val="single" w:color="auto" w:sz="4" w:space="0"/>
              <w:right w:val="single" w:color="auto" w:sz="4" w:space="0"/>
            </w:tcBorders>
          </w:tcPr>
          <w:p w:rsidRPr="00BB58BB" w:rsidR="00BB58BB" w:rsidP="00BB58BB" w:rsidRDefault="00BB58BB" w14:paraId="2A9C800A" w14:textId="34153945">
            <w:pPr>
              <w:pStyle w:val="ListParagraph"/>
              <w:numPr>
                <w:ilvl w:val="0"/>
                <w:numId w:val="26"/>
              </w:numPr>
              <w:jc w:val="both"/>
              <w:rPr>
                <w:rFonts w:cs="Arial"/>
                <w:bCs/>
                <w:iCs/>
                <w:sz w:val="22"/>
                <w:szCs w:val="22"/>
              </w:rPr>
            </w:pPr>
            <w:r w:rsidRPr="00BB58BB">
              <w:rPr>
                <w:rFonts w:cs="Arial"/>
                <w:sz w:val="16"/>
                <w:szCs w:val="16"/>
              </w:rPr>
              <w:t>Number of non-FCPF programmes and countries that have adopted elements of the FCPF Methodological Framework within their own REDD+ processes</w:t>
            </w:r>
          </w:p>
        </w:tc>
        <w:tc>
          <w:tcPr>
            <w:tcW w:w="2977" w:type="dxa"/>
            <w:tcBorders>
              <w:top w:val="single" w:color="auto" w:sz="4" w:space="0"/>
              <w:left w:val="single" w:color="auto" w:sz="4" w:space="0"/>
              <w:bottom w:val="single" w:color="auto" w:sz="4" w:space="0"/>
              <w:right w:val="single" w:color="auto" w:sz="4" w:space="0"/>
            </w:tcBorders>
          </w:tcPr>
          <w:p w:rsidRPr="00D80C6C" w:rsidR="00BB58BB" w:rsidP="00BB58BB" w:rsidRDefault="00BB58BB" w14:paraId="50E8BA73" w14:textId="62429910">
            <w:pPr>
              <w:jc w:val="both"/>
              <w:rPr>
                <w:rFonts w:cs="Arial"/>
                <w:bCs/>
                <w:iCs/>
                <w:sz w:val="22"/>
                <w:szCs w:val="22"/>
              </w:rPr>
            </w:pPr>
            <w:r>
              <w:rPr>
                <w:rFonts w:cs="Arial"/>
                <w:sz w:val="16"/>
                <w:szCs w:val="16"/>
              </w:rPr>
              <w:t>Reporting begins</w:t>
            </w:r>
            <w:r w:rsidRPr="00000AAA">
              <w:rPr>
                <w:rFonts w:cs="Arial"/>
                <w:sz w:val="16"/>
                <w:szCs w:val="16"/>
              </w:rPr>
              <w:t xml:space="preserve"> post-FY23 (qualitative progress measured through evaluation)</w:t>
            </w:r>
          </w:p>
        </w:tc>
        <w:tc>
          <w:tcPr>
            <w:tcW w:w="3260" w:type="dxa"/>
            <w:tcBorders>
              <w:top w:val="single" w:color="auto" w:sz="4" w:space="0"/>
              <w:left w:val="single" w:color="auto" w:sz="4" w:space="0"/>
              <w:bottom w:val="single" w:color="auto" w:sz="4" w:space="0"/>
              <w:right w:val="single" w:color="auto" w:sz="4" w:space="0"/>
            </w:tcBorders>
          </w:tcPr>
          <w:p w:rsidRPr="00000AAA" w:rsidR="00BB58BB" w:rsidP="00BB58BB" w:rsidRDefault="00BB58BB" w14:paraId="2FF6EB22" w14:textId="77777777">
            <w:pPr>
              <w:rPr>
                <w:sz w:val="16"/>
                <w:szCs w:val="16"/>
              </w:rPr>
            </w:pPr>
            <w:r w:rsidRPr="00000AAA">
              <w:rPr>
                <w:b/>
                <w:bCs/>
                <w:sz w:val="16"/>
                <w:szCs w:val="16"/>
              </w:rPr>
              <w:t>Not applicable.</w:t>
            </w:r>
            <w:r w:rsidRPr="00000AAA">
              <w:rPr>
                <w:sz w:val="16"/>
                <w:szCs w:val="16"/>
              </w:rPr>
              <w:t xml:space="preserve"> Progress against this indicator is to be assessed through the evaluation scheduled </w:t>
            </w:r>
            <w:r>
              <w:rPr>
                <w:sz w:val="16"/>
                <w:szCs w:val="16"/>
              </w:rPr>
              <w:t>through 2023</w:t>
            </w:r>
            <w:r w:rsidRPr="00000AAA">
              <w:rPr>
                <w:sz w:val="16"/>
                <w:szCs w:val="16"/>
              </w:rPr>
              <w:t xml:space="preserve"> and will not be reported on until then.</w:t>
            </w:r>
            <w:r>
              <w:rPr>
                <w:sz w:val="16"/>
                <w:szCs w:val="16"/>
              </w:rPr>
              <w:t xml:space="preserve"> However, some early evidence is provided below. </w:t>
            </w:r>
          </w:p>
          <w:p w:rsidRPr="00D80C6C" w:rsidR="00BB58BB" w:rsidP="00BB58BB" w:rsidRDefault="00BB58BB" w14:paraId="0B45BE2C" w14:textId="77777777">
            <w:pPr>
              <w:contextualSpacing/>
              <w:jc w:val="both"/>
              <w:rPr>
                <w:rFonts w:cs="Arial"/>
                <w:bCs/>
                <w:iCs/>
                <w:sz w:val="22"/>
                <w:szCs w:val="22"/>
              </w:rPr>
            </w:pPr>
          </w:p>
        </w:tc>
      </w:tr>
      <w:tr w:rsidRPr="00D80C6C" w:rsidR="00BB58BB" w:rsidTr="00BB58BB" w14:paraId="1F90D51E" w14:textId="77777777">
        <w:tc>
          <w:tcPr>
            <w:tcW w:w="2830" w:type="dxa"/>
            <w:tcBorders>
              <w:top w:val="single" w:color="auto" w:sz="4" w:space="0"/>
              <w:left w:val="single" w:color="auto" w:sz="4" w:space="0"/>
              <w:bottom w:val="single" w:color="auto" w:sz="4" w:space="0"/>
              <w:right w:val="single" w:color="auto" w:sz="4" w:space="0"/>
            </w:tcBorders>
          </w:tcPr>
          <w:p w:rsidRPr="00BB58BB" w:rsidR="00BB58BB" w:rsidP="00BB58BB" w:rsidRDefault="00BB58BB" w14:paraId="69F14F04" w14:textId="01AFF9EE">
            <w:pPr>
              <w:pStyle w:val="ListParagraph"/>
              <w:numPr>
                <w:ilvl w:val="0"/>
                <w:numId w:val="26"/>
              </w:numPr>
              <w:jc w:val="both"/>
              <w:rPr>
                <w:rFonts w:cs="Arial"/>
                <w:bCs/>
                <w:iCs/>
                <w:sz w:val="22"/>
                <w:szCs w:val="22"/>
              </w:rPr>
            </w:pPr>
            <w:r w:rsidRPr="00BB58BB">
              <w:rPr>
                <w:rFonts w:cs="Arial"/>
                <w:sz w:val="16"/>
                <w:szCs w:val="16"/>
              </w:rPr>
              <w:t>Number of (a) FCPF-supported South-South learning activities and/or events connecting FCPF countries; (b) Participants in such activities (disaggregated by gender, CSO, IPs)</w:t>
            </w:r>
          </w:p>
        </w:tc>
        <w:tc>
          <w:tcPr>
            <w:tcW w:w="2977" w:type="dxa"/>
            <w:tcBorders>
              <w:top w:val="single" w:color="auto" w:sz="4" w:space="0"/>
              <w:left w:val="single" w:color="auto" w:sz="4" w:space="0"/>
              <w:bottom w:val="single" w:color="auto" w:sz="4" w:space="0"/>
              <w:right w:val="single" w:color="auto" w:sz="4" w:space="0"/>
            </w:tcBorders>
          </w:tcPr>
          <w:p w:rsidRPr="00000AAA" w:rsidR="00BB58BB" w:rsidP="00BB58BB" w:rsidRDefault="00BB58BB" w14:paraId="5FBDE631" w14:textId="77777777">
            <w:pPr>
              <w:rPr>
                <w:rFonts w:cs="Arial"/>
                <w:sz w:val="16"/>
                <w:szCs w:val="16"/>
              </w:rPr>
            </w:pPr>
            <w:r w:rsidRPr="00000AAA">
              <w:rPr>
                <w:rFonts w:cs="Arial"/>
                <w:sz w:val="16"/>
                <w:szCs w:val="16"/>
              </w:rPr>
              <w:t>FY2</w:t>
            </w:r>
            <w:r>
              <w:rPr>
                <w:rFonts w:cs="Arial"/>
                <w:sz w:val="16"/>
                <w:szCs w:val="16"/>
              </w:rPr>
              <w:t>3</w:t>
            </w:r>
            <w:r w:rsidRPr="00000AAA">
              <w:rPr>
                <w:rFonts w:cs="Arial"/>
                <w:sz w:val="16"/>
                <w:szCs w:val="16"/>
              </w:rPr>
              <w:t>: (a) 1</w:t>
            </w:r>
            <w:r>
              <w:rPr>
                <w:rFonts w:cs="Arial"/>
                <w:sz w:val="16"/>
                <w:szCs w:val="16"/>
              </w:rPr>
              <w:t>4</w:t>
            </w:r>
          </w:p>
          <w:p w:rsidRPr="00D80C6C" w:rsidR="00BB58BB" w:rsidP="00BB58BB" w:rsidRDefault="00BB58BB" w14:paraId="69713EB7" w14:textId="1334D7B2">
            <w:pPr>
              <w:jc w:val="both"/>
              <w:rPr>
                <w:rFonts w:cs="Arial"/>
                <w:bCs/>
                <w:iCs/>
                <w:sz w:val="22"/>
                <w:szCs w:val="22"/>
              </w:rPr>
            </w:pPr>
            <w:r w:rsidRPr="00000AAA">
              <w:rPr>
                <w:rFonts w:cs="Arial"/>
                <w:sz w:val="16"/>
                <w:szCs w:val="16"/>
              </w:rPr>
              <w:t>(b) 4</w:t>
            </w:r>
            <w:r>
              <w:rPr>
                <w:rFonts w:cs="Arial"/>
                <w:sz w:val="16"/>
                <w:szCs w:val="16"/>
              </w:rPr>
              <w:t>50</w:t>
            </w:r>
            <w:r w:rsidRPr="00000AAA">
              <w:rPr>
                <w:rFonts w:cs="Arial"/>
                <w:sz w:val="16"/>
                <w:szCs w:val="16"/>
              </w:rPr>
              <w:t xml:space="preserve"> (1</w:t>
            </w:r>
            <w:r>
              <w:rPr>
                <w:rFonts w:cs="Arial"/>
                <w:sz w:val="16"/>
                <w:szCs w:val="16"/>
              </w:rPr>
              <w:t>8</w:t>
            </w:r>
            <w:r w:rsidRPr="00000AAA">
              <w:rPr>
                <w:rFonts w:cs="Arial"/>
                <w:sz w:val="16"/>
                <w:szCs w:val="16"/>
              </w:rPr>
              <w:t>0; 4</w:t>
            </w:r>
            <w:r>
              <w:rPr>
                <w:rFonts w:cs="Arial"/>
                <w:sz w:val="16"/>
                <w:szCs w:val="16"/>
              </w:rPr>
              <w:t>5</w:t>
            </w:r>
            <w:r w:rsidRPr="00000AAA">
              <w:rPr>
                <w:rFonts w:cs="Arial"/>
                <w:sz w:val="16"/>
                <w:szCs w:val="16"/>
              </w:rPr>
              <w:t>; 4</w:t>
            </w:r>
            <w:r>
              <w:rPr>
                <w:rFonts w:cs="Arial"/>
                <w:sz w:val="16"/>
                <w:szCs w:val="16"/>
              </w:rPr>
              <w:t>5</w:t>
            </w:r>
          </w:p>
        </w:tc>
        <w:tc>
          <w:tcPr>
            <w:tcW w:w="3260" w:type="dxa"/>
            <w:tcBorders>
              <w:top w:val="single" w:color="auto" w:sz="4" w:space="0"/>
              <w:left w:val="single" w:color="auto" w:sz="4" w:space="0"/>
              <w:bottom w:val="single" w:color="auto" w:sz="4" w:space="0"/>
              <w:right w:val="single" w:color="auto" w:sz="4" w:space="0"/>
            </w:tcBorders>
          </w:tcPr>
          <w:p w:rsidRPr="00D80C6C" w:rsidR="00BB58BB" w:rsidP="00BB58BB" w:rsidRDefault="00BB58BB" w14:paraId="387FF2C2" w14:textId="6D437EBC">
            <w:pPr>
              <w:contextualSpacing/>
              <w:jc w:val="both"/>
              <w:rPr>
                <w:rFonts w:cs="Arial"/>
                <w:bCs/>
                <w:iCs/>
                <w:sz w:val="22"/>
                <w:szCs w:val="22"/>
              </w:rPr>
            </w:pPr>
            <w:r w:rsidRPr="00000AAA">
              <w:rPr>
                <w:b/>
                <w:bCs/>
                <w:sz w:val="16"/>
                <w:szCs w:val="16"/>
              </w:rPr>
              <w:t>FY2</w:t>
            </w:r>
            <w:r>
              <w:rPr>
                <w:b/>
                <w:bCs/>
                <w:sz w:val="16"/>
                <w:szCs w:val="16"/>
              </w:rPr>
              <w:t>3</w:t>
            </w:r>
            <w:r w:rsidRPr="00000AAA">
              <w:rPr>
                <w:b/>
                <w:bCs/>
                <w:sz w:val="16"/>
                <w:szCs w:val="16"/>
              </w:rPr>
              <w:t xml:space="preserve"> Results: (a) </w:t>
            </w:r>
            <w:r>
              <w:rPr>
                <w:b/>
                <w:bCs/>
                <w:sz w:val="16"/>
                <w:szCs w:val="16"/>
              </w:rPr>
              <w:t>61</w:t>
            </w:r>
            <w:r w:rsidRPr="00000AAA">
              <w:rPr>
                <w:b/>
                <w:bCs/>
                <w:sz w:val="16"/>
                <w:szCs w:val="16"/>
              </w:rPr>
              <w:t xml:space="preserve">; (b) </w:t>
            </w:r>
            <w:r>
              <w:rPr>
                <w:b/>
                <w:bCs/>
                <w:sz w:val="16"/>
                <w:szCs w:val="16"/>
              </w:rPr>
              <w:t>4100</w:t>
            </w:r>
            <w:r w:rsidRPr="00000AAA">
              <w:rPr>
                <w:b/>
                <w:bCs/>
                <w:sz w:val="16"/>
                <w:szCs w:val="16"/>
              </w:rPr>
              <w:t xml:space="preserve">+ (of which </w:t>
            </w:r>
            <w:r>
              <w:rPr>
                <w:b/>
                <w:bCs/>
                <w:sz w:val="16"/>
                <w:szCs w:val="16"/>
              </w:rPr>
              <w:t>1450+</w:t>
            </w:r>
            <w:r w:rsidRPr="00000AAA">
              <w:rPr>
                <w:b/>
                <w:bCs/>
                <w:sz w:val="16"/>
                <w:szCs w:val="16"/>
              </w:rPr>
              <w:t xml:space="preserve"> women, </w:t>
            </w:r>
            <w:r>
              <w:rPr>
                <w:b/>
                <w:bCs/>
                <w:sz w:val="16"/>
                <w:szCs w:val="16"/>
              </w:rPr>
              <w:t>732</w:t>
            </w:r>
            <w:r w:rsidRPr="00000AAA">
              <w:rPr>
                <w:b/>
                <w:bCs/>
                <w:sz w:val="16"/>
                <w:szCs w:val="16"/>
              </w:rPr>
              <w:t xml:space="preserve"> CSOs and 3</w:t>
            </w:r>
            <w:r>
              <w:rPr>
                <w:b/>
                <w:bCs/>
                <w:sz w:val="16"/>
                <w:szCs w:val="16"/>
              </w:rPr>
              <w:t>82</w:t>
            </w:r>
            <w:r w:rsidRPr="00000AAA">
              <w:rPr>
                <w:b/>
                <w:bCs/>
                <w:sz w:val="16"/>
                <w:szCs w:val="16"/>
              </w:rPr>
              <w:t xml:space="preserve"> IPs</w:t>
            </w:r>
            <w:r w:rsidRPr="006F2FD7">
              <w:rPr>
                <w:b/>
                <w:bCs/>
                <w:sz w:val="16"/>
                <w:szCs w:val="16"/>
              </w:rPr>
              <w:t>). Progress substantially exceeds expectations.</w:t>
            </w:r>
            <w:r w:rsidRPr="00000AAA">
              <w:rPr>
                <w:sz w:val="16"/>
                <w:szCs w:val="16"/>
              </w:rPr>
              <w:t xml:space="preserve"> </w:t>
            </w:r>
          </w:p>
        </w:tc>
      </w:tr>
      <w:tr w:rsidRPr="00D80C6C" w:rsidR="00BB58BB" w:rsidTr="00BB58BB" w14:paraId="09D645A6" w14:textId="77777777">
        <w:tc>
          <w:tcPr>
            <w:tcW w:w="2830" w:type="dxa"/>
            <w:tcBorders>
              <w:top w:val="single" w:color="auto" w:sz="4" w:space="0"/>
              <w:left w:val="single" w:color="auto" w:sz="4" w:space="0"/>
              <w:bottom w:val="single" w:color="auto" w:sz="4" w:space="0"/>
              <w:right w:val="single" w:color="auto" w:sz="4" w:space="0"/>
            </w:tcBorders>
          </w:tcPr>
          <w:p w:rsidRPr="00BB58BB" w:rsidR="00BB58BB" w:rsidP="00BB58BB" w:rsidRDefault="00BB58BB" w14:paraId="7189D3B2" w14:textId="2293E10C">
            <w:pPr>
              <w:pStyle w:val="ListParagraph"/>
              <w:numPr>
                <w:ilvl w:val="0"/>
                <w:numId w:val="26"/>
              </w:numPr>
              <w:jc w:val="both"/>
              <w:rPr>
                <w:rFonts w:cs="Arial"/>
                <w:bCs/>
                <w:iCs/>
                <w:sz w:val="22"/>
                <w:szCs w:val="22"/>
              </w:rPr>
            </w:pPr>
            <w:r w:rsidRPr="00BB58BB">
              <w:rPr>
                <w:rFonts w:cs="Arial"/>
                <w:sz w:val="16"/>
                <w:szCs w:val="16"/>
              </w:rPr>
              <w:t>Percentage (%) of participants in South-South learning activities indicating that they will apply the new knowledge or skills in their work (disaggregated by gender, CSOs, IPs)</w:t>
            </w:r>
          </w:p>
        </w:tc>
        <w:tc>
          <w:tcPr>
            <w:tcW w:w="2977" w:type="dxa"/>
            <w:tcBorders>
              <w:top w:val="single" w:color="auto" w:sz="4" w:space="0"/>
              <w:left w:val="single" w:color="auto" w:sz="4" w:space="0"/>
              <w:bottom w:val="single" w:color="auto" w:sz="4" w:space="0"/>
              <w:right w:val="single" w:color="auto" w:sz="4" w:space="0"/>
            </w:tcBorders>
          </w:tcPr>
          <w:p w:rsidRPr="00D80C6C" w:rsidR="00BB58BB" w:rsidP="00BB58BB" w:rsidRDefault="00BB58BB" w14:paraId="4F8B5584" w14:textId="32C9AB0B">
            <w:pPr>
              <w:jc w:val="both"/>
              <w:rPr>
                <w:rFonts w:cs="Arial"/>
                <w:bCs/>
                <w:iCs/>
                <w:sz w:val="22"/>
                <w:szCs w:val="22"/>
              </w:rPr>
            </w:pPr>
            <w:r w:rsidRPr="00000AAA">
              <w:rPr>
                <w:rFonts w:cs="Arial"/>
                <w:sz w:val="16"/>
                <w:szCs w:val="16"/>
              </w:rPr>
              <w:t>FY2</w:t>
            </w:r>
            <w:r>
              <w:rPr>
                <w:rFonts w:cs="Arial"/>
                <w:sz w:val="16"/>
                <w:szCs w:val="16"/>
              </w:rPr>
              <w:t>3</w:t>
            </w:r>
            <w:r w:rsidRPr="00000AAA">
              <w:rPr>
                <w:rFonts w:cs="Arial"/>
                <w:sz w:val="16"/>
                <w:szCs w:val="16"/>
              </w:rPr>
              <w:t xml:space="preserve">: </w:t>
            </w:r>
            <w:r>
              <w:rPr>
                <w:rFonts w:cs="Arial"/>
                <w:sz w:val="16"/>
                <w:szCs w:val="16"/>
              </w:rPr>
              <w:t>70</w:t>
            </w:r>
          </w:p>
        </w:tc>
        <w:tc>
          <w:tcPr>
            <w:tcW w:w="3260" w:type="dxa"/>
            <w:tcBorders>
              <w:top w:val="single" w:color="auto" w:sz="4" w:space="0"/>
              <w:left w:val="single" w:color="auto" w:sz="4" w:space="0"/>
              <w:bottom w:val="single" w:color="auto" w:sz="4" w:space="0"/>
              <w:right w:val="single" w:color="auto" w:sz="4" w:space="0"/>
            </w:tcBorders>
          </w:tcPr>
          <w:p w:rsidRPr="00D80C6C" w:rsidR="00BB58BB" w:rsidP="00BB58BB" w:rsidRDefault="00BB58BB" w14:paraId="2F5C7A8D" w14:textId="7DB38CC6">
            <w:pPr>
              <w:contextualSpacing/>
              <w:jc w:val="both"/>
              <w:rPr>
                <w:rFonts w:cs="Arial"/>
                <w:bCs/>
                <w:iCs/>
                <w:sz w:val="22"/>
                <w:szCs w:val="22"/>
              </w:rPr>
            </w:pPr>
            <w:r w:rsidRPr="00000AAA">
              <w:rPr>
                <w:b/>
                <w:bCs/>
                <w:sz w:val="16"/>
                <w:szCs w:val="16"/>
              </w:rPr>
              <w:t>FY2</w:t>
            </w:r>
            <w:r>
              <w:rPr>
                <w:b/>
                <w:bCs/>
                <w:sz w:val="16"/>
                <w:szCs w:val="16"/>
              </w:rPr>
              <w:t>3</w:t>
            </w:r>
            <w:r w:rsidRPr="00000AAA">
              <w:rPr>
                <w:b/>
                <w:bCs/>
                <w:sz w:val="16"/>
                <w:szCs w:val="16"/>
              </w:rPr>
              <w:t xml:space="preserve"> Results: 8</w:t>
            </w:r>
            <w:r>
              <w:rPr>
                <w:b/>
                <w:bCs/>
                <w:sz w:val="16"/>
                <w:szCs w:val="16"/>
              </w:rPr>
              <w:t>2</w:t>
            </w:r>
            <w:r w:rsidRPr="00000AAA">
              <w:rPr>
                <w:b/>
                <w:bCs/>
                <w:sz w:val="16"/>
                <w:szCs w:val="16"/>
              </w:rPr>
              <w:t xml:space="preserve">% (of which 35% women, 30% CSOs, 22% IPs). </w:t>
            </w:r>
            <w:r w:rsidRPr="005E23FC">
              <w:rPr>
                <w:b/>
                <w:bCs/>
                <w:sz w:val="16"/>
                <w:szCs w:val="16"/>
              </w:rPr>
              <w:t>Progress exceeds expectations.</w:t>
            </w:r>
            <w:r w:rsidRPr="00000AAA">
              <w:rPr>
                <w:sz w:val="16"/>
                <w:szCs w:val="16"/>
              </w:rPr>
              <w:t xml:space="preserve"> </w:t>
            </w:r>
          </w:p>
        </w:tc>
      </w:tr>
    </w:tbl>
    <w:p w:rsidR="004A367B" w:rsidP="004D5FD5" w:rsidRDefault="004A367B" w14:paraId="2EFE3995" w14:textId="77777777">
      <w:pPr>
        <w:jc w:val="both"/>
        <w:rPr>
          <w:rFonts w:cs="Arial"/>
          <w:sz w:val="22"/>
          <w:szCs w:val="22"/>
        </w:rPr>
      </w:pPr>
    </w:p>
    <w:p w:rsidR="0099022D" w:rsidP="0099022D" w:rsidRDefault="0099022D" w14:paraId="217B2C65" w14:textId="77777777">
      <w:pPr>
        <w:jc w:val="both"/>
        <w:rPr>
          <w:rFonts w:eastAsia="Arial" w:cs="Arial"/>
          <w:sz w:val="22"/>
          <w:szCs w:val="22"/>
        </w:rPr>
      </w:pPr>
      <w:r w:rsidRPr="000B719C">
        <w:rPr>
          <w:rFonts w:eastAsia="Arial" w:cs="Arial"/>
          <w:sz w:val="22"/>
          <w:szCs w:val="22"/>
        </w:rPr>
        <w:t>Output 3.1. provides an assessment of FCPF’s influence on non-FCPF programmes and countries, particularly the FCPF Methodological framework. While this will be formally measured and considered through the upcoming evaluation, anecdotal evidence points towards FCPF’s influence in shaping other REDD+ standards, such as ART/TREES. FCPF has laid the foundations for countries to be prepared for emissions reductions programming beyond the Programme itself. This can be evidenced through the early pipeline for LEAF countries, many of which are also FCPF countries and have brought over key lessons learned.</w:t>
      </w:r>
    </w:p>
    <w:p w:rsidR="0099022D" w:rsidP="0099022D" w:rsidRDefault="0099022D" w14:paraId="0D62D9BE" w14:textId="77777777">
      <w:pPr>
        <w:jc w:val="both"/>
        <w:rPr>
          <w:rFonts w:eastAsia="Arial" w:cs="Arial"/>
          <w:sz w:val="22"/>
          <w:szCs w:val="22"/>
        </w:rPr>
      </w:pPr>
    </w:p>
    <w:p w:rsidRPr="00CA7DC8" w:rsidR="0099022D" w:rsidP="0099022D" w:rsidRDefault="0099022D" w14:paraId="2447F73C" w14:textId="77777777">
      <w:pPr>
        <w:jc w:val="both"/>
        <w:rPr>
          <w:rFonts w:eastAsia="Arial" w:cs="Arial"/>
          <w:sz w:val="22"/>
          <w:szCs w:val="22"/>
        </w:rPr>
      </w:pPr>
      <w:r w:rsidRPr="00CA7DC8">
        <w:rPr>
          <w:rFonts w:eastAsia="Arial" w:cs="Arial"/>
          <w:sz w:val="22"/>
          <w:szCs w:val="22"/>
        </w:rPr>
        <w:t xml:space="preserve">Early supporting evidence from the FY23 Evaluation (to be published in the coming months) indicate that FCPF countries have utilised data, methods and tools developed through FCPF to access resource from other initiatives, such as GCF and LEAF. For some countries, the provision of tools, guidance, templates and formats for MRV (methodological framework), safeguards, benefit sharing arrangements, as well as a range of readiness activities (National REDD+ strategy, NFMS, FREL etc) were useful in delivering key milestones under UNFCCC as well as WB support. Some countries also shared that there were clear synergies between National REDD+ processes and the FCPF, and that the programme has been instrumental to supporting REDD+ process. </w:t>
      </w:r>
      <w:r>
        <w:rPr>
          <w:rFonts w:eastAsia="Arial" w:cs="Arial"/>
          <w:sz w:val="22"/>
          <w:szCs w:val="22"/>
        </w:rPr>
        <w:t xml:space="preserve">Additionally, some countries indicated that the FCPF has been key in leveraging additional finance. </w:t>
      </w:r>
    </w:p>
    <w:p w:rsidRPr="00CA7DC8" w:rsidR="0099022D" w:rsidP="0099022D" w:rsidRDefault="0099022D" w14:paraId="77E48EE3" w14:textId="77777777">
      <w:pPr>
        <w:jc w:val="both"/>
        <w:rPr>
          <w:rFonts w:eastAsia="Arial" w:cs="Arial"/>
          <w:sz w:val="22"/>
          <w:szCs w:val="22"/>
        </w:rPr>
      </w:pPr>
    </w:p>
    <w:p w:rsidRPr="000B719C" w:rsidR="0099022D" w:rsidP="0099022D" w:rsidRDefault="0099022D" w14:paraId="164A8F5B" w14:textId="77777777">
      <w:pPr>
        <w:jc w:val="both"/>
        <w:rPr>
          <w:rFonts w:eastAsia="Arial" w:cs="Arial"/>
          <w:sz w:val="22"/>
          <w:szCs w:val="22"/>
        </w:rPr>
      </w:pPr>
      <w:r>
        <w:rPr>
          <w:rFonts w:eastAsia="Arial" w:cs="Arial"/>
          <w:sz w:val="22"/>
          <w:szCs w:val="22"/>
        </w:rPr>
        <w:t>More</w:t>
      </w:r>
      <w:r w:rsidRPr="00CA7DC8">
        <w:rPr>
          <w:rFonts w:eastAsia="Arial" w:cs="Arial"/>
          <w:sz w:val="22"/>
          <w:szCs w:val="22"/>
        </w:rPr>
        <w:t xml:space="preserve"> detailed progress on this will be measured through the FY23 Third Programme Evaluation findings once published, which will draw upon whether countries have used FCPF knowledge products, with tangible examples of such influence (e.g., specific processes, policies, benefit sharing etc.) provided. We should more effectively be able to assess this indicator following this evaluation publication.</w:t>
      </w:r>
    </w:p>
    <w:p w:rsidRPr="000B719C" w:rsidR="0099022D" w:rsidP="0099022D" w:rsidRDefault="0099022D" w14:paraId="456A5752" w14:textId="77777777">
      <w:pPr>
        <w:jc w:val="both"/>
        <w:rPr>
          <w:rFonts w:eastAsia="Arial" w:cs="Arial"/>
          <w:sz w:val="22"/>
          <w:szCs w:val="22"/>
        </w:rPr>
      </w:pPr>
    </w:p>
    <w:p w:rsidR="0099022D" w:rsidP="0099022D" w:rsidRDefault="0099022D" w14:paraId="1BA4C6A6" w14:textId="77777777">
      <w:pPr>
        <w:jc w:val="both"/>
        <w:rPr>
          <w:rFonts w:eastAsia="Arial" w:cs="Arial"/>
          <w:sz w:val="22"/>
          <w:szCs w:val="22"/>
        </w:rPr>
      </w:pPr>
      <w:r w:rsidRPr="000B719C">
        <w:rPr>
          <w:rFonts w:eastAsia="Arial" w:cs="Arial"/>
          <w:sz w:val="22"/>
          <w:szCs w:val="22"/>
        </w:rPr>
        <w:t xml:space="preserve">Output 3.2 and 3.3 provide an assessment of South-South knowledge exchanges held over the lifetime of FCPF, with </w:t>
      </w:r>
      <w:r>
        <w:rPr>
          <w:rFonts w:eastAsia="Arial" w:cs="Arial"/>
          <w:sz w:val="22"/>
          <w:szCs w:val="22"/>
        </w:rPr>
        <w:t>61</w:t>
      </w:r>
      <w:r w:rsidRPr="000B719C">
        <w:rPr>
          <w:rFonts w:eastAsia="Arial" w:cs="Arial"/>
          <w:sz w:val="22"/>
          <w:szCs w:val="22"/>
        </w:rPr>
        <w:t xml:space="preserve"> knowledge exchanges to date, and over </w:t>
      </w:r>
      <w:r>
        <w:rPr>
          <w:rFonts w:eastAsia="Arial" w:cs="Arial"/>
          <w:sz w:val="22"/>
          <w:szCs w:val="22"/>
        </w:rPr>
        <w:t>41</w:t>
      </w:r>
      <w:r w:rsidRPr="000B719C">
        <w:rPr>
          <w:rFonts w:eastAsia="Arial" w:cs="Arial"/>
          <w:sz w:val="22"/>
          <w:szCs w:val="22"/>
        </w:rPr>
        <w:t>00 participants (of which 1</w:t>
      </w:r>
      <w:r>
        <w:rPr>
          <w:rFonts w:eastAsia="Arial" w:cs="Arial"/>
          <w:sz w:val="22"/>
          <w:szCs w:val="22"/>
        </w:rPr>
        <w:t>450</w:t>
      </w:r>
      <w:r w:rsidRPr="000B719C">
        <w:rPr>
          <w:rFonts w:eastAsia="Arial" w:cs="Arial"/>
          <w:sz w:val="22"/>
          <w:szCs w:val="22"/>
        </w:rPr>
        <w:t xml:space="preserve"> were women, </w:t>
      </w:r>
      <w:r>
        <w:rPr>
          <w:rFonts w:eastAsia="Arial" w:cs="Arial"/>
          <w:sz w:val="22"/>
          <w:szCs w:val="22"/>
        </w:rPr>
        <w:t>732</w:t>
      </w:r>
      <w:r w:rsidRPr="000B719C">
        <w:rPr>
          <w:rFonts w:eastAsia="Arial" w:cs="Arial"/>
          <w:sz w:val="22"/>
          <w:szCs w:val="22"/>
        </w:rPr>
        <w:t xml:space="preserve"> Civil Society Organisation, and 3</w:t>
      </w:r>
      <w:r>
        <w:rPr>
          <w:rFonts w:eastAsia="Arial" w:cs="Arial"/>
          <w:sz w:val="22"/>
          <w:szCs w:val="22"/>
        </w:rPr>
        <w:t>82</w:t>
      </w:r>
      <w:r w:rsidRPr="000B719C">
        <w:rPr>
          <w:rFonts w:eastAsia="Arial" w:cs="Arial"/>
          <w:sz w:val="22"/>
          <w:szCs w:val="22"/>
        </w:rPr>
        <w:t xml:space="preserve"> Indigenous Peoples). In FY22</w:t>
      </w:r>
      <w:r>
        <w:rPr>
          <w:rFonts w:eastAsia="Arial" w:cs="Arial"/>
          <w:sz w:val="22"/>
          <w:szCs w:val="22"/>
        </w:rPr>
        <w:t>-23</w:t>
      </w:r>
      <w:r w:rsidRPr="000B719C">
        <w:rPr>
          <w:rFonts w:eastAsia="Arial" w:cs="Arial"/>
          <w:sz w:val="22"/>
          <w:szCs w:val="22"/>
        </w:rPr>
        <w:t xml:space="preserve">, specific knowledge exchanges held over the year focused on various topics including </w:t>
      </w:r>
      <w:r>
        <w:rPr>
          <w:rFonts w:eastAsia="Arial" w:cs="Arial"/>
          <w:sz w:val="22"/>
          <w:szCs w:val="22"/>
        </w:rPr>
        <w:t xml:space="preserve">– (i) training on project management courses for Indigenous Peoples and CSOs; (ii) reflections following the closure of the Readiness Fund and insights into REDD+ topics; (iii) a Mozambique-Nepal REDD+ Readiness and ERP knowledge exchange; (iv) a Ghana-CIV knowledge exchange; (v) a Vietnam results-based carbon and climate finance learning event; (vi) a technical exchange on monitoring and estimating emissions from forest degradation; (vii) various knowledge sharing sessions at the CF26 including on benefit sharing, MRV, carbon accounting. </w:t>
      </w:r>
    </w:p>
    <w:p w:rsidR="0099022D" w:rsidP="0099022D" w:rsidRDefault="0099022D" w14:paraId="1B658A53" w14:textId="77777777">
      <w:pPr>
        <w:jc w:val="both"/>
        <w:rPr>
          <w:rFonts w:eastAsia="Arial" w:cs="Arial"/>
          <w:sz w:val="22"/>
          <w:szCs w:val="22"/>
        </w:rPr>
      </w:pPr>
    </w:p>
    <w:p w:rsidRPr="000B719C" w:rsidR="0099022D" w:rsidP="0099022D" w:rsidRDefault="0099022D" w14:paraId="21785896" w14:textId="77777777">
      <w:pPr>
        <w:jc w:val="both"/>
        <w:rPr>
          <w:rFonts w:eastAsia="Arial" w:cs="Arial"/>
          <w:sz w:val="22"/>
          <w:szCs w:val="22"/>
        </w:rPr>
      </w:pPr>
      <w:r w:rsidRPr="000B719C">
        <w:rPr>
          <w:rFonts w:eastAsia="Arial" w:cs="Arial"/>
          <w:sz w:val="22"/>
          <w:szCs w:val="22"/>
        </w:rPr>
        <w:t>Output 3.3 measures personal assessments and reflections of individuals participating in South-South learning activities through the FCPF, and a reflection on their own assessment of personal capacity development. This data is collected through post-event surveys from such South – South knowledge exchanges and aggregated (and then dis-aggregated by gender, CSO and Indigenous Persons to inform on composition of these exchanges).  In FY</w:t>
      </w:r>
      <w:r>
        <w:rPr>
          <w:rFonts w:eastAsia="Arial" w:cs="Arial"/>
          <w:sz w:val="22"/>
          <w:szCs w:val="22"/>
        </w:rPr>
        <w:t>22-23 this</w:t>
      </w:r>
      <w:r w:rsidRPr="000B719C">
        <w:rPr>
          <w:rFonts w:eastAsia="Arial" w:cs="Arial"/>
          <w:sz w:val="22"/>
          <w:szCs w:val="22"/>
        </w:rPr>
        <w:t xml:space="preserve"> has been reported as 8</w:t>
      </w:r>
      <w:r>
        <w:rPr>
          <w:rFonts w:eastAsia="Arial" w:cs="Arial"/>
          <w:sz w:val="22"/>
          <w:szCs w:val="22"/>
        </w:rPr>
        <w:t>2</w:t>
      </w:r>
      <w:r w:rsidRPr="000B719C">
        <w:rPr>
          <w:rFonts w:eastAsia="Arial" w:cs="Arial"/>
          <w:sz w:val="22"/>
          <w:szCs w:val="22"/>
        </w:rPr>
        <w:t xml:space="preserve">% of participants to South-South learning activities indicating that they not only acquired new knowledge or skills, </w:t>
      </w:r>
      <w:r>
        <w:rPr>
          <w:rFonts w:eastAsia="Arial" w:cs="Arial"/>
          <w:sz w:val="22"/>
          <w:szCs w:val="22"/>
        </w:rPr>
        <w:t>this exceeds expectations for this year (70%).</w:t>
      </w:r>
      <w:r w:rsidRPr="000B719C">
        <w:rPr>
          <w:rFonts w:eastAsia="Arial" w:cs="Arial"/>
          <w:sz w:val="22"/>
          <w:szCs w:val="22"/>
        </w:rPr>
        <w:t xml:space="preserve"> Additionally, the disaggregated data of this indicator shows the diversity of participants within these exchanges and the views provided – with 35% women, 30% CSOs and 22% IPs. The inclusion and consideration for these groups, and wider social inclusion, remains important for the FCPF Carbon Fund and for the UK. </w:t>
      </w:r>
      <w:r>
        <w:rPr>
          <w:rFonts w:eastAsia="Arial" w:cs="Arial"/>
          <w:sz w:val="22"/>
          <w:szCs w:val="22"/>
        </w:rPr>
        <w:t xml:space="preserve">These values remain consistent since last year’s Annual Review. </w:t>
      </w:r>
      <w:r w:rsidRPr="000B719C">
        <w:rPr>
          <w:rFonts w:eastAsia="Arial" w:cs="Arial"/>
          <w:sz w:val="22"/>
          <w:szCs w:val="22"/>
        </w:rPr>
        <w:t xml:space="preserve"> </w:t>
      </w:r>
    </w:p>
    <w:p w:rsidRPr="000B719C" w:rsidR="0099022D" w:rsidP="0099022D" w:rsidRDefault="0099022D" w14:paraId="20EB4271" w14:textId="77777777">
      <w:pPr>
        <w:jc w:val="both"/>
        <w:rPr>
          <w:rFonts w:eastAsia="Arial" w:cs="Arial"/>
          <w:sz w:val="22"/>
          <w:szCs w:val="22"/>
        </w:rPr>
      </w:pPr>
    </w:p>
    <w:p w:rsidRPr="000B719C" w:rsidR="0099022D" w:rsidP="0099022D" w:rsidRDefault="0099022D" w14:paraId="7C60BB9E" w14:textId="75CB49BC">
      <w:pPr>
        <w:jc w:val="both"/>
        <w:rPr>
          <w:rFonts w:eastAsia="Arial" w:cs="Arial"/>
          <w:sz w:val="22"/>
          <w:szCs w:val="22"/>
        </w:rPr>
      </w:pPr>
      <w:r w:rsidRPr="000B719C">
        <w:rPr>
          <w:rFonts w:eastAsia="Arial" w:cs="Arial"/>
          <w:sz w:val="22"/>
          <w:szCs w:val="22"/>
        </w:rPr>
        <w:t xml:space="preserve">FCPF’s global outreach with Indigenous Peoples </w:t>
      </w:r>
      <w:r w:rsidRPr="18892D60" w:rsidR="51112CE7">
        <w:rPr>
          <w:rFonts w:eastAsia="Arial" w:cs="Arial"/>
          <w:sz w:val="22"/>
          <w:szCs w:val="22"/>
        </w:rPr>
        <w:t xml:space="preserve">(IPs) </w:t>
      </w:r>
      <w:r w:rsidRPr="000B719C">
        <w:rPr>
          <w:rFonts w:eastAsia="Arial" w:cs="Arial"/>
          <w:sz w:val="22"/>
          <w:szCs w:val="22"/>
        </w:rPr>
        <w:t>and Local Communities (LCs)</w:t>
      </w:r>
      <w:r w:rsidR="00A44FEA">
        <w:rPr>
          <w:rFonts w:eastAsia="Arial" w:cs="Arial"/>
          <w:sz w:val="22"/>
          <w:szCs w:val="22"/>
        </w:rPr>
        <w:t xml:space="preserve"> has </w:t>
      </w:r>
      <w:r w:rsidR="001F3D9E">
        <w:rPr>
          <w:rFonts w:eastAsia="Arial" w:cs="Arial"/>
          <w:sz w:val="22"/>
          <w:szCs w:val="22"/>
        </w:rPr>
        <w:t>gone beyond what is captured in these output indicators</w:t>
      </w:r>
      <w:r w:rsidR="000979C0">
        <w:rPr>
          <w:rFonts w:eastAsia="Arial" w:cs="Arial"/>
          <w:sz w:val="22"/>
          <w:szCs w:val="22"/>
        </w:rPr>
        <w:t>.</w:t>
      </w:r>
      <w:r w:rsidRPr="000B719C">
        <w:rPr>
          <w:rFonts w:eastAsia="Arial" w:cs="Arial"/>
          <w:sz w:val="22"/>
          <w:szCs w:val="22"/>
        </w:rPr>
        <w:t xml:space="preserve"> In FY2</w:t>
      </w:r>
      <w:r>
        <w:rPr>
          <w:rFonts w:eastAsia="Arial" w:cs="Arial"/>
          <w:sz w:val="22"/>
          <w:szCs w:val="22"/>
        </w:rPr>
        <w:t>2-23</w:t>
      </w:r>
      <w:r w:rsidRPr="000B719C">
        <w:rPr>
          <w:rFonts w:eastAsia="Arial" w:cs="Arial"/>
          <w:sz w:val="22"/>
          <w:szCs w:val="22"/>
        </w:rPr>
        <w:t>,</w:t>
      </w:r>
      <w:r>
        <w:rPr>
          <w:rFonts w:eastAsia="Arial" w:cs="Arial"/>
          <w:sz w:val="22"/>
          <w:szCs w:val="22"/>
        </w:rPr>
        <w:t xml:space="preserve"> FCPF collaborated with the new World Bank EnABLE programme to deliver various outputs under this aim, including webinars, research on women and benefit sharing, building capacity of </w:t>
      </w:r>
      <w:r w:rsidRPr="18892D60">
        <w:rPr>
          <w:rFonts w:eastAsia="Arial" w:cs="Arial"/>
          <w:sz w:val="22"/>
          <w:szCs w:val="22"/>
        </w:rPr>
        <w:t>IP</w:t>
      </w:r>
      <w:r w:rsidRPr="18892D60" w:rsidR="3A21516F">
        <w:rPr>
          <w:rFonts w:eastAsia="Arial" w:cs="Arial"/>
          <w:sz w:val="22"/>
          <w:szCs w:val="22"/>
        </w:rPr>
        <w:t>s</w:t>
      </w:r>
      <w:r>
        <w:rPr>
          <w:rFonts w:eastAsia="Arial" w:cs="Arial"/>
          <w:sz w:val="22"/>
          <w:szCs w:val="22"/>
        </w:rPr>
        <w:t xml:space="preserve"> and </w:t>
      </w:r>
      <w:r w:rsidRPr="18892D60">
        <w:rPr>
          <w:rFonts w:eastAsia="Arial" w:cs="Arial"/>
          <w:sz w:val="22"/>
          <w:szCs w:val="22"/>
        </w:rPr>
        <w:t xml:space="preserve">LCs and </w:t>
      </w:r>
      <w:r>
        <w:rPr>
          <w:rFonts w:eastAsia="Arial" w:cs="Arial"/>
          <w:sz w:val="22"/>
          <w:szCs w:val="22"/>
        </w:rPr>
        <w:t xml:space="preserve">more. This demonstrates how the fund is utilising levers beyond the direct implementation of the ER </w:t>
      </w:r>
      <w:r w:rsidR="004F1977">
        <w:rPr>
          <w:rFonts w:eastAsia="Arial" w:cs="Arial"/>
          <w:sz w:val="22"/>
          <w:szCs w:val="22"/>
        </w:rPr>
        <w:t>Programmes to</w:t>
      </w:r>
      <w:r>
        <w:rPr>
          <w:rFonts w:eastAsia="Arial" w:cs="Arial"/>
          <w:sz w:val="22"/>
          <w:szCs w:val="22"/>
        </w:rPr>
        <w:t xml:space="preserve"> share knowledge gained for continued effective implementation. </w:t>
      </w:r>
    </w:p>
    <w:p w:rsidRPr="000B719C" w:rsidR="0099022D" w:rsidP="0099022D" w:rsidRDefault="0099022D" w14:paraId="260AA30C" w14:textId="77777777">
      <w:pPr>
        <w:jc w:val="both"/>
        <w:rPr>
          <w:rFonts w:eastAsia="Arial" w:cs="Arial"/>
          <w:sz w:val="22"/>
          <w:szCs w:val="22"/>
        </w:rPr>
      </w:pPr>
    </w:p>
    <w:p w:rsidRPr="000B719C" w:rsidR="0099022D" w:rsidP="0099022D" w:rsidRDefault="0099022D" w14:paraId="011DC693" w14:textId="3B678B3A">
      <w:pPr>
        <w:jc w:val="both"/>
        <w:rPr>
          <w:rFonts w:eastAsia="Arial" w:cs="Arial"/>
          <w:sz w:val="22"/>
          <w:szCs w:val="22"/>
        </w:rPr>
      </w:pPr>
      <w:r>
        <w:rPr>
          <w:rFonts w:eastAsia="Arial" w:cs="Arial"/>
          <w:sz w:val="22"/>
          <w:szCs w:val="22"/>
        </w:rPr>
        <w:t>In FY22-23 the FCPF Readiness Fund operationally closed</w:t>
      </w:r>
      <w:r w:rsidRPr="000B719C">
        <w:rPr>
          <w:rFonts w:eastAsia="Arial" w:cs="Arial"/>
          <w:sz w:val="22"/>
          <w:szCs w:val="22"/>
        </w:rPr>
        <w:t>. It will be vital to ensure that channels of communication, coordination and learning are kept open and accessible for FCPF participant countries that are not included in the Carbon Fund portfolio. A Knowledge Management</w:t>
      </w:r>
      <w:r w:rsidR="004F1977">
        <w:rPr>
          <w:rFonts w:eastAsia="Arial" w:cs="Arial"/>
          <w:sz w:val="22"/>
          <w:szCs w:val="22"/>
        </w:rPr>
        <w:t xml:space="preserve"> approach</w:t>
      </w:r>
      <w:r w:rsidRPr="000B719C">
        <w:rPr>
          <w:rFonts w:eastAsia="Arial" w:cs="Arial"/>
          <w:sz w:val="22"/>
          <w:szCs w:val="22"/>
        </w:rPr>
        <w:t xml:space="preserve"> </w:t>
      </w:r>
      <w:r>
        <w:rPr>
          <w:rFonts w:eastAsia="Arial" w:cs="Arial"/>
          <w:sz w:val="22"/>
          <w:szCs w:val="22"/>
        </w:rPr>
        <w:t>is now underway - t</w:t>
      </w:r>
      <w:r w:rsidRPr="000B719C">
        <w:rPr>
          <w:rFonts w:eastAsia="Arial" w:cs="Arial"/>
          <w:sz w:val="22"/>
          <w:szCs w:val="22"/>
        </w:rPr>
        <w:t>his provides one key avenue of ensuring the continuation and value of learning and sharing within the FCPF. One</w:t>
      </w:r>
      <w:r>
        <w:rPr>
          <w:rFonts w:eastAsia="Arial" w:cs="Arial"/>
          <w:sz w:val="22"/>
          <w:szCs w:val="22"/>
        </w:rPr>
        <w:t xml:space="preserve"> </w:t>
      </w:r>
      <w:r w:rsidRPr="000B719C">
        <w:rPr>
          <w:rFonts w:eastAsia="Arial" w:cs="Arial"/>
          <w:sz w:val="22"/>
          <w:szCs w:val="22"/>
        </w:rPr>
        <w:t xml:space="preserve">potential mechanism to explore this is through SCALE, as well as EnABLE. We will continue to engage with the World Bank to ensure this is prioritised.  </w:t>
      </w:r>
    </w:p>
    <w:p w:rsidR="0099022D" w:rsidP="0099022D" w:rsidRDefault="0099022D" w14:paraId="6E57A641" w14:textId="77777777">
      <w:pPr>
        <w:jc w:val="both"/>
        <w:rPr>
          <w:rFonts w:eastAsia="Arial" w:cs="Arial"/>
          <w:b/>
          <w:bCs/>
          <w:sz w:val="22"/>
          <w:szCs w:val="22"/>
        </w:rPr>
      </w:pPr>
    </w:p>
    <w:p w:rsidRPr="000A307B" w:rsidR="0099022D" w:rsidP="0099022D" w:rsidRDefault="0099022D" w14:paraId="3391F5F0" w14:textId="77777777">
      <w:pPr>
        <w:jc w:val="both"/>
        <w:rPr>
          <w:rFonts w:eastAsia="Arial" w:cs="Arial"/>
          <w:b/>
          <w:bCs/>
          <w:sz w:val="22"/>
          <w:szCs w:val="22"/>
        </w:rPr>
      </w:pPr>
      <w:r w:rsidRPr="000A307B">
        <w:rPr>
          <w:rFonts w:eastAsia="Arial" w:cs="Arial"/>
          <w:b/>
          <w:bCs/>
          <w:sz w:val="22"/>
          <w:szCs w:val="22"/>
        </w:rPr>
        <w:t>Recommendations for the year ahead.</w:t>
      </w:r>
    </w:p>
    <w:p w:rsidR="0099022D" w:rsidP="0099022D" w:rsidRDefault="0099022D" w14:paraId="0194D3FB" w14:textId="77777777">
      <w:pPr>
        <w:jc w:val="both"/>
        <w:rPr>
          <w:sz w:val="22"/>
          <w:szCs w:val="22"/>
        </w:rPr>
      </w:pPr>
    </w:p>
    <w:p w:rsidRPr="000A307B" w:rsidR="0099022D" w:rsidP="0099022D" w:rsidRDefault="0099022D" w14:paraId="4594E4DA" w14:textId="76CBBC9E">
      <w:pPr>
        <w:pStyle w:val="ListParagraph"/>
        <w:numPr>
          <w:ilvl w:val="0"/>
          <w:numId w:val="27"/>
        </w:numPr>
        <w:jc w:val="both"/>
        <w:rPr>
          <w:sz w:val="22"/>
          <w:szCs w:val="22"/>
        </w:rPr>
      </w:pPr>
      <w:r w:rsidRPr="00405105">
        <w:rPr>
          <w:b/>
          <w:bCs/>
          <w:sz w:val="22"/>
          <w:szCs w:val="22"/>
        </w:rPr>
        <w:t>Coordination and Collaboration:</w:t>
      </w:r>
      <w:r>
        <w:rPr>
          <w:sz w:val="22"/>
          <w:szCs w:val="22"/>
        </w:rPr>
        <w:t xml:space="preserve"> </w:t>
      </w:r>
      <w:r w:rsidRPr="00405105">
        <w:rPr>
          <w:sz w:val="22"/>
          <w:szCs w:val="22"/>
        </w:rPr>
        <w:t xml:space="preserve">World Bank </w:t>
      </w:r>
      <w:r w:rsidRPr="00405105" w:rsidR="00DE17A8">
        <w:rPr>
          <w:sz w:val="22"/>
          <w:szCs w:val="22"/>
        </w:rPr>
        <w:t xml:space="preserve">and </w:t>
      </w:r>
      <w:r w:rsidR="00DE17A8">
        <w:rPr>
          <w:sz w:val="22"/>
          <w:szCs w:val="22"/>
        </w:rPr>
        <w:t>FCPF</w:t>
      </w:r>
      <w:r w:rsidRPr="00405105">
        <w:rPr>
          <w:sz w:val="22"/>
          <w:szCs w:val="22"/>
        </w:rPr>
        <w:t xml:space="preserve"> </w:t>
      </w:r>
      <w:r w:rsidR="00607F44">
        <w:rPr>
          <w:sz w:val="22"/>
          <w:szCs w:val="22"/>
        </w:rPr>
        <w:t>c</w:t>
      </w:r>
      <w:r w:rsidRPr="00405105">
        <w:rPr>
          <w:sz w:val="22"/>
          <w:szCs w:val="22"/>
        </w:rPr>
        <w:t xml:space="preserve">ontributors to ensure increased opportunities for </w:t>
      </w:r>
      <w:r w:rsidR="00607F44">
        <w:rPr>
          <w:sz w:val="22"/>
          <w:szCs w:val="22"/>
        </w:rPr>
        <w:t>co</w:t>
      </w:r>
      <w:r w:rsidRPr="00405105">
        <w:rPr>
          <w:sz w:val="22"/>
          <w:szCs w:val="22"/>
        </w:rPr>
        <w:t>llaboration with wide pool of partners, including LEAF, UN-REDD, UN Agencies, other TA providers, and forest countries. Particularly, to ensure these partners are reflected in discussions related to the future of REDD+ (e.g., through the January Knowledge Day on REDD+ Architecture)</w:t>
      </w:r>
      <w:r>
        <w:rPr>
          <w:sz w:val="22"/>
          <w:szCs w:val="22"/>
        </w:rPr>
        <w:t xml:space="preserve">, and the functions of the previous Readiness Fund PA/PC are not lost. </w:t>
      </w:r>
    </w:p>
    <w:p w:rsidR="00BB58BB" w:rsidRDefault="00BB58BB" w14:paraId="51F9E0A9" w14:textId="77777777">
      <w:r>
        <w:br w:type="page"/>
      </w:r>
    </w:p>
    <w:tbl>
      <w:tblPr>
        <w:tblStyle w:val="TableGrid"/>
        <w:tblW w:w="0" w:type="auto"/>
        <w:tblLook w:val="04A0" w:firstRow="1" w:lastRow="0" w:firstColumn="1" w:lastColumn="0" w:noHBand="0" w:noVBand="1"/>
      </w:tblPr>
      <w:tblGrid>
        <w:gridCol w:w="9016"/>
      </w:tblGrid>
      <w:tr w:rsidR="00CB2873" w:rsidTr="00FC16A6" w14:paraId="625A7711" w14:textId="77777777">
        <w:tc>
          <w:tcPr>
            <w:tcW w:w="9016" w:type="dxa"/>
            <w:shd w:val="clear" w:color="auto" w:fill="DEEAF6" w:themeFill="accent5" w:themeFillTint="33"/>
          </w:tcPr>
          <w:p w:rsidR="00CB2873" w:rsidP="004D5FD5" w:rsidRDefault="00A95D0D" w14:paraId="78474CCE" w14:textId="013C20F0">
            <w:pPr>
              <w:jc w:val="both"/>
            </w:pPr>
            <w:bookmarkStart w:name="_Toc155945410" w:id="17"/>
            <w:r w:rsidRPr="00A95D0D">
              <w:rPr>
                <w:rStyle w:val="Heading1Char"/>
                <w:rFonts w:ascii="Arial" w:hAnsi="Arial" w:cs="Arial"/>
                <w:b/>
                <w:bCs/>
                <w:color w:val="auto"/>
              </w:rPr>
              <w:t>Section D: Pro</w:t>
            </w:r>
            <w:r w:rsidR="001330CE">
              <w:rPr>
                <w:rStyle w:val="Heading1Char"/>
                <w:rFonts w:ascii="Arial" w:hAnsi="Arial" w:cs="Arial"/>
                <w:b/>
                <w:bCs/>
                <w:color w:val="auto"/>
              </w:rPr>
              <w:t xml:space="preserve">gramme </w:t>
            </w:r>
            <w:r w:rsidRPr="00A95D0D">
              <w:rPr>
                <w:rStyle w:val="Heading1Char"/>
                <w:rFonts w:ascii="Arial" w:hAnsi="Arial" w:cs="Arial"/>
                <w:b/>
                <w:bCs/>
                <w:color w:val="auto"/>
              </w:rPr>
              <w:t>performance not captured by outputs</w:t>
            </w:r>
            <w:bookmarkEnd w:id="17"/>
            <w:r w:rsidRPr="00A95D0D">
              <w:t xml:space="preserve"> </w:t>
            </w:r>
          </w:p>
        </w:tc>
      </w:tr>
    </w:tbl>
    <w:p w:rsidRPr="00D80C6C" w:rsidR="00CB2873" w:rsidP="004D5FD5" w:rsidRDefault="00CB2873" w14:paraId="358B70D4" w14:textId="77777777">
      <w:pPr>
        <w:jc w:val="both"/>
        <w:rPr>
          <w:rFonts w:cs="Arial"/>
          <w:sz w:val="22"/>
          <w:szCs w:val="22"/>
        </w:rPr>
      </w:pPr>
    </w:p>
    <w:p w:rsidR="00690A36" w:rsidP="00690A36" w:rsidRDefault="00690A36" w14:paraId="091B13BF" w14:textId="77777777">
      <w:pPr>
        <w:pStyle w:val="ListParagraph"/>
        <w:numPr>
          <w:ilvl w:val="0"/>
          <w:numId w:val="28"/>
        </w:numPr>
        <w:jc w:val="both"/>
        <w:rPr>
          <w:sz w:val="22"/>
          <w:szCs w:val="22"/>
        </w:rPr>
      </w:pPr>
      <w:r w:rsidRPr="09A3F83C">
        <w:rPr>
          <w:sz w:val="22"/>
          <w:szCs w:val="22"/>
        </w:rPr>
        <w:t xml:space="preserve">By end of FY23, the World Bank’s </w:t>
      </w:r>
      <w:r w:rsidRPr="09A3F83C">
        <w:rPr>
          <w:b/>
          <w:sz w:val="22"/>
          <w:szCs w:val="22"/>
        </w:rPr>
        <w:t xml:space="preserve">Carbon Assets Tracking System </w:t>
      </w:r>
      <w:r w:rsidRPr="09A3F83C">
        <w:rPr>
          <w:sz w:val="22"/>
          <w:szCs w:val="22"/>
        </w:rPr>
        <w:t>(CATS) had supported a transacted volume of 8.3 million tons of emission reductions under FCPF Carbon Fund ERPAs: 4.1 million tons of carbon dioxide equivalent (tCO2e) from Costa Rica, 1.3 million tCO2e from Ghana, and 2.9 million tCO2e from Mozambique. There is now a growing need to enhance and consolidate CATS as a comprehensive transaction registry for other World Bank programs generating carbon credits. Over the next fiscal year, the FCPF plans to launch a CATS 2.0 project to enhance the system as a comprehensive and updated transaction registry solution.</w:t>
      </w:r>
    </w:p>
    <w:p w:rsidR="00690A36" w:rsidP="00690A36" w:rsidRDefault="00690A36" w14:paraId="6ED13690" w14:textId="77777777">
      <w:pPr>
        <w:pStyle w:val="ListParagraph"/>
        <w:jc w:val="both"/>
        <w:rPr>
          <w:sz w:val="22"/>
          <w:szCs w:val="22"/>
        </w:rPr>
      </w:pPr>
    </w:p>
    <w:p w:rsidR="00690A36" w:rsidP="00690A36" w:rsidRDefault="00690A36" w14:paraId="6B272AA5" w14:textId="77777777">
      <w:pPr>
        <w:pStyle w:val="ListParagraph"/>
        <w:numPr>
          <w:ilvl w:val="0"/>
          <w:numId w:val="28"/>
        </w:numPr>
        <w:jc w:val="both"/>
        <w:rPr>
          <w:sz w:val="22"/>
          <w:szCs w:val="22"/>
        </w:rPr>
      </w:pPr>
      <w:r w:rsidRPr="09A3F83C">
        <w:rPr>
          <w:sz w:val="22"/>
          <w:szCs w:val="22"/>
        </w:rPr>
        <w:t xml:space="preserve">The FCPF finalised the implementation of the World Bank </w:t>
      </w:r>
      <w:r w:rsidRPr="09A3F83C">
        <w:rPr>
          <w:b/>
          <w:sz w:val="22"/>
          <w:szCs w:val="22"/>
        </w:rPr>
        <w:t>Land Use Climate Funds MRV Support Program</w:t>
      </w:r>
      <w:r w:rsidRPr="09A3F83C">
        <w:rPr>
          <w:sz w:val="22"/>
          <w:szCs w:val="22"/>
        </w:rPr>
        <w:t>, which has delivered $7.25 million in support to countries’ MRV and carbon accounting systems. In FY23, this MRV support programme helped develop a number of prototypes for a next generation MRV system (MRV 2.0) that seeks to address hurdles identified in the MRV process. This included improving the collection of state-of-the-art field data and updating approaches to biomass mapping. It will be important to establish and understand how lessons from this pilot programme can be transferred to other programmes. World Bank recently hosted a workshop to discuss this (although outside of this review period).</w:t>
      </w:r>
    </w:p>
    <w:p w:rsidR="00690A36" w:rsidP="00690A36" w:rsidRDefault="00690A36" w14:paraId="589BF15A" w14:textId="77777777">
      <w:pPr>
        <w:pStyle w:val="ListParagraph"/>
        <w:jc w:val="both"/>
        <w:rPr>
          <w:sz w:val="22"/>
          <w:szCs w:val="22"/>
        </w:rPr>
      </w:pPr>
    </w:p>
    <w:p w:rsidR="00690A36" w:rsidP="00690A36" w:rsidRDefault="00690A36" w14:paraId="7186FBCF" w14:textId="77777777">
      <w:pPr>
        <w:pStyle w:val="ListParagraph"/>
        <w:numPr>
          <w:ilvl w:val="0"/>
          <w:numId w:val="28"/>
        </w:numPr>
        <w:jc w:val="both"/>
        <w:rPr>
          <w:sz w:val="22"/>
          <w:szCs w:val="22"/>
        </w:rPr>
      </w:pPr>
      <w:r w:rsidRPr="09A3F83C">
        <w:rPr>
          <w:sz w:val="22"/>
          <w:szCs w:val="22"/>
        </w:rPr>
        <w:t xml:space="preserve">The MRV and CATS advancements in FY23 were instrumental in the FCPF becoming fully approved to provide eligible units under the 2021–23 pilot phase of the </w:t>
      </w:r>
      <w:r w:rsidRPr="09A3F83C">
        <w:rPr>
          <w:b/>
          <w:sz w:val="22"/>
          <w:szCs w:val="22"/>
        </w:rPr>
        <w:t>International Civil Aviation Organisation (ICAO) Carbon Offsetting and Reduction Scheme for International Aviation (CORSIA).</w:t>
      </w:r>
      <w:r w:rsidRPr="09A3F83C">
        <w:rPr>
          <w:sz w:val="22"/>
          <w:szCs w:val="22"/>
        </w:rPr>
        <w:t xml:space="preserve"> FCPF programs may now be eligible to supply ER credits under the CORSIA scheme. This approval from ICAO highlights the high quality of the ER credits issued by FCPF programmes and provides an enabling opportunity for a significant increase in the pool of potential buyers and interest from carbon markets.</w:t>
      </w:r>
    </w:p>
    <w:p w:rsidR="00690A36" w:rsidP="00690A36" w:rsidRDefault="00690A36" w14:paraId="6277268A" w14:textId="77777777">
      <w:pPr>
        <w:pStyle w:val="ListParagraph"/>
        <w:jc w:val="both"/>
        <w:rPr>
          <w:sz w:val="22"/>
          <w:szCs w:val="22"/>
        </w:rPr>
      </w:pPr>
    </w:p>
    <w:p w:rsidR="00690A36" w:rsidP="00690A36" w:rsidRDefault="00690A36" w14:paraId="100E5D2B" w14:textId="77777777">
      <w:pPr>
        <w:pStyle w:val="ListParagraph"/>
        <w:numPr>
          <w:ilvl w:val="0"/>
          <w:numId w:val="28"/>
        </w:numPr>
        <w:jc w:val="both"/>
        <w:rPr>
          <w:sz w:val="22"/>
          <w:szCs w:val="22"/>
        </w:rPr>
      </w:pPr>
      <w:r w:rsidRPr="09A3F83C">
        <w:rPr>
          <w:sz w:val="22"/>
          <w:szCs w:val="22"/>
        </w:rPr>
        <w:t xml:space="preserve">With regard to </w:t>
      </w:r>
      <w:r w:rsidRPr="09A3F83C">
        <w:rPr>
          <w:b/>
          <w:sz w:val="22"/>
          <w:szCs w:val="22"/>
        </w:rPr>
        <w:t>private sector engagement,</w:t>
      </w:r>
      <w:r w:rsidRPr="09A3F83C">
        <w:rPr>
          <w:sz w:val="22"/>
          <w:szCs w:val="22"/>
        </w:rPr>
        <w:t xml:space="preserve"> in FY23, the FCPF continued to develop national and regional resources and trainings to advance sustainable production models across a wide range of land-use sectors, with a focus on cocoa, timber, and ecotourism. The FCPF’s cross-sectoral work</w:t>
      </w:r>
      <w:r w:rsidRPr="09A3F83C">
        <w:rPr>
          <w:b/>
          <w:sz w:val="22"/>
          <w:szCs w:val="22"/>
        </w:rPr>
        <w:t xml:space="preserve"> </w:t>
      </w:r>
      <w:r w:rsidRPr="09A3F83C">
        <w:rPr>
          <w:sz w:val="22"/>
          <w:szCs w:val="22"/>
        </w:rPr>
        <w:t>included advancing a programmatic approach to assess gaps and develop strategies for overcoming barriers that hinder private sector engagement in selected jurisdictions. Targeted partners in the implementation of this programmatic approach include the Cocoa &amp; Forests Initiative, the Global Roundtable for Sustainable Beef, and the Sustainable Vanilla and Nut Initiatives, as well as complementary forest-smart mining initiatives.</w:t>
      </w:r>
    </w:p>
    <w:p w:rsidR="00690A36" w:rsidP="00690A36" w:rsidRDefault="00690A36" w14:paraId="1218F6B7" w14:textId="77777777">
      <w:pPr>
        <w:pStyle w:val="ListParagraph"/>
        <w:jc w:val="both"/>
        <w:rPr>
          <w:sz w:val="22"/>
          <w:szCs w:val="22"/>
        </w:rPr>
      </w:pPr>
    </w:p>
    <w:p w:rsidRPr="00EE73AB" w:rsidR="00690A36" w:rsidP="00690A36" w:rsidRDefault="00690A36" w14:paraId="62BD97E1" w14:textId="3A35F90A">
      <w:pPr>
        <w:pStyle w:val="ListParagraph"/>
        <w:numPr>
          <w:ilvl w:val="0"/>
          <w:numId w:val="28"/>
        </w:numPr>
        <w:jc w:val="both"/>
        <w:rPr>
          <w:sz w:val="22"/>
          <w:szCs w:val="22"/>
        </w:rPr>
      </w:pPr>
      <w:r w:rsidRPr="09A3F83C">
        <w:rPr>
          <w:sz w:val="22"/>
          <w:szCs w:val="22"/>
        </w:rPr>
        <w:t xml:space="preserve">To deepen </w:t>
      </w:r>
      <w:r w:rsidRPr="09A3F83C">
        <w:rPr>
          <w:b/>
          <w:sz w:val="22"/>
          <w:szCs w:val="22"/>
        </w:rPr>
        <w:t>stakeholder engagement,</w:t>
      </w:r>
      <w:r w:rsidRPr="09A3F83C">
        <w:rPr>
          <w:sz w:val="22"/>
          <w:szCs w:val="22"/>
        </w:rPr>
        <w:t xml:space="preserve"> the FCPF and the World Bank’s EnABLE Fund collaborated on several initiatives in FY23, including a global webinar on a social inclusion strategy and action plan, as well as the second phase of the successful REDD+ podcast series </w:t>
      </w:r>
      <w:r w:rsidRPr="09A3F83C">
        <w:rPr>
          <w:i/>
          <w:sz w:val="22"/>
          <w:szCs w:val="22"/>
        </w:rPr>
        <w:t>Get REDDy</w:t>
      </w:r>
      <w:r w:rsidRPr="09A3F83C">
        <w:rPr>
          <w:sz w:val="22"/>
          <w:szCs w:val="22"/>
        </w:rPr>
        <w:t xml:space="preserve">. The series, which has reached an estimated 50 million people </w:t>
      </w:r>
      <w:r w:rsidRPr="18892D60" w:rsidR="01A19459">
        <w:rPr>
          <w:sz w:val="22"/>
          <w:szCs w:val="22"/>
        </w:rPr>
        <w:t>globally</w:t>
      </w:r>
      <w:r w:rsidRPr="09A3F83C">
        <w:rPr>
          <w:sz w:val="22"/>
          <w:szCs w:val="22"/>
        </w:rPr>
        <w:t>, shares accessible, easily understandable information and knowledge about climate change, REDD+, and results-based climate finance to help communities in their engagement with REDD+ programs and activities.</w:t>
      </w:r>
    </w:p>
    <w:p w:rsidR="003D222C" w:rsidP="004D5FD5" w:rsidRDefault="003D222C" w14:paraId="1B63C618" w14:textId="4396A74F">
      <w:pPr>
        <w:jc w:val="both"/>
        <w:rPr>
          <w:rFonts w:cs="Arial"/>
          <w:sz w:val="22"/>
          <w:szCs w:val="22"/>
        </w:rPr>
      </w:pPr>
    </w:p>
    <w:p w:rsidR="0099022D" w:rsidRDefault="0099022D" w14:paraId="6DC33183" w14:textId="77777777">
      <w:r>
        <w:br w:type="page"/>
      </w:r>
    </w:p>
    <w:tbl>
      <w:tblPr>
        <w:tblStyle w:val="TableGrid"/>
        <w:tblW w:w="0" w:type="auto"/>
        <w:tblLook w:val="04A0" w:firstRow="1" w:lastRow="0" w:firstColumn="1" w:lastColumn="0" w:noHBand="0" w:noVBand="1"/>
      </w:tblPr>
      <w:tblGrid>
        <w:gridCol w:w="9016"/>
      </w:tblGrid>
      <w:tr w:rsidR="00CB2873" w:rsidTr="00FC16A6" w14:paraId="406A1DDB" w14:textId="77777777">
        <w:tc>
          <w:tcPr>
            <w:tcW w:w="9016" w:type="dxa"/>
            <w:shd w:val="clear" w:color="auto" w:fill="DEEAF6" w:themeFill="accent5" w:themeFillTint="33"/>
          </w:tcPr>
          <w:p w:rsidR="00CB2873" w:rsidP="004D5FD5" w:rsidRDefault="00A95D0D" w14:paraId="5F18405D" w14:textId="39B8060E">
            <w:pPr>
              <w:jc w:val="both"/>
            </w:pPr>
            <w:bookmarkStart w:name="_Toc155945411" w:id="18"/>
            <w:r w:rsidRPr="00A95D0D">
              <w:rPr>
                <w:rStyle w:val="Heading1Char"/>
                <w:rFonts w:ascii="Arial" w:hAnsi="Arial" w:cs="Arial"/>
                <w:b/>
                <w:bCs/>
                <w:color w:val="auto"/>
              </w:rPr>
              <w:t>Section E: Risk</w:t>
            </w:r>
            <w:bookmarkEnd w:id="18"/>
            <w:r w:rsidRPr="00A95D0D">
              <w:t xml:space="preserve"> </w:t>
            </w:r>
          </w:p>
        </w:tc>
      </w:tr>
    </w:tbl>
    <w:p w:rsidRPr="00D80C6C" w:rsidR="003D222C" w:rsidP="004D5FD5" w:rsidRDefault="003D222C" w14:paraId="7D07A5C2" w14:textId="77777777">
      <w:pPr>
        <w:jc w:val="both"/>
        <w:rPr>
          <w:rFonts w:cs="Arial"/>
          <w:b/>
          <w:bCs/>
          <w:sz w:val="22"/>
          <w:szCs w:val="22"/>
        </w:rPr>
      </w:pPr>
    </w:p>
    <w:p w:rsidRPr="00D80C6C" w:rsidR="00B74143" w:rsidP="004D5FD5" w:rsidRDefault="00B74143" w14:paraId="7CBD3830" w14:textId="439FC10F">
      <w:pPr>
        <w:contextualSpacing/>
        <w:jc w:val="both"/>
        <w:rPr>
          <w:rFonts w:cs="Arial"/>
          <w:b/>
          <w:sz w:val="22"/>
          <w:szCs w:val="22"/>
        </w:rPr>
      </w:pPr>
      <w:bookmarkStart w:name="_Toc155945412" w:id="19"/>
      <w:r w:rsidRPr="007A3325">
        <w:rPr>
          <w:rStyle w:val="Heading2Char"/>
        </w:rPr>
        <w:t>Overall risk rating</w:t>
      </w:r>
      <w:bookmarkEnd w:id="19"/>
      <w:r w:rsidRPr="00D80C6C">
        <w:rPr>
          <w:rFonts w:cs="Arial"/>
          <w:b/>
          <w:bCs/>
          <w:sz w:val="22"/>
          <w:szCs w:val="22"/>
        </w:rPr>
        <w:t xml:space="preserve">:  </w:t>
      </w:r>
      <w:r w:rsidR="00690A36">
        <w:rPr>
          <w:rFonts w:cs="Arial"/>
          <w:b/>
          <w:bCs/>
          <w:sz w:val="22"/>
          <w:szCs w:val="22"/>
        </w:rPr>
        <w:t>Modera</w:t>
      </w:r>
      <w:r w:rsidR="00961417">
        <w:rPr>
          <w:rFonts w:cs="Arial"/>
          <w:b/>
          <w:bCs/>
          <w:sz w:val="22"/>
          <w:szCs w:val="22"/>
        </w:rPr>
        <w:t>t</w:t>
      </w:r>
      <w:r w:rsidR="00690A36">
        <w:rPr>
          <w:rFonts w:cs="Arial"/>
          <w:b/>
          <w:bCs/>
          <w:sz w:val="22"/>
          <w:szCs w:val="22"/>
        </w:rPr>
        <w:t>e</w:t>
      </w:r>
    </w:p>
    <w:p w:rsidR="00D0302B" w:rsidP="004D5FD5" w:rsidRDefault="00D0302B" w14:paraId="026FB9FF" w14:textId="77777777">
      <w:pPr>
        <w:contextualSpacing/>
        <w:jc w:val="both"/>
        <w:rPr>
          <w:rFonts w:cs="Arial"/>
          <w:sz w:val="22"/>
          <w:szCs w:val="22"/>
        </w:rPr>
      </w:pPr>
    </w:p>
    <w:tbl>
      <w:tblPr>
        <w:tblStyle w:val="TableGrid"/>
        <w:tblW w:w="9016" w:type="dxa"/>
        <w:jc w:val="center"/>
        <w:tblLook w:val="04A0" w:firstRow="1" w:lastRow="0" w:firstColumn="1" w:lastColumn="0" w:noHBand="0" w:noVBand="1"/>
      </w:tblPr>
      <w:tblGrid>
        <w:gridCol w:w="2689"/>
        <w:gridCol w:w="3118"/>
        <w:gridCol w:w="3209"/>
      </w:tblGrid>
      <w:tr w:rsidR="006821DF" w:rsidTr="728DCB0A" w14:paraId="177BACD3" w14:textId="77777777">
        <w:trPr>
          <w:jc w:val="center"/>
          <w:trHeight w:val="1005"/>
        </w:trPr>
        <w:tc>
          <w:tcPr>
            <w:tcW w:w="2689" w:type="dxa"/>
            <w:shd w:val="clear" w:color="auto" w:fill="D9E2F3" w:themeFill="accent1" w:themeFillTint="33"/>
            <w:tcMar/>
          </w:tcPr>
          <w:p w:rsidRPr="0024330A" w:rsidR="006821DF" w:rsidRDefault="006821DF" w14:paraId="728D0B47" w14:textId="77777777">
            <w:pPr>
              <w:contextualSpacing/>
              <w:rPr>
                <w:rFonts w:cs="Arial"/>
                <w:b/>
                <w:bCs/>
                <w:sz w:val="20"/>
                <w:szCs w:val="20"/>
              </w:rPr>
            </w:pPr>
            <w:r w:rsidRPr="0024330A">
              <w:rPr>
                <w:rFonts w:cs="Arial"/>
                <w:b/>
                <w:bCs/>
                <w:sz w:val="20"/>
                <w:szCs w:val="20"/>
              </w:rPr>
              <w:t xml:space="preserve">Risk description </w:t>
            </w:r>
          </w:p>
        </w:tc>
        <w:tc>
          <w:tcPr>
            <w:tcW w:w="3118" w:type="dxa"/>
            <w:shd w:val="clear" w:color="auto" w:fill="D9E2F3" w:themeFill="accent1" w:themeFillTint="33"/>
            <w:tcMar/>
          </w:tcPr>
          <w:p w:rsidRPr="0024330A" w:rsidR="006821DF" w:rsidRDefault="006821DF" w14:paraId="27F68733" w14:textId="77777777">
            <w:pPr>
              <w:contextualSpacing/>
              <w:rPr>
                <w:rFonts w:cs="Arial"/>
                <w:b/>
                <w:bCs/>
                <w:sz w:val="20"/>
                <w:szCs w:val="20"/>
              </w:rPr>
            </w:pPr>
            <w:r w:rsidRPr="0024330A">
              <w:rPr>
                <w:rFonts w:cs="Arial"/>
                <w:b/>
                <w:bCs/>
                <w:sz w:val="20"/>
                <w:szCs w:val="20"/>
              </w:rPr>
              <w:t xml:space="preserve">Mitigation strategy </w:t>
            </w:r>
          </w:p>
        </w:tc>
        <w:tc>
          <w:tcPr>
            <w:tcW w:w="3209" w:type="dxa"/>
            <w:shd w:val="clear" w:color="auto" w:fill="D9E2F3" w:themeFill="accent1" w:themeFillTint="33"/>
            <w:tcMar/>
          </w:tcPr>
          <w:p w:rsidRPr="0024330A" w:rsidR="006821DF" w:rsidRDefault="006821DF" w14:paraId="37AD895E" w14:textId="77777777">
            <w:pPr>
              <w:contextualSpacing/>
              <w:rPr>
                <w:rFonts w:cs="Arial"/>
                <w:b/>
                <w:bCs/>
                <w:sz w:val="20"/>
                <w:szCs w:val="20"/>
              </w:rPr>
            </w:pPr>
            <w:r w:rsidRPr="0024330A">
              <w:rPr>
                <w:rFonts w:cs="Arial"/>
                <w:b/>
                <w:bCs/>
                <w:sz w:val="20"/>
                <w:szCs w:val="20"/>
              </w:rPr>
              <w:t>Residual Risk rating</w:t>
            </w:r>
          </w:p>
        </w:tc>
      </w:tr>
      <w:tr w:rsidR="006821DF" w:rsidTr="728DCB0A" w14:paraId="01C3788C" w14:textId="77777777">
        <w:trPr>
          <w:jc w:val="center"/>
        </w:trPr>
        <w:tc>
          <w:tcPr>
            <w:tcW w:w="2689" w:type="dxa"/>
            <w:shd w:val="clear" w:color="auto" w:fill="auto"/>
            <w:tcMar/>
          </w:tcPr>
          <w:p w:rsidRPr="00DE17A8" w:rsidR="006821DF" w:rsidRDefault="006821DF" w14:paraId="7EA1CDAD" w14:textId="77777777">
            <w:pPr>
              <w:rPr>
                <w:rFonts w:cs="Arial"/>
                <w:color w:val="000000"/>
                <w:sz w:val="14"/>
                <w:szCs w:val="14"/>
              </w:rPr>
            </w:pPr>
            <w:r w:rsidRPr="00DE17A8">
              <w:rPr>
                <w:rStyle w:val="font581"/>
                <w:rFonts w:ascii="Arial" w:hAnsi="Arial" w:cs="Arial"/>
                <w:sz w:val="14"/>
                <w:szCs w:val="14"/>
              </w:rPr>
              <w:t xml:space="preserve">Conflict/political risks: </w:t>
            </w:r>
            <w:r w:rsidRPr="00DE17A8">
              <w:rPr>
                <w:rStyle w:val="font411"/>
                <w:rFonts w:ascii="Arial" w:hAnsi="Arial" w:cs="Arial"/>
                <w:sz w:val="14"/>
                <w:szCs w:val="14"/>
              </w:rPr>
              <w:t>Conflict in countries escalates or changes in political leadership or causes criticism/weakening of environmental protection legislation and/or reduces progress on avoiding deforestation and/or weakens progress of ERPs safeguards/FGRM/participation etc.</w:t>
            </w:r>
          </w:p>
          <w:p w:rsidRPr="00DE17A8" w:rsidR="006821DF" w:rsidRDefault="006821DF" w14:paraId="205C5A70" w14:textId="77777777">
            <w:pPr>
              <w:contextualSpacing/>
              <w:rPr>
                <w:rFonts w:cs="Arial"/>
                <w:sz w:val="14"/>
                <w:szCs w:val="14"/>
              </w:rPr>
            </w:pPr>
          </w:p>
        </w:tc>
        <w:tc>
          <w:tcPr>
            <w:tcW w:w="3118" w:type="dxa"/>
            <w:shd w:val="clear" w:color="auto" w:fill="auto"/>
            <w:tcMar/>
          </w:tcPr>
          <w:p w:rsidRPr="00DE17A8" w:rsidR="006821DF" w:rsidRDefault="006821DF" w14:paraId="12064671" w14:textId="77777777">
            <w:pPr>
              <w:contextualSpacing/>
              <w:rPr>
                <w:rFonts w:cs="Arial"/>
                <w:color w:val="000000" w:themeColor="text1"/>
                <w:sz w:val="14"/>
                <w:szCs w:val="14"/>
              </w:rPr>
            </w:pPr>
            <w:r w:rsidRPr="00DE17A8">
              <w:rPr>
                <w:rFonts w:cs="Arial"/>
                <w:color w:val="000000"/>
                <w:sz w:val="14"/>
                <w:szCs w:val="14"/>
                <w:shd w:val="clear" w:color="auto" w:fill="FFFFFF"/>
              </w:rPr>
              <w:t xml:space="preserve">Engage with Post and WB teams to understand and monitor local risks and challenges and how to ensure continuity through political transition. </w:t>
            </w:r>
          </w:p>
        </w:tc>
        <w:tc>
          <w:tcPr>
            <w:tcW w:w="3209" w:type="dxa"/>
            <w:shd w:val="clear" w:color="auto" w:fill="ED7D31" w:themeFill="accent2"/>
            <w:tcMar/>
          </w:tcPr>
          <w:p w:rsidRPr="00DE17A8" w:rsidR="006821DF" w:rsidRDefault="006821DF" w14:paraId="15C92908" w14:textId="77777777">
            <w:pPr>
              <w:contextualSpacing/>
              <w:rPr>
                <w:rFonts w:cs="Arial"/>
                <w:b/>
                <w:bCs/>
                <w:sz w:val="14"/>
                <w:szCs w:val="14"/>
              </w:rPr>
            </w:pPr>
            <w:r w:rsidRPr="00DE17A8">
              <w:rPr>
                <w:rFonts w:cs="Arial"/>
                <w:b/>
                <w:bCs/>
                <w:sz w:val="14"/>
                <w:szCs w:val="14"/>
              </w:rPr>
              <w:t>Major</w:t>
            </w:r>
          </w:p>
          <w:p w:rsidRPr="00DE17A8" w:rsidR="006821DF" w:rsidRDefault="006821DF" w14:paraId="6137D26C" w14:textId="77777777">
            <w:pPr>
              <w:contextualSpacing/>
              <w:rPr>
                <w:rFonts w:cs="Arial"/>
                <w:b/>
                <w:bCs/>
                <w:sz w:val="14"/>
                <w:szCs w:val="14"/>
              </w:rPr>
            </w:pPr>
          </w:p>
          <w:p w:rsidRPr="00DE17A8" w:rsidR="006821DF" w:rsidRDefault="006821DF" w14:paraId="08C21500" w14:textId="77777777">
            <w:pPr>
              <w:contextualSpacing/>
              <w:rPr>
                <w:rFonts w:cs="Arial"/>
                <w:sz w:val="14"/>
                <w:szCs w:val="14"/>
              </w:rPr>
            </w:pPr>
            <w:r w:rsidRPr="00DE17A8">
              <w:rPr>
                <w:rFonts w:cs="Arial"/>
                <w:sz w:val="14"/>
                <w:szCs w:val="14"/>
              </w:rPr>
              <w:t>This continues to be major as country political/conflict situations can change rapidly and impact on ability to deliver on ERPAs. Experience in the programme shows what a significant impact political events (in particular) can have upon implementation progress.</w:t>
            </w:r>
          </w:p>
          <w:p w:rsidRPr="00DE17A8" w:rsidR="00BD0CA4" w:rsidRDefault="00BD0CA4" w14:paraId="04F336D6" w14:textId="77777777">
            <w:pPr>
              <w:contextualSpacing/>
              <w:rPr>
                <w:rFonts w:cs="Arial"/>
                <w:sz w:val="14"/>
                <w:szCs w:val="14"/>
              </w:rPr>
            </w:pPr>
          </w:p>
          <w:p w:rsidRPr="00DE17A8" w:rsidR="00BD0CA4" w:rsidRDefault="00BD0CA4" w14:paraId="3590741E" w14:textId="042299F8">
            <w:pPr>
              <w:contextualSpacing/>
              <w:rPr>
                <w:rFonts w:cs="Arial"/>
                <w:sz w:val="14"/>
                <w:szCs w:val="14"/>
              </w:rPr>
            </w:pPr>
            <w:r w:rsidRPr="00DE17A8">
              <w:rPr>
                <w:rFonts w:cs="Arial"/>
                <w:sz w:val="14"/>
                <w:szCs w:val="14"/>
              </w:rPr>
              <w:t>No change in risk rating from last year</w:t>
            </w:r>
          </w:p>
        </w:tc>
      </w:tr>
      <w:tr w:rsidR="006821DF" w:rsidTr="728DCB0A" w14:paraId="47A579A5" w14:textId="77777777">
        <w:trPr>
          <w:jc w:val="center"/>
        </w:trPr>
        <w:tc>
          <w:tcPr>
            <w:tcW w:w="2689" w:type="dxa"/>
            <w:shd w:val="clear" w:color="auto" w:fill="auto"/>
            <w:tcMar/>
          </w:tcPr>
          <w:p w:rsidRPr="00DE17A8" w:rsidR="006821DF" w:rsidRDefault="006821DF" w14:paraId="42F43793" w14:textId="77777777">
            <w:pPr>
              <w:spacing w:after="240"/>
              <w:rPr>
                <w:rFonts w:cs="Arial"/>
                <w:color w:val="000000"/>
                <w:sz w:val="14"/>
                <w:szCs w:val="14"/>
              </w:rPr>
            </w:pPr>
            <w:r w:rsidRPr="00DE17A8">
              <w:rPr>
                <w:rStyle w:val="font581"/>
                <w:rFonts w:ascii="Arial" w:hAnsi="Arial" w:cs="Arial"/>
                <w:sz w:val="14"/>
                <w:szCs w:val="14"/>
              </w:rPr>
              <w:t xml:space="preserve">Underspend risk and delivery sufficiency - </w:t>
            </w:r>
            <w:r w:rsidRPr="00DE17A8">
              <w:rPr>
                <w:rStyle w:val="font411"/>
                <w:rFonts w:ascii="Arial" w:hAnsi="Arial" w:cs="Arial"/>
                <w:sz w:val="14"/>
                <w:szCs w:val="14"/>
              </w:rPr>
              <w:t>Countries do not deliver on their ERPAs and do not deliver sufficient emissions reductions resulting in underspend in CF pipeline.</w:t>
            </w:r>
          </w:p>
          <w:p w:rsidRPr="00DE17A8" w:rsidR="006821DF" w:rsidRDefault="006821DF" w14:paraId="2E04DC65" w14:textId="77777777">
            <w:pPr>
              <w:rPr>
                <w:rStyle w:val="font581"/>
                <w:rFonts w:ascii="Arial" w:hAnsi="Arial" w:cs="Arial"/>
                <w:sz w:val="14"/>
                <w:szCs w:val="14"/>
              </w:rPr>
            </w:pPr>
          </w:p>
        </w:tc>
        <w:tc>
          <w:tcPr>
            <w:tcW w:w="3118" w:type="dxa"/>
            <w:shd w:val="clear" w:color="auto" w:fill="auto"/>
            <w:tcMar/>
          </w:tcPr>
          <w:p w:rsidRPr="00DE17A8" w:rsidR="006821DF" w:rsidRDefault="006821DF" w14:paraId="0B87DEF1" w14:textId="77777777">
            <w:pPr>
              <w:rPr>
                <w:rFonts w:cs="Arial"/>
                <w:color w:val="000000"/>
                <w:sz w:val="14"/>
                <w:szCs w:val="14"/>
              </w:rPr>
            </w:pPr>
            <w:r w:rsidRPr="00DE17A8">
              <w:rPr>
                <w:rFonts w:cs="Arial"/>
                <w:color w:val="000000"/>
                <w:sz w:val="14"/>
                <w:szCs w:val="14"/>
              </w:rPr>
              <w:t>The Carbon Fund was extended to 2025 in April 2015. Part of the rationale for this extension was to improve the likelihood of programmes delivering the full volume of ERs. Milestones and associated deadlines have been agreed and countries should be encouraged to progress swiftly through the Carbon Fund process. A Jan 2021 deadline was set for all country's ERPA signatures, which encouraged a steep uptick in progress of signed ERPAs in FY21.</w:t>
            </w:r>
            <w:r w:rsidRPr="00DE17A8">
              <w:rPr>
                <w:rFonts w:cs="Arial"/>
                <w:color w:val="000000"/>
                <w:sz w:val="14"/>
                <w:szCs w:val="14"/>
              </w:rPr>
              <w:br/>
            </w:r>
            <w:r w:rsidRPr="00DE17A8">
              <w:rPr>
                <w:rFonts w:cs="Arial"/>
                <w:color w:val="000000"/>
                <w:sz w:val="14"/>
                <w:szCs w:val="14"/>
              </w:rPr>
              <w:br/>
            </w:r>
            <w:r w:rsidRPr="00DE17A8">
              <w:rPr>
                <w:rFonts w:cs="Arial"/>
                <w:color w:val="000000"/>
                <w:sz w:val="14"/>
                <w:szCs w:val="14"/>
              </w:rPr>
              <w:t xml:space="preserve">Risk response approach and driving milestones dependent on WB providing information to BEIS in monthly portfolio reports, which we are monitoring. </w:t>
            </w:r>
            <w:r w:rsidRPr="00DE17A8">
              <w:rPr>
                <w:rFonts w:cs="Arial"/>
                <w:color w:val="000000"/>
                <w:sz w:val="14"/>
                <w:szCs w:val="14"/>
              </w:rPr>
              <w:br/>
            </w:r>
            <w:r w:rsidRPr="00DE17A8">
              <w:rPr>
                <w:rFonts w:cs="Arial"/>
                <w:color w:val="000000"/>
                <w:sz w:val="14"/>
                <w:szCs w:val="14"/>
              </w:rPr>
              <w:br/>
            </w:r>
            <w:r w:rsidRPr="00DE17A8">
              <w:rPr>
                <w:rFonts w:cs="Arial"/>
                <w:color w:val="000000"/>
                <w:sz w:val="14"/>
                <w:szCs w:val="14"/>
              </w:rPr>
              <w:t>Work with committed host countries that are prepared to contribute resources to the programme. Work with Post to monitor and action country risks.</w:t>
            </w:r>
          </w:p>
          <w:p w:rsidRPr="00DE17A8" w:rsidR="006821DF" w:rsidP="728DCB0A" w:rsidRDefault="006821DF" w14:paraId="1EF3BF92" w14:textId="0C239A48">
            <w:pPr>
              <w:spacing/>
              <w:contextualSpacing/>
              <w:rPr>
                <w:rFonts w:cs="Arial"/>
                <w:b w:val="1"/>
                <w:bCs w:val="1"/>
                <w:sz w:val="14"/>
                <w:szCs w:val="14"/>
              </w:rPr>
            </w:pPr>
          </w:p>
          <w:p w:rsidRPr="00DE17A8" w:rsidR="006821DF" w:rsidP="728DCB0A" w:rsidRDefault="006821DF" w14:paraId="76808BA1" w14:textId="4C50BF1A">
            <w:pPr>
              <w:spacing/>
              <w:contextualSpacing/>
              <w:rPr>
                <w:rFonts w:cs="Arial"/>
                <w:b w:val="0"/>
                <w:bCs w:val="0"/>
                <w:sz w:val="14"/>
                <w:szCs w:val="14"/>
              </w:rPr>
            </w:pPr>
            <w:r w:rsidRPr="728DCB0A" w:rsidR="38C73E36">
              <w:rPr>
                <w:rFonts w:cs="Arial"/>
                <w:b w:val="0"/>
                <w:bCs w:val="0"/>
                <w:sz w:val="14"/>
                <w:szCs w:val="14"/>
              </w:rPr>
              <w:t xml:space="preserve">Call Options (excess ERs) can be exercised for countries that produce these </w:t>
            </w:r>
            <w:r w:rsidRPr="728DCB0A" w:rsidR="38C73E36">
              <w:rPr>
                <w:rFonts w:cs="Arial"/>
                <w:b w:val="0"/>
                <w:bCs w:val="0"/>
                <w:sz w:val="14"/>
                <w:szCs w:val="14"/>
              </w:rPr>
              <w:t>additional</w:t>
            </w:r>
            <w:r w:rsidRPr="728DCB0A" w:rsidR="38C73E36">
              <w:rPr>
                <w:rFonts w:cs="Arial"/>
                <w:b w:val="0"/>
                <w:bCs w:val="0"/>
                <w:sz w:val="14"/>
                <w:szCs w:val="14"/>
              </w:rPr>
              <w:t xml:space="preserve"> ERs. We will </w:t>
            </w:r>
            <w:r w:rsidRPr="728DCB0A" w:rsidR="38C73E36">
              <w:rPr>
                <w:rFonts w:cs="Arial"/>
                <w:b w:val="0"/>
                <w:bCs w:val="0"/>
                <w:sz w:val="14"/>
                <w:szCs w:val="14"/>
              </w:rPr>
              <w:t>determine</w:t>
            </w:r>
            <w:r w:rsidRPr="728DCB0A" w:rsidR="38C73E36">
              <w:rPr>
                <w:rFonts w:cs="Arial"/>
                <w:b w:val="0"/>
                <w:bCs w:val="0"/>
                <w:sz w:val="14"/>
                <w:szCs w:val="14"/>
              </w:rPr>
              <w:t xml:space="preserve"> these case by </w:t>
            </w:r>
            <w:r w:rsidRPr="728DCB0A" w:rsidR="38C73E36">
              <w:rPr>
                <w:rFonts w:cs="Arial"/>
                <w:b w:val="0"/>
                <w:bCs w:val="0"/>
                <w:sz w:val="14"/>
                <w:szCs w:val="14"/>
              </w:rPr>
              <w:t>case</w:t>
            </w:r>
            <w:r w:rsidRPr="728DCB0A" w:rsidR="38C73E36">
              <w:rPr>
                <w:rFonts w:cs="Arial"/>
                <w:b w:val="0"/>
                <w:bCs w:val="0"/>
                <w:sz w:val="14"/>
                <w:szCs w:val="14"/>
              </w:rPr>
              <w:t xml:space="preserve"> but these can be used as a mechanism to manage underspend (i.e., </w:t>
            </w:r>
            <w:r w:rsidRPr="728DCB0A" w:rsidR="38C73E36">
              <w:rPr>
                <w:rFonts w:cs="Arial"/>
                <w:b w:val="0"/>
                <w:bCs w:val="0"/>
                <w:sz w:val="14"/>
                <w:szCs w:val="14"/>
              </w:rPr>
              <w:t>purchasing</w:t>
            </w:r>
            <w:r w:rsidRPr="728DCB0A" w:rsidR="38C73E36">
              <w:rPr>
                <w:rFonts w:cs="Arial"/>
                <w:b w:val="0"/>
                <w:bCs w:val="0"/>
                <w:sz w:val="14"/>
                <w:szCs w:val="14"/>
              </w:rPr>
              <w:t xml:space="preserve"> excess ERs where these are produced, to account for </w:t>
            </w:r>
            <w:r w:rsidRPr="728DCB0A" w:rsidR="38C73E36">
              <w:rPr>
                <w:rFonts w:cs="Arial"/>
                <w:b w:val="0"/>
                <w:bCs w:val="0"/>
                <w:sz w:val="14"/>
                <w:szCs w:val="14"/>
              </w:rPr>
              <w:t>underdelivery</w:t>
            </w:r>
            <w:r w:rsidRPr="728DCB0A" w:rsidR="38C73E36">
              <w:rPr>
                <w:rFonts w:cs="Arial"/>
                <w:b w:val="0"/>
                <w:bCs w:val="0"/>
                <w:sz w:val="14"/>
                <w:szCs w:val="14"/>
              </w:rPr>
              <w:t xml:space="preserve"> elsewhere).</w:t>
            </w:r>
          </w:p>
        </w:tc>
        <w:tc>
          <w:tcPr>
            <w:tcW w:w="3209" w:type="dxa"/>
            <w:shd w:val="clear" w:color="auto" w:fill="FFC000" w:themeFill="accent4"/>
            <w:tcMar/>
          </w:tcPr>
          <w:p w:rsidRPr="00DE17A8" w:rsidR="006821DF" w:rsidRDefault="006821DF" w14:paraId="3C7995A7" w14:textId="77777777">
            <w:pPr>
              <w:contextualSpacing/>
              <w:rPr>
                <w:rFonts w:cs="Arial"/>
                <w:b/>
                <w:bCs/>
                <w:sz w:val="14"/>
                <w:szCs w:val="14"/>
              </w:rPr>
            </w:pPr>
            <w:r w:rsidRPr="00DE17A8">
              <w:rPr>
                <w:rFonts w:cs="Arial"/>
                <w:b/>
                <w:bCs/>
                <w:sz w:val="14"/>
                <w:szCs w:val="14"/>
              </w:rPr>
              <w:t xml:space="preserve">Moderate </w:t>
            </w:r>
          </w:p>
          <w:p w:rsidRPr="00DE17A8" w:rsidR="006821DF" w:rsidRDefault="006821DF" w14:paraId="1F6EEC61" w14:textId="77777777">
            <w:pPr>
              <w:contextualSpacing/>
              <w:rPr>
                <w:rFonts w:cs="Arial"/>
                <w:b/>
                <w:bCs/>
                <w:sz w:val="14"/>
                <w:szCs w:val="14"/>
              </w:rPr>
            </w:pPr>
          </w:p>
          <w:p w:rsidRPr="00DE17A8" w:rsidR="006821DF" w:rsidRDefault="006821DF" w14:paraId="7D6F0E5D" w14:textId="34CB1142">
            <w:pPr>
              <w:contextualSpacing/>
              <w:rPr>
                <w:rFonts w:cs="Arial"/>
                <w:sz w:val="14"/>
                <w:szCs w:val="14"/>
              </w:rPr>
            </w:pPr>
            <w:r w:rsidRPr="00DE17A8">
              <w:rPr>
                <w:rFonts w:cs="Arial"/>
                <w:sz w:val="14"/>
                <w:szCs w:val="14"/>
              </w:rPr>
              <w:t>In FY22/23, all 15 countries had signed ERPAs. With donor funding, $788.1</w:t>
            </w:r>
            <w:r w:rsidRPr="00DE17A8" w:rsidR="00961417">
              <w:rPr>
                <w:rFonts w:cs="Arial"/>
                <w:sz w:val="14"/>
                <w:szCs w:val="14"/>
              </w:rPr>
              <w:t>m</w:t>
            </w:r>
            <w:r w:rsidRPr="00DE17A8">
              <w:rPr>
                <w:rFonts w:cs="Arial"/>
                <w:sz w:val="14"/>
                <w:szCs w:val="14"/>
              </w:rPr>
              <w:t xml:space="preserve"> is available for purchases for ERs. The total portfolio or ERPAs is $721.3m. Therefore, the funding is not fully committed, however, we continue to work with WB to consider ways of managing this underspend risk, including the use of call options (purchases of excess ERs from over-performing countries). </w:t>
            </w:r>
          </w:p>
          <w:p w:rsidRPr="00DE17A8" w:rsidR="006821DF" w:rsidRDefault="006821DF" w14:paraId="288710C7" w14:textId="77777777">
            <w:pPr>
              <w:contextualSpacing/>
              <w:rPr>
                <w:rFonts w:cs="Arial"/>
                <w:sz w:val="14"/>
                <w:szCs w:val="14"/>
              </w:rPr>
            </w:pPr>
            <w:r w:rsidRPr="00DE17A8">
              <w:rPr>
                <w:rFonts w:cs="Arial"/>
                <w:sz w:val="14"/>
                <w:szCs w:val="14"/>
              </w:rPr>
              <w:t xml:space="preserve">The World Bank provides delivery risk assessment presentations at least twice a year, which will become more accurate as models update with real figures of ERs. However, in FY23, they are updating the delivery model given that all ER Programmes are now being implemented and there is additional evidence. Results will be shared in January 2024. </w:t>
            </w:r>
          </w:p>
          <w:p w:rsidRPr="00DE17A8" w:rsidR="006821DF" w:rsidRDefault="006821DF" w14:paraId="7E6A2AF3" w14:textId="77777777">
            <w:pPr>
              <w:contextualSpacing/>
              <w:rPr>
                <w:rFonts w:cs="Arial"/>
                <w:sz w:val="14"/>
                <w:szCs w:val="14"/>
              </w:rPr>
            </w:pPr>
          </w:p>
          <w:p w:rsidRPr="00DE17A8" w:rsidR="00BD0CA4" w:rsidRDefault="00BD0CA4" w14:paraId="609B7A08" w14:textId="57AF6268">
            <w:pPr>
              <w:contextualSpacing/>
              <w:rPr>
                <w:rFonts w:cs="Arial"/>
                <w:sz w:val="14"/>
                <w:szCs w:val="14"/>
              </w:rPr>
            </w:pPr>
            <w:r w:rsidRPr="00DE17A8">
              <w:rPr>
                <w:rFonts w:cs="Arial"/>
                <w:sz w:val="14"/>
                <w:szCs w:val="14"/>
              </w:rPr>
              <w:t>No change in risk rating from last year</w:t>
            </w:r>
          </w:p>
        </w:tc>
      </w:tr>
      <w:tr w:rsidR="006821DF" w:rsidTr="728DCB0A" w14:paraId="4BCFBEC2" w14:textId="77777777">
        <w:trPr>
          <w:jc w:val="center"/>
        </w:trPr>
        <w:tc>
          <w:tcPr>
            <w:tcW w:w="2689" w:type="dxa"/>
            <w:shd w:val="clear" w:color="auto" w:fill="auto"/>
            <w:tcMar/>
          </w:tcPr>
          <w:p w:rsidRPr="00DE17A8" w:rsidR="006821DF" w:rsidRDefault="006821DF" w14:paraId="323888A2" w14:textId="62BE40C7">
            <w:pPr>
              <w:rPr>
                <w:rFonts w:cs="Arial"/>
                <w:color w:val="000000"/>
                <w:sz w:val="14"/>
                <w:szCs w:val="14"/>
              </w:rPr>
            </w:pPr>
            <w:r w:rsidRPr="00DE17A8">
              <w:rPr>
                <w:rStyle w:val="font581"/>
                <w:rFonts w:ascii="Arial" w:hAnsi="Arial" w:cs="Arial"/>
                <w:sz w:val="14"/>
                <w:szCs w:val="14"/>
              </w:rPr>
              <w:t xml:space="preserve">Delivery delays </w:t>
            </w:r>
            <w:r w:rsidRPr="00DE17A8" w:rsidR="00BD0CA4">
              <w:rPr>
                <w:rStyle w:val="font581"/>
                <w:rFonts w:ascii="Arial" w:hAnsi="Arial" w:cs="Arial"/>
                <w:sz w:val="14"/>
                <w:szCs w:val="14"/>
              </w:rPr>
              <w:t>–</w:t>
            </w:r>
            <w:r w:rsidRPr="00DE17A8">
              <w:rPr>
                <w:rStyle w:val="font581"/>
                <w:rFonts w:ascii="Arial" w:hAnsi="Arial" w:cs="Arial"/>
                <w:sz w:val="14"/>
                <w:szCs w:val="14"/>
              </w:rPr>
              <w:t xml:space="preserve"> </w:t>
            </w:r>
            <w:r w:rsidRPr="00DE17A8">
              <w:rPr>
                <w:rStyle w:val="font411"/>
                <w:rFonts w:ascii="Arial" w:hAnsi="Arial" w:cs="Arial"/>
                <w:sz w:val="14"/>
                <w:szCs w:val="14"/>
              </w:rPr>
              <w:t xml:space="preserve">Attrition, quality concerns, negotiation failures or external factors cause delays or lack of ERPA signatures, delays in milestone reports, insufficient ERPAs, resulting in insufficient ERPDs being operationalised and full capitalisation of Fund is not absorbed. </w:t>
            </w:r>
            <w:r w:rsidRPr="00DE17A8">
              <w:rPr>
                <w:rFonts w:cs="Arial"/>
                <w:color w:val="000000"/>
                <w:sz w:val="14"/>
                <w:szCs w:val="14"/>
              </w:rPr>
              <w:br/>
            </w:r>
            <w:r w:rsidRPr="00DE17A8">
              <w:rPr>
                <w:rFonts w:cs="Arial"/>
                <w:color w:val="000000"/>
                <w:sz w:val="14"/>
                <w:szCs w:val="14"/>
              </w:rPr>
              <w:br/>
            </w:r>
          </w:p>
          <w:p w:rsidRPr="00DE17A8" w:rsidR="006821DF" w:rsidRDefault="006821DF" w14:paraId="3DDE7296" w14:textId="77777777">
            <w:pPr>
              <w:rPr>
                <w:rStyle w:val="font581"/>
                <w:rFonts w:ascii="Arial" w:hAnsi="Arial" w:cs="Arial"/>
                <w:sz w:val="14"/>
                <w:szCs w:val="14"/>
              </w:rPr>
            </w:pPr>
          </w:p>
        </w:tc>
        <w:tc>
          <w:tcPr>
            <w:tcW w:w="3118" w:type="dxa"/>
            <w:shd w:val="clear" w:color="auto" w:fill="auto"/>
            <w:tcMar/>
          </w:tcPr>
          <w:p w:rsidRPr="00DE17A8" w:rsidR="006821DF" w:rsidRDefault="006821DF" w14:paraId="19DEC620" w14:textId="77777777">
            <w:pPr>
              <w:rPr>
                <w:rFonts w:cs="Arial"/>
                <w:color w:val="000000"/>
                <w:sz w:val="14"/>
                <w:szCs w:val="14"/>
              </w:rPr>
            </w:pPr>
            <w:r w:rsidRPr="00DE17A8">
              <w:rPr>
                <w:rFonts w:cs="Arial"/>
                <w:color w:val="000000"/>
                <w:sz w:val="14"/>
                <w:szCs w:val="14"/>
              </w:rPr>
              <w:t>The Carbon Fund was over programmed (18 programmes in pipeline, reduced to 17 when Mexico has withdrawn, and reduced to 15 when Peru and Nicaragua cancelled) and the pipeline is diverse.</w:t>
            </w:r>
            <w:r w:rsidRPr="00DE17A8">
              <w:rPr>
                <w:rFonts w:cs="Arial"/>
                <w:color w:val="000000"/>
                <w:sz w:val="14"/>
                <w:szCs w:val="14"/>
              </w:rPr>
              <w:br/>
            </w:r>
            <w:r w:rsidRPr="00DE17A8">
              <w:rPr>
                <w:rFonts w:cs="Arial"/>
                <w:color w:val="000000"/>
                <w:sz w:val="14"/>
                <w:szCs w:val="14"/>
              </w:rPr>
              <w:br/>
            </w:r>
            <w:r w:rsidRPr="00DE17A8">
              <w:rPr>
                <w:rFonts w:cs="Arial"/>
                <w:color w:val="000000"/>
                <w:sz w:val="14"/>
                <w:szCs w:val="14"/>
              </w:rPr>
              <w:t xml:space="preserve">FMT should raise early any issues which may increase the need for CFPs to resource an ERPA negotiation. FMT have also issued guidance on Benefits Sharing Plans, which we continue to assess. </w:t>
            </w:r>
          </w:p>
          <w:p w:rsidRPr="00DE17A8" w:rsidR="006821DF" w:rsidRDefault="006821DF" w14:paraId="1263871B" w14:textId="77777777">
            <w:pPr>
              <w:contextualSpacing/>
              <w:rPr>
                <w:rFonts w:cs="Arial"/>
                <w:b/>
                <w:bCs/>
                <w:sz w:val="14"/>
                <w:szCs w:val="14"/>
              </w:rPr>
            </w:pPr>
          </w:p>
        </w:tc>
        <w:tc>
          <w:tcPr>
            <w:tcW w:w="3209" w:type="dxa"/>
            <w:shd w:val="clear" w:color="auto" w:fill="FFC000" w:themeFill="accent4"/>
            <w:tcMar/>
          </w:tcPr>
          <w:p w:rsidRPr="00DE17A8" w:rsidR="006821DF" w:rsidRDefault="006821DF" w14:paraId="0F42C33F" w14:textId="77777777">
            <w:pPr>
              <w:contextualSpacing/>
              <w:rPr>
                <w:rFonts w:cs="Arial"/>
                <w:b/>
                <w:bCs/>
                <w:sz w:val="14"/>
                <w:szCs w:val="14"/>
              </w:rPr>
            </w:pPr>
            <w:r w:rsidRPr="00DE17A8">
              <w:rPr>
                <w:rFonts w:cs="Arial"/>
                <w:b/>
                <w:bCs/>
                <w:sz w:val="14"/>
                <w:szCs w:val="14"/>
              </w:rPr>
              <w:t>Moderate</w:t>
            </w:r>
          </w:p>
          <w:p w:rsidRPr="00DE17A8" w:rsidR="006821DF" w:rsidRDefault="006821DF" w14:paraId="0F48F05A" w14:textId="77777777">
            <w:pPr>
              <w:contextualSpacing/>
              <w:rPr>
                <w:rFonts w:cs="Arial"/>
                <w:b/>
                <w:bCs/>
                <w:sz w:val="14"/>
                <w:szCs w:val="14"/>
              </w:rPr>
            </w:pPr>
          </w:p>
          <w:p w:rsidRPr="00DE17A8" w:rsidR="006821DF" w:rsidRDefault="006821DF" w14:paraId="7C396377" w14:textId="77777777">
            <w:pPr>
              <w:contextualSpacing/>
              <w:rPr>
                <w:rFonts w:cs="Arial"/>
                <w:color w:val="000000"/>
                <w:sz w:val="14"/>
                <w:szCs w:val="14"/>
              </w:rPr>
            </w:pPr>
            <w:r w:rsidRPr="00DE17A8">
              <w:rPr>
                <w:rFonts w:cs="Arial"/>
                <w:color w:val="000000"/>
                <w:sz w:val="14"/>
                <w:szCs w:val="14"/>
              </w:rPr>
              <w:t>While all ERPAs have now been negotiated, risk remains high. Conditions of effectiveness have been met in all countries, and countries are submitting Monitoring Reports and beginning to receive payments. However, delivery timelines are at risk, with the fund drawing to an end in 2025. Conversations have commenced on a possible extension – these decisions need to be made soon.</w:t>
            </w:r>
          </w:p>
          <w:p w:rsidRPr="00DE17A8" w:rsidR="00BD0CA4" w:rsidRDefault="00BD0CA4" w14:paraId="4F5C8C9C" w14:textId="77777777">
            <w:pPr>
              <w:contextualSpacing/>
              <w:rPr>
                <w:rFonts w:cs="Arial"/>
                <w:color w:val="000000"/>
                <w:sz w:val="14"/>
                <w:szCs w:val="14"/>
              </w:rPr>
            </w:pPr>
          </w:p>
          <w:p w:rsidRPr="00DE17A8" w:rsidR="006821DF" w:rsidRDefault="00BD0CA4" w14:paraId="40A9C3F7" w14:textId="6A866618">
            <w:pPr>
              <w:contextualSpacing/>
              <w:rPr>
                <w:rFonts w:cs="Arial"/>
                <w:sz w:val="14"/>
                <w:szCs w:val="14"/>
              </w:rPr>
            </w:pPr>
            <w:r w:rsidRPr="00DE17A8">
              <w:rPr>
                <w:rFonts w:cs="Arial"/>
                <w:sz w:val="14"/>
                <w:szCs w:val="14"/>
              </w:rPr>
              <w:t>No change in risk rating from last year</w:t>
            </w:r>
          </w:p>
        </w:tc>
      </w:tr>
      <w:tr w:rsidR="006821DF" w:rsidTr="728DCB0A" w14:paraId="48F9D817" w14:textId="77777777">
        <w:trPr>
          <w:jc w:val="center"/>
        </w:trPr>
        <w:tc>
          <w:tcPr>
            <w:tcW w:w="2689" w:type="dxa"/>
            <w:shd w:val="clear" w:color="auto" w:fill="auto"/>
            <w:tcMar/>
          </w:tcPr>
          <w:p w:rsidRPr="00DE17A8" w:rsidR="006821DF" w:rsidRDefault="006821DF" w14:paraId="7BD6051F" w14:textId="77777777">
            <w:pPr>
              <w:rPr>
                <w:rFonts w:cs="Arial"/>
                <w:color w:val="000000"/>
                <w:sz w:val="14"/>
                <w:szCs w:val="14"/>
              </w:rPr>
            </w:pPr>
            <w:r w:rsidRPr="00DE17A8">
              <w:rPr>
                <w:rStyle w:val="font541"/>
                <w:rFonts w:ascii="Arial" w:hAnsi="Arial" w:cs="Arial"/>
                <w:sz w:val="14"/>
                <w:szCs w:val="14"/>
              </w:rPr>
              <w:t>Leakage (Programmatic risk)</w:t>
            </w:r>
            <w:r w:rsidRPr="00DE17A8">
              <w:rPr>
                <w:rFonts w:cs="Arial"/>
                <w:color w:val="000000"/>
                <w:sz w:val="14"/>
                <w:szCs w:val="14"/>
              </w:rPr>
              <w:br/>
            </w:r>
            <w:r w:rsidRPr="00DE17A8">
              <w:rPr>
                <w:rStyle w:val="font101"/>
                <w:rFonts w:ascii="Arial" w:hAnsi="Arial" w:cs="Arial"/>
                <w:sz w:val="14"/>
                <w:szCs w:val="14"/>
              </w:rPr>
              <w:t>Support for sustainable forestry and agriculture displaces unsustainable activities into other locations. Overall rates of deforestation remain high and the credibility of investments to reduce deforestation is impaired.</w:t>
            </w:r>
          </w:p>
          <w:p w:rsidRPr="00DE17A8" w:rsidR="006821DF" w:rsidRDefault="006821DF" w14:paraId="5C8F5EA3" w14:textId="77777777">
            <w:pPr>
              <w:rPr>
                <w:rStyle w:val="font581"/>
                <w:rFonts w:ascii="Arial" w:hAnsi="Arial" w:cs="Arial"/>
                <w:sz w:val="14"/>
                <w:szCs w:val="14"/>
              </w:rPr>
            </w:pPr>
          </w:p>
        </w:tc>
        <w:tc>
          <w:tcPr>
            <w:tcW w:w="3118" w:type="dxa"/>
            <w:shd w:val="clear" w:color="auto" w:fill="auto"/>
            <w:tcMar/>
          </w:tcPr>
          <w:p w:rsidRPr="00DE17A8" w:rsidR="006821DF" w:rsidRDefault="006821DF" w14:paraId="032E6E1B" w14:textId="77777777">
            <w:pPr>
              <w:rPr>
                <w:rFonts w:cs="Arial"/>
                <w:color w:val="000000"/>
                <w:sz w:val="14"/>
                <w:szCs w:val="14"/>
              </w:rPr>
            </w:pPr>
            <w:r w:rsidRPr="00DE17A8">
              <w:rPr>
                <w:rFonts w:cs="Arial"/>
                <w:color w:val="000000"/>
                <w:sz w:val="14"/>
                <w:szCs w:val="14"/>
              </w:rPr>
              <w:t>Leakage is a risk with all investments in climate change mitigation and reducing deforestation. Reducing leakage is part of a long-term mitigation strategy</w:t>
            </w:r>
            <w:r w:rsidRPr="00DE17A8">
              <w:rPr>
                <w:rFonts w:cs="Arial"/>
                <w:color w:val="000000"/>
                <w:sz w:val="14"/>
                <w:szCs w:val="14"/>
              </w:rPr>
              <w:br/>
            </w:r>
            <w:r w:rsidRPr="00DE17A8">
              <w:rPr>
                <w:rFonts w:cs="Arial"/>
                <w:color w:val="000000"/>
                <w:sz w:val="14"/>
                <w:szCs w:val="14"/>
              </w:rPr>
              <w:br/>
            </w:r>
            <w:r w:rsidRPr="00DE17A8">
              <w:rPr>
                <w:rFonts w:cs="Arial"/>
                <w:color w:val="000000"/>
                <w:sz w:val="14"/>
                <w:szCs w:val="14"/>
              </w:rPr>
              <w:t>Countries have buffer to allow for this (set aside ER)</w:t>
            </w:r>
          </w:p>
          <w:p w:rsidRPr="00DE17A8" w:rsidR="006821DF" w:rsidRDefault="006821DF" w14:paraId="2742C1F3" w14:textId="77777777">
            <w:pPr>
              <w:rPr>
                <w:rFonts w:cs="Arial"/>
                <w:color w:val="000000"/>
                <w:sz w:val="14"/>
                <w:szCs w:val="14"/>
              </w:rPr>
            </w:pPr>
          </w:p>
        </w:tc>
        <w:tc>
          <w:tcPr>
            <w:tcW w:w="3209" w:type="dxa"/>
            <w:shd w:val="clear" w:color="auto" w:fill="FFC000" w:themeFill="accent4"/>
            <w:tcMar/>
          </w:tcPr>
          <w:p w:rsidRPr="00DE17A8" w:rsidR="006821DF" w:rsidRDefault="006821DF" w14:paraId="47174D56" w14:textId="77777777">
            <w:pPr>
              <w:contextualSpacing/>
              <w:rPr>
                <w:rFonts w:cs="Arial"/>
                <w:b/>
                <w:bCs/>
                <w:sz w:val="14"/>
                <w:szCs w:val="14"/>
              </w:rPr>
            </w:pPr>
            <w:r w:rsidRPr="00DE17A8">
              <w:rPr>
                <w:rFonts w:cs="Arial"/>
                <w:b/>
                <w:bCs/>
                <w:sz w:val="14"/>
                <w:szCs w:val="14"/>
              </w:rPr>
              <w:t>Moderate</w:t>
            </w:r>
          </w:p>
          <w:p w:rsidRPr="00DE17A8" w:rsidR="006821DF" w:rsidRDefault="006821DF" w14:paraId="63FEC6B7" w14:textId="77777777">
            <w:pPr>
              <w:contextualSpacing/>
              <w:rPr>
                <w:rFonts w:cs="Arial"/>
                <w:b/>
                <w:bCs/>
                <w:sz w:val="14"/>
                <w:szCs w:val="14"/>
              </w:rPr>
            </w:pPr>
          </w:p>
          <w:p w:rsidRPr="00DE17A8" w:rsidR="006821DF" w:rsidRDefault="006821DF" w14:paraId="1B82CC11" w14:textId="77777777">
            <w:pPr>
              <w:rPr>
                <w:rFonts w:cs="Arial"/>
                <w:sz w:val="14"/>
                <w:szCs w:val="14"/>
              </w:rPr>
            </w:pPr>
            <w:r w:rsidRPr="00DE17A8">
              <w:rPr>
                <w:rFonts w:cs="Arial"/>
                <w:sz w:val="14"/>
                <w:szCs w:val="14"/>
              </w:rPr>
              <w:t>We continue to take leakage into account, particularly with ERPA implementation and considering buffer allocations.</w:t>
            </w:r>
          </w:p>
          <w:p w:rsidRPr="00DE17A8" w:rsidR="00BD0CA4" w:rsidRDefault="00BD0CA4" w14:paraId="2A10AADD" w14:textId="77777777">
            <w:pPr>
              <w:rPr>
                <w:rFonts w:cs="Arial"/>
                <w:sz w:val="14"/>
                <w:szCs w:val="14"/>
              </w:rPr>
            </w:pPr>
          </w:p>
          <w:p w:rsidRPr="00DE17A8" w:rsidR="00BD0CA4" w:rsidRDefault="00BD0CA4" w14:paraId="401A3897" w14:textId="41513E15">
            <w:pPr>
              <w:rPr>
                <w:rFonts w:cs="Arial"/>
                <w:sz w:val="14"/>
                <w:szCs w:val="14"/>
              </w:rPr>
            </w:pPr>
            <w:r w:rsidRPr="00DE17A8">
              <w:rPr>
                <w:rFonts w:cs="Arial"/>
                <w:sz w:val="14"/>
                <w:szCs w:val="14"/>
              </w:rPr>
              <w:t>No change in risk rating from last year</w:t>
            </w:r>
          </w:p>
        </w:tc>
      </w:tr>
      <w:tr w:rsidR="006821DF" w:rsidTr="728DCB0A" w14:paraId="217DEB99" w14:textId="77777777">
        <w:trPr>
          <w:jc w:val="center"/>
        </w:trPr>
        <w:tc>
          <w:tcPr>
            <w:tcW w:w="2689" w:type="dxa"/>
            <w:shd w:val="clear" w:color="auto" w:fill="auto"/>
            <w:tcMar/>
          </w:tcPr>
          <w:p w:rsidRPr="00DE17A8" w:rsidR="006821DF" w:rsidRDefault="006821DF" w14:paraId="33E3BF07" w14:textId="77777777">
            <w:pPr>
              <w:rPr>
                <w:rFonts w:cs="Arial"/>
                <w:color w:val="000000"/>
                <w:sz w:val="14"/>
                <w:szCs w:val="14"/>
              </w:rPr>
            </w:pPr>
            <w:r w:rsidRPr="00DE17A8">
              <w:rPr>
                <w:rStyle w:val="font581"/>
                <w:rFonts w:ascii="Arial" w:hAnsi="Arial" w:cs="Arial"/>
                <w:sz w:val="14"/>
                <w:szCs w:val="14"/>
              </w:rPr>
              <w:t>Fiduciary risk (Delivery risk)</w:t>
            </w:r>
            <w:r w:rsidRPr="00DE17A8">
              <w:rPr>
                <w:rFonts w:cs="Arial"/>
                <w:color w:val="000000"/>
                <w:sz w:val="14"/>
                <w:szCs w:val="14"/>
              </w:rPr>
              <w:br/>
            </w:r>
            <w:r w:rsidRPr="00DE17A8">
              <w:rPr>
                <w:rStyle w:val="font411"/>
                <w:rFonts w:ascii="Arial" w:hAnsi="Arial" w:cs="Arial"/>
                <w:sz w:val="14"/>
                <w:szCs w:val="14"/>
              </w:rPr>
              <w:t xml:space="preserve">Fraud or </w:t>
            </w:r>
            <w:proofErr w:type="spellStart"/>
            <w:r w:rsidRPr="00DE17A8">
              <w:rPr>
                <w:rStyle w:val="font411"/>
                <w:rFonts w:ascii="Arial" w:hAnsi="Arial" w:cs="Arial"/>
                <w:sz w:val="14"/>
                <w:szCs w:val="14"/>
              </w:rPr>
              <w:t>mispurposed</w:t>
            </w:r>
            <w:proofErr w:type="spellEnd"/>
            <w:r w:rsidRPr="00DE17A8">
              <w:rPr>
                <w:rStyle w:val="font411"/>
                <w:rFonts w:ascii="Arial" w:hAnsi="Arial" w:cs="Arial"/>
                <w:sz w:val="14"/>
                <w:szCs w:val="14"/>
              </w:rPr>
              <w:t xml:space="preserve"> funds - UK funds are not used for the intended purpose, resulting in fiduciary and reputation impacts or underperformance on due diligence and management of approaches limits the impact of the programme or carries risk of misuse of funds.</w:t>
            </w:r>
          </w:p>
          <w:p w:rsidRPr="00DE17A8" w:rsidR="006821DF" w:rsidRDefault="006821DF" w14:paraId="43242CC2" w14:textId="77777777">
            <w:pPr>
              <w:rPr>
                <w:rStyle w:val="font581"/>
                <w:rFonts w:ascii="Arial" w:hAnsi="Arial" w:cs="Arial"/>
                <w:sz w:val="14"/>
                <w:szCs w:val="14"/>
              </w:rPr>
            </w:pPr>
          </w:p>
        </w:tc>
        <w:tc>
          <w:tcPr>
            <w:tcW w:w="3118" w:type="dxa"/>
            <w:shd w:val="clear" w:color="auto" w:fill="auto"/>
            <w:tcMar/>
          </w:tcPr>
          <w:p w:rsidRPr="00DE17A8" w:rsidR="006821DF" w:rsidRDefault="006821DF" w14:paraId="5DD5F7AD" w14:textId="77777777">
            <w:pPr>
              <w:rPr>
                <w:rFonts w:cs="Arial"/>
                <w:color w:val="000000"/>
                <w:sz w:val="14"/>
                <w:szCs w:val="14"/>
              </w:rPr>
            </w:pPr>
            <w:r w:rsidRPr="00DE17A8">
              <w:rPr>
                <w:rFonts w:cs="Arial"/>
                <w:color w:val="000000"/>
                <w:sz w:val="14"/>
                <w:szCs w:val="14"/>
              </w:rPr>
              <w:t>Implementation through well-established MDB trust fund structures with respected fraud checks and balances.</w:t>
            </w:r>
            <w:r w:rsidRPr="00DE17A8">
              <w:rPr>
                <w:rFonts w:cs="Arial"/>
                <w:color w:val="000000"/>
                <w:sz w:val="14"/>
                <w:szCs w:val="14"/>
              </w:rPr>
              <w:br/>
            </w:r>
            <w:r w:rsidRPr="00DE17A8">
              <w:rPr>
                <w:rFonts w:cs="Arial"/>
                <w:color w:val="000000"/>
                <w:sz w:val="14"/>
                <w:szCs w:val="14"/>
              </w:rPr>
              <w:br/>
            </w:r>
            <w:r w:rsidRPr="00DE17A8">
              <w:rPr>
                <w:rFonts w:cs="Arial"/>
                <w:color w:val="000000"/>
                <w:sz w:val="14"/>
                <w:szCs w:val="14"/>
              </w:rPr>
              <w:t xml:space="preserve">a) The World Bank will independently verify emissions reductions before providing payment for results. </w:t>
            </w:r>
            <w:r w:rsidRPr="00DE17A8">
              <w:rPr>
                <w:rFonts w:cs="Arial"/>
                <w:color w:val="000000"/>
                <w:sz w:val="14"/>
                <w:szCs w:val="14"/>
              </w:rPr>
              <w:br/>
            </w:r>
            <w:r w:rsidRPr="00DE17A8">
              <w:rPr>
                <w:rFonts w:cs="Arial"/>
                <w:color w:val="000000"/>
                <w:sz w:val="14"/>
                <w:szCs w:val="14"/>
              </w:rPr>
              <w:t>b) All payments will be registered publicly to avoid overlap.</w:t>
            </w:r>
            <w:r w:rsidRPr="00DE17A8">
              <w:rPr>
                <w:rFonts w:cs="Arial"/>
                <w:color w:val="000000"/>
                <w:sz w:val="14"/>
                <w:szCs w:val="14"/>
              </w:rPr>
              <w:br/>
            </w:r>
            <w:r w:rsidRPr="00DE17A8">
              <w:rPr>
                <w:rFonts w:cs="Arial"/>
                <w:color w:val="000000"/>
                <w:sz w:val="14"/>
                <w:szCs w:val="14"/>
              </w:rPr>
              <w:t>c) Funds channelled according to agreed Benefits-Sharing Plans</w:t>
            </w:r>
          </w:p>
          <w:p w:rsidRPr="00DE17A8" w:rsidR="006821DF" w:rsidRDefault="006821DF" w14:paraId="748B8295" w14:textId="77777777">
            <w:pPr>
              <w:rPr>
                <w:rFonts w:cs="Arial"/>
                <w:b/>
                <w:bCs/>
                <w:sz w:val="14"/>
                <w:szCs w:val="14"/>
              </w:rPr>
            </w:pPr>
          </w:p>
        </w:tc>
        <w:tc>
          <w:tcPr>
            <w:tcW w:w="3209" w:type="dxa"/>
            <w:shd w:val="clear" w:color="auto" w:fill="70AD47" w:themeFill="accent6"/>
            <w:tcMar/>
          </w:tcPr>
          <w:p w:rsidRPr="00DE17A8" w:rsidR="006821DF" w:rsidRDefault="006821DF" w14:paraId="271D8D0F" w14:textId="77777777">
            <w:pPr>
              <w:contextualSpacing/>
              <w:rPr>
                <w:rFonts w:cs="Arial"/>
                <w:b/>
                <w:bCs/>
                <w:sz w:val="14"/>
                <w:szCs w:val="14"/>
              </w:rPr>
            </w:pPr>
            <w:r w:rsidRPr="00DE17A8">
              <w:rPr>
                <w:rFonts w:cs="Arial"/>
                <w:b/>
                <w:bCs/>
                <w:sz w:val="14"/>
                <w:szCs w:val="14"/>
              </w:rPr>
              <w:t>Minor</w:t>
            </w:r>
          </w:p>
          <w:p w:rsidRPr="00DE17A8" w:rsidR="006821DF" w:rsidRDefault="006821DF" w14:paraId="33B946E6" w14:textId="77777777">
            <w:pPr>
              <w:contextualSpacing/>
              <w:rPr>
                <w:rFonts w:cs="Arial"/>
                <w:b/>
                <w:bCs/>
                <w:sz w:val="14"/>
                <w:szCs w:val="14"/>
              </w:rPr>
            </w:pPr>
          </w:p>
          <w:p w:rsidRPr="00DE17A8" w:rsidR="006821DF" w:rsidRDefault="006821DF" w14:paraId="178DB4E2" w14:textId="77777777">
            <w:pPr>
              <w:contextualSpacing/>
              <w:rPr>
                <w:rFonts w:cs="Arial"/>
                <w:sz w:val="14"/>
                <w:szCs w:val="14"/>
              </w:rPr>
            </w:pPr>
            <w:r w:rsidRPr="00DE17A8">
              <w:rPr>
                <w:rFonts w:cs="Arial"/>
                <w:sz w:val="14"/>
                <w:szCs w:val="14"/>
              </w:rPr>
              <w:t>We continue to rely on well-established World Bank fiduciary safeguards, and we also provide scrutiny to World Bank financial reports and analyse incoming Call of Funds and funding disbursements.</w:t>
            </w:r>
          </w:p>
          <w:p w:rsidRPr="00DE17A8" w:rsidR="00BD0CA4" w:rsidRDefault="00BD0CA4" w14:paraId="6C35567B" w14:textId="77777777">
            <w:pPr>
              <w:contextualSpacing/>
              <w:rPr>
                <w:rFonts w:cs="Arial"/>
                <w:b/>
                <w:bCs/>
                <w:sz w:val="14"/>
                <w:szCs w:val="14"/>
              </w:rPr>
            </w:pPr>
          </w:p>
          <w:p w:rsidRPr="00DE17A8" w:rsidR="00BD0CA4" w:rsidRDefault="00BD0CA4" w14:paraId="65E1C636" w14:textId="23127514">
            <w:pPr>
              <w:contextualSpacing/>
              <w:rPr>
                <w:rFonts w:cs="Arial"/>
                <w:sz w:val="14"/>
                <w:szCs w:val="14"/>
              </w:rPr>
            </w:pPr>
            <w:r w:rsidRPr="00DE17A8">
              <w:rPr>
                <w:rFonts w:cs="Arial"/>
                <w:sz w:val="14"/>
                <w:szCs w:val="14"/>
              </w:rPr>
              <w:t>No change in risk rating from last year</w:t>
            </w:r>
          </w:p>
        </w:tc>
      </w:tr>
      <w:tr w:rsidR="006821DF" w:rsidTr="728DCB0A" w14:paraId="2EE21D0E" w14:textId="77777777">
        <w:trPr>
          <w:jc w:val="center"/>
        </w:trPr>
        <w:tc>
          <w:tcPr>
            <w:tcW w:w="2689" w:type="dxa"/>
            <w:shd w:val="clear" w:color="auto" w:fill="auto"/>
            <w:tcMar/>
          </w:tcPr>
          <w:p w:rsidRPr="00DE17A8" w:rsidR="006821DF" w:rsidRDefault="006821DF" w14:paraId="76C40839" w14:textId="77777777">
            <w:pPr>
              <w:rPr>
                <w:rFonts w:cs="Arial"/>
                <w:sz w:val="14"/>
                <w:szCs w:val="14"/>
              </w:rPr>
            </w:pPr>
            <w:r w:rsidRPr="00DE17A8">
              <w:rPr>
                <w:rStyle w:val="font601"/>
                <w:rFonts w:ascii="Arial" w:hAnsi="Arial" w:cs="Arial"/>
                <w:sz w:val="14"/>
                <w:szCs w:val="14"/>
              </w:rPr>
              <w:t xml:space="preserve">Private sector investment - </w:t>
            </w:r>
            <w:r w:rsidRPr="00DE17A8">
              <w:rPr>
                <w:rStyle w:val="font591"/>
                <w:rFonts w:ascii="Arial" w:hAnsi="Arial" w:cs="Arial"/>
                <w:sz w:val="14"/>
                <w:szCs w:val="14"/>
              </w:rPr>
              <w:t>FCPF not perceived as desirable for PS investors, and FCPF standard not incorporated into compliance options -low price of carbon credits may stifle private sector demand, or private sector may not contribute to programme (as in Theory of Change) and thus reduce private sector investment in forest projects by this route.</w:t>
            </w:r>
          </w:p>
          <w:p w:rsidRPr="00DE17A8" w:rsidR="006821DF" w:rsidRDefault="006821DF" w14:paraId="597C6306" w14:textId="77777777">
            <w:pPr>
              <w:rPr>
                <w:rStyle w:val="font581"/>
                <w:rFonts w:ascii="Arial" w:hAnsi="Arial" w:cs="Arial"/>
                <w:sz w:val="14"/>
                <w:szCs w:val="14"/>
              </w:rPr>
            </w:pPr>
          </w:p>
        </w:tc>
        <w:tc>
          <w:tcPr>
            <w:tcW w:w="3118" w:type="dxa"/>
            <w:shd w:val="clear" w:color="auto" w:fill="auto"/>
            <w:tcMar/>
          </w:tcPr>
          <w:p w:rsidRPr="00DE17A8" w:rsidR="006821DF" w:rsidRDefault="006821DF" w14:paraId="13EFC1D0" w14:textId="77777777">
            <w:pPr>
              <w:rPr>
                <w:rFonts w:cs="Arial"/>
                <w:sz w:val="14"/>
                <w:szCs w:val="14"/>
              </w:rPr>
            </w:pPr>
            <w:r w:rsidRPr="00DE17A8">
              <w:rPr>
                <w:rFonts w:cs="Arial"/>
                <w:sz w:val="14"/>
                <w:szCs w:val="14"/>
              </w:rPr>
              <w:t>Encourage WB to consider compliance opportunities for FCPF and increase transparency of adjusting standards to meet requirements</w:t>
            </w:r>
            <w:r w:rsidRPr="00DE17A8">
              <w:rPr>
                <w:rFonts w:cs="Arial"/>
                <w:sz w:val="14"/>
                <w:szCs w:val="14"/>
              </w:rPr>
              <w:br/>
            </w:r>
            <w:r w:rsidRPr="00DE17A8">
              <w:rPr>
                <w:rFonts w:cs="Arial"/>
                <w:sz w:val="14"/>
                <w:szCs w:val="14"/>
              </w:rPr>
              <w:br/>
            </w:r>
            <w:r w:rsidRPr="00DE17A8">
              <w:rPr>
                <w:rFonts w:cs="Arial"/>
                <w:sz w:val="14"/>
                <w:szCs w:val="14"/>
              </w:rPr>
              <w:t>Use wider stakeholder networks to gather PS assumptions on FCPF</w:t>
            </w:r>
            <w:r w:rsidRPr="00DE17A8">
              <w:rPr>
                <w:rFonts w:cs="Arial"/>
                <w:sz w:val="14"/>
                <w:szCs w:val="14"/>
              </w:rPr>
              <w:br/>
            </w:r>
            <w:r w:rsidRPr="00DE17A8">
              <w:rPr>
                <w:rFonts w:cs="Arial"/>
                <w:sz w:val="14"/>
                <w:szCs w:val="14"/>
              </w:rPr>
              <w:br/>
            </w:r>
            <w:r w:rsidRPr="00DE17A8">
              <w:rPr>
                <w:rFonts w:cs="Arial"/>
                <w:sz w:val="14"/>
                <w:szCs w:val="14"/>
              </w:rPr>
              <w:t>Opening up fund for direct PS interest - however, awareness that this exacerbates reputational risk of programme. Explore options with Auction Mechanism and post-2025 FCPF (e.g., transition to ART/TREES) with WB and contributors</w:t>
            </w:r>
          </w:p>
          <w:p w:rsidRPr="00DE17A8" w:rsidR="006821DF" w:rsidRDefault="006821DF" w14:paraId="6FEAF9DD" w14:textId="77777777">
            <w:pPr>
              <w:contextualSpacing/>
              <w:rPr>
                <w:rFonts w:cs="Arial"/>
                <w:b/>
                <w:bCs/>
                <w:sz w:val="14"/>
                <w:szCs w:val="14"/>
              </w:rPr>
            </w:pPr>
          </w:p>
        </w:tc>
        <w:tc>
          <w:tcPr>
            <w:tcW w:w="3209" w:type="dxa"/>
            <w:shd w:val="clear" w:color="auto" w:fill="FFC000" w:themeFill="accent4"/>
            <w:tcMar/>
          </w:tcPr>
          <w:p w:rsidRPr="00DE17A8" w:rsidR="006821DF" w:rsidRDefault="006821DF" w14:paraId="2480810F" w14:textId="77777777">
            <w:pPr>
              <w:contextualSpacing/>
              <w:rPr>
                <w:rFonts w:cs="Arial"/>
                <w:b/>
                <w:bCs/>
                <w:sz w:val="14"/>
                <w:szCs w:val="14"/>
              </w:rPr>
            </w:pPr>
            <w:r w:rsidRPr="00DE17A8">
              <w:rPr>
                <w:rFonts w:cs="Arial"/>
                <w:b/>
                <w:bCs/>
                <w:sz w:val="14"/>
                <w:szCs w:val="14"/>
              </w:rPr>
              <w:t xml:space="preserve">Moderate </w:t>
            </w:r>
          </w:p>
          <w:p w:rsidRPr="00DE17A8" w:rsidR="006821DF" w:rsidRDefault="006821DF" w14:paraId="70E3D3F8" w14:textId="77777777">
            <w:pPr>
              <w:contextualSpacing/>
              <w:rPr>
                <w:rFonts w:cs="Arial"/>
                <w:b/>
                <w:bCs/>
                <w:sz w:val="14"/>
                <w:szCs w:val="14"/>
              </w:rPr>
            </w:pPr>
          </w:p>
          <w:p w:rsidRPr="00DE17A8" w:rsidR="006821DF" w:rsidRDefault="006821DF" w14:paraId="230B6AD5" w14:textId="77777777">
            <w:pPr>
              <w:contextualSpacing/>
              <w:rPr>
                <w:rFonts w:cs="Arial"/>
                <w:sz w:val="14"/>
                <w:szCs w:val="14"/>
              </w:rPr>
            </w:pPr>
            <w:r w:rsidRPr="00DE17A8">
              <w:rPr>
                <w:rFonts w:cs="Arial"/>
                <w:sz w:val="14"/>
                <w:szCs w:val="14"/>
              </w:rPr>
              <w:t>We continue to explore options for FCPF legacy post-2025, including transition options, and auction mechanism for attracting further investment (from FCPF excess credits)</w:t>
            </w:r>
          </w:p>
          <w:p w:rsidRPr="00DE17A8" w:rsidR="00BD0CA4" w:rsidRDefault="00BD0CA4" w14:paraId="401B0DCA" w14:textId="77777777">
            <w:pPr>
              <w:contextualSpacing/>
              <w:rPr>
                <w:rFonts w:cs="Arial"/>
                <w:sz w:val="14"/>
                <w:szCs w:val="14"/>
              </w:rPr>
            </w:pPr>
          </w:p>
          <w:p w:rsidRPr="00DE17A8" w:rsidR="00BD0CA4" w:rsidRDefault="00BD0CA4" w14:paraId="6F47C1C9" w14:textId="1A0DA5A8">
            <w:pPr>
              <w:contextualSpacing/>
              <w:rPr>
                <w:rFonts w:cs="Arial"/>
                <w:sz w:val="14"/>
                <w:szCs w:val="14"/>
              </w:rPr>
            </w:pPr>
            <w:r w:rsidRPr="00DE17A8">
              <w:rPr>
                <w:rFonts w:cs="Arial"/>
                <w:sz w:val="14"/>
                <w:szCs w:val="14"/>
              </w:rPr>
              <w:t>No change in risk rating from last year</w:t>
            </w:r>
          </w:p>
        </w:tc>
      </w:tr>
      <w:tr w:rsidR="006821DF" w:rsidTr="728DCB0A" w14:paraId="580DFD4C" w14:textId="77777777">
        <w:trPr>
          <w:jc w:val="center"/>
        </w:trPr>
        <w:tc>
          <w:tcPr>
            <w:tcW w:w="2689" w:type="dxa"/>
            <w:shd w:val="clear" w:color="auto" w:fill="auto"/>
            <w:tcMar/>
          </w:tcPr>
          <w:p w:rsidRPr="00DE17A8" w:rsidR="006821DF" w:rsidRDefault="006821DF" w14:paraId="33815E41" w14:textId="77777777">
            <w:pPr>
              <w:rPr>
                <w:rFonts w:cs="Arial"/>
                <w:color w:val="000000"/>
                <w:sz w:val="14"/>
                <w:szCs w:val="14"/>
              </w:rPr>
            </w:pPr>
            <w:r w:rsidRPr="00DE17A8">
              <w:rPr>
                <w:rFonts w:cs="Arial"/>
                <w:b/>
                <w:bCs/>
                <w:color w:val="000000"/>
                <w:sz w:val="14"/>
                <w:szCs w:val="14"/>
              </w:rPr>
              <w:t>Monitoring, Reporting and Verification</w:t>
            </w:r>
            <w:r w:rsidRPr="00DE17A8">
              <w:rPr>
                <w:rFonts w:cs="Arial"/>
                <w:color w:val="000000"/>
                <w:sz w:val="14"/>
                <w:szCs w:val="14"/>
              </w:rPr>
              <w:t xml:space="preserve"> - MRV slow, challenging, and therefore delaying key stage in ERPA progress (becomes increasingly relevant post ERPA - reporting/verifying difficulties as it is untested)</w:t>
            </w:r>
          </w:p>
          <w:p w:rsidRPr="00DE17A8" w:rsidR="006821DF" w:rsidRDefault="006821DF" w14:paraId="0509B7FD" w14:textId="77777777">
            <w:pPr>
              <w:rPr>
                <w:rStyle w:val="font601"/>
                <w:rFonts w:ascii="Arial" w:hAnsi="Arial" w:cs="Arial"/>
                <w:sz w:val="14"/>
                <w:szCs w:val="14"/>
              </w:rPr>
            </w:pPr>
          </w:p>
        </w:tc>
        <w:tc>
          <w:tcPr>
            <w:tcW w:w="3118" w:type="dxa"/>
            <w:shd w:val="clear" w:color="auto" w:fill="auto"/>
            <w:tcMar/>
          </w:tcPr>
          <w:p w:rsidRPr="00DE17A8" w:rsidR="006821DF" w:rsidRDefault="006821DF" w14:paraId="60E40640" w14:textId="77777777">
            <w:pPr>
              <w:rPr>
                <w:rFonts w:cs="Arial"/>
                <w:color w:val="000000"/>
                <w:sz w:val="14"/>
                <w:szCs w:val="14"/>
              </w:rPr>
            </w:pPr>
            <w:r w:rsidRPr="00DE17A8">
              <w:rPr>
                <w:rFonts w:cs="Arial"/>
                <w:color w:val="000000"/>
                <w:sz w:val="14"/>
                <w:szCs w:val="14"/>
              </w:rPr>
              <w:t>Engage sufficient World Bank in-country staff with a broad enough mandate to complete MRV requirements. Ensure MRV structure is agreed with countries before projects commence.</w:t>
            </w:r>
            <w:r w:rsidRPr="00DE17A8">
              <w:rPr>
                <w:rFonts w:cs="Arial"/>
                <w:color w:val="000000"/>
                <w:sz w:val="14"/>
                <w:szCs w:val="14"/>
              </w:rPr>
              <w:br/>
            </w:r>
            <w:r w:rsidRPr="00DE17A8">
              <w:rPr>
                <w:rFonts w:cs="Arial"/>
                <w:color w:val="000000"/>
                <w:sz w:val="14"/>
                <w:szCs w:val="14"/>
              </w:rPr>
              <w:br/>
            </w:r>
            <w:r w:rsidRPr="00DE17A8">
              <w:rPr>
                <w:rFonts w:cs="Arial"/>
                <w:color w:val="000000"/>
                <w:sz w:val="14"/>
                <w:szCs w:val="14"/>
              </w:rPr>
              <w:t>This will become increasingly relevant post ERPA signatures as delivery is contingent on speed of MRV (which could be slow).</w:t>
            </w:r>
            <w:r w:rsidRPr="00DE17A8">
              <w:rPr>
                <w:rFonts w:cs="Arial"/>
                <w:color w:val="000000"/>
                <w:sz w:val="14"/>
                <w:szCs w:val="14"/>
              </w:rPr>
              <w:br/>
            </w:r>
            <w:r w:rsidRPr="00DE17A8">
              <w:rPr>
                <w:rFonts w:cs="Arial"/>
                <w:color w:val="000000"/>
                <w:sz w:val="14"/>
                <w:szCs w:val="14"/>
              </w:rPr>
              <w:br/>
            </w:r>
            <w:r w:rsidRPr="00DE17A8">
              <w:rPr>
                <w:rFonts w:cs="Arial"/>
                <w:color w:val="000000"/>
                <w:sz w:val="14"/>
                <w:szCs w:val="14"/>
              </w:rPr>
              <w:t>UK could consider new forms of support for MRV.</w:t>
            </w:r>
          </w:p>
          <w:p w:rsidRPr="00DE17A8" w:rsidR="006821DF" w:rsidRDefault="006821DF" w14:paraId="26D0BEEF" w14:textId="77777777">
            <w:pPr>
              <w:contextualSpacing/>
              <w:rPr>
                <w:rFonts w:cs="Arial"/>
                <w:b/>
                <w:bCs/>
                <w:sz w:val="14"/>
                <w:szCs w:val="14"/>
              </w:rPr>
            </w:pPr>
          </w:p>
        </w:tc>
        <w:tc>
          <w:tcPr>
            <w:tcW w:w="3209" w:type="dxa"/>
            <w:shd w:val="clear" w:color="auto" w:fill="FFC000" w:themeFill="accent4"/>
            <w:tcMar/>
          </w:tcPr>
          <w:p w:rsidRPr="00DE17A8" w:rsidR="006821DF" w:rsidRDefault="006821DF" w14:paraId="3139B011" w14:textId="77777777">
            <w:pPr>
              <w:contextualSpacing/>
              <w:rPr>
                <w:rFonts w:cs="Arial"/>
                <w:b/>
                <w:bCs/>
                <w:sz w:val="14"/>
                <w:szCs w:val="14"/>
              </w:rPr>
            </w:pPr>
            <w:r w:rsidRPr="00DE17A8">
              <w:rPr>
                <w:rFonts w:cs="Arial"/>
                <w:b/>
                <w:bCs/>
                <w:sz w:val="14"/>
                <w:szCs w:val="14"/>
              </w:rPr>
              <w:t>Moderate</w:t>
            </w:r>
          </w:p>
          <w:p w:rsidRPr="00DE17A8" w:rsidR="006821DF" w:rsidRDefault="006821DF" w14:paraId="0D243C78" w14:textId="77777777">
            <w:pPr>
              <w:contextualSpacing/>
              <w:rPr>
                <w:rFonts w:cs="Arial"/>
                <w:b/>
                <w:bCs/>
                <w:sz w:val="14"/>
                <w:szCs w:val="14"/>
              </w:rPr>
            </w:pPr>
          </w:p>
          <w:p w:rsidRPr="00DE17A8" w:rsidR="006821DF" w:rsidRDefault="006821DF" w14:paraId="5E510C68" w14:textId="77777777">
            <w:pPr>
              <w:contextualSpacing/>
              <w:rPr>
                <w:rFonts w:cs="Arial"/>
                <w:sz w:val="14"/>
                <w:szCs w:val="14"/>
              </w:rPr>
            </w:pPr>
            <w:r w:rsidRPr="00DE17A8">
              <w:rPr>
                <w:rFonts w:cs="Arial"/>
                <w:sz w:val="14"/>
                <w:szCs w:val="14"/>
              </w:rPr>
              <w:t xml:space="preserve">This remains a large focus for World Bank and UK. World Bank is testing new approaches through MRV2.0. The UK is working with FAO, GFOI and UN-REDD on a new forest monitoring/MRV programme (AIM4Forests), and there are opportunities to support/coordinate with WB programmes. </w:t>
            </w:r>
          </w:p>
          <w:p w:rsidRPr="00DE17A8" w:rsidR="00BD0CA4" w:rsidRDefault="00BD0CA4" w14:paraId="0B0784DA" w14:textId="77777777">
            <w:pPr>
              <w:contextualSpacing/>
              <w:rPr>
                <w:rFonts w:cs="Arial"/>
                <w:sz w:val="14"/>
                <w:szCs w:val="14"/>
              </w:rPr>
            </w:pPr>
          </w:p>
          <w:p w:rsidRPr="00DE17A8" w:rsidR="00BD0CA4" w:rsidRDefault="00BD0CA4" w14:paraId="4230753A" w14:textId="3B34D471">
            <w:pPr>
              <w:contextualSpacing/>
              <w:rPr>
                <w:rFonts w:cs="Arial"/>
                <w:sz w:val="14"/>
                <w:szCs w:val="14"/>
              </w:rPr>
            </w:pPr>
            <w:r w:rsidRPr="00DE17A8">
              <w:rPr>
                <w:rFonts w:cs="Arial"/>
                <w:sz w:val="14"/>
                <w:szCs w:val="14"/>
              </w:rPr>
              <w:t>No change in risk rating from last year</w:t>
            </w:r>
          </w:p>
        </w:tc>
      </w:tr>
      <w:tr w:rsidR="006821DF" w:rsidTr="728DCB0A" w14:paraId="752ACF61" w14:textId="77777777">
        <w:trPr>
          <w:jc w:val="center"/>
        </w:trPr>
        <w:tc>
          <w:tcPr>
            <w:tcW w:w="2689" w:type="dxa"/>
            <w:shd w:val="clear" w:color="auto" w:fill="auto"/>
            <w:tcMar/>
          </w:tcPr>
          <w:p w:rsidRPr="00DE17A8" w:rsidR="006821DF" w:rsidRDefault="006821DF" w14:paraId="2BBB3489" w14:textId="0563355C">
            <w:pPr>
              <w:rPr>
                <w:rFonts w:cs="Arial"/>
                <w:color w:val="000000"/>
                <w:sz w:val="14"/>
                <w:szCs w:val="14"/>
              </w:rPr>
            </w:pPr>
            <w:r w:rsidRPr="00DE17A8">
              <w:rPr>
                <w:rStyle w:val="font581"/>
                <w:rFonts w:ascii="Arial" w:hAnsi="Arial" w:cs="Arial"/>
                <w:sz w:val="14"/>
                <w:szCs w:val="14"/>
              </w:rPr>
              <w:t xml:space="preserve">Safeguarding and benefit-sharing risk - </w:t>
            </w:r>
            <w:r w:rsidRPr="00DE17A8">
              <w:rPr>
                <w:rStyle w:val="font411"/>
                <w:rFonts w:ascii="Arial" w:hAnsi="Arial" w:cs="Arial"/>
                <w:sz w:val="14"/>
                <w:szCs w:val="14"/>
              </w:rPr>
              <w:t xml:space="preserve">Risk of perverse outcomes slipping through or benefits are not distributed adequately or equitably, particularly as this is a large jurisdictional scale programme –there needs to be jurisdictional accountability considerations, including considering adequacy and tracking of benefit sharing, safeguards, FGRM </w:t>
            </w:r>
            <w:r w:rsidRPr="00DE17A8" w:rsidR="00DE17A8">
              <w:rPr>
                <w:rStyle w:val="font411"/>
                <w:rFonts w:ascii="Arial" w:hAnsi="Arial" w:cs="Arial"/>
                <w:sz w:val="14"/>
                <w:szCs w:val="14"/>
              </w:rPr>
              <w:t>etc..</w:t>
            </w:r>
          </w:p>
          <w:p w:rsidRPr="00DE17A8" w:rsidR="006821DF" w:rsidRDefault="006821DF" w14:paraId="47DB4323" w14:textId="77777777">
            <w:pPr>
              <w:rPr>
                <w:rFonts w:cs="Arial"/>
                <w:color w:val="000000"/>
                <w:sz w:val="14"/>
                <w:szCs w:val="14"/>
              </w:rPr>
            </w:pPr>
          </w:p>
        </w:tc>
        <w:tc>
          <w:tcPr>
            <w:tcW w:w="3118" w:type="dxa"/>
            <w:shd w:val="clear" w:color="auto" w:fill="auto"/>
            <w:tcMar/>
          </w:tcPr>
          <w:p w:rsidRPr="00DE17A8" w:rsidR="006821DF" w:rsidRDefault="006821DF" w14:paraId="41AB679D" w14:textId="77777777">
            <w:pPr>
              <w:rPr>
                <w:rFonts w:cs="Arial"/>
                <w:color w:val="000000"/>
                <w:sz w:val="14"/>
                <w:szCs w:val="14"/>
              </w:rPr>
            </w:pPr>
            <w:r w:rsidRPr="00DE17A8">
              <w:rPr>
                <w:rFonts w:cs="Arial"/>
                <w:color w:val="000000"/>
                <w:sz w:val="14"/>
                <w:szCs w:val="14"/>
              </w:rPr>
              <w:t>Application of World Bank safeguards. WB and MDTFs have strong safeguarding systems. Monitoring will be required to ensure these safeguards are applied consistently.</w:t>
            </w:r>
          </w:p>
          <w:p w:rsidRPr="00DE17A8" w:rsidR="006821DF" w:rsidRDefault="006821DF" w14:paraId="67B2B9F7" w14:textId="77777777">
            <w:pPr>
              <w:contextualSpacing/>
              <w:rPr>
                <w:rFonts w:cs="Arial"/>
                <w:b/>
                <w:bCs/>
                <w:sz w:val="14"/>
                <w:szCs w:val="14"/>
              </w:rPr>
            </w:pPr>
          </w:p>
        </w:tc>
        <w:tc>
          <w:tcPr>
            <w:tcW w:w="3209" w:type="dxa"/>
            <w:shd w:val="clear" w:color="auto" w:fill="FFC000" w:themeFill="accent4"/>
            <w:tcMar/>
          </w:tcPr>
          <w:p w:rsidRPr="00DE17A8" w:rsidR="006821DF" w:rsidRDefault="006821DF" w14:paraId="4E9520F5" w14:textId="77777777">
            <w:pPr>
              <w:contextualSpacing/>
              <w:rPr>
                <w:rFonts w:cs="Arial"/>
                <w:b/>
                <w:bCs/>
                <w:sz w:val="14"/>
                <w:szCs w:val="14"/>
              </w:rPr>
            </w:pPr>
            <w:r w:rsidRPr="00DE17A8">
              <w:rPr>
                <w:rFonts w:cs="Arial"/>
                <w:b/>
                <w:bCs/>
                <w:sz w:val="14"/>
                <w:szCs w:val="14"/>
              </w:rPr>
              <w:t>Moderate</w:t>
            </w:r>
          </w:p>
          <w:p w:rsidRPr="00DE17A8" w:rsidR="006821DF" w:rsidRDefault="006821DF" w14:paraId="4A1E23E1" w14:textId="77777777">
            <w:pPr>
              <w:contextualSpacing/>
              <w:rPr>
                <w:rFonts w:cs="Arial"/>
                <w:b/>
                <w:bCs/>
                <w:sz w:val="14"/>
                <w:szCs w:val="14"/>
              </w:rPr>
            </w:pPr>
          </w:p>
          <w:p w:rsidRPr="00DE17A8" w:rsidR="006821DF" w:rsidRDefault="006821DF" w14:paraId="37AE1A7B" w14:textId="77777777">
            <w:pPr>
              <w:contextualSpacing/>
              <w:rPr>
                <w:rFonts w:cs="Arial"/>
                <w:sz w:val="14"/>
                <w:szCs w:val="14"/>
              </w:rPr>
            </w:pPr>
            <w:r w:rsidRPr="00DE17A8">
              <w:rPr>
                <w:rFonts w:cs="Arial"/>
                <w:sz w:val="14"/>
                <w:szCs w:val="14"/>
              </w:rPr>
              <w:t>We will continue to monitor adequacy and effectiveness of benefit sharing implementation.</w:t>
            </w:r>
          </w:p>
          <w:p w:rsidRPr="00DE17A8" w:rsidR="00BD0CA4" w:rsidRDefault="00BD0CA4" w14:paraId="031785E4" w14:textId="77777777">
            <w:pPr>
              <w:contextualSpacing/>
              <w:rPr>
                <w:rFonts w:cs="Arial"/>
                <w:sz w:val="14"/>
                <w:szCs w:val="14"/>
              </w:rPr>
            </w:pPr>
          </w:p>
          <w:p w:rsidRPr="00DE17A8" w:rsidR="00BD0CA4" w:rsidRDefault="00BD0CA4" w14:paraId="01535685" w14:textId="1CCF67C8">
            <w:pPr>
              <w:contextualSpacing/>
              <w:rPr>
                <w:rFonts w:cs="Arial"/>
                <w:sz w:val="14"/>
                <w:szCs w:val="14"/>
              </w:rPr>
            </w:pPr>
            <w:r w:rsidRPr="00DE17A8">
              <w:rPr>
                <w:rFonts w:cs="Arial"/>
                <w:sz w:val="14"/>
                <w:szCs w:val="14"/>
              </w:rPr>
              <w:t>No change in risk rating from last year</w:t>
            </w:r>
          </w:p>
        </w:tc>
      </w:tr>
      <w:tr w:rsidR="006821DF" w:rsidTr="728DCB0A" w14:paraId="5B7F8D4F" w14:textId="77777777">
        <w:trPr>
          <w:jc w:val="center"/>
        </w:trPr>
        <w:tc>
          <w:tcPr>
            <w:tcW w:w="2689" w:type="dxa"/>
            <w:shd w:val="clear" w:color="auto" w:fill="auto"/>
            <w:tcMar/>
          </w:tcPr>
          <w:p w:rsidRPr="00DE17A8" w:rsidR="006821DF" w:rsidRDefault="006821DF" w14:paraId="0662BCBF" w14:textId="77777777">
            <w:pPr>
              <w:rPr>
                <w:rFonts w:cs="Arial"/>
                <w:color w:val="000000"/>
                <w:sz w:val="14"/>
                <w:szCs w:val="14"/>
              </w:rPr>
            </w:pPr>
            <w:r w:rsidRPr="00DE17A8">
              <w:rPr>
                <w:rStyle w:val="font581"/>
                <w:rFonts w:ascii="Arial" w:hAnsi="Arial" w:cs="Arial"/>
                <w:sz w:val="14"/>
                <w:szCs w:val="14"/>
              </w:rPr>
              <w:t xml:space="preserve">Reputational - </w:t>
            </w:r>
            <w:r w:rsidRPr="00DE17A8">
              <w:rPr>
                <w:rStyle w:val="font411"/>
                <w:rFonts w:ascii="Arial" w:hAnsi="Arial" w:cs="Arial"/>
                <w:sz w:val="14"/>
                <w:szCs w:val="14"/>
              </w:rPr>
              <w:t>Reputation risks can arise from a lot of other risks listed above. E.g.:</w:t>
            </w:r>
            <w:r w:rsidRPr="00DE17A8">
              <w:rPr>
                <w:rFonts w:cs="Arial"/>
                <w:color w:val="000000"/>
                <w:sz w:val="14"/>
                <w:szCs w:val="14"/>
              </w:rPr>
              <w:br/>
            </w:r>
            <w:r w:rsidRPr="00DE17A8">
              <w:rPr>
                <w:rStyle w:val="font411"/>
                <w:rFonts w:ascii="Arial" w:hAnsi="Arial" w:cs="Arial"/>
                <w:sz w:val="14"/>
                <w:szCs w:val="14"/>
              </w:rPr>
              <w:t xml:space="preserve">- Rising deforestation data poses reputational risk to BEIS/UK due to negative criticism of funding programmes </w:t>
            </w:r>
            <w:r w:rsidRPr="00DE17A8">
              <w:rPr>
                <w:rFonts w:cs="Arial"/>
                <w:color w:val="000000"/>
                <w:sz w:val="14"/>
                <w:szCs w:val="14"/>
              </w:rPr>
              <w:br/>
            </w:r>
            <w:r w:rsidRPr="00DE17A8">
              <w:rPr>
                <w:rStyle w:val="font411"/>
                <w:rFonts w:ascii="Arial" w:hAnsi="Arial" w:cs="Arial"/>
                <w:sz w:val="14"/>
                <w:szCs w:val="14"/>
              </w:rPr>
              <w:t xml:space="preserve">- Nesting - PS companies generating negative media </w:t>
            </w:r>
          </w:p>
          <w:p w:rsidRPr="00DE17A8" w:rsidR="006821DF" w:rsidRDefault="006821DF" w14:paraId="14EF97D2" w14:textId="77777777">
            <w:pPr>
              <w:rPr>
                <w:rStyle w:val="font581"/>
                <w:rFonts w:ascii="Arial" w:hAnsi="Arial" w:cs="Arial"/>
                <w:sz w:val="14"/>
                <w:szCs w:val="14"/>
              </w:rPr>
            </w:pPr>
          </w:p>
        </w:tc>
        <w:tc>
          <w:tcPr>
            <w:tcW w:w="3118" w:type="dxa"/>
            <w:shd w:val="clear" w:color="auto" w:fill="auto"/>
            <w:tcMar/>
          </w:tcPr>
          <w:p w:rsidRPr="00DE17A8" w:rsidR="006821DF" w:rsidRDefault="006821DF" w14:paraId="46A0221D" w14:textId="75F670DF">
            <w:pPr>
              <w:rPr>
                <w:rFonts w:cs="Arial"/>
                <w:color w:val="000000"/>
                <w:sz w:val="14"/>
                <w:szCs w:val="14"/>
              </w:rPr>
            </w:pPr>
            <w:r w:rsidRPr="00DE17A8">
              <w:rPr>
                <w:rFonts w:cs="Arial"/>
                <w:color w:val="000000"/>
                <w:sz w:val="14"/>
                <w:szCs w:val="14"/>
              </w:rPr>
              <w:t xml:space="preserve">Should deforestation </w:t>
            </w:r>
            <w:r w:rsidRPr="00DE17A8" w:rsidR="00DE17A8">
              <w:rPr>
                <w:rFonts w:cs="Arial"/>
                <w:color w:val="000000"/>
                <w:sz w:val="14"/>
                <w:szCs w:val="14"/>
              </w:rPr>
              <w:t>rise</w:t>
            </w:r>
            <w:r w:rsidR="00DE17A8">
              <w:rPr>
                <w:rFonts w:cs="Arial"/>
                <w:color w:val="000000"/>
                <w:sz w:val="14"/>
                <w:szCs w:val="14"/>
              </w:rPr>
              <w:t>s, this</w:t>
            </w:r>
            <w:r w:rsidRPr="00DE17A8">
              <w:rPr>
                <w:rFonts w:cs="Arial"/>
                <w:color w:val="000000"/>
                <w:sz w:val="14"/>
                <w:szCs w:val="14"/>
              </w:rPr>
              <w:t xml:space="preserve"> poses a reputation risk, officials will judge the appropriate response, including drafting defensive lines and engaging with key stakeholders. </w:t>
            </w:r>
            <w:r w:rsidRPr="00DE17A8">
              <w:rPr>
                <w:rFonts w:cs="Arial"/>
                <w:color w:val="000000"/>
                <w:sz w:val="14"/>
                <w:szCs w:val="14"/>
              </w:rPr>
              <w:br/>
            </w:r>
            <w:r w:rsidRPr="00DE17A8">
              <w:rPr>
                <w:rFonts w:cs="Arial"/>
                <w:color w:val="000000"/>
                <w:sz w:val="14"/>
                <w:szCs w:val="14"/>
              </w:rPr>
              <w:br/>
            </w:r>
            <w:r w:rsidRPr="00DE17A8">
              <w:rPr>
                <w:rFonts w:cs="Arial"/>
                <w:color w:val="000000"/>
                <w:sz w:val="14"/>
                <w:szCs w:val="14"/>
              </w:rPr>
              <w:t xml:space="preserve">Track and anticipate political uncertainties within countries, and related reputational risks. </w:t>
            </w:r>
          </w:p>
          <w:p w:rsidRPr="00DE17A8" w:rsidR="006821DF" w:rsidRDefault="006821DF" w14:paraId="08498FAD" w14:textId="77777777">
            <w:pPr>
              <w:contextualSpacing/>
              <w:rPr>
                <w:rFonts w:cs="Arial"/>
                <w:b/>
                <w:bCs/>
                <w:sz w:val="14"/>
                <w:szCs w:val="14"/>
              </w:rPr>
            </w:pPr>
          </w:p>
        </w:tc>
        <w:tc>
          <w:tcPr>
            <w:tcW w:w="3209" w:type="dxa"/>
            <w:shd w:val="clear" w:color="auto" w:fill="FFC000" w:themeFill="accent4"/>
            <w:tcMar/>
          </w:tcPr>
          <w:p w:rsidRPr="00DE17A8" w:rsidR="006821DF" w:rsidRDefault="006821DF" w14:paraId="09198ADC" w14:textId="77777777">
            <w:pPr>
              <w:contextualSpacing/>
              <w:rPr>
                <w:rFonts w:cs="Arial"/>
                <w:b/>
                <w:bCs/>
                <w:sz w:val="14"/>
                <w:szCs w:val="14"/>
              </w:rPr>
            </w:pPr>
            <w:r w:rsidRPr="00DE17A8">
              <w:rPr>
                <w:rFonts w:cs="Arial"/>
                <w:b/>
                <w:bCs/>
                <w:sz w:val="14"/>
                <w:szCs w:val="14"/>
              </w:rPr>
              <w:t>Moderate</w:t>
            </w:r>
          </w:p>
          <w:p w:rsidRPr="00DE17A8" w:rsidR="006821DF" w:rsidRDefault="006821DF" w14:paraId="33F0D770" w14:textId="77777777">
            <w:pPr>
              <w:shd w:val="clear" w:color="auto" w:fill="FFC000" w:themeFill="accent4"/>
              <w:contextualSpacing/>
              <w:rPr>
                <w:rFonts w:cs="Arial"/>
                <w:sz w:val="14"/>
                <w:szCs w:val="14"/>
              </w:rPr>
            </w:pPr>
          </w:p>
          <w:p w:rsidRPr="00DE17A8" w:rsidR="006821DF" w:rsidRDefault="006821DF" w14:paraId="3A9672E5" w14:textId="77777777">
            <w:pPr>
              <w:shd w:val="clear" w:color="auto" w:fill="FFC000" w:themeFill="accent4"/>
              <w:contextualSpacing/>
              <w:rPr>
                <w:rFonts w:cs="Arial"/>
                <w:sz w:val="14"/>
                <w:szCs w:val="14"/>
              </w:rPr>
            </w:pPr>
            <w:r w:rsidRPr="00DE17A8">
              <w:rPr>
                <w:rFonts w:cs="Arial"/>
                <w:sz w:val="14"/>
                <w:szCs w:val="14"/>
              </w:rPr>
              <w:t xml:space="preserve">Negative comms on the programme can exacerbate this risk. We will continue to monitor, particularly as comms messages increase with ERPAs signed and payments made. </w:t>
            </w:r>
          </w:p>
          <w:p w:rsidRPr="00DE17A8" w:rsidR="00BD0CA4" w:rsidRDefault="00BD0CA4" w14:paraId="3F0A56F0" w14:textId="77777777">
            <w:pPr>
              <w:shd w:val="clear" w:color="auto" w:fill="FFC000" w:themeFill="accent4"/>
              <w:contextualSpacing/>
              <w:rPr>
                <w:rFonts w:cs="Arial"/>
                <w:b/>
                <w:bCs/>
                <w:sz w:val="14"/>
                <w:szCs w:val="14"/>
              </w:rPr>
            </w:pPr>
          </w:p>
          <w:p w:rsidRPr="00DE17A8" w:rsidR="00BD0CA4" w:rsidRDefault="00BD0CA4" w14:paraId="3985C266" w14:textId="62B48AE1">
            <w:pPr>
              <w:shd w:val="clear" w:color="auto" w:fill="FFC000" w:themeFill="accent4"/>
              <w:contextualSpacing/>
              <w:rPr>
                <w:rFonts w:cs="Arial"/>
                <w:sz w:val="14"/>
                <w:szCs w:val="14"/>
              </w:rPr>
            </w:pPr>
            <w:r w:rsidRPr="00DE17A8">
              <w:rPr>
                <w:rFonts w:cs="Arial"/>
                <w:sz w:val="14"/>
                <w:szCs w:val="14"/>
              </w:rPr>
              <w:t>No change in risk rating from last year</w:t>
            </w:r>
          </w:p>
        </w:tc>
      </w:tr>
      <w:tr w:rsidR="006821DF" w:rsidTr="728DCB0A" w14:paraId="48E04A7B" w14:textId="77777777">
        <w:trPr>
          <w:jc w:val="center"/>
        </w:trPr>
        <w:tc>
          <w:tcPr>
            <w:tcW w:w="2689" w:type="dxa"/>
            <w:shd w:val="clear" w:color="auto" w:fill="auto"/>
            <w:tcMar/>
          </w:tcPr>
          <w:p w:rsidRPr="00DE17A8" w:rsidR="006821DF" w:rsidRDefault="006821DF" w14:paraId="475CE9C3" w14:textId="77777777">
            <w:pPr>
              <w:rPr>
                <w:rFonts w:cs="Arial"/>
                <w:color w:val="000000"/>
                <w:sz w:val="14"/>
                <w:szCs w:val="14"/>
              </w:rPr>
            </w:pPr>
            <w:r w:rsidRPr="00DE17A8">
              <w:rPr>
                <w:rStyle w:val="font541"/>
                <w:rFonts w:ascii="Arial" w:hAnsi="Arial" w:cs="Arial"/>
                <w:sz w:val="14"/>
                <w:szCs w:val="14"/>
              </w:rPr>
              <w:t xml:space="preserve">Resourcing and capacity - </w:t>
            </w:r>
            <w:r w:rsidRPr="00DE17A8">
              <w:rPr>
                <w:rStyle w:val="font101"/>
                <w:rFonts w:ascii="Arial" w:hAnsi="Arial" w:cs="Arial"/>
                <w:sz w:val="14"/>
                <w:szCs w:val="14"/>
              </w:rPr>
              <w:t>HMG or WB resource constraints or reduced capability lead to lower capacity to manage and influence funds</w:t>
            </w:r>
          </w:p>
          <w:p w:rsidRPr="00DE17A8" w:rsidR="006821DF" w:rsidRDefault="006821DF" w14:paraId="5280C46A" w14:textId="77777777">
            <w:pPr>
              <w:rPr>
                <w:rStyle w:val="font581"/>
                <w:rFonts w:ascii="Arial" w:hAnsi="Arial" w:cs="Arial"/>
                <w:sz w:val="14"/>
                <w:szCs w:val="14"/>
              </w:rPr>
            </w:pPr>
          </w:p>
        </w:tc>
        <w:tc>
          <w:tcPr>
            <w:tcW w:w="3118" w:type="dxa"/>
            <w:shd w:val="clear" w:color="auto" w:fill="auto"/>
            <w:tcMar/>
          </w:tcPr>
          <w:p w:rsidRPr="00DE17A8" w:rsidR="006821DF" w:rsidRDefault="006821DF" w14:paraId="30FC09E6" w14:textId="77777777">
            <w:pPr>
              <w:rPr>
                <w:rFonts w:cs="Arial"/>
                <w:color w:val="000000"/>
                <w:sz w:val="14"/>
                <w:szCs w:val="14"/>
              </w:rPr>
            </w:pPr>
            <w:r w:rsidRPr="00DE17A8">
              <w:rPr>
                <w:rFonts w:cs="Arial"/>
                <w:color w:val="000000"/>
                <w:sz w:val="14"/>
                <w:szCs w:val="14"/>
              </w:rPr>
              <w:t>a) Ensure staffing levels adequately maintained</w:t>
            </w:r>
            <w:r w:rsidRPr="00DE17A8">
              <w:rPr>
                <w:rFonts w:cs="Arial"/>
                <w:color w:val="000000"/>
                <w:sz w:val="14"/>
                <w:szCs w:val="14"/>
              </w:rPr>
              <w:br/>
            </w:r>
            <w:r w:rsidRPr="00DE17A8">
              <w:rPr>
                <w:rFonts w:cs="Arial"/>
                <w:color w:val="000000"/>
                <w:sz w:val="14"/>
                <w:szCs w:val="14"/>
              </w:rPr>
              <w:t>b) identify priority, impactful issues for UK to influence</w:t>
            </w:r>
          </w:p>
          <w:p w:rsidRPr="00DE17A8" w:rsidR="006821DF" w:rsidRDefault="006821DF" w14:paraId="50148BE7" w14:textId="77777777">
            <w:pPr>
              <w:contextualSpacing/>
              <w:rPr>
                <w:rFonts w:cs="Arial"/>
                <w:b/>
                <w:bCs/>
                <w:sz w:val="14"/>
                <w:szCs w:val="14"/>
              </w:rPr>
            </w:pPr>
          </w:p>
        </w:tc>
        <w:tc>
          <w:tcPr>
            <w:tcW w:w="3209" w:type="dxa"/>
            <w:shd w:val="clear" w:color="auto" w:fill="70AD47" w:themeFill="accent6"/>
            <w:tcMar/>
          </w:tcPr>
          <w:p w:rsidRPr="00DE17A8" w:rsidR="006821DF" w:rsidRDefault="006821DF" w14:paraId="1BB5DE22" w14:textId="77777777">
            <w:pPr>
              <w:contextualSpacing/>
              <w:rPr>
                <w:rFonts w:cs="Arial"/>
                <w:b/>
                <w:bCs/>
                <w:sz w:val="14"/>
                <w:szCs w:val="14"/>
              </w:rPr>
            </w:pPr>
            <w:r w:rsidRPr="00DE17A8">
              <w:rPr>
                <w:rFonts w:cs="Arial"/>
                <w:b/>
                <w:bCs/>
                <w:sz w:val="14"/>
                <w:szCs w:val="14"/>
              </w:rPr>
              <w:t>Minor</w:t>
            </w:r>
          </w:p>
          <w:p w:rsidRPr="00DE17A8" w:rsidR="00BD0CA4" w:rsidRDefault="00BD0CA4" w14:paraId="5985FC56" w14:textId="77777777">
            <w:pPr>
              <w:contextualSpacing/>
              <w:rPr>
                <w:rFonts w:cs="Arial"/>
                <w:b/>
                <w:bCs/>
                <w:sz w:val="14"/>
                <w:szCs w:val="14"/>
              </w:rPr>
            </w:pPr>
          </w:p>
          <w:p w:rsidRPr="00DE17A8" w:rsidR="00BD0CA4" w:rsidRDefault="00BD0CA4" w14:paraId="3F480478" w14:textId="6BABC529">
            <w:pPr>
              <w:contextualSpacing/>
              <w:rPr>
                <w:rFonts w:cs="Arial"/>
                <w:sz w:val="14"/>
                <w:szCs w:val="14"/>
              </w:rPr>
            </w:pPr>
            <w:r w:rsidRPr="00DE17A8">
              <w:rPr>
                <w:rFonts w:cs="Arial"/>
                <w:sz w:val="14"/>
                <w:szCs w:val="14"/>
              </w:rPr>
              <w:t>No change in risk rating from last year</w:t>
            </w:r>
          </w:p>
        </w:tc>
      </w:tr>
    </w:tbl>
    <w:p w:rsidR="006821DF" w:rsidP="006821DF" w:rsidRDefault="006821DF" w14:paraId="5F96372F" w14:textId="77777777">
      <w:pPr>
        <w:rPr>
          <w:b/>
          <w:bCs/>
          <w:sz w:val="22"/>
          <w:szCs w:val="22"/>
        </w:rPr>
      </w:pPr>
    </w:p>
    <w:p w:rsidRPr="00100955" w:rsidR="006821DF" w:rsidP="006821DF" w:rsidRDefault="006821DF" w14:paraId="20CFF27F" w14:textId="77777777">
      <w:pPr>
        <w:jc w:val="both"/>
        <w:rPr>
          <w:rFonts w:cs="Arial"/>
          <w:sz w:val="20"/>
          <w:szCs w:val="20"/>
        </w:rPr>
      </w:pPr>
      <w:r w:rsidRPr="00100955">
        <w:rPr>
          <w:b/>
          <w:bCs/>
          <w:sz w:val="22"/>
          <w:szCs w:val="22"/>
        </w:rPr>
        <w:t>Overview of risk management</w:t>
      </w:r>
      <w:r w:rsidRPr="00100955">
        <w:rPr>
          <w:rFonts w:cs="Arial"/>
          <w:sz w:val="22"/>
          <w:szCs w:val="22"/>
        </w:rPr>
        <w:t xml:space="preserve"> </w:t>
      </w:r>
    </w:p>
    <w:p w:rsidRPr="00100955" w:rsidR="006821DF" w:rsidP="006821DF" w:rsidRDefault="006821DF" w14:paraId="6496C59B" w14:textId="77777777">
      <w:pPr>
        <w:jc w:val="both"/>
        <w:rPr>
          <w:rFonts w:cs="Arial"/>
          <w:sz w:val="20"/>
          <w:szCs w:val="20"/>
        </w:rPr>
      </w:pPr>
    </w:p>
    <w:p w:rsidRPr="00100955" w:rsidR="006821DF" w:rsidP="006821DF" w:rsidRDefault="006821DF" w14:paraId="0727B27D" w14:textId="0CF9B7AC">
      <w:pPr>
        <w:spacing w:before="40" w:after="40"/>
        <w:jc w:val="both"/>
        <w:rPr>
          <w:rFonts w:cs="Arial"/>
          <w:sz w:val="20"/>
          <w:szCs w:val="20"/>
        </w:rPr>
      </w:pPr>
      <w:r w:rsidRPr="00100955">
        <w:rPr>
          <w:rFonts w:cs="Arial"/>
          <w:sz w:val="20"/>
          <w:szCs w:val="20"/>
        </w:rPr>
        <w:t xml:space="preserve">World Bank </w:t>
      </w:r>
      <w:r w:rsidRPr="18892D60" w:rsidR="178B95A0">
        <w:rPr>
          <w:rFonts w:cs="Arial"/>
          <w:sz w:val="20"/>
          <w:szCs w:val="20"/>
        </w:rPr>
        <w:t>have</w:t>
      </w:r>
      <w:r w:rsidRPr="18892D60">
        <w:rPr>
          <w:rFonts w:cs="Arial"/>
          <w:sz w:val="20"/>
          <w:szCs w:val="20"/>
        </w:rPr>
        <w:t xml:space="preserve"> monitor</w:t>
      </w:r>
      <w:r w:rsidRPr="18892D60" w:rsidR="1DFBF18A">
        <w:rPr>
          <w:rFonts w:cs="Arial"/>
          <w:sz w:val="20"/>
          <w:szCs w:val="20"/>
        </w:rPr>
        <w:t>ed</w:t>
      </w:r>
      <w:r w:rsidRPr="00100955">
        <w:rPr>
          <w:rFonts w:cs="Arial"/>
          <w:sz w:val="20"/>
          <w:szCs w:val="20"/>
        </w:rPr>
        <w:t xml:space="preserve"> and </w:t>
      </w:r>
      <w:r w:rsidRPr="18892D60">
        <w:rPr>
          <w:rFonts w:cs="Arial"/>
          <w:sz w:val="20"/>
          <w:szCs w:val="20"/>
        </w:rPr>
        <w:t>report</w:t>
      </w:r>
      <w:r w:rsidRPr="18892D60" w:rsidR="0CEF1458">
        <w:rPr>
          <w:rFonts w:cs="Arial"/>
          <w:sz w:val="20"/>
          <w:szCs w:val="20"/>
        </w:rPr>
        <w:t>ed</w:t>
      </w:r>
      <w:r w:rsidRPr="00100955">
        <w:rPr>
          <w:rFonts w:cs="Arial"/>
          <w:sz w:val="20"/>
          <w:szCs w:val="20"/>
        </w:rPr>
        <w:t xml:space="preserve"> on key risks through monthly portfolio reports</w:t>
      </w:r>
      <w:r w:rsidRPr="18892D60" w:rsidR="110331A2">
        <w:rPr>
          <w:rFonts w:cs="Arial"/>
          <w:sz w:val="20"/>
          <w:szCs w:val="20"/>
        </w:rPr>
        <w:t>, which are now being prepared with key information on a quarterly basis</w:t>
      </w:r>
      <w:r w:rsidRPr="18892D60">
        <w:rPr>
          <w:rFonts w:cs="Arial"/>
          <w:sz w:val="20"/>
          <w:szCs w:val="20"/>
        </w:rPr>
        <w:t>.</w:t>
      </w:r>
      <w:r w:rsidRPr="00100955">
        <w:rPr>
          <w:rFonts w:cs="Arial"/>
          <w:sz w:val="20"/>
          <w:szCs w:val="20"/>
        </w:rPr>
        <w:t xml:space="preserve"> These flag any major concerns to technical, political and delivery risks, including impacts of COVID-19 where appropriate. We will continue to check in with World Bank on this regularly, and at least at every Carbon Fund Meeting</w:t>
      </w:r>
      <w:r w:rsidRPr="18892D60" w:rsidR="5B1CD204">
        <w:rPr>
          <w:rFonts w:cs="Arial"/>
          <w:sz w:val="20"/>
          <w:szCs w:val="20"/>
        </w:rPr>
        <w:t xml:space="preserve">, with quarterly contributor calls </w:t>
      </w:r>
      <w:r w:rsidRPr="18892D60" w:rsidR="267C8CC9">
        <w:rPr>
          <w:rFonts w:cs="Arial"/>
          <w:sz w:val="20"/>
          <w:szCs w:val="20"/>
        </w:rPr>
        <w:t>in-between</w:t>
      </w:r>
      <w:r w:rsidRPr="18892D60">
        <w:rPr>
          <w:rFonts w:cs="Arial"/>
          <w:sz w:val="20"/>
          <w:szCs w:val="20"/>
        </w:rPr>
        <w:t>.</w:t>
      </w:r>
      <w:r w:rsidRPr="00100955">
        <w:rPr>
          <w:rFonts w:cs="Arial"/>
          <w:sz w:val="20"/>
          <w:szCs w:val="20"/>
        </w:rPr>
        <w:t xml:space="preserve"> We also meet with World Bank and other contributors ad hoc to raise an</w:t>
      </w:r>
      <w:r>
        <w:rPr>
          <w:rFonts w:cs="Arial"/>
          <w:sz w:val="20"/>
          <w:szCs w:val="20"/>
        </w:rPr>
        <w:t>y</w:t>
      </w:r>
      <w:r w:rsidRPr="00100955">
        <w:rPr>
          <w:rFonts w:cs="Arial"/>
          <w:sz w:val="20"/>
          <w:szCs w:val="20"/>
        </w:rPr>
        <w:t xml:space="preserve"> major concerns on progress</w:t>
      </w:r>
      <w:r w:rsidRPr="18892D60" w:rsidR="27D4A597">
        <w:rPr>
          <w:rFonts w:cs="Arial"/>
          <w:sz w:val="20"/>
          <w:szCs w:val="20"/>
        </w:rPr>
        <w:t xml:space="preserve"> where needed</w:t>
      </w:r>
      <w:r w:rsidRPr="18892D60">
        <w:rPr>
          <w:rFonts w:cs="Arial"/>
          <w:sz w:val="20"/>
          <w:szCs w:val="20"/>
        </w:rPr>
        <w:t>.</w:t>
      </w:r>
    </w:p>
    <w:p w:rsidR="006821DF" w:rsidP="006821DF" w:rsidRDefault="006821DF" w14:paraId="18F71D76" w14:textId="77777777">
      <w:pPr>
        <w:spacing w:before="40" w:after="40"/>
        <w:jc w:val="both"/>
        <w:rPr>
          <w:rFonts w:cs="Arial"/>
          <w:sz w:val="20"/>
          <w:szCs w:val="20"/>
          <w:highlight w:val="yellow"/>
        </w:rPr>
      </w:pPr>
    </w:p>
    <w:p w:rsidRPr="00E85878" w:rsidR="006821DF" w:rsidP="006821DF" w:rsidRDefault="006821DF" w14:paraId="5B31E63F" w14:textId="77777777">
      <w:pPr>
        <w:contextualSpacing/>
        <w:jc w:val="both"/>
        <w:rPr>
          <w:rFonts w:cs="Arial"/>
          <w:sz w:val="22"/>
          <w:szCs w:val="22"/>
        </w:rPr>
      </w:pPr>
      <w:r w:rsidRPr="00100955">
        <w:rPr>
          <w:rFonts w:cs="Arial"/>
          <w:b/>
          <w:bCs/>
          <w:sz w:val="22"/>
          <w:szCs w:val="22"/>
        </w:rPr>
        <w:t>Outstanding actions from risk assessment</w:t>
      </w:r>
    </w:p>
    <w:p w:rsidR="006821DF" w:rsidP="006821DF" w:rsidRDefault="006821DF" w14:paraId="245AE970" w14:textId="77777777">
      <w:pPr>
        <w:jc w:val="both"/>
        <w:rPr>
          <w:rFonts w:cs="Arial"/>
          <w:sz w:val="20"/>
          <w:szCs w:val="20"/>
        </w:rPr>
      </w:pPr>
    </w:p>
    <w:p w:rsidRPr="006821DF" w:rsidR="006821DF" w:rsidRDefault="006821DF" w14:paraId="7D1CD2D3" w14:textId="4BBC31FF">
      <w:pPr>
        <w:rPr>
          <w:bCs/>
          <w:sz w:val="20"/>
          <w:szCs w:val="20"/>
        </w:rPr>
      </w:pPr>
      <w:r>
        <w:rPr>
          <w:bCs/>
          <w:sz w:val="20"/>
          <w:szCs w:val="20"/>
        </w:rPr>
        <w:t xml:space="preserve">Main outstanding actions relate to considerations on FCPF legacy/REDD+ architecture to and post-2025, a possible extension of the Carbon Fund to achieve the full ER portfolio, and FCPF’s influence and global reach. This will be a major priority for the </w:t>
      </w:r>
      <w:r w:rsidR="00DE17A8">
        <w:rPr>
          <w:bCs/>
          <w:sz w:val="20"/>
          <w:szCs w:val="20"/>
        </w:rPr>
        <w:t>UK given</w:t>
      </w:r>
      <w:r>
        <w:rPr>
          <w:bCs/>
          <w:sz w:val="20"/>
          <w:szCs w:val="20"/>
        </w:rPr>
        <w:t xml:space="preserve"> the closure of the Readiness Fund. </w:t>
      </w:r>
    </w:p>
    <w:p w:rsidR="006821DF" w:rsidRDefault="006821DF" w14:paraId="5F226606" w14:textId="77777777">
      <w:r>
        <w:br w:type="page"/>
      </w:r>
    </w:p>
    <w:tbl>
      <w:tblPr>
        <w:tblStyle w:val="TableGrid"/>
        <w:tblW w:w="0" w:type="auto"/>
        <w:tblLook w:val="04A0" w:firstRow="1" w:lastRow="0" w:firstColumn="1" w:lastColumn="0" w:noHBand="0" w:noVBand="1"/>
      </w:tblPr>
      <w:tblGrid>
        <w:gridCol w:w="9016"/>
      </w:tblGrid>
      <w:tr w:rsidR="00CB2873" w:rsidTr="00FC16A6" w14:paraId="3775346F" w14:textId="77777777">
        <w:tc>
          <w:tcPr>
            <w:tcW w:w="9016" w:type="dxa"/>
            <w:shd w:val="clear" w:color="auto" w:fill="DEEAF6" w:themeFill="accent5" w:themeFillTint="33"/>
          </w:tcPr>
          <w:p w:rsidR="00CB2873" w:rsidP="004D5FD5" w:rsidRDefault="00A95D0D" w14:paraId="64B9656F" w14:textId="275FF270">
            <w:pPr>
              <w:jc w:val="both"/>
            </w:pPr>
            <w:bookmarkStart w:name="_Toc155945413" w:id="20"/>
            <w:r w:rsidRPr="00A95D0D">
              <w:rPr>
                <w:rStyle w:val="Heading1Char"/>
                <w:rFonts w:ascii="Arial" w:hAnsi="Arial" w:cs="Arial"/>
                <w:b/>
                <w:bCs/>
                <w:color w:val="auto"/>
              </w:rPr>
              <w:t>Section F: Programme management: delivery, VfM, commercial and financial performance</w:t>
            </w:r>
            <w:bookmarkEnd w:id="20"/>
            <w:r w:rsidRPr="00A95D0D">
              <w:t xml:space="preserve"> </w:t>
            </w:r>
          </w:p>
        </w:tc>
      </w:tr>
    </w:tbl>
    <w:p w:rsidR="00CB2873" w:rsidP="004D5FD5" w:rsidRDefault="00CB2873" w14:paraId="6268AFF3" w14:textId="7623B8C4">
      <w:pPr>
        <w:jc w:val="both"/>
        <w:rPr>
          <w:rFonts w:cs="Arial"/>
          <w:bCs/>
          <w:sz w:val="22"/>
          <w:szCs w:val="22"/>
        </w:rPr>
      </w:pPr>
    </w:p>
    <w:p w:rsidR="003D222C" w:rsidP="004D5FD5" w:rsidRDefault="003D222C" w14:paraId="3B873EA5" w14:textId="34CB6C2A">
      <w:pPr>
        <w:jc w:val="both"/>
        <w:rPr>
          <w:rFonts w:cs="Arial"/>
          <w:bCs/>
          <w:sz w:val="22"/>
          <w:szCs w:val="22"/>
        </w:rPr>
      </w:pPr>
      <w:bookmarkStart w:name="_Toc155945414" w:id="21"/>
      <w:r w:rsidRPr="00230B3B">
        <w:rPr>
          <w:rStyle w:val="Heading2Char"/>
        </w:rPr>
        <w:t>Summa</w:t>
      </w:r>
      <w:r w:rsidR="00272DF1">
        <w:rPr>
          <w:rStyle w:val="Heading2Char"/>
        </w:rPr>
        <w:t>ry of</w:t>
      </w:r>
      <w:r w:rsidRPr="00230B3B">
        <w:rPr>
          <w:rStyle w:val="Heading2Char"/>
        </w:rPr>
        <w:t xml:space="preserve"> the performance of partners and </w:t>
      </w:r>
      <w:r w:rsidR="00BF633B">
        <w:rPr>
          <w:rStyle w:val="Heading2Char"/>
        </w:rPr>
        <w:t>DESNZ</w:t>
      </w:r>
      <w:r w:rsidRPr="00230B3B">
        <w:rPr>
          <w:rStyle w:val="Heading2Char"/>
        </w:rPr>
        <w:t>, notably on commercial and financial issues, and including consideration of VfM.</w:t>
      </w:r>
      <w:bookmarkEnd w:id="21"/>
      <w:r w:rsidRPr="00D80C6C">
        <w:rPr>
          <w:rFonts w:cs="Arial"/>
          <w:b/>
          <w:bCs/>
          <w:sz w:val="22"/>
          <w:szCs w:val="22"/>
        </w:rPr>
        <w:t xml:space="preserve"> </w:t>
      </w:r>
    </w:p>
    <w:p w:rsidR="00F64A34" w:rsidP="004D5FD5" w:rsidRDefault="00F64A34" w14:paraId="7B9E344A" w14:textId="77777777">
      <w:pPr>
        <w:jc w:val="both"/>
        <w:rPr>
          <w:rFonts w:cs="Arial"/>
          <w:bCs/>
          <w:sz w:val="22"/>
          <w:szCs w:val="22"/>
        </w:rPr>
      </w:pPr>
    </w:p>
    <w:p w:rsidRPr="00C703CA" w:rsidR="00F64A34" w:rsidP="00F64A34" w:rsidRDefault="00F64A34" w14:paraId="6AEDCF17" w14:textId="77777777">
      <w:pPr>
        <w:pStyle w:val="ListParagraph"/>
        <w:ind w:left="0"/>
        <w:jc w:val="both"/>
        <w:rPr>
          <w:rFonts w:cs="Arial"/>
          <w:b/>
          <w:bCs/>
          <w:sz w:val="22"/>
          <w:szCs w:val="22"/>
          <w:u w:val="single"/>
        </w:rPr>
      </w:pPr>
      <w:r w:rsidRPr="00C703CA">
        <w:rPr>
          <w:rFonts w:cs="Arial"/>
          <w:b/>
          <w:bCs/>
          <w:sz w:val="22"/>
          <w:szCs w:val="22"/>
          <w:u w:val="single"/>
        </w:rPr>
        <w:t>Key cost drivers and performance</w:t>
      </w:r>
    </w:p>
    <w:p w:rsidRPr="00CC4F41" w:rsidR="00F64A34" w:rsidP="00F64A34" w:rsidRDefault="00F64A34" w14:paraId="402E9CCB" w14:textId="77777777">
      <w:pPr>
        <w:pStyle w:val="ListParagraph"/>
        <w:ind w:left="0"/>
        <w:jc w:val="both"/>
        <w:rPr>
          <w:rFonts w:cs="Arial"/>
          <w:b/>
          <w:bCs/>
          <w:sz w:val="22"/>
          <w:szCs w:val="22"/>
        </w:rPr>
      </w:pPr>
    </w:p>
    <w:p w:rsidRPr="00CE0B66" w:rsidR="00F64A34" w:rsidP="00F64A34" w:rsidRDefault="00F64A34" w14:paraId="5741DFE7" w14:textId="77777777">
      <w:pPr>
        <w:pStyle w:val="ListParagraph"/>
        <w:numPr>
          <w:ilvl w:val="0"/>
          <w:numId w:val="30"/>
        </w:numPr>
        <w:jc w:val="both"/>
        <w:rPr>
          <w:rFonts w:cs="Arial"/>
          <w:sz w:val="20"/>
        </w:rPr>
      </w:pPr>
      <w:r w:rsidRPr="00CC4F41">
        <w:rPr>
          <w:rFonts w:cs="Arial"/>
          <w:sz w:val="20"/>
        </w:rPr>
        <w:t xml:space="preserve">The initial underestimation of set-up time and perceived delays in the Carbon Fund were discussed at length in the Extension Business Case (2015). UK expectations (and logframe) were re-baselined in 2017 so that progress can be monitored effectively based on updated, realistic, expectations. According to these revised expectations the Carbon Fund is not </w:t>
      </w:r>
      <w:r w:rsidRPr="00CE0B66">
        <w:rPr>
          <w:rFonts w:cs="Arial"/>
          <w:sz w:val="20"/>
        </w:rPr>
        <w:t>progressing as hoped, due to delays in the signing of ERPAs and the subsequent operationalisation of programmes.</w:t>
      </w:r>
      <w:r>
        <w:rPr>
          <w:rFonts w:cs="Arial"/>
          <w:sz w:val="20"/>
        </w:rPr>
        <w:t xml:space="preserve"> However, continued discussions in more recent years, including additional indicators and extrapolated milestones, are now showing that the FCPF is progressing well. The main risk that the programme faces is delivery sufficiency in the time that we have remaining, with the programme expected to end in Dec 2025. </w:t>
      </w:r>
    </w:p>
    <w:p w:rsidRPr="00CE0B66" w:rsidR="00F64A34" w:rsidP="00F64A34" w:rsidRDefault="00F64A34" w14:paraId="153777B0" w14:textId="77777777">
      <w:pPr>
        <w:pStyle w:val="ListParagraph"/>
        <w:numPr>
          <w:ilvl w:val="0"/>
          <w:numId w:val="30"/>
        </w:numPr>
        <w:jc w:val="both"/>
        <w:rPr>
          <w:rFonts w:cs="Arial"/>
          <w:sz w:val="20"/>
        </w:rPr>
      </w:pPr>
      <w:r w:rsidRPr="00CE0B66">
        <w:rPr>
          <w:sz w:val="20"/>
        </w:rPr>
        <w:t>Total committed funds to the Carbon Fund by all contributors at the end of FY2</w:t>
      </w:r>
      <w:r>
        <w:rPr>
          <w:sz w:val="20"/>
        </w:rPr>
        <w:t>2-23 period</w:t>
      </w:r>
      <w:r w:rsidRPr="00CE0B66">
        <w:rPr>
          <w:sz w:val="20"/>
        </w:rPr>
        <w:t xml:space="preserve"> (30 June 202</w:t>
      </w:r>
      <w:r>
        <w:rPr>
          <w:sz w:val="20"/>
        </w:rPr>
        <w:t>3</w:t>
      </w:r>
      <w:r w:rsidRPr="00CE0B66">
        <w:rPr>
          <w:sz w:val="20"/>
        </w:rPr>
        <w:t xml:space="preserve">) totalled </w:t>
      </w:r>
      <w:r w:rsidRPr="0018027C">
        <w:rPr>
          <w:b/>
          <w:bCs/>
          <w:sz w:val="20"/>
        </w:rPr>
        <w:t>$874.5m</w:t>
      </w:r>
      <w:r w:rsidRPr="00CE0B66">
        <w:rPr>
          <w:sz w:val="20"/>
        </w:rPr>
        <w:t xml:space="preserve">, with a total of </w:t>
      </w:r>
      <w:r w:rsidRPr="0018027C">
        <w:rPr>
          <w:b/>
          <w:bCs/>
          <w:sz w:val="20"/>
        </w:rPr>
        <w:t>$788.1m</w:t>
      </w:r>
      <w:r w:rsidRPr="00CE0B66">
        <w:rPr>
          <w:sz w:val="20"/>
        </w:rPr>
        <w:t xml:space="preserve"> available for the purchase of ERs once fixed fund costs have been accounted for.</w:t>
      </w:r>
    </w:p>
    <w:p w:rsidRPr="00CC4F41" w:rsidR="00F64A34" w:rsidP="00F64A34" w:rsidRDefault="00F64A34" w14:paraId="0BF75B74" w14:textId="77777777">
      <w:pPr>
        <w:pStyle w:val="ListParagraph"/>
        <w:numPr>
          <w:ilvl w:val="0"/>
          <w:numId w:val="30"/>
        </w:numPr>
        <w:jc w:val="both"/>
        <w:rPr>
          <w:rFonts w:cs="Arial"/>
          <w:sz w:val="20"/>
        </w:rPr>
      </w:pPr>
      <w:r>
        <w:rPr>
          <w:rFonts w:cs="Arial"/>
          <w:sz w:val="20"/>
        </w:rPr>
        <w:t>The</w:t>
      </w:r>
      <w:r w:rsidRPr="00CC4F41">
        <w:rPr>
          <w:rFonts w:cs="Arial"/>
          <w:sz w:val="20"/>
        </w:rPr>
        <w:t xml:space="preserve"> UK’s £141.5m investment in the Carbon Fund has been committed via Promissory Note which has now been fully encashed. </w:t>
      </w:r>
    </w:p>
    <w:p w:rsidRPr="00C703CA" w:rsidR="00F64A34" w:rsidP="00F64A34" w:rsidRDefault="00F64A34" w14:paraId="2B7C33AE" w14:textId="77777777">
      <w:pPr>
        <w:jc w:val="both"/>
        <w:rPr>
          <w:b/>
          <w:sz w:val="22"/>
          <w:szCs w:val="22"/>
          <w:u w:val="single"/>
        </w:rPr>
      </w:pPr>
      <w:r w:rsidRPr="00C703CA">
        <w:rPr>
          <w:b/>
          <w:sz w:val="22"/>
          <w:szCs w:val="22"/>
          <w:u w:val="single"/>
        </w:rPr>
        <w:t xml:space="preserve">Value for money </w:t>
      </w:r>
    </w:p>
    <w:p w:rsidR="00F64A34" w:rsidP="00F64A34" w:rsidRDefault="00F64A34" w14:paraId="56D75913" w14:textId="77777777">
      <w:pPr>
        <w:jc w:val="both"/>
        <w:rPr>
          <w:bCs/>
          <w:sz w:val="20"/>
          <w:szCs w:val="20"/>
        </w:rPr>
      </w:pPr>
    </w:p>
    <w:p w:rsidRPr="00FD3D3C" w:rsidR="00F64A34" w:rsidP="00F64A34" w:rsidRDefault="00F64A34" w14:paraId="1E8116F4" w14:textId="77777777">
      <w:pPr>
        <w:jc w:val="both"/>
        <w:rPr>
          <w:bCs/>
          <w:sz w:val="20"/>
          <w:szCs w:val="20"/>
        </w:rPr>
      </w:pPr>
      <w:r>
        <w:rPr>
          <w:bCs/>
          <w:sz w:val="20"/>
          <w:szCs w:val="20"/>
        </w:rPr>
        <w:t>Value for money is assessed in accordance with the FCDO’s 4Es framework outlined below: economy, efficiency, effectiveness and equity.</w:t>
      </w:r>
    </w:p>
    <w:p w:rsidRPr="00CE5A75" w:rsidR="00F64A34" w:rsidP="00F64A34" w:rsidRDefault="00F64A34" w14:paraId="595A5B71" w14:textId="77777777">
      <w:pPr>
        <w:jc w:val="both"/>
        <w:rPr>
          <w:b/>
          <w:sz w:val="22"/>
          <w:szCs w:val="22"/>
        </w:rPr>
      </w:pPr>
    </w:p>
    <w:p w:rsidRPr="00591CAC" w:rsidR="00F64A34" w:rsidP="00F64A34" w:rsidRDefault="00F64A34" w14:paraId="7A72DEDB" w14:textId="77777777">
      <w:pPr>
        <w:jc w:val="both"/>
        <w:rPr>
          <w:rFonts w:asciiTheme="minorHAnsi" w:hAnsiTheme="minorHAnsi" w:eastAsiaTheme="minorEastAsia" w:cstheme="minorBidi"/>
          <w:sz w:val="20"/>
          <w:szCs w:val="20"/>
          <w:lang w:val="en"/>
        </w:rPr>
      </w:pPr>
      <w:r w:rsidRPr="00591CAC">
        <w:rPr>
          <w:rFonts w:cs="Arial"/>
          <w:b/>
          <w:bCs/>
          <w:i/>
          <w:iCs/>
          <w:sz w:val="20"/>
          <w:szCs w:val="20"/>
          <w:lang w:val="en"/>
        </w:rPr>
        <w:t xml:space="preserve">Economy: </w:t>
      </w:r>
    </w:p>
    <w:p w:rsidRPr="00591CAC" w:rsidR="00F64A34" w:rsidP="6F27FDAB" w:rsidRDefault="00F64A34" w14:paraId="23DC6B7A" w14:textId="77777777" w14:noSpellErr="1">
      <w:pPr>
        <w:jc w:val="both"/>
        <w:rPr>
          <w:rFonts w:cs="Arial"/>
          <w:sz w:val="20"/>
          <w:szCs w:val="20"/>
          <w:lang w:val="en-US"/>
        </w:rPr>
      </w:pPr>
      <w:r w:rsidRPr="6F27FDAB" w:rsidR="00F64A34">
        <w:rPr>
          <w:rFonts w:cs="Arial"/>
          <w:sz w:val="20"/>
          <w:szCs w:val="20"/>
          <w:lang w:val="en-US"/>
        </w:rPr>
        <w:t>Total carbon fund costs (</w:t>
      </w:r>
      <w:r w:rsidRPr="6F27FDAB" w:rsidR="00F64A34">
        <w:rPr>
          <w:rFonts w:cs="Arial"/>
          <w:sz w:val="20"/>
          <w:szCs w:val="20"/>
          <w:lang w:val="en-US"/>
        </w:rPr>
        <w:t xml:space="preserve">of which </w:t>
      </w:r>
      <w:r w:rsidRPr="6F27FDAB" w:rsidR="00F64A34">
        <w:rPr>
          <w:rFonts w:cs="Arial"/>
          <w:sz w:val="20"/>
          <w:szCs w:val="20"/>
          <w:lang w:val="en-US"/>
        </w:rPr>
        <w:t>admin costs) for FY20 were $6.0m ($1.1m), for FY21 were $5.6m ($1.3m),</w:t>
      </w:r>
      <w:r w:rsidRPr="6F27FDAB" w:rsidR="00F64A34">
        <w:rPr>
          <w:rFonts w:cs="Arial"/>
          <w:sz w:val="20"/>
          <w:szCs w:val="20"/>
          <w:lang w:val="en-US"/>
        </w:rPr>
        <w:t xml:space="preserve"> </w:t>
      </w:r>
      <w:r w:rsidRPr="6F27FDAB" w:rsidR="00F64A34">
        <w:rPr>
          <w:rFonts w:cs="Arial"/>
          <w:sz w:val="20"/>
          <w:szCs w:val="20"/>
          <w:lang w:val="en-US"/>
        </w:rPr>
        <w:t>for FY22 were $5.7m ($1.1m)</w:t>
      </w:r>
      <w:r w:rsidRPr="6F27FDAB" w:rsidR="00F64A34">
        <w:rPr>
          <w:rFonts w:cs="Arial"/>
          <w:sz w:val="20"/>
          <w:szCs w:val="20"/>
          <w:lang w:val="en-US"/>
        </w:rPr>
        <w:t xml:space="preserve"> and for this year FY23 (22-23) were </w:t>
      </w:r>
      <w:r w:rsidRPr="6F27FDAB" w:rsidR="00F64A34">
        <w:rPr>
          <w:rFonts w:cs="Arial"/>
          <w:b w:val="1"/>
          <w:bCs w:val="1"/>
          <w:sz w:val="20"/>
          <w:szCs w:val="20"/>
          <w:lang w:val="en-US"/>
        </w:rPr>
        <w:t>$</w:t>
      </w:r>
      <w:r w:rsidRPr="6F27FDAB" w:rsidR="00F64A34">
        <w:rPr>
          <w:rFonts w:cs="Arial"/>
          <w:b w:val="1"/>
          <w:bCs w:val="1"/>
          <w:sz w:val="20"/>
          <w:szCs w:val="20"/>
          <w:lang w:val="en-US"/>
        </w:rPr>
        <w:t>6.4</w:t>
      </w:r>
      <w:r w:rsidRPr="6F27FDAB" w:rsidR="00F64A34">
        <w:rPr>
          <w:rFonts w:cs="Arial"/>
          <w:b w:val="1"/>
          <w:bCs w:val="1"/>
          <w:sz w:val="20"/>
          <w:szCs w:val="20"/>
          <w:lang w:val="en-US"/>
        </w:rPr>
        <w:t>m ($</w:t>
      </w:r>
      <w:r w:rsidRPr="6F27FDAB" w:rsidR="00F64A34">
        <w:rPr>
          <w:rFonts w:cs="Arial"/>
          <w:b w:val="1"/>
          <w:bCs w:val="1"/>
          <w:sz w:val="20"/>
          <w:szCs w:val="20"/>
          <w:lang w:val="en-US"/>
        </w:rPr>
        <w:t>1.3</w:t>
      </w:r>
      <w:r w:rsidRPr="6F27FDAB" w:rsidR="00F64A34">
        <w:rPr>
          <w:rFonts w:cs="Arial"/>
          <w:b w:val="1"/>
          <w:bCs w:val="1"/>
          <w:sz w:val="20"/>
          <w:szCs w:val="20"/>
          <w:lang w:val="en-US"/>
        </w:rPr>
        <w:t>m)</w:t>
      </w:r>
      <w:r w:rsidRPr="6F27FDAB" w:rsidR="00F64A34">
        <w:rPr>
          <w:rFonts w:cs="Arial"/>
          <w:sz w:val="20"/>
          <w:szCs w:val="20"/>
          <w:lang w:val="en-US"/>
        </w:rPr>
        <w:t xml:space="preserve"> [note these correspond to World Bank financial years</w:t>
      </w:r>
      <w:r w:rsidRPr="6F27FDAB" w:rsidR="00F64A34">
        <w:rPr>
          <w:rFonts w:cs="Arial"/>
          <w:sz w:val="20"/>
          <w:szCs w:val="20"/>
          <w:lang w:val="en-US"/>
        </w:rPr>
        <w:t>, July to June</w:t>
      </w:r>
      <w:r w:rsidRPr="6F27FDAB" w:rsidR="00F64A34">
        <w:rPr>
          <w:rFonts w:cs="Arial"/>
          <w:sz w:val="20"/>
          <w:szCs w:val="20"/>
          <w:lang w:val="en-US"/>
        </w:rPr>
        <w:t>]. The budgeted spend for total carbon fund costs in FY2</w:t>
      </w:r>
      <w:r w:rsidRPr="6F27FDAB" w:rsidR="00F64A34">
        <w:rPr>
          <w:rFonts w:cs="Arial"/>
          <w:sz w:val="20"/>
          <w:szCs w:val="20"/>
          <w:lang w:val="en-US"/>
        </w:rPr>
        <w:t>3</w:t>
      </w:r>
      <w:r w:rsidRPr="6F27FDAB" w:rsidR="00F64A34">
        <w:rPr>
          <w:rFonts w:cs="Arial"/>
          <w:sz w:val="20"/>
          <w:szCs w:val="20"/>
          <w:lang w:val="en-US"/>
        </w:rPr>
        <w:t xml:space="preserve"> was </w:t>
      </w:r>
      <w:r w:rsidRPr="6F27FDAB" w:rsidR="00F64A34">
        <w:rPr>
          <w:rFonts w:cs="Arial"/>
          <w:sz w:val="20"/>
          <w:szCs w:val="20"/>
          <w:lang w:val="en-US"/>
        </w:rPr>
        <w:t>$9.9m,</w:t>
      </w:r>
      <w:r w:rsidRPr="6F27FDAB" w:rsidR="00F64A34">
        <w:rPr>
          <w:rFonts w:cs="Arial"/>
          <w:sz w:val="20"/>
          <w:szCs w:val="20"/>
          <w:lang w:val="en-US"/>
        </w:rPr>
        <w:t xml:space="preserve"> </w:t>
      </w:r>
      <w:r w:rsidRPr="6F27FDAB" w:rsidR="00F64A34">
        <w:rPr>
          <w:rFonts w:cs="Arial"/>
          <w:sz w:val="20"/>
          <w:szCs w:val="20"/>
          <w:lang w:val="en-US"/>
        </w:rPr>
        <w:t>representing</w:t>
      </w:r>
      <w:r w:rsidRPr="6F27FDAB" w:rsidR="00F64A34">
        <w:rPr>
          <w:rFonts w:cs="Arial"/>
          <w:sz w:val="20"/>
          <w:szCs w:val="20"/>
          <w:lang w:val="en-US"/>
        </w:rPr>
        <w:t xml:space="preserve"> an underspend from the original forecast budget for this FY of </w:t>
      </w:r>
      <w:r w:rsidRPr="6F27FDAB" w:rsidR="00F64A34">
        <w:rPr>
          <w:rFonts w:cs="Arial"/>
          <w:b w:val="1"/>
          <w:bCs w:val="1"/>
          <w:sz w:val="20"/>
          <w:szCs w:val="20"/>
          <w:lang w:val="en-US"/>
        </w:rPr>
        <w:t>36%</w:t>
      </w:r>
      <w:r w:rsidRPr="6F27FDAB" w:rsidR="00F64A34">
        <w:rPr>
          <w:rFonts w:cs="Arial"/>
          <w:sz w:val="20"/>
          <w:szCs w:val="20"/>
          <w:lang w:val="en-US"/>
        </w:rPr>
        <w:t>.</w:t>
      </w:r>
      <w:r w:rsidRPr="6F27FDAB" w:rsidR="00F64A34">
        <w:rPr>
          <w:rFonts w:cs="Arial"/>
          <w:sz w:val="20"/>
          <w:szCs w:val="20"/>
          <w:lang w:val="en-US"/>
        </w:rPr>
        <w:t xml:space="preserve"> The impact of this underspend on economy depends on whether the World Bank recycles the revenues into spend elsewhere in the programme, </w:t>
      </w:r>
      <w:r w:rsidRPr="6F27FDAB" w:rsidR="00F64A34">
        <w:rPr>
          <w:rFonts w:cs="Arial"/>
          <w:sz w:val="20"/>
          <w:szCs w:val="20"/>
          <w:lang w:val="en-US"/>
        </w:rPr>
        <w:t>anticipates</w:t>
      </w:r>
      <w:r w:rsidRPr="6F27FDAB" w:rsidR="00F64A34">
        <w:rPr>
          <w:rFonts w:cs="Arial"/>
          <w:sz w:val="20"/>
          <w:szCs w:val="20"/>
          <w:lang w:val="en-US"/>
        </w:rPr>
        <w:t xml:space="preserve"> ramping up activities in future years leading to minimal underspend over the programme lifetime compared to </w:t>
      </w:r>
      <w:r w:rsidRPr="6F27FDAB" w:rsidR="00F64A34">
        <w:rPr>
          <w:rFonts w:cs="Arial"/>
          <w:sz w:val="20"/>
          <w:szCs w:val="20"/>
          <w:lang w:val="en-US"/>
        </w:rPr>
        <w:t>initial</w:t>
      </w:r>
      <w:r w:rsidRPr="6F27FDAB" w:rsidR="00F64A34">
        <w:rPr>
          <w:rFonts w:cs="Arial"/>
          <w:sz w:val="20"/>
          <w:szCs w:val="20"/>
          <w:lang w:val="en-US"/>
        </w:rPr>
        <w:t xml:space="preserve"> expectations, or has not specifically addressed this underspend.</w:t>
      </w:r>
    </w:p>
    <w:p w:rsidRPr="00DC59EE" w:rsidR="00F64A34" w:rsidP="00F64A34" w:rsidRDefault="00F64A34" w14:paraId="5A13DACB" w14:textId="77777777">
      <w:pPr>
        <w:jc w:val="both"/>
        <w:rPr>
          <w:rFonts w:cs="Arial"/>
          <w:sz w:val="20"/>
          <w:lang w:val="en"/>
        </w:rPr>
      </w:pPr>
    </w:p>
    <w:p w:rsidR="00F64A34" w:rsidP="00F64A34" w:rsidRDefault="00F64A34" w14:paraId="46BD95C8" w14:textId="77777777">
      <w:pPr>
        <w:jc w:val="both"/>
        <w:rPr>
          <w:rFonts w:cs="Arial" w:eastAsiaTheme="minorEastAsia"/>
          <w:sz w:val="20"/>
          <w:lang w:val="en"/>
        </w:rPr>
      </w:pPr>
      <w:r w:rsidRPr="008D4F64">
        <w:rPr>
          <w:rFonts w:cs="Arial"/>
          <w:b/>
          <w:bCs/>
          <w:i/>
          <w:iCs/>
          <w:sz w:val="20"/>
          <w:lang w:val="en"/>
        </w:rPr>
        <w:t>Efficiency:</w:t>
      </w:r>
      <w:r w:rsidRPr="008D4F64">
        <w:rPr>
          <w:rFonts w:cs="Arial" w:eastAsiaTheme="minorEastAsia"/>
          <w:sz w:val="20"/>
          <w:lang w:val="en"/>
        </w:rPr>
        <w:t xml:space="preserve"> </w:t>
      </w:r>
    </w:p>
    <w:p w:rsidR="00F64A34" w:rsidP="6F27FDAB" w:rsidRDefault="00F64A34" w14:paraId="7227F30B" w14:textId="77777777" w14:noSpellErr="1">
      <w:pPr>
        <w:jc w:val="both"/>
        <w:rPr>
          <w:rFonts w:eastAsia="游明朝" w:cs="Arial" w:eastAsiaTheme="minorEastAsia"/>
          <w:sz w:val="20"/>
          <w:szCs w:val="20"/>
          <w:lang w:val="en-US"/>
        </w:rPr>
      </w:pPr>
      <w:r w:rsidRPr="524C10BA" w:rsidR="00F64A34">
        <w:rPr>
          <w:rFonts w:eastAsia="游明朝" w:cs="Arial" w:eastAsiaTheme="minorEastAsia"/>
          <w:sz w:val="20"/>
          <w:szCs w:val="20"/>
          <w:lang w:val="en-US"/>
        </w:rPr>
        <w:t>FCPF has progressed significantly in delivering</w:t>
      </w:r>
      <w:r w:rsidRPr="524C10BA" w:rsidR="00F64A34">
        <w:rPr>
          <w:rFonts w:eastAsia="游明朝" w:cs="Arial" w:eastAsiaTheme="minorEastAsia"/>
          <w:sz w:val="20"/>
          <w:szCs w:val="20"/>
          <w:lang w:val="en-US"/>
        </w:rPr>
        <w:t xml:space="preserve"> against </w:t>
      </w:r>
      <w:r w:rsidRPr="524C10BA" w:rsidR="00F64A34">
        <w:rPr>
          <w:rFonts w:eastAsia="游明朝" w:cs="Arial" w:eastAsiaTheme="minorEastAsia"/>
          <w:sz w:val="20"/>
          <w:szCs w:val="20"/>
          <w:lang w:val="en-US"/>
        </w:rPr>
        <w:t xml:space="preserve">key </w:t>
      </w:r>
      <w:r w:rsidRPr="524C10BA" w:rsidR="00F64A34">
        <w:rPr>
          <w:rFonts w:eastAsia="游明朝" w:cs="Arial" w:eastAsiaTheme="minorEastAsia"/>
          <w:sz w:val="20"/>
          <w:szCs w:val="20"/>
          <w:lang w:val="en-US"/>
        </w:rPr>
        <w:t xml:space="preserve">milestones </w:t>
      </w:r>
      <w:r w:rsidRPr="524C10BA" w:rsidR="00F64A34">
        <w:rPr>
          <w:rFonts w:eastAsia="游明朝" w:cs="Arial" w:eastAsiaTheme="minorEastAsia"/>
          <w:sz w:val="20"/>
          <w:szCs w:val="20"/>
          <w:lang w:val="en-US"/>
        </w:rPr>
        <w:t>in FY23, having a positive impact on</w:t>
      </w:r>
      <w:r w:rsidRPr="524C10BA" w:rsidR="00F64A34">
        <w:rPr>
          <w:rFonts w:eastAsia="游明朝" w:cs="Arial" w:eastAsiaTheme="minorEastAsia"/>
          <w:sz w:val="20"/>
          <w:szCs w:val="20"/>
          <w:lang w:val="en-US"/>
        </w:rPr>
        <w:t xml:space="preserve"> efficiency</w:t>
      </w:r>
      <w:r w:rsidRPr="524C10BA" w:rsidR="00F64A34">
        <w:rPr>
          <w:rFonts w:eastAsia="游明朝" w:cs="Arial" w:eastAsiaTheme="minorEastAsia"/>
          <w:sz w:val="20"/>
          <w:szCs w:val="20"/>
          <w:lang w:val="en-US"/>
        </w:rPr>
        <w:t xml:space="preserve">.  </w:t>
      </w:r>
      <w:r w:rsidRPr="524C10BA" w:rsidR="00F64A34">
        <w:rPr>
          <w:rFonts w:eastAsia="游明朝" w:cs="Arial" w:eastAsiaTheme="minorEastAsia"/>
          <w:sz w:val="20"/>
          <w:szCs w:val="20"/>
          <w:lang w:val="en-US"/>
        </w:rPr>
        <w:t>T</w:t>
      </w:r>
      <w:r w:rsidRPr="524C10BA" w:rsidR="00F64A34">
        <w:rPr>
          <w:rFonts w:eastAsia="游明朝" w:cs="Arial" w:eastAsiaTheme="minorEastAsia"/>
          <w:sz w:val="20"/>
          <w:szCs w:val="20"/>
          <w:lang w:val="en-US"/>
        </w:rPr>
        <w:t xml:space="preserve">he key target for ERPA signatures </w:t>
      </w:r>
      <w:r w:rsidRPr="524C10BA" w:rsidR="00F64A34">
        <w:rPr>
          <w:rFonts w:eastAsia="游明朝" w:cs="Arial" w:eastAsiaTheme="minorEastAsia"/>
          <w:sz w:val="20"/>
          <w:szCs w:val="20"/>
          <w:lang w:val="en-US"/>
        </w:rPr>
        <w:t>been</w:t>
      </w:r>
      <w:r w:rsidRPr="524C10BA" w:rsidR="00F64A34">
        <w:rPr>
          <w:rFonts w:eastAsia="游明朝" w:cs="Arial" w:eastAsiaTheme="minorEastAsia"/>
          <w:sz w:val="20"/>
          <w:szCs w:val="20"/>
          <w:lang w:val="en-US"/>
        </w:rPr>
        <w:t xml:space="preserve"> met (with all 15 ERPAs signed), and </w:t>
      </w:r>
      <w:r w:rsidRPr="524C10BA" w:rsidR="00F64A34">
        <w:rPr>
          <w:rFonts w:eastAsia="游明朝" w:cs="Arial" w:eastAsiaTheme="minorEastAsia"/>
          <w:sz w:val="20"/>
          <w:szCs w:val="20"/>
          <w:lang w:val="en-US"/>
        </w:rPr>
        <w:t xml:space="preserve">6 </w:t>
      </w:r>
      <w:r w:rsidRPr="524C10BA" w:rsidR="00F64A34">
        <w:rPr>
          <w:rFonts w:eastAsia="游明朝" w:cs="Arial" w:eastAsiaTheme="minorEastAsia"/>
          <w:sz w:val="20"/>
          <w:szCs w:val="20"/>
          <w:lang w:val="en-US"/>
        </w:rPr>
        <w:t xml:space="preserve">countries </w:t>
      </w:r>
      <w:r w:rsidRPr="524C10BA" w:rsidR="00F64A34">
        <w:rPr>
          <w:rFonts w:eastAsia="游明朝" w:cs="Arial" w:eastAsiaTheme="minorEastAsia"/>
          <w:sz w:val="20"/>
          <w:szCs w:val="20"/>
          <w:lang w:val="en-US"/>
        </w:rPr>
        <w:t>have received payments due to the acceleration in delivering</w:t>
      </w:r>
      <w:r w:rsidRPr="524C10BA" w:rsidR="00F64A34">
        <w:rPr>
          <w:rFonts w:eastAsia="游明朝" w:cs="Arial" w:eastAsiaTheme="minorEastAsia"/>
          <w:sz w:val="20"/>
          <w:szCs w:val="20"/>
          <w:lang w:val="en-US"/>
        </w:rPr>
        <w:t xml:space="preserve"> their </w:t>
      </w:r>
      <w:r w:rsidRPr="524C10BA" w:rsidR="00F64A34">
        <w:rPr>
          <w:rFonts w:eastAsia="游明朝" w:cs="Arial" w:eastAsiaTheme="minorEastAsia"/>
          <w:sz w:val="20"/>
          <w:szCs w:val="20"/>
          <w:lang w:val="en-US"/>
        </w:rPr>
        <w:t>programmes</w:t>
      </w:r>
      <w:r w:rsidRPr="524C10BA" w:rsidR="00F64A34">
        <w:rPr>
          <w:rFonts w:eastAsia="游明朝" w:cs="Arial" w:eastAsiaTheme="minorEastAsia"/>
          <w:sz w:val="20"/>
          <w:szCs w:val="20"/>
          <w:lang w:val="en-US"/>
        </w:rPr>
        <w:t>.</w:t>
      </w:r>
      <w:r w:rsidRPr="524C10BA" w:rsidR="00F64A34">
        <w:rPr>
          <w:rFonts w:eastAsia="游明朝" w:cs="Arial" w:eastAsiaTheme="minorEastAsia"/>
          <w:sz w:val="20"/>
          <w:szCs w:val="20"/>
          <w:lang w:val="en-US"/>
        </w:rPr>
        <w:t xml:space="preserve"> </w:t>
      </w:r>
      <w:r w:rsidRPr="524C10BA" w:rsidR="00F64A34">
        <w:rPr>
          <w:rFonts w:eastAsia="游明朝" w:cs="Arial" w:eastAsiaTheme="minorEastAsia"/>
          <w:sz w:val="20"/>
          <w:szCs w:val="20"/>
          <w:lang w:val="en-US"/>
        </w:rPr>
        <w:t xml:space="preserve">This includes advance payments to CIV, Indonesia and Laos with an aim is to accelerate the implementation of benefit-sharing arrangements in parallel to verification while </w:t>
      </w:r>
      <w:r w:rsidRPr="524C10BA" w:rsidR="00F64A34">
        <w:rPr>
          <w:rFonts w:eastAsia="游明朝" w:cs="Arial" w:eastAsiaTheme="minorEastAsia"/>
          <w:sz w:val="20"/>
          <w:szCs w:val="20"/>
          <w:lang w:val="en-US"/>
        </w:rPr>
        <w:t>maintaining</w:t>
      </w:r>
      <w:r w:rsidRPr="524C10BA" w:rsidR="00F64A34">
        <w:rPr>
          <w:rFonts w:eastAsia="游明朝" w:cs="Arial" w:eastAsiaTheme="minorEastAsia"/>
          <w:sz w:val="20"/>
          <w:szCs w:val="20"/>
          <w:lang w:val="en-US"/>
        </w:rPr>
        <w:t xml:space="preserve"> a low delivery risk for the FCPF portfolio. </w:t>
      </w:r>
      <w:r w:rsidRPr="524C10BA" w:rsidR="00F64A34">
        <w:rPr>
          <w:rFonts w:eastAsia="游明朝" w:cs="Arial" w:eastAsiaTheme="minorEastAsia"/>
          <w:sz w:val="20"/>
          <w:szCs w:val="20"/>
          <w:lang w:val="en-US"/>
        </w:rPr>
        <w:t xml:space="preserve">Recommendations </w:t>
      </w:r>
      <w:r w:rsidRPr="524C10BA" w:rsidR="00F64A34">
        <w:rPr>
          <w:rFonts w:eastAsia="游明朝" w:cs="Arial" w:eastAsiaTheme="minorEastAsia"/>
          <w:sz w:val="20"/>
          <w:szCs w:val="20"/>
          <w:lang w:val="en-US"/>
        </w:rPr>
        <w:t xml:space="preserve">from the last Annual Review have mostly been </w:t>
      </w:r>
      <w:r w:rsidRPr="524C10BA" w:rsidR="00F64A34">
        <w:rPr>
          <w:rFonts w:eastAsia="游明朝" w:cs="Arial" w:eastAsiaTheme="minorEastAsia"/>
          <w:sz w:val="20"/>
          <w:szCs w:val="20"/>
          <w:lang w:val="en-US"/>
        </w:rPr>
        <w:t>complete</w:t>
      </w:r>
      <w:r w:rsidRPr="524C10BA" w:rsidR="00F64A34">
        <w:rPr>
          <w:rFonts w:eastAsia="游明朝" w:cs="Arial" w:eastAsiaTheme="minorEastAsia"/>
          <w:sz w:val="20"/>
          <w:szCs w:val="20"/>
          <w:lang w:val="en-US"/>
        </w:rPr>
        <w:t xml:space="preserve"> which has contributed to improved efficiency.</w:t>
      </w:r>
    </w:p>
    <w:p w:rsidRPr="00936C3E" w:rsidR="00F64A34" w:rsidP="00F64A34" w:rsidRDefault="00F64A34" w14:paraId="01A3E197" w14:textId="77777777">
      <w:pPr>
        <w:jc w:val="both"/>
        <w:rPr>
          <w:rFonts w:asciiTheme="minorHAnsi" w:hAnsiTheme="minorHAnsi" w:eastAsiaTheme="minorEastAsia" w:cstheme="minorBidi"/>
          <w:sz w:val="20"/>
          <w:lang w:val="en"/>
        </w:rPr>
      </w:pPr>
    </w:p>
    <w:p w:rsidRPr="00C703CA" w:rsidR="00F64A34" w:rsidP="00F64A34" w:rsidRDefault="00F64A34" w14:paraId="07120340" w14:textId="77777777">
      <w:pPr>
        <w:jc w:val="both"/>
        <w:rPr>
          <w:rFonts w:cs="Arial" w:eastAsiaTheme="minorEastAsia"/>
          <w:sz w:val="20"/>
          <w:lang w:val="en"/>
        </w:rPr>
      </w:pPr>
      <w:r w:rsidRPr="008D4F64">
        <w:rPr>
          <w:rFonts w:cs="Arial"/>
          <w:b/>
          <w:bCs/>
          <w:i/>
          <w:iCs/>
          <w:sz w:val="20"/>
          <w:lang w:val="en"/>
        </w:rPr>
        <w:t>Effectiveness:</w:t>
      </w:r>
      <w:r w:rsidRPr="008D4F64">
        <w:rPr>
          <w:rFonts w:cs="Arial" w:eastAsiaTheme="minorEastAsia"/>
          <w:sz w:val="20"/>
          <w:lang w:val="en"/>
        </w:rPr>
        <w:t xml:space="preserve"> </w:t>
      </w:r>
    </w:p>
    <w:p w:rsidRPr="0077537C" w:rsidR="00F64A34" w:rsidP="6F27FDAB" w:rsidRDefault="00F64A34" w14:paraId="591353DD" w14:textId="77777777" w14:noSpellErr="1">
      <w:pPr>
        <w:jc w:val="both"/>
        <w:rPr>
          <w:rFonts w:eastAsia="游明朝" w:cs="Arial" w:eastAsiaTheme="minorEastAsia"/>
          <w:sz w:val="20"/>
          <w:szCs w:val="20"/>
          <w:lang w:val="en-US"/>
        </w:rPr>
      </w:pPr>
      <w:r w:rsidRPr="6F27FDAB" w:rsidR="00F64A34">
        <w:rPr>
          <w:rFonts w:eastAsia="游明朝" w:cs="Arial" w:eastAsiaTheme="minorEastAsia"/>
          <w:sz w:val="20"/>
          <w:szCs w:val="20"/>
          <w:lang w:val="en-US"/>
        </w:rPr>
        <w:t xml:space="preserve">All 15 participating countries </w:t>
      </w:r>
      <w:r w:rsidRPr="6F27FDAB" w:rsidR="00F64A34">
        <w:rPr>
          <w:rFonts w:eastAsia="游明朝" w:cs="Arial" w:eastAsiaTheme="minorEastAsia"/>
          <w:sz w:val="20"/>
          <w:szCs w:val="20"/>
          <w:lang w:val="en-US"/>
        </w:rPr>
        <w:t xml:space="preserve">have fulfilled conditions of effectiveness and are </w:t>
      </w:r>
      <w:r w:rsidRPr="6F27FDAB" w:rsidR="00F64A34">
        <w:rPr>
          <w:rFonts w:eastAsia="游明朝" w:cs="Arial" w:eastAsiaTheme="minorEastAsia"/>
          <w:sz w:val="20"/>
          <w:szCs w:val="20"/>
          <w:lang w:val="en-US"/>
        </w:rPr>
        <w:t>monitoring</w:t>
      </w:r>
      <w:r w:rsidRPr="6F27FDAB" w:rsidR="00F64A34">
        <w:rPr>
          <w:rFonts w:eastAsia="游明朝" w:cs="Arial" w:eastAsiaTheme="minorEastAsia"/>
          <w:sz w:val="20"/>
          <w:szCs w:val="20"/>
          <w:lang w:val="en-US"/>
        </w:rPr>
        <w:t xml:space="preserve"> E</w:t>
      </w:r>
      <w:r w:rsidRPr="6F27FDAB" w:rsidR="00F64A34">
        <w:rPr>
          <w:rFonts w:eastAsia="游明朝" w:cs="Arial" w:eastAsiaTheme="minorEastAsia"/>
          <w:sz w:val="20"/>
          <w:szCs w:val="20"/>
          <w:lang w:val="en-US"/>
        </w:rPr>
        <w:t>R</w:t>
      </w:r>
      <w:r w:rsidRPr="6F27FDAB" w:rsidR="00F64A34">
        <w:rPr>
          <w:rFonts w:eastAsia="游明朝" w:cs="Arial" w:eastAsiaTheme="minorEastAsia"/>
          <w:sz w:val="20"/>
          <w:szCs w:val="20"/>
          <w:lang w:val="en-US"/>
        </w:rPr>
        <w:t>s</w:t>
      </w:r>
      <w:r w:rsidRPr="6F27FDAB" w:rsidR="00F64A34">
        <w:rPr>
          <w:rFonts w:eastAsia="游明朝" w:cs="Arial" w:eastAsiaTheme="minorEastAsia"/>
          <w:sz w:val="20"/>
          <w:szCs w:val="20"/>
          <w:lang w:val="en-US"/>
        </w:rPr>
        <w:t xml:space="preserve">. In FY23, </w:t>
      </w:r>
      <w:r w:rsidRPr="6F27FDAB" w:rsidR="00F64A34">
        <w:rPr>
          <w:rFonts w:eastAsia="游明朝" w:cs="Arial" w:eastAsiaTheme="minorEastAsia"/>
          <w:sz w:val="20"/>
          <w:szCs w:val="20"/>
          <w:lang w:val="en-US"/>
        </w:rPr>
        <w:t xml:space="preserve">FCPF Carbon Fund made </w:t>
      </w:r>
      <w:r w:rsidRPr="6F27FDAB" w:rsidR="00F64A34">
        <w:rPr>
          <w:rFonts w:eastAsia="游明朝" w:cs="Arial" w:eastAsiaTheme="minorEastAsia"/>
          <w:sz w:val="20"/>
          <w:szCs w:val="20"/>
          <w:lang w:val="en-US"/>
        </w:rPr>
        <w:t xml:space="preserve">ER </w:t>
      </w:r>
      <w:r w:rsidRPr="6F27FDAB" w:rsidR="00F64A34">
        <w:rPr>
          <w:rFonts w:eastAsia="游明朝" w:cs="Arial" w:eastAsiaTheme="minorEastAsia"/>
          <w:sz w:val="20"/>
          <w:szCs w:val="20"/>
          <w:lang w:val="en-US"/>
        </w:rPr>
        <w:t>payments</w:t>
      </w:r>
      <w:r w:rsidRPr="6F27FDAB" w:rsidR="00F64A34">
        <w:rPr>
          <w:rFonts w:eastAsia="游明朝" w:cs="Arial" w:eastAsiaTheme="minorEastAsia"/>
          <w:sz w:val="20"/>
          <w:szCs w:val="20"/>
          <w:lang w:val="en-US"/>
        </w:rPr>
        <w:t xml:space="preserve"> for verified emission reductions to Costa Rica (</w:t>
      </w:r>
      <w:r w:rsidRPr="6F27FDAB" w:rsidR="00F64A34">
        <w:rPr>
          <w:rFonts w:eastAsia="游明朝" w:cs="Arial" w:eastAsiaTheme="minorEastAsia"/>
          <w:sz w:val="20"/>
          <w:szCs w:val="20"/>
          <w:lang w:val="en-US"/>
        </w:rPr>
        <w:t>$16.4m for 3.2mtCOe</w:t>
      </w:r>
      <w:r w:rsidRPr="6F27FDAB" w:rsidR="00F64A34">
        <w:rPr>
          <w:rFonts w:eastAsia="游明朝" w:cs="Arial" w:eastAsiaTheme="minorEastAsia"/>
          <w:sz w:val="20"/>
          <w:szCs w:val="20"/>
          <w:lang w:val="en-US"/>
        </w:rPr>
        <w:t>)</w:t>
      </w:r>
      <w:r w:rsidRPr="6F27FDAB" w:rsidR="00F64A34">
        <w:rPr>
          <w:rFonts w:eastAsia="游明朝" w:cs="Arial" w:eastAsiaTheme="minorEastAsia"/>
          <w:sz w:val="20"/>
          <w:szCs w:val="20"/>
          <w:lang w:val="en-US"/>
        </w:rPr>
        <w:t xml:space="preserve"> </w:t>
      </w:r>
      <w:r w:rsidRPr="6F27FDAB" w:rsidR="00F64A34">
        <w:rPr>
          <w:rFonts w:eastAsia="游明朝" w:cs="Arial" w:eastAsiaTheme="minorEastAsia"/>
          <w:sz w:val="20"/>
          <w:szCs w:val="20"/>
          <w:lang w:val="en-US"/>
        </w:rPr>
        <w:t xml:space="preserve">and Ghana ($4.8m for 0.96mtCO2e), as well as advance payments to </w:t>
      </w:r>
      <w:r w:rsidRPr="6F27FDAB" w:rsidR="00F64A34">
        <w:rPr>
          <w:rFonts w:eastAsia="游明朝" w:cs="Arial" w:eastAsiaTheme="minorEastAsia"/>
          <w:sz w:val="20"/>
          <w:szCs w:val="20"/>
          <w:lang w:val="en-US"/>
        </w:rPr>
        <w:t>Côte d’Ivoire</w:t>
      </w:r>
      <w:r w:rsidRPr="6F27FDAB" w:rsidR="00F64A34">
        <w:rPr>
          <w:rFonts w:eastAsia="游明朝" w:cs="Arial" w:eastAsiaTheme="minorEastAsia"/>
          <w:sz w:val="20"/>
          <w:szCs w:val="20"/>
          <w:lang w:val="en-US"/>
        </w:rPr>
        <w:t xml:space="preserve"> ($1m for 0.2</w:t>
      </w:r>
      <w:r w:rsidRPr="6F27FDAB" w:rsidR="00F64A34">
        <w:rPr>
          <w:rFonts w:eastAsia="游明朝" w:cs="Arial" w:eastAsiaTheme="minorEastAsia"/>
          <w:sz w:val="20"/>
          <w:szCs w:val="20"/>
          <w:lang w:val="en-US"/>
        </w:rPr>
        <w:t>mtCO2e</w:t>
      </w:r>
      <w:r w:rsidRPr="6F27FDAB" w:rsidR="00F64A34">
        <w:rPr>
          <w:rFonts w:eastAsia="游明朝" w:cs="Arial" w:eastAsiaTheme="minorEastAsia"/>
          <w:sz w:val="20"/>
          <w:szCs w:val="20"/>
          <w:lang w:val="en-US"/>
        </w:rPr>
        <w:t>)</w:t>
      </w:r>
      <w:r w:rsidRPr="6F27FDAB" w:rsidR="00F64A34">
        <w:rPr>
          <w:rFonts w:eastAsia="游明朝" w:cs="Arial" w:eastAsiaTheme="minorEastAsia"/>
          <w:sz w:val="20"/>
          <w:szCs w:val="20"/>
          <w:lang w:val="en-US"/>
        </w:rPr>
        <w:t>, Indonesia</w:t>
      </w:r>
      <w:r w:rsidRPr="6F27FDAB" w:rsidR="00F64A34">
        <w:rPr>
          <w:rFonts w:eastAsia="游明朝" w:cs="Arial" w:eastAsiaTheme="minorEastAsia"/>
          <w:sz w:val="20"/>
          <w:szCs w:val="20"/>
          <w:lang w:val="en-US"/>
        </w:rPr>
        <w:t xml:space="preserve"> ($20.9m for 4.18</w:t>
      </w:r>
      <w:r w:rsidRPr="6F27FDAB" w:rsidR="00F64A34">
        <w:rPr>
          <w:rFonts w:eastAsia="游明朝" w:cs="Arial" w:eastAsiaTheme="minorEastAsia"/>
          <w:sz w:val="20"/>
          <w:szCs w:val="20"/>
          <w:lang w:val="en-US"/>
        </w:rPr>
        <w:t>mtCO2e</w:t>
      </w:r>
      <w:r w:rsidRPr="6F27FDAB" w:rsidR="00F64A34">
        <w:rPr>
          <w:rFonts w:eastAsia="游明朝" w:cs="Arial" w:eastAsiaTheme="minorEastAsia"/>
          <w:sz w:val="20"/>
          <w:szCs w:val="20"/>
          <w:lang w:val="en-US"/>
        </w:rPr>
        <w:t>)</w:t>
      </w:r>
      <w:r w:rsidRPr="6F27FDAB" w:rsidR="00F64A34">
        <w:rPr>
          <w:rFonts w:eastAsia="游明朝" w:cs="Arial" w:eastAsiaTheme="minorEastAsia"/>
          <w:sz w:val="20"/>
          <w:szCs w:val="20"/>
          <w:lang w:val="en-US"/>
        </w:rPr>
        <w:t>, Lao</w:t>
      </w:r>
      <w:r w:rsidRPr="6F27FDAB" w:rsidR="00F64A34">
        <w:rPr>
          <w:rFonts w:eastAsia="游明朝" w:cs="Arial" w:eastAsiaTheme="minorEastAsia"/>
          <w:sz w:val="20"/>
          <w:szCs w:val="20"/>
          <w:lang w:val="en-US"/>
        </w:rPr>
        <w:t xml:space="preserve"> PDR ($3m for 0.6</w:t>
      </w:r>
      <w:r w:rsidRPr="6F27FDAB" w:rsidR="00F64A34">
        <w:rPr>
          <w:rFonts w:eastAsia="游明朝" w:cs="Arial" w:eastAsiaTheme="minorEastAsia"/>
          <w:sz w:val="20"/>
          <w:szCs w:val="20"/>
          <w:lang w:val="en-US"/>
        </w:rPr>
        <w:t>mtCO2e</w:t>
      </w:r>
      <w:r w:rsidRPr="6F27FDAB" w:rsidR="00F64A34">
        <w:rPr>
          <w:rFonts w:eastAsia="游明朝" w:cs="Arial" w:eastAsiaTheme="minorEastAsia"/>
          <w:sz w:val="20"/>
          <w:szCs w:val="20"/>
          <w:lang w:val="en-US"/>
        </w:rPr>
        <w:t xml:space="preserve">) and </w:t>
      </w:r>
      <w:r w:rsidRPr="6F27FDAB" w:rsidR="00F64A34">
        <w:rPr>
          <w:rFonts w:eastAsia="游明朝" w:cs="Arial" w:eastAsiaTheme="minorEastAsia"/>
          <w:sz w:val="20"/>
          <w:szCs w:val="20"/>
          <w:lang w:val="en-US"/>
        </w:rPr>
        <w:t>Mozambique</w:t>
      </w:r>
      <w:r w:rsidRPr="6F27FDAB" w:rsidR="00F64A34">
        <w:rPr>
          <w:rFonts w:eastAsia="游明朝" w:cs="Arial" w:eastAsiaTheme="minorEastAsia"/>
          <w:sz w:val="20"/>
          <w:szCs w:val="20"/>
          <w:lang w:val="en-US"/>
        </w:rPr>
        <w:t xml:space="preserve"> ($0.6m for 0.12</w:t>
      </w:r>
      <w:r w:rsidRPr="6F27FDAB" w:rsidR="00F64A34">
        <w:rPr>
          <w:rFonts w:eastAsia="游明朝" w:cs="Arial" w:eastAsiaTheme="minorEastAsia"/>
          <w:sz w:val="20"/>
          <w:szCs w:val="20"/>
          <w:lang w:val="en-US"/>
        </w:rPr>
        <w:t>mtCO2e</w:t>
      </w:r>
      <w:r w:rsidRPr="6F27FDAB" w:rsidR="00F64A34">
        <w:rPr>
          <w:rFonts w:eastAsia="游明朝" w:cs="Arial" w:eastAsiaTheme="minorEastAsia"/>
          <w:sz w:val="20"/>
          <w:szCs w:val="20"/>
          <w:lang w:val="en-US"/>
        </w:rPr>
        <w:t xml:space="preserve">). This is now combined with the FY22 Mozambique payment of $6.4m for 1.3mtCO2e. </w:t>
      </w:r>
    </w:p>
    <w:p w:rsidRPr="0077537C" w:rsidR="00F64A34" w:rsidP="00F64A34" w:rsidRDefault="00F64A34" w14:paraId="558531AB" w14:textId="77777777">
      <w:pPr>
        <w:jc w:val="both"/>
        <w:rPr>
          <w:rFonts w:cs="Arial" w:eastAsiaTheme="minorEastAsia"/>
          <w:sz w:val="20"/>
          <w:lang w:val="en"/>
        </w:rPr>
      </w:pPr>
    </w:p>
    <w:p w:rsidRPr="0077537C" w:rsidR="00F64A34" w:rsidP="6F27FDAB" w:rsidRDefault="00F64A34" w14:paraId="71CF5053" w14:textId="77777777" w14:noSpellErr="1">
      <w:pPr>
        <w:jc w:val="both"/>
        <w:rPr>
          <w:rFonts w:eastAsia="游明朝" w:cs="Arial" w:eastAsiaTheme="minorEastAsia"/>
          <w:i w:val="1"/>
          <w:iCs w:val="1"/>
          <w:sz w:val="20"/>
          <w:szCs w:val="20"/>
          <w:lang w:val="en-US"/>
        </w:rPr>
      </w:pPr>
      <w:r w:rsidRPr="6F27FDAB" w:rsidR="00F64A34">
        <w:rPr>
          <w:rFonts w:eastAsia="游明朝" w:cs="Arial" w:eastAsiaTheme="minorEastAsia"/>
          <w:sz w:val="20"/>
          <w:szCs w:val="20"/>
          <w:lang w:val="en-US"/>
        </w:rPr>
        <w:t xml:space="preserve">UK-attributed </w:t>
      </w:r>
      <w:r w:rsidRPr="6F27FDAB" w:rsidR="00F64A34">
        <w:rPr>
          <w:rFonts w:eastAsia="游明朝" w:cs="Arial" w:eastAsiaTheme="minorEastAsia"/>
          <w:sz w:val="20"/>
          <w:szCs w:val="20"/>
          <w:lang w:val="en-US"/>
        </w:rPr>
        <w:t>cost-per-ton</w:t>
      </w:r>
      <w:r w:rsidRPr="6F27FDAB" w:rsidR="00F64A34">
        <w:rPr>
          <w:rFonts w:eastAsia="游明朝" w:cs="Arial" w:eastAsiaTheme="minorEastAsia"/>
          <w:sz w:val="20"/>
          <w:szCs w:val="20"/>
          <w:lang w:val="en-US"/>
        </w:rPr>
        <w:t xml:space="preserve"> is </w:t>
      </w:r>
      <w:r w:rsidRPr="6F27FDAB" w:rsidR="00F64A34">
        <w:rPr>
          <w:rFonts w:eastAsia="游明朝" w:cs="Arial" w:eastAsiaTheme="minorEastAsia"/>
          <w:sz w:val="20"/>
          <w:szCs w:val="20"/>
          <w:lang w:val="en-US"/>
        </w:rPr>
        <w:t xml:space="preserve">unchanged from last year at </w:t>
      </w:r>
      <w:r w:rsidRPr="6F27FDAB" w:rsidR="00F64A34">
        <w:rPr>
          <w:rFonts w:eastAsia="游明朝" w:cs="Arial" w:eastAsiaTheme="minorEastAsia"/>
          <w:sz w:val="20"/>
          <w:szCs w:val="20"/>
          <w:lang w:val="en-US"/>
        </w:rPr>
        <w:t>£8.00/tCO2e</w:t>
      </w:r>
      <w:r w:rsidRPr="6F27FDAB" w:rsidR="00F64A34">
        <w:rPr>
          <w:rFonts w:eastAsia="游明朝" w:cs="Arial" w:eastAsiaTheme="minorEastAsia"/>
          <w:sz w:val="20"/>
          <w:szCs w:val="20"/>
          <w:lang w:val="en-US"/>
        </w:rPr>
        <w:t xml:space="preserve">. </w:t>
      </w:r>
      <w:r w:rsidRPr="6F27FDAB" w:rsidR="00F64A34">
        <w:rPr>
          <w:rFonts w:eastAsia="游明朝" w:cs="Arial" w:eastAsiaTheme="minorEastAsia"/>
          <w:sz w:val="20"/>
          <w:szCs w:val="20"/>
          <w:lang w:val="en-US"/>
        </w:rPr>
        <w:t xml:space="preserve">This cost of reducing a </w:t>
      </w:r>
      <w:r w:rsidRPr="6F27FDAB" w:rsidR="00F64A34">
        <w:rPr>
          <w:rFonts w:eastAsia="游明朝" w:cs="Arial" w:eastAsiaTheme="minorEastAsia"/>
          <w:sz w:val="20"/>
          <w:szCs w:val="20"/>
          <w:lang w:val="en-US"/>
        </w:rPr>
        <w:t>tonne</w:t>
      </w:r>
      <w:r w:rsidRPr="6F27FDAB" w:rsidR="00F64A34">
        <w:rPr>
          <w:rFonts w:eastAsia="游明朝" w:cs="Arial" w:eastAsiaTheme="minorEastAsia"/>
          <w:sz w:val="20"/>
          <w:szCs w:val="20"/>
          <w:lang w:val="en-US"/>
        </w:rPr>
        <w:t xml:space="preserve"> of carbon is within the value-for-money range for ICF programmes, </w:t>
      </w:r>
      <w:r w:rsidRPr="6F27FDAB" w:rsidR="00F64A34">
        <w:rPr>
          <w:rFonts w:eastAsia="游明朝" w:cs="Arial" w:eastAsiaTheme="minorEastAsia"/>
          <w:sz w:val="20"/>
          <w:szCs w:val="20"/>
          <w:lang w:val="en-US"/>
        </w:rPr>
        <w:t>indicating</w:t>
      </w:r>
      <w:r w:rsidRPr="6F27FDAB" w:rsidR="00F64A34">
        <w:rPr>
          <w:rFonts w:eastAsia="游明朝" w:cs="Arial" w:eastAsiaTheme="minorEastAsia"/>
          <w:sz w:val="20"/>
          <w:szCs w:val="20"/>
          <w:lang w:val="en-US"/>
        </w:rPr>
        <w:t xml:space="preserve"> that the Carbon Fund </w:t>
      </w:r>
      <w:r w:rsidRPr="6F27FDAB" w:rsidR="00F64A34">
        <w:rPr>
          <w:rFonts w:eastAsia="游明朝" w:cs="Arial" w:eastAsiaTheme="minorEastAsia"/>
          <w:sz w:val="20"/>
          <w:szCs w:val="20"/>
          <w:lang w:val="en-US"/>
        </w:rPr>
        <w:t>remains</w:t>
      </w:r>
      <w:r w:rsidRPr="6F27FDAB" w:rsidR="00F64A34">
        <w:rPr>
          <w:rFonts w:eastAsia="游明朝" w:cs="Arial" w:eastAsiaTheme="minorEastAsia"/>
          <w:sz w:val="20"/>
          <w:szCs w:val="20"/>
          <w:lang w:val="en-US"/>
        </w:rPr>
        <w:t xml:space="preserve"> a sound investment. </w:t>
      </w:r>
    </w:p>
    <w:p w:rsidR="00CC5905" w:rsidP="00F64A34" w:rsidRDefault="00CC5905" w14:paraId="7BBE812D" w14:textId="77777777">
      <w:pPr>
        <w:jc w:val="both"/>
        <w:rPr>
          <w:rFonts w:cs="Arial" w:eastAsiaTheme="minorEastAsia"/>
          <w:sz w:val="20"/>
          <w:szCs w:val="20"/>
          <w:lang w:val="en"/>
        </w:rPr>
      </w:pPr>
    </w:p>
    <w:p w:rsidR="00F64A34" w:rsidP="6F27FDAB" w:rsidRDefault="00CC5905" w14:paraId="1FB1D7A0" w14:textId="124C296D" w14:noSpellErr="1">
      <w:pPr>
        <w:jc w:val="both"/>
        <w:rPr>
          <w:rFonts w:eastAsia="游明朝" w:cs="Arial" w:eastAsiaTheme="minorEastAsia"/>
          <w:sz w:val="20"/>
          <w:szCs w:val="20"/>
          <w:lang w:val="en-US"/>
        </w:rPr>
      </w:pPr>
      <w:r w:rsidRPr="6F27FDAB" w:rsidR="00CC5905">
        <w:rPr>
          <w:rFonts w:eastAsia="游明朝" w:cs="Arial" w:eastAsiaTheme="minorEastAsia"/>
          <w:sz w:val="20"/>
          <w:szCs w:val="20"/>
          <w:lang w:val="en-US"/>
        </w:rPr>
        <w:t xml:space="preserve">An important measure of the effectiveness of a programme is its ability to </w:t>
      </w:r>
      <w:r w:rsidRPr="6F27FDAB" w:rsidR="00CC5905">
        <w:rPr>
          <w:rFonts w:eastAsia="游明朝" w:cs="Arial" w:eastAsiaTheme="minorEastAsia"/>
          <w:sz w:val="20"/>
          <w:szCs w:val="20"/>
          <w:lang w:val="en-US"/>
        </w:rPr>
        <w:t>leverage</w:t>
      </w:r>
      <w:r w:rsidRPr="6F27FDAB" w:rsidR="00CC5905">
        <w:rPr>
          <w:rFonts w:eastAsia="游明朝" w:cs="Arial" w:eastAsiaTheme="minorEastAsia"/>
          <w:sz w:val="20"/>
          <w:szCs w:val="20"/>
          <w:lang w:val="en-US"/>
        </w:rPr>
        <w:t xml:space="preserve"> </w:t>
      </w:r>
      <w:r w:rsidRPr="6F27FDAB" w:rsidR="00CC5905">
        <w:rPr>
          <w:rFonts w:eastAsia="游明朝" w:cs="Arial" w:eastAsiaTheme="minorEastAsia"/>
          <w:sz w:val="20"/>
          <w:szCs w:val="20"/>
          <w:lang w:val="en-US"/>
        </w:rPr>
        <w:t>additional</w:t>
      </w:r>
      <w:r w:rsidRPr="6F27FDAB" w:rsidR="00CC5905">
        <w:rPr>
          <w:rFonts w:eastAsia="游明朝" w:cs="Arial" w:eastAsiaTheme="minorEastAsia"/>
          <w:sz w:val="20"/>
          <w:szCs w:val="20"/>
          <w:lang w:val="en-US"/>
        </w:rPr>
        <w:t xml:space="preserve"> finance through other sources. Based on the financing sources set out in the original ERPDs, the expected finance </w:t>
      </w:r>
      <w:r w:rsidRPr="6F27FDAB" w:rsidR="00CC5905">
        <w:rPr>
          <w:rFonts w:eastAsia="游明朝" w:cs="Arial" w:eastAsiaTheme="minorEastAsia"/>
          <w:sz w:val="20"/>
          <w:szCs w:val="20"/>
          <w:lang w:val="en-US"/>
        </w:rPr>
        <w:t>leveraged</w:t>
      </w:r>
      <w:r w:rsidRPr="6F27FDAB" w:rsidR="00CC5905">
        <w:rPr>
          <w:rFonts w:eastAsia="游明朝" w:cs="Arial" w:eastAsiaTheme="minorEastAsia"/>
          <w:sz w:val="20"/>
          <w:szCs w:val="20"/>
          <w:lang w:val="en-US"/>
        </w:rPr>
        <w:t xml:space="preserve"> has been calculated internally by DESNZ analysts as public and private ratios according to the ICF KPI definitions. This manual classification of finance sources leads to ratios for the lifetime of the programme are estimated</w:t>
      </w:r>
      <w:r w:rsidRPr="6F27FDAB" w:rsidR="00CC5905">
        <w:rPr>
          <w:rFonts w:eastAsia="游明朝" w:cs="Arial" w:eastAsiaTheme="minorEastAsia"/>
          <w:sz w:val="20"/>
          <w:szCs w:val="20"/>
          <w:lang w:val="en-US"/>
        </w:rPr>
        <w:t xml:space="preserve"> </w:t>
      </w:r>
      <w:r w:rsidRPr="6F27FDAB" w:rsidR="00F64A34">
        <w:rPr>
          <w:rFonts w:eastAsia="游明朝" w:cs="Arial" w:eastAsiaTheme="minorEastAsia"/>
          <w:sz w:val="20"/>
          <w:szCs w:val="20"/>
          <w:lang w:val="en-US"/>
        </w:rPr>
        <w:t xml:space="preserve">to be </w:t>
      </w:r>
      <w:r w:rsidRPr="6F27FDAB" w:rsidR="00F64A34">
        <w:rPr>
          <w:rFonts w:eastAsia="游明朝" w:cs="Arial" w:eastAsiaTheme="minorEastAsia"/>
          <w:sz w:val="20"/>
          <w:szCs w:val="20"/>
          <w:lang w:val="en-US"/>
        </w:rPr>
        <w:t>0.89</w:t>
      </w:r>
      <w:r w:rsidRPr="6F27FDAB" w:rsidR="00CC2511">
        <w:rPr>
          <w:rFonts w:eastAsia="游明朝" w:cs="Arial" w:eastAsiaTheme="minorEastAsia"/>
          <w:sz w:val="20"/>
          <w:szCs w:val="20"/>
          <w:lang w:val="en-US"/>
        </w:rPr>
        <w:t xml:space="preserve"> for public finance</w:t>
      </w:r>
      <w:r w:rsidRPr="6F27FDAB" w:rsidR="00F64A34">
        <w:rPr>
          <w:rFonts w:eastAsia="游明朝" w:cs="Arial" w:eastAsiaTheme="minorEastAsia"/>
          <w:sz w:val="20"/>
          <w:szCs w:val="20"/>
          <w:lang w:val="en-US"/>
        </w:rPr>
        <w:t>,</w:t>
      </w:r>
      <w:r w:rsidRPr="6F27FDAB" w:rsidR="00F64A34">
        <w:rPr>
          <w:rFonts w:eastAsia="游明朝" w:cs="Arial" w:eastAsiaTheme="minorEastAsia"/>
          <w:sz w:val="20"/>
          <w:szCs w:val="20"/>
          <w:lang w:val="en-US"/>
        </w:rPr>
        <w:t xml:space="preserve"> whilst the private </w:t>
      </w:r>
      <w:r w:rsidRPr="6F27FDAB" w:rsidR="00F64A34">
        <w:rPr>
          <w:rFonts w:eastAsia="游明朝" w:cs="Arial" w:eastAsiaTheme="minorEastAsia"/>
          <w:sz w:val="20"/>
          <w:szCs w:val="20"/>
          <w:lang w:val="en-US"/>
        </w:rPr>
        <w:t>leverage ratio is estimated at 0.41.</w:t>
      </w:r>
      <w:r w:rsidRPr="6F27FDAB" w:rsidR="00F64A34">
        <w:rPr>
          <w:rFonts w:eastAsia="游明朝" w:cs="Arial" w:eastAsiaTheme="minorEastAsia"/>
          <w:sz w:val="20"/>
          <w:szCs w:val="20"/>
          <w:lang w:val="en-US"/>
        </w:rPr>
        <w:t xml:space="preserve"> </w:t>
      </w:r>
      <w:r w:rsidRPr="6F27FDAB" w:rsidR="00CC5905">
        <w:rPr>
          <w:rFonts w:eastAsia="游明朝" w:cs="Arial" w:eastAsiaTheme="minorEastAsia"/>
          <w:sz w:val="20"/>
          <w:szCs w:val="20"/>
          <w:lang w:val="en-US"/>
        </w:rPr>
        <w:t xml:space="preserve">These expected figures do not reflect the actual programme achievements as the ERPDs and benefit sharing plans are not regularly </w:t>
      </w:r>
      <w:r w:rsidRPr="6F27FDAB" w:rsidR="00674C26">
        <w:rPr>
          <w:rFonts w:eastAsia="游明朝" w:cs="Arial" w:eastAsiaTheme="minorEastAsia"/>
          <w:sz w:val="20"/>
          <w:szCs w:val="20"/>
          <w:lang w:val="en-US"/>
        </w:rPr>
        <w:t>updated but</w:t>
      </w:r>
      <w:r w:rsidRPr="6F27FDAB" w:rsidR="00CC5905">
        <w:rPr>
          <w:rFonts w:eastAsia="游明朝" w:cs="Arial" w:eastAsiaTheme="minorEastAsia"/>
          <w:sz w:val="20"/>
          <w:szCs w:val="20"/>
          <w:lang w:val="en-US"/>
        </w:rPr>
        <w:t xml:space="preserve"> are necessary as the World Bank does not classify </w:t>
      </w:r>
      <w:r w:rsidRPr="6F27FDAB" w:rsidR="00DE17A8">
        <w:rPr>
          <w:rFonts w:eastAsia="游明朝" w:cs="Arial" w:eastAsiaTheme="minorEastAsia"/>
          <w:sz w:val="20"/>
          <w:szCs w:val="20"/>
          <w:lang w:val="en-US"/>
        </w:rPr>
        <w:t>it</w:t>
      </w:r>
      <w:r w:rsidRPr="6F27FDAB" w:rsidR="00DE17A8">
        <w:rPr>
          <w:rFonts w:eastAsia="游明朝" w:cs="Arial" w:eastAsiaTheme="minorEastAsia"/>
          <w:sz w:val="20"/>
          <w:szCs w:val="20"/>
          <w:lang w:val="en-US"/>
        </w:rPr>
        <w:t>’s</w:t>
      </w:r>
      <w:r w:rsidRPr="6F27FDAB" w:rsidR="00DE17A8">
        <w:rPr>
          <w:rFonts w:eastAsia="游明朝" w:cs="Arial" w:eastAsiaTheme="minorEastAsia"/>
          <w:sz w:val="20"/>
          <w:szCs w:val="20"/>
          <w:lang w:val="en-US"/>
        </w:rPr>
        <w:t xml:space="preserve"> </w:t>
      </w:r>
      <w:r w:rsidRPr="6F27FDAB" w:rsidR="00CC5905">
        <w:rPr>
          <w:rFonts w:eastAsia="游明朝" w:cs="Arial" w:eastAsiaTheme="minorEastAsia"/>
          <w:sz w:val="20"/>
          <w:szCs w:val="20"/>
          <w:lang w:val="en-US"/>
        </w:rPr>
        <w:t>spend</w:t>
      </w:r>
      <w:r w:rsidRPr="6F27FDAB" w:rsidR="00CC5905">
        <w:rPr>
          <w:rFonts w:eastAsia="游明朝" w:cs="Arial" w:eastAsiaTheme="minorEastAsia"/>
          <w:sz w:val="20"/>
          <w:szCs w:val="20"/>
          <w:lang w:val="en-US"/>
        </w:rPr>
        <w:t xml:space="preserve"> according to the same definitions as DESNZ ICF.</w:t>
      </w:r>
    </w:p>
    <w:p w:rsidRPr="00936C3E" w:rsidR="00674C26" w:rsidP="00F64A34" w:rsidRDefault="00674C26" w14:paraId="5C7D3EEA" w14:textId="77777777">
      <w:pPr>
        <w:jc w:val="both"/>
        <w:rPr>
          <w:rFonts w:cs="Arial" w:eastAsiaTheme="minorEastAsia"/>
          <w:sz w:val="20"/>
          <w:lang w:val="en"/>
        </w:rPr>
      </w:pPr>
    </w:p>
    <w:p w:rsidR="00F64A34" w:rsidP="00F64A34" w:rsidRDefault="00F64A34" w14:paraId="04A9CA8E" w14:textId="77777777">
      <w:pPr>
        <w:jc w:val="both"/>
        <w:rPr>
          <w:rFonts w:cs="Arial" w:eastAsiaTheme="minorEastAsia"/>
          <w:sz w:val="20"/>
          <w:lang w:val="en"/>
        </w:rPr>
      </w:pPr>
      <w:r w:rsidRPr="00061939">
        <w:rPr>
          <w:rFonts w:cs="Arial"/>
          <w:b/>
          <w:bCs/>
          <w:i/>
          <w:iCs/>
          <w:sz w:val="20"/>
          <w:lang w:val="en"/>
        </w:rPr>
        <w:t>Equity:</w:t>
      </w:r>
      <w:r w:rsidRPr="00061939">
        <w:rPr>
          <w:rFonts w:cs="Arial" w:eastAsiaTheme="minorEastAsia"/>
          <w:sz w:val="20"/>
          <w:lang w:val="en"/>
        </w:rPr>
        <w:t xml:space="preserve"> </w:t>
      </w:r>
    </w:p>
    <w:p w:rsidR="00F64A34" w:rsidP="6F27FDAB" w:rsidRDefault="00F64A34" w14:paraId="00CC4A42" w14:textId="24303DFE" w14:noSpellErr="1">
      <w:pPr>
        <w:jc w:val="both"/>
        <w:rPr>
          <w:rFonts w:cs="Arial"/>
          <w:b w:val="1"/>
          <w:bCs w:val="1"/>
          <w:i w:val="1"/>
          <w:iCs w:val="1"/>
          <w:sz w:val="20"/>
          <w:szCs w:val="20"/>
          <w:lang w:val="en-GB"/>
        </w:rPr>
      </w:pPr>
      <w:r w:rsidRPr="6F27FDAB" w:rsidR="00F64A34">
        <w:rPr>
          <w:rFonts w:eastAsia="游明朝" w:cs="Arial" w:eastAsiaTheme="minorEastAsia"/>
          <w:sz w:val="20"/>
          <w:szCs w:val="20"/>
          <w:lang w:val="en-GB"/>
        </w:rPr>
        <w:t xml:space="preserve">Carbon Fund countries </w:t>
      </w:r>
      <w:r w:rsidRPr="6F27FDAB" w:rsidR="00F64A34">
        <w:rPr>
          <w:rFonts w:eastAsia="游明朝" w:cs="Arial" w:eastAsiaTheme="minorEastAsia"/>
          <w:sz w:val="20"/>
          <w:szCs w:val="20"/>
          <w:lang w:val="en-GB"/>
        </w:rPr>
        <w:t>are required to</w:t>
      </w:r>
      <w:r w:rsidRPr="6F27FDAB" w:rsidR="00F64A34">
        <w:rPr>
          <w:rFonts w:eastAsia="游明朝" w:cs="Arial" w:eastAsiaTheme="minorEastAsia"/>
          <w:sz w:val="20"/>
          <w:szCs w:val="20"/>
          <w:lang w:val="en-GB"/>
        </w:rPr>
        <w:t xml:space="preserve"> produce detailed benefit-sharing plans</w:t>
      </w:r>
      <w:r w:rsidRPr="6F27FDAB" w:rsidR="00F64A34">
        <w:rPr>
          <w:rFonts w:eastAsia="游明朝" w:cs="Arial" w:eastAsiaTheme="minorEastAsia"/>
          <w:sz w:val="20"/>
          <w:szCs w:val="20"/>
          <w:lang w:val="en-GB"/>
        </w:rPr>
        <w:t xml:space="preserve"> (BSPs)</w:t>
      </w:r>
      <w:r w:rsidRPr="6F27FDAB" w:rsidR="00F64A34">
        <w:rPr>
          <w:rFonts w:eastAsia="游明朝" w:cs="Arial" w:eastAsiaTheme="minorEastAsia"/>
          <w:sz w:val="20"/>
          <w:szCs w:val="20"/>
          <w:lang w:val="en-GB"/>
        </w:rPr>
        <w:t>, according to which the payments are disbursed. These plans detail how payments will translate into various positive development outcomes including sustainable livelihoods, poverty reduction, empowerment of local communities and indigenous peoples, institutional strengthening, protecting valuable ecosystems, etc.</w:t>
      </w:r>
      <w:r w:rsidRPr="6F27FDAB" w:rsidR="00F64A34">
        <w:rPr>
          <w:rFonts w:eastAsia="游明朝" w:cs="Arial" w:eastAsiaTheme="minorEastAsia"/>
          <w:sz w:val="20"/>
          <w:szCs w:val="20"/>
          <w:lang w:val="en-GB"/>
        </w:rPr>
        <w:t xml:space="preserve"> Indicative examples of measures set out in the BSPs are provided. Countries are now receiving payments through the Carbon Fund, and so far, there is </w:t>
      </w:r>
      <w:r w:rsidRPr="6F27FDAB" w:rsidR="00DE17A8">
        <w:rPr>
          <w:rFonts w:eastAsia="游明朝" w:cs="Arial" w:eastAsiaTheme="minorEastAsia"/>
          <w:sz w:val="20"/>
          <w:szCs w:val="20"/>
          <w:lang w:val="en-GB"/>
        </w:rPr>
        <w:t xml:space="preserve">some </w:t>
      </w:r>
      <w:r w:rsidRPr="6F27FDAB" w:rsidR="00F64A34">
        <w:rPr>
          <w:rFonts w:eastAsia="游明朝" w:cs="Arial" w:eastAsiaTheme="minorEastAsia"/>
          <w:sz w:val="20"/>
          <w:szCs w:val="20"/>
          <w:lang w:val="en-GB"/>
        </w:rPr>
        <w:t xml:space="preserve">evidence of </w:t>
      </w:r>
      <w:r w:rsidRPr="6F27FDAB" w:rsidR="00F64A34">
        <w:rPr>
          <w:rFonts w:eastAsia="游明朝" w:cs="Arial" w:eastAsiaTheme="minorEastAsia"/>
          <w:sz w:val="20"/>
          <w:szCs w:val="20"/>
          <w:lang w:val="en-GB"/>
        </w:rPr>
        <w:t>benefits (monetary and non-monetary) being shared with a diverse range of stakeholders</w:t>
      </w:r>
      <w:r w:rsidRPr="6F27FDAB" w:rsidR="00F64A34">
        <w:rPr>
          <w:rFonts w:eastAsia="游明朝" w:cs="Arial" w:eastAsiaTheme="minorEastAsia"/>
          <w:sz w:val="20"/>
          <w:szCs w:val="20"/>
          <w:lang w:val="en-GB"/>
        </w:rPr>
        <w:t xml:space="preserve"> as set out in the BSPs for </w:t>
      </w:r>
      <w:r w:rsidRPr="6F27FDAB" w:rsidR="00F64A34">
        <w:rPr>
          <w:rFonts w:eastAsia="游明朝" w:cs="Arial" w:eastAsiaTheme="minorEastAsia"/>
          <w:sz w:val="20"/>
          <w:szCs w:val="20"/>
          <w:lang w:val="en-GB"/>
        </w:rPr>
        <w:t>Costa Rica and Ghana</w:t>
      </w:r>
      <w:r w:rsidRPr="6F27FDAB" w:rsidR="00F64A34">
        <w:rPr>
          <w:rFonts w:eastAsia="游明朝" w:cs="Arial" w:eastAsiaTheme="minorEastAsia"/>
          <w:sz w:val="20"/>
          <w:szCs w:val="20"/>
          <w:lang w:val="en-GB"/>
        </w:rPr>
        <w:t>, as well as some</w:t>
      </w:r>
      <w:r w:rsidRPr="6F27FDAB" w:rsidR="00DE17A8">
        <w:rPr>
          <w:rFonts w:eastAsia="游明朝" w:cs="Arial" w:eastAsiaTheme="minorEastAsia"/>
          <w:sz w:val="20"/>
          <w:szCs w:val="20"/>
          <w:lang w:val="en-GB"/>
        </w:rPr>
        <w:t xml:space="preserve"> </w:t>
      </w:r>
      <w:r w:rsidRPr="6F27FDAB" w:rsidR="00F64A34">
        <w:rPr>
          <w:rFonts w:eastAsia="游明朝" w:cs="Arial" w:eastAsiaTheme="minorEastAsia"/>
          <w:sz w:val="20"/>
          <w:szCs w:val="20"/>
          <w:lang w:val="en-GB"/>
        </w:rPr>
        <w:t>evidence from Mozambique</w:t>
      </w:r>
      <w:r w:rsidRPr="6F27FDAB" w:rsidR="00DE17A8">
        <w:rPr>
          <w:rFonts w:eastAsia="游明朝" w:cs="Arial" w:eastAsiaTheme="minorEastAsia"/>
          <w:sz w:val="20"/>
          <w:szCs w:val="20"/>
          <w:lang w:val="en-GB"/>
        </w:rPr>
        <w:t>, as outlined earlier in this review</w:t>
      </w:r>
      <w:r w:rsidRPr="6F27FDAB" w:rsidR="00F64A34">
        <w:rPr>
          <w:rFonts w:eastAsia="游明朝" w:cs="Arial" w:eastAsiaTheme="minorEastAsia"/>
          <w:sz w:val="20"/>
          <w:szCs w:val="20"/>
          <w:lang w:val="en-GB"/>
        </w:rPr>
        <w:t xml:space="preserve">.  </w:t>
      </w:r>
    </w:p>
    <w:p w:rsidR="00F64A34" w:rsidP="00F64A34" w:rsidRDefault="00F64A34" w14:paraId="384980F2" w14:textId="77777777">
      <w:pPr>
        <w:jc w:val="both"/>
        <w:rPr>
          <w:b/>
          <w:sz w:val="20"/>
          <w:szCs w:val="20"/>
        </w:rPr>
      </w:pPr>
    </w:p>
    <w:p w:rsidRPr="00C703CA" w:rsidR="00F64A34" w:rsidP="00F64A34" w:rsidRDefault="00F64A34" w14:paraId="76E49BE1" w14:textId="77777777">
      <w:pPr>
        <w:jc w:val="both"/>
        <w:rPr>
          <w:sz w:val="20"/>
          <w:szCs w:val="20"/>
          <w:u w:val="single"/>
        </w:rPr>
      </w:pPr>
      <w:r w:rsidRPr="00C703CA">
        <w:rPr>
          <w:b/>
          <w:sz w:val="20"/>
          <w:szCs w:val="20"/>
          <w:u w:val="single"/>
        </w:rPr>
        <w:t>Monitoring and evaluation</w:t>
      </w:r>
      <w:r w:rsidRPr="00C703CA">
        <w:rPr>
          <w:sz w:val="20"/>
          <w:szCs w:val="20"/>
          <w:u w:val="single"/>
        </w:rPr>
        <w:t xml:space="preserve"> </w:t>
      </w:r>
    </w:p>
    <w:p w:rsidR="00F64A34" w:rsidP="00F64A34" w:rsidRDefault="00F64A34" w14:paraId="3B3CF57C" w14:textId="77777777">
      <w:pPr>
        <w:jc w:val="both"/>
        <w:rPr>
          <w:b/>
          <w:sz w:val="20"/>
          <w:szCs w:val="20"/>
        </w:rPr>
      </w:pPr>
    </w:p>
    <w:p w:rsidR="00F64A34" w:rsidP="00F64A34" w:rsidRDefault="00F64A34" w14:paraId="2CA25B82" w14:textId="77777777">
      <w:pPr>
        <w:jc w:val="both"/>
        <w:rPr>
          <w:bCs/>
          <w:sz w:val="20"/>
          <w:szCs w:val="20"/>
        </w:rPr>
      </w:pPr>
      <w:r w:rsidRPr="008613FA">
        <w:rPr>
          <w:bCs/>
          <w:sz w:val="20"/>
          <w:szCs w:val="20"/>
        </w:rPr>
        <w:t xml:space="preserve">The evidence used to compile this Annual Review is as follows: </w:t>
      </w:r>
    </w:p>
    <w:p w:rsidR="00F64A34" w:rsidP="00F64A34" w:rsidRDefault="00F64A34" w14:paraId="6B9D4C50" w14:textId="77777777">
      <w:pPr>
        <w:pStyle w:val="ListParagraph"/>
        <w:numPr>
          <w:ilvl w:val="0"/>
          <w:numId w:val="29"/>
        </w:numPr>
        <w:jc w:val="both"/>
        <w:rPr>
          <w:sz w:val="20"/>
        </w:rPr>
      </w:pPr>
      <w:r w:rsidRPr="3D731B26">
        <w:rPr>
          <w:sz w:val="20"/>
        </w:rPr>
        <w:t>FCPF 202</w:t>
      </w:r>
      <w:r>
        <w:rPr>
          <w:sz w:val="20"/>
        </w:rPr>
        <w:t>3</w:t>
      </w:r>
      <w:r w:rsidRPr="3D731B26">
        <w:rPr>
          <w:sz w:val="20"/>
        </w:rPr>
        <w:t xml:space="preserve"> Annual Report </w:t>
      </w:r>
    </w:p>
    <w:p w:rsidR="00F64A34" w:rsidP="00F64A34" w:rsidRDefault="00F64A34" w14:paraId="0C857AD9" w14:textId="77777777">
      <w:pPr>
        <w:pStyle w:val="ListParagraph"/>
        <w:numPr>
          <w:ilvl w:val="0"/>
          <w:numId w:val="29"/>
        </w:numPr>
        <w:jc w:val="both"/>
        <w:rPr>
          <w:sz w:val="20"/>
        </w:rPr>
      </w:pPr>
      <w:r>
        <w:rPr>
          <w:sz w:val="20"/>
        </w:rPr>
        <w:t xml:space="preserve">Presentations and updates from FCPF Carbon Fund Meetings, and PA/PCs. </w:t>
      </w:r>
    </w:p>
    <w:p w:rsidR="00F64A34" w:rsidP="00F64A34" w:rsidRDefault="00F64A34" w14:paraId="77C68BF4" w14:textId="77777777">
      <w:pPr>
        <w:pStyle w:val="ListParagraph"/>
        <w:numPr>
          <w:ilvl w:val="0"/>
          <w:numId w:val="29"/>
        </w:numPr>
        <w:jc w:val="both"/>
        <w:rPr>
          <w:bCs/>
          <w:sz w:val="20"/>
        </w:rPr>
      </w:pPr>
      <w:r>
        <w:rPr>
          <w:bCs/>
          <w:sz w:val="20"/>
        </w:rPr>
        <w:t xml:space="preserve">DESNZ </w:t>
      </w:r>
      <w:r w:rsidRPr="008613FA">
        <w:rPr>
          <w:bCs/>
          <w:sz w:val="20"/>
        </w:rPr>
        <w:t xml:space="preserve">internal programme documents, including risk register and results collection note. </w:t>
      </w:r>
    </w:p>
    <w:p w:rsidRPr="00577C8E" w:rsidR="00F64A34" w:rsidP="00F64A34" w:rsidRDefault="00F64A34" w14:paraId="16F40787" w14:textId="77777777">
      <w:pPr>
        <w:pStyle w:val="ListParagraph"/>
        <w:numPr>
          <w:ilvl w:val="0"/>
          <w:numId w:val="29"/>
        </w:numPr>
        <w:jc w:val="both"/>
        <w:rPr>
          <w:bCs/>
          <w:sz w:val="20"/>
        </w:rPr>
      </w:pPr>
      <w:r w:rsidRPr="008613FA">
        <w:rPr>
          <w:bCs/>
          <w:sz w:val="20"/>
        </w:rPr>
        <w:t xml:space="preserve">Additional qualitative information shared by delivery partners and other stakeholders via calls and meetings. </w:t>
      </w:r>
    </w:p>
    <w:p w:rsidR="00F64A34" w:rsidP="00F64A34" w:rsidRDefault="00F64A34" w14:paraId="2AD1917F" w14:textId="77777777">
      <w:pPr>
        <w:jc w:val="both"/>
        <w:rPr>
          <w:bCs/>
          <w:sz w:val="20"/>
          <w:szCs w:val="20"/>
        </w:rPr>
      </w:pPr>
      <w:r w:rsidRPr="008613FA">
        <w:rPr>
          <w:bCs/>
          <w:sz w:val="20"/>
          <w:szCs w:val="20"/>
        </w:rPr>
        <w:t>The FMT published a revised M&amp;E Framework in 2019. This includes the version of the results framework developed in 2018, and adds in additional information such as an evaluation plan. The framework meets the UK’s priorities, for example in that it utilises both quantitative and qualitative measures of progress where appropriate and has included more flexibility in the evaluation component to respond to themes and issues as they arise. The Theory of Change continues to hold. In general, the assumptions continue to hold, although in some cases there is variable evidence. In particular, the assumption that the external context for ER programmes remains supportive and conducive to ER programme implementation, is subject to change depending upon the political and socio-economic context</w:t>
      </w:r>
      <w:r>
        <w:rPr>
          <w:bCs/>
          <w:sz w:val="20"/>
          <w:szCs w:val="20"/>
        </w:rPr>
        <w:t xml:space="preserve"> in individual countries</w:t>
      </w:r>
      <w:r w:rsidRPr="008613FA">
        <w:rPr>
          <w:bCs/>
          <w:sz w:val="20"/>
          <w:szCs w:val="20"/>
        </w:rPr>
        <w:t>, including administrative shifts.</w:t>
      </w:r>
      <w:r>
        <w:rPr>
          <w:bCs/>
          <w:sz w:val="20"/>
          <w:szCs w:val="20"/>
        </w:rPr>
        <w:t xml:space="preserve"> </w:t>
      </w:r>
    </w:p>
    <w:p w:rsidR="00F64A34" w:rsidP="00F64A34" w:rsidRDefault="00F64A34" w14:paraId="44C78B9B" w14:textId="77777777">
      <w:pPr>
        <w:jc w:val="both"/>
        <w:rPr>
          <w:bCs/>
          <w:sz w:val="20"/>
          <w:szCs w:val="20"/>
        </w:rPr>
      </w:pPr>
    </w:p>
    <w:p w:rsidR="00F64A34" w:rsidP="00F64A34" w:rsidRDefault="00F64A34" w14:paraId="36438450" w14:textId="77777777">
      <w:pPr>
        <w:jc w:val="both"/>
        <w:rPr>
          <w:sz w:val="20"/>
          <w:szCs w:val="20"/>
        </w:rPr>
      </w:pPr>
      <w:r w:rsidRPr="575E33BC">
        <w:rPr>
          <w:sz w:val="20"/>
          <w:szCs w:val="20"/>
        </w:rPr>
        <w:t xml:space="preserve">The bi-annual Carbon Fund meetings provide opportunity to monitor progress throughout the year. The annual Participants Committee is also a useful opportunity to take stock on the progress of the facility overall (covering both the Readiness Fund and the Carbon Fund). </w:t>
      </w:r>
      <w:r>
        <w:rPr>
          <w:sz w:val="20"/>
          <w:szCs w:val="20"/>
        </w:rPr>
        <w:t>DESNZ</w:t>
      </w:r>
      <w:r w:rsidRPr="575E33BC">
        <w:rPr>
          <w:sz w:val="20"/>
          <w:szCs w:val="20"/>
        </w:rPr>
        <w:t xml:space="preserve"> seeks additional information from its networks in-country, including UK Government (e.g.: FCDO</w:t>
      </w:r>
      <w:r>
        <w:rPr>
          <w:sz w:val="20"/>
          <w:szCs w:val="20"/>
        </w:rPr>
        <w:t xml:space="preserve"> colleagues in post</w:t>
      </w:r>
      <w:r w:rsidRPr="575E33BC">
        <w:rPr>
          <w:sz w:val="20"/>
          <w:szCs w:val="20"/>
        </w:rPr>
        <w:t>) and non-government stakeholders.</w:t>
      </w:r>
    </w:p>
    <w:p w:rsidR="00F64A34" w:rsidP="00F64A34" w:rsidRDefault="00F64A34" w14:paraId="5737C415" w14:textId="77777777">
      <w:pPr>
        <w:jc w:val="both"/>
        <w:rPr>
          <w:sz w:val="20"/>
          <w:szCs w:val="20"/>
        </w:rPr>
      </w:pPr>
    </w:p>
    <w:p w:rsidRPr="00C1628C" w:rsidR="00F64A34" w:rsidP="00F64A34" w:rsidRDefault="00F64A34" w14:paraId="116A3D5D" w14:textId="77777777">
      <w:pPr>
        <w:jc w:val="both"/>
        <w:rPr>
          <w:bCs/>
          <w:sz w:val="20"/>
          <w:szCs w:val="20"/>
        </w:rPr>
      </w:pPr>
      <w:r>
        <w:rPr>
          <w:bCs/>
          <w:sz w:val="20"/>
          <w:szCs w:val="20"/>
        </w:rPr>
        <w:t>The Third Programme Evaluation</w:t>
      </w:r>
      <w:r w:rsidRPr="008613FA">
        <w:rPr>
          <w:bCs/>
          <w:sz w:val="20"/>
          <w:szCs w:val="20"/>
        </w:rPr>
        <w:t xml:space="preserve"> occurred in the period</w:t>
      </w:r>
      <w:r>
        <w:rPr>
          <w:bCs/>
          <w:sz w:val="20"/>
          <w:szCs w:val="20"/>
        </w:rPr>
        <w:t xml:space="preserve">, however published results are not yet available. </w:t>
      </w:r>
      <w:r w:rsidRPr="008613FA">
        <w:rPr>
          <w:bCs/>
          <w:sz w:val="20"/>
          <w:szCs w:val="20"/>
        </w:rPr>
        <w:t>Therefore</w:t>
      </w:r>
      <w:r>
        <w:rPr>
          <w:bCs/>
          <w:sz w:val="20"/>
          <w:szCs w:val="20"/>
        </w:rPr>
        <w:t>,</w:t>
      </w:r>
      <w:r w:rsidRPr="008613FA">
        <w:rPr>
          <w:bCs/>
          <w:sz w:val="20"/>
          <w:szCs w:val="20"/>
        </w:rPr>
        <w:t xml:space="preserve"> no </w:t>
      </w:r>
      <w:r>
        <w:rPr>
          <w:bCs/>
          <w:sz w:val="20"/>
          <w:szCs w:val="20"/>
        </w:rPr>
        <w:t xml:space="preserve">formal </w:t>
      </w:r>
      <w:r w:rsidRPr="008613FA">
        <w:rPr>
          <w:bCs/>
          <w:sz w:val="20"/>
          <w:szCs w:val="20"/>
        </w:rPr>
        <w:t>evaluative evidence was used for this Annual Review.</w:t>
      </w:r>
      <w:r>
        <w:rPr>
          <w:bCs/>
          <w:sz w:val="20"/>
          <w:szCs w:val="20"/>
        </w:rPr>
        <w:t xml:space="preserve"> The World Bank did share some initial findings to aid qualitative assessment, but these have not been incorporated into scoring this year to reflect consistency with World Bank reporting. </w:t>
      </w:r>
      <w:r w:rsidRPr="008613FA">
        <w:rPr>
          <w:bCs/>
          <w:sz w:val="20"/>
          <w:szCs w:val="20"/>
        </w:rPr>
        <w:t xml:space="preserve"> </w:t>
      </w:r>
    </w:p>
    <w:p w:rsidRPr="0059766D" w:rsidR="00F64A34" w:rsidP="00F64A34" w:rsidRDefault="00F64A34" w14:paraId="33C0C332" w14:textId="77777777">
      <w:pPr>
        <w:jc w:val="both"/>
        <w:rPr>
          <w:rFonts w:cs="Arial"/>
          <w:sz w:val="20"/>
          <w:szCs w:val="20"/>
        </w:rPr>
      </w:pPr>
    </w:p>
    <w:p w:rsidRPr="0059766D" w:rsidR="00F64A34" w:rsidP="00F64A34" w:rsidRDefault="00F64A34" w14:paraId="050D27AA" w14:textId="77777777">
      <w:pPr>
        <w:jc w:val="both"/>
        <w:rPr>
          <w:rFonts w:cs="Arial"/>
          <w:sz w:val="20"/>
          <w:szCs w:val="20"/>
        </w:rPr>
      </w:pPr>
      <w:r w:rsidRPr="0059766D">
        <w:rPr>
          <w:rFonts w:cs="Arial"/>
          <w:sz w:val="20"/>
          <w:szCs w:val="20"/>
        </w:rPr>
        <w:t>T</w:t>
      </w:r>
      <w:r w:rsidRPr="00FE078A">
        <w:rPr>
          <w:rFonts w:cs="Arial"/>
          <w:bCs/>
          <w:sz w:val="20"/>
          <w:szCs w:val="20"/>
        </w:rPr>
        <w:t xml:space="preserve">he FCPF, as the world’s largest multilateral REDD+ financing mechanism, is well-positioned take stock of progress and lessons learned for the benefit of ongoing and future investments. The evaluation will include a final summative evaluation of the FCPF Readiness Fund, examine ongoing implementation in the FCPF Carbon Fund, and assess FCPF’s influence on the broader REDD+ architecture in recipient countries as well as its contributions to local livelihoods and other sustainable development co-benefits. </w:t>
      </w:r>
    </w:p>
    <w:p w:rsidR="00F64A34" w:rsidP="00F64A34" w:rsidRDefault="00F64A34" w14:paraId="64B757B5" w14:textId="77777777">
      <w:pPr>
        <w:jc w:val="both"/>
        <w:rPr>
          <w:rFonts w:cs="Arial"/>
          <w:sz w:val="20"/>
          <w:szCs w:val="20"/>
        </w:rPr>
      </w:pPr>
    </w:p>
    <w:p w:rsidR="00F64A34" w:rsidP="00F64A34" w:rsidRDefault="00F64A34" w14:paraId="68ACA85F" w14:textId="77777777">
      <w:pPr>
        <w:pStyle w:val="ListParagraph"/>
        <w:ind w:left="0"/>
        <w:jc w:val="both"/>
        <w:rPr>
          <w:rFonts w:cs="Arial"/>
          <w:sz w:val="20"/>
        </w:rPr>
      </w:pPr>
      <w:r w:rsidRPr="6FB36E7D">
        <w:rPr>
          <w:rFonts w:cs="Arial"/>
          <w:sz w:val="20"/>
        </w:rPr>
        <w:t>The UK has a seat on the Evaluation Oversight Committee (EOC) co-representing the donor perspective, and through this role has had the opportunity to review and comment on evaluation products such as the terms of reference and inception report. The EOC has good representation across FCPF stakeholders including REDD country participants, donors, observers and delivery partners. This makes it well positioned to ensure the design and implementation of evaluation is fit for purpose and relevant for learning and decision making. It will also play a role in disseminating findings once final reports are produced.</w:t>
      </w:r>
    </w:p>
    <w:p w:rsidR="00F64A34" w:rsidP="00F64A34" w:rsidRDefault="00F64A34" w14:paraId="42C43AC0" w14:textId="77777777">
      <w:pPr>
        <w:pStyle w:val="ListParagraph"/>
        <w:ind w:left="0"/>
        <w:jc w:val="both"/>
        <w:rPr>
          <w:rFonts w:cs="Arial"/>
          <w:sz w:val="20"/>
        </w:rPr>
      </w:pPr>
    </w:p>
    <w:p w:rsidRPr="00C703CA" w:rsidR="00F64A34" w:rsidP="00F64A34" w:rsidRDefault="00F64A34" w14:paraId="7D0EA359" w14:textId="77777777">
      <w:pPr>
        <w:pStyle w:val="ListParagraph"/>
        <w:ind w:left="0"/>
        <w:jc w:val="both"/>
        <w:rPr>
          <w:rFonts w:cs="Arial"/>
          <w:b/>
          <w:bCs/>
          <w:sz w:val="20"/>
          <w:u w:val="single"/>
        </w:rPr>
      </w:pPr>
      <w:r w:rsidRPr="00C703CA">
        <w:rPr>
          <w:rFonts w:cs="Arial"/>
          <w:b/>
          <w:bCs/>
          <w:sz w:val="20"/>
          <w:u w:val="single"/>
        </w:rPr>
        <w:t>Quality of financial management</w:t>
      </w:r>
    </w:p>
    <w:p w:rsidRPr="004256CA" w:rsidR="00F64A34" w:rsidP="00F64A34" w:rsidRDefault="00F64A34" w14:paraId="359D981A" w14:textId="77777777">
      <w:pPr>
        <w:jc w:val="both"/>
        <w:rPr>
          <w:rFonts w:asciiTheme="minorHAnsi" w:hAnsiTheme="minorHAnsi" w:eastAsiaTheme="minorEastAsia" w:cstheme="minorBidi"/>
          <w:sz w:val="20"/>
        </w:rPr>
      </w:pPr>
      <w:r w:rsidRPr="004256CA">
        <w:rPr>
          <w:rFonts w:cs="Arial" w:eastAsiaTheme="minorEastAsia"/>
          <w:sz w:val="20"/>
        </w:rPr>
        <w:t>The WB is a trusted partner for financial management. FCPF reports budgets for the following financial year at each Annual Meeting. Actual spend against forecast is monitored and updated regularly by the WB and reported at each Annual Meeting. A</w:t>
      </w:r>
      <w:r w:rsidRPr="004256CA">
        <w:rPr>
          <w:rFonts w:cs="Arial"/>
          <w:sz w:val="20"/>
        </w:rPr>
        <w:t xml:space="preserve">ll contributors’ funds have been fully committed and called, and we will therefore have no further Call of Funds (for Promissory Note draw-downs) requested. We receive Annual Budgets at summer Carbon Fund Meetings. We will continue to provide scrutiny on Annual Budgets when received. </w:t>
      </w:r>
    </w:p>
    <w:p w:rsidRPr="00192385" w:rsidR="00F64A34" w:rsidP="00F64A34" w:rsidRDefault="00F64A34" w14:paraId="79E0E034" w14:textId="77777777">
      <w:pPr>
        <w:jc w:val="both"/>
        <w:rPr>
          <w:rFonts w:cs="Arial" w:eastAsiaTheme="minorEastAsia"/>
          <w:sz w:val="20"/>
          <w:lang w:val="en"/>
        </w:rPr>
      </w:pPr>
    </w:p>
    <w:p w:rsidR="00F64A34" w:rsidP="00F64A34" w:rsidRDefault="00F64A34" w14:paraId="43062506" w14:textId="77777777">
      <w:pPr>
        <w:jc w:val="both"/>
        <w:rPr>
          <w:sz w:val="20"/>
          <w:szCs w:val="20"/>
          <w:highlight w:val="yellow"/>
        </w:rPr>
      </w:pPr>
    </w:p>
    <w:tbl>
      <w:tblPr>
        <w:tblStyle w:val="TableGrid"/>
        <w:tblW w:w="0" w:type="auto"/>
        <w:tblInd w:w="-5" w:type="dxa"/>
        <w:tblLook w:val="04A0" w:firstRow="1" w:lastRow="0" w:firstColumn="1" w:lastColumn="0" w:noHBand="0" w:noVBand="1"/>
      </w:tblPr>
      <w:tblGrid>
        <w:gridCol w:w="4508"/>
        <w:gridCol w:w="2268"/>
      </w:tblGrid>
      <w:tr w:rsidRPr="00F70DBE" w:rsidR="00FB1C26" w14:paraId="6D26466C" w14:textId="77777777">
        <w:tc>
          <w:tcPr>
            <w:tcW w:w="4508"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B726BA" w:rsidR="00F64A34" w:rsidRDefault="00F64A34" w14:paraId="5DC73404" w14:textId="77777777">
            <w:pPr>
              <w:rPr>
                <w:rFonts w:cs="Arial"/>
                <w:sz w:val="20"/>
                <w:szCs w:val="22"/>
              </w:rPr>
            </w:pPr>
            <w:r w:rsidRPr="00B726BA">
              <w:rPr>
                <w:rFonts w:cs="Arial"/>
                <w:sz w:val="20"/>
                <w:szCs w:val="22"/>
              </w:rPr>
              <w:t>Date of last narrative financial report</w:t>
            </w:r>
          </w:p>
        </w:tc>
        <w:tc>
          <w:tcPr>
            <w:tcW w:w="2268" w:type="dxa"/>
            <w:tcBorders>
              <w:top w:val="single" w:color="auto" w:sz="4" w:space="0"/>
              <w:left w:val="single" w:color="auto" w:sz="4" w:space="0"/>
              <w:bottom w:val="single" w:color="auto" w:sz="4" w:space="0"/>
              <w:right w:val="single" w:color="auto" w:sz="4" w:space="0"/>
            </w:tcBorders>
          </w:tcPr>
          <w:p w:rsidRPr="00B726BA" w:rsidR="00F64A34" w:rsidRDefault="00DE17A8" w14:paraId="3E235951" w14:textId="3DF5A704">
            <w:pPr>
              <w:rPr>
                <w:rFonts w:cs="Arial"/>
                <w:sz w:val="20"/>
                <w:szCs w:val="20"/>
              </w:rPr>
            </w:pPr>
            <w:r>
              <w:rPr>
                <w:rFonts w:cs="Arial"/>
                <w:sz w:val="20"/>
                <w:szCs w:val="20"/>
              </w:rPr>
              <w:t>16/05/2023</w:t>
            </w:r>
          </w:p>
        </w:tc>
      </w:tr>
      <w:tr w:rsidRPr="00F70DBE" w:rsidR="00FB1C26" w14:paraId="5D2476F7" w14:textId="77777777">
        <w:tc>
          <w:tcPr>
            <w:tcW w:w="4508"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B726BA" w:rsidR="00F64A34" w:rsidRDefault="00F64A34" w14:paraId="7068A0CE" w14:textId="77777777">
            <w:pPr>
              <w:rPr>
                <w:rFonts w:cs="Arial"/>
                <w:sz w:val="20"/>
                <w:szCs w:val="20"/>
              </w:rPr>
            </w:pPr>
            <w:r w:rsidRPr="5340CBC6">
              <w:rPr>
                <w:rFonts w:cs="Arial"/>
                <w:sz w:val="20"/>
                <w:szCs w:val="20"/>
              </w:rPr>
              <w:t>Date of last audited annual statement</w:t>
            </w:r>
          </w:p>
        </w:tc>
        <w:tc>
          <w:tcPr>
            <w:tcW w:w="2268" w:type="dxa"/>
            <w:tcBorders>
              <w:top w:val="single" w:color="auto" w:sz="4" w:space="0"/>
              <w:left w:val="single" w:color="auto" w:sz="4" w:space="0"/>
              <w:bottom w:val="single" w:color="auto" w:sz="4" w:space="0"/>
              <w:right w:val="single" w:color="auto" w:sz="4" w:space="0"/>
            </w:tcBorders>
          </w:tcPr>
          <w:p w:rsidRPr="00B726BA" w:rsidR="00F64A34" w:rsidRDefault="00DE17A8" w14:paraId="78EDFD89" w14:textId="7372C0B4">
            <w:pPr>
              <w:rPr>
                <w:rFonts w:cs="Arial"/>
                <w:sz w:val="20"/>
                <w:szCs w:val="20"/>
              </w:rPr>
            </w:pPr>
            <w:r>
              <w:rPr>
                <w:rFonts w:cs="Arial"/>
                <w:sz w:val="20"/>
                <w:szCs w:val="20"/>
              </w:rPr>
              <w:t>16/05/2023</w:t>
            </w:r>
          </w:p>
        </w:tc>
      </w:tr>
    </w:tbl>
    <w:p w:rsidR="24958D28" w:rsidP="662399CC" w:rsidRDefault="24958D28" w14:paraId="2E0B0245" w14:textId="5BE67F78">
      <w:pPr>
        <w:tabs>
          <w:tab w:val="right" w:leader="dot" w:pos="9710"/>
        </w:tabs>
        <w:contextualSpacing/>
        <w:jc w:val="both"/>
        <w:rPr>
          <w:rFonts w:eastAsia="Arial" w:cs="Arial"/>
          <w:color w:val="000000" w:themeColor="text1"/>
          <w:sz w:val="22"/>
          <w:szCs w:val="22"/>
        </w:rPr>
      </w:pPr>
    </w:p>
    <w:p w:rsidR="24958D28" w:rsidP="662399CC" w:rsidRDefault="24958D28" w14:paraId="270C84CF" w14:textId="650732B8">
      <w:pPr>
        <w:tabs>
          <w:tab w:val="right" w:leader="dot" w:pos="9710"/>
        </w:tabs>
        <w:contextualSpacing/>
        <w:jc w:val="both"/>
        <w:rPr>
          <w:rFonts w:eastAsia="Arial" w:cs="Arial"/>
          <w:color w:val="000000" w:themeColor="text1"/>
          <w:sz w:val="22"/>
          <w:szCs w:val="22"/>
        </w:rPr>
      </w:pPr>
    </w:p>
    <w:p w:rsidRPr="00181608" w:rsidR="3F76CE01" w:rsidP="662399CC" w:rsidRDefault="3F76CE01" w14:paraId="4F23DEC2" w14:textId="24F17819">
      <w:pPr>
        <w:tabs>
          <w:tab w:val="right" w:leader="dot" w:pos="9710"/>
        </w:tabs>
        <w:contextualSpacing/>
        <w:jc w:val="both"/>
        <w:rPr>
          <w:rFonts w:eastAsia="Arial" w:cs="Arial"/>
          <w:b/>
          <w:bCs/>
          <w:color w:val="000000" w:themeColor="text1"/>
          <w:sz w:val="20"/>
          <w:szCs w:val="20"/>
          <w:u w:val="single"/>
        </w:rPr>
      </w:pPr>
      <w:r w:rsidRPr="00181608">
        <w:rPr>
          <w:rFonts w:eastAsia="Arial" w:cs="Arial"/>
          <w:b/>
          <w:bCs/>
          <w:color w:val="000000" w:themeColor="text1"/>
          <w:sz w:val="20"/>
          <w:szCs w:val="20"/>
          <w:u w:val="single"/>
        </w:rPr>
        <w:t xml:space="preserve">Compliance table </w:t>
      </w: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508"/>
        <w:gridCol w:w="4508"/>
      </w:tblGrid>
      <w:tr w:rsidR="24958D28" w:rsidTr="19B08EA3" w14:paraId="36D3E058"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DE17A8" w:rsidR="24958D28" w:rsidP="662399CC" w:rsidRDefault="24958D28" w14:paraId="3A09DD08" w14:textId="578BBF12">
            <w:pPr>
              <w:spacing w:line="276" w:lineRule="auto"/>
              <w:rPr>
                <w:rFonts w:eastAsia="Arial" w:cs="Arial"/>
                <w:color w:val="212121"/>
                <w:sz w:val="18"/>
                <w:szCs w:val="18"/>
              </w:rPr>
            </w:pPr>
            <w:r w:rsidRPr="00DE17A8">
              <w:rPr>
                <w:rFonts w:eastAsia="Arial" w:cs="Arial"/>
                <w:b/>
                <w:color w:val="212121"/>
                <w:sz w:val="18"/>
                <w:szCs w:val="18"/>
              </w:rPr>
              <w:t>Paris alignment pillar</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DE17A8" w:rsidR="24958D28" w:rsidP="662399CC" w:rsidRDefault="24958D28" w14:paraId="5BAE3890" w14:textId="4ABF44DD">
            <w:pPr>
              <w:spacing w:line="276" w:lineRule="auto"/>
              <w:rPr>
                <w:rFonts w:eastAsia="Arial" w:cs="Arial"/>
                <w:color w:val="212121"/>
                <w:sz w:val="18"/>
                <w:szCs w:val="18"/>
              </w:rPr>
            </w:pPr>
            <w:r w:rsidRPr="00DE17A8">
              <w:rPr>
                <w:rFonts w:eastAsia="Arial" w:cs="Arial"/>
                <w:b/>
                <w:color w:val="212121"/>
                <w:sz w:val="18"/>
                <w:szCs w:val="18"/>
              </w:rPr>
              <w:t>Description of activity</w:t>
            </w:r>
          </w:p>
        </w:tc>
      </w:tr>
      <w:tr w:rsidR="24958D28" w:rsidTr="19B08EA3" w14:paraId="74634EF1"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DE17A8" w:rsidR="24958D28" w:rsidP="662399CC" w:rsidRDefault="24958D28" w14:paraId="74026F1A" w14:textId="628C2CE7">
            <w:pPr>
              <w:spacing w:line="276" w:lineRule="auto"/>
              <w:rPr>
                <w:rFonts w:eastAsia="Arial" w:cs="Arial"/>
                <w:color w:val="212121"/>
                <w:sz w:val="18"/>
                <w:szCs w:val="18"/>
              </w:rPr>
            </w:pPr>
            <w:r w:rsidRPr="00DE17A8">
              <w:rPr>
                <w:rFonts w:eastAsia="Arial" w:cs="Arial"/>
                <w:color w:val="212121"/>
                <w:sz w:val="18"/>
                <w:szCs w:val="18"/>
              </w:rPr>
              <w:t>How have you taken a proportional approach to climate and environment risk assurance?</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DE17A8" w:rsidR="24958D28" w:rsidP="19B08EA3" w:rsidRDefault="24958D28" w14:paraId="778BF413" w14:textId="6ADFB492">
            <w:pPr>
              <w:spacing w:line="276" w:lineRule="auto"/>
              <w:rPr>
                <w:rFonts w:eastAsia="Arial" w:cs="Arial"/>
                <w:color w:val="212121"/>
                <w:sz w:val="18"/>
                <w:szCs w:val="18"/>
              </w:rPr>
            </w:pPr>
            <w:r w:rsidRPr="00DE17A8">
              <w:rPr>
                <w:rFonts w:eastAsia="Arial" w:cs="Arial"/>
                <w:color w:val="212121"/>
                <w:sz w:val="18"/>
                <w:szCs w:val="18"/>
              </w:rPr>
              <w:t xml:space="preserve"> </w:t>
            </w:r>
            <w:r w:rsidRPr="00DE17A8" w:rsidR="32E449D2">
              <w:rPr>
                <w:rFonts w:eastAsia="Arial" w:cs="Arial"/>
                <w:color w:val="212121"/>
                <w:sz w:val="18"/>
                <w:szCs w:val="18"/>
              </w:rPr>
              <w:t xml:space="preserve">Yes. A Climate and </w:t>
            </w:r>
            <w:r w:rsidRPr="00DE17A8" w:rsidR="21D32720">
              <w:rPr>
                <w:rFonts w:eastAsia="Arial" w:cs="Arial"/>
                <w:color w:val="212121"/>
                <w:sz w:val="18"/>
                <w:szCs w:val="18"/>
              </w:rPr>
              <w:t>Environmental</w:t>
            </w:r>
            <w:r w:rsidRPr="00DE17A8" w:rsidR="32E449D2">
              <w:rPr>
                <w:rFonts w:eastAsia="Arial" w:cs="Arial"/>
                <w:color w:val="212121"/>
                <w:sz w:val="18"/>
                <w:szCs w:val="18"/>
              </w:rPr>
              <w:t xml:space="preserve"> Risk Screening </w:t>
            </w:r>
            <w:r w:rsidRPr="00DE17A8" w:rsidR="5E4B1046">
              <w:rPr>
                <w:rFonts w:eastAsia="Arial" w:cs="Arial"/>
                <w:color w:val="212121"/>
                <w:sz w:val="18"/>
                <w:szCs w:val="18"/>
              </w:rPr>
              <w:t xml:space="preserve">has been undertaken. </w:t>
            </w:r>
          </w:p>
          <w:p w:rsidRPr="00DE17A8" w:rsidR="24958D28" w:rsidP="19B08EA3" w:rsidRDefault="5E4B1046" w14:paraId="6C1DEA4E" w14:textId="322D0B4C">
            <w:pPr>
              <w:spacing w:line="276" w:lineRule="auto"/>
              <w:rPr>
                <w:rFonts w:eastAsia="Arial" w:cs="Arial"/>
                <w:color w:val="212121"/>
                <w:sz w:val="18"/>
                <w:szCs w:val="18"/>
              </w:rPr>
            </w:pPr>
            <w:r w:rsidRPr="00DE17A8">
              <w:rPr>
                <w:rFonts w:eastAsia="Arial" w:cs="Arial"/>
                <w:color w:val="212121"/>
                <w:sz w:val="18"/>
                <w:szCs w:val="18"/>
              </w:rPr>
              <w:t>The Climate Risk Screen was Moderate</w:t>
            </w:r>
            <w:r w:rsidRPr="00DE17A8" w:rsidR="24958D28">
              <w:rPr>
                <w:rFonts w:eastAsia="Arial" w:cs="Arial"/>
                <w:color w:val="212121"/>
                <w:sz w:val="18"/>
                <w:szCs w:val="18"/>
              </w:rPr>
              <w:footnoteReference w:id="10"/>
            </w:r>
            <w:r w:rsidRPr="00DE17A8">
              <w:rPr>
                <w:rFonts w:eastAsia="Arial" w:cs="Arial"/>
                <w:color w:val="212121"/>
                <w:sz w:val="18"/>
                <w:szCs w:val="18"/>
              </w:rPr>
              <w:t>.</w:t>
            </w:r>
          </w:p>
          <w:p w:rsidRPr="00DE17A8" w:rsidR="24958D28" w:rsidP="19B08EA3" w:rsidRDefault="5E4B1046" w14:paraId="38FDB70D" w14:textId="376DC580">
            <w:pPr>
              <w:spacing w:line="276" w:lineRule="auto"/>
              <w:rPr>
                <w:rFonts w:eastAsia="Arial" w:cs="Arial"/>
                <w:color w:val="212121"/>
                <w:sz w:val="18"/>
                <w:szCs w:val="18"/>
              </w:rPr>
            </w:pPr>
            <w:r w:rsidRPr="00DE17A8">
              <w:rPr>
                <w:rFonts w:eastAsia="Arial" w:cs="Arial"/>
                <w:color w:val="212121"/>
                <w:sz w:val="18"/>
                <w:szCs w:val="18"/>
              </w:rPr>
              <w:t>The Environmental Risk Screening was Low</w:t>
            </w:r>
            <w:r w:rsidRPr="00DE17A8" w:rsidR="24958D28">
              <w:rPr>
                <w:rFonts w:eastAsia="Arial" w:cs="Arial"/>
                <w:color w:val="212121"/>
                <w:sz w:val="18"/>
                <w:szCs w:val="18"/>
              </w:rPr>
              <w:footnoteReference w:id="11"/>
            </w:r>
            <w:r w:rsidRPr="00DE17A8">
              <w:rPr>
                <w:rFonts w:eastAsia="Arial" w:cs="Arial"/>
                <w:color w:val="212121"/>
                <w:sz w:val="18"/>
                <w:szCs w:val="18"/>
              </w:rPr>
              <w:t xml:space="preserve">. </w:t>
            </w:r>
          </w:p>
          <w:p w:rsidRPr="00DE17A8" w:rsidR="24958D28" w:rsidP="19B08EA3" w:rsidRDefault="5E4B1046" w14:paraId="206AEC96" w14:textId="52A9F279">
            <w:pPr>
              <w:spacing w:line="276" w:lineRule="auto"/>
              <w:rPr>
                <w:rFonts w:eastAsia="Arial" w:cs="Arial"/>
                <w:color w:val="212121"/>
                <w:sz w:val="18"/>
                <w:szCs w:val="18"/>
              </w:rPr>
            </w:pPr>
            <w:r w:rsidRPr="00DE17A8">
              <w:rPr>
                <w:rFonts w:eastAsia="Arial" w:cs="Arial"/>
                <w:color w:val="212121"/>
                <w:sz w:val="18"/>
                <w:szCs w:val="18"/>
              </w:rPr>
              <w:t xml:space="preserve">Risks will be monitored through the normal ICF risk management processes. </w:t>
            </w:r>
          </w:p>
        </w:tc>
      </w:tr>
      <w:tr w:rsidR="24958D28" w:rsidTr="19B08EA3" w14:paraId="24F160CD"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DE17A8" w:rsidR="24958D28" w:rsidP="662399CC" w:rsidRDefault="24958D28" w14:paraId="37F94F6E" w14:textId="4E36E106">
            <w:pPr>
              <w:spacing w:line="276" w:lineRule="auto"/>
              <w:rPr>
                <w:rFonts w:eastAsia="Arial" w:cs="Arial"/>
                <w:color w:val="212121"/>
                <w:sz w:val="18"/>
                <w:szCs w:val="18"/>
              </w:rPr>
            </w:pPr>
            <w:r w:rsidRPr="00DE17A8">
              <w:rPr>
                <w:rFonts w:eastAsia="Arial" w:cs="Arial"/>
                <w:color w:val="212121"/>
                <w:sz w:val="18"/>
                <w:szCs w:val="18"/>
              </w:rPr>
              <w:t>How have you taken a proportional approach to using shadow carbon pricing?</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DE17A8" w:rsidR="24958D28" w:rsidP="662399CC" w:rsidRDefault="24958D28" w14:paraId="1043457E" w14:textId="734A22A8">
            <w:pPr>
              <w:spacing w:line="276" w:lineRule="auto"/>
              <w:rPr>
                <w:rFonts w:eastAsia="Arial" w:cs="Arial"/>
                <w:color w:val="212121"/>
                <w:sz w:val="18"/>
                <w:szCs w:val="18"/>
              </w:rPr>
            </w:pPr>
            <w:r w:rsidRPr="00DE17A8">
              <w:rPr>
                <w:rFonts w:eastAsia="Arial" w:cs="Arial"/>
                <w:color w:val="212121"/>
                <w:sz w:val="18"/>
                <w:szCs w:val="18"/>
              </w:rPr>
              <w:t xml:space="preserve"> </w:t>
            </w:r>
            <w:r w:rsidRPr="00DE17A8" w:rsidR="23BC5755">
              <w:rPr>
                <w:rFonts w:eastAsia="Arial" w:cs="Arial"/>
                <w:color w:val="212121"/>
                <w:sz w:val="18"/>
                <w:szCs w:val="18"/>
              </w:rPr>
              <w:t>Yes. All Emissions Reduction Payment Agreements within FCPF have been finalised with consistent carbon pricing ($5/tonne). For further potential Call Options and Third-Party Transactions (i.e., where a country has produced additional/excess Emissions Reductions)</w:t>
            </w:r>
            <w:r w:rsidRPr="00DE17A8" w:rsidR="77C7032D">
              <w:rPr>
                <w:rFonts w:eastAsia="Arial" w:cs="Arial"/>
                <w:color w:val="212121"/>
                <w:sz w:val="18"/>
                <w:szCs w:val="18"/>
              </w:rPr>
              <w:t xml:space="preserve">, pricing is </w:t>
            </w:r>
            <w:r w:rsidRPr="00DE17A8" w:rsidR="413DB617">
              <w:rPr>
                <w:rFonts w:eastAsia="Arial" w:cs="Arial"/>
                <w:color w:val="212121"/>
                <w:sz w:val="18"/>
                <w:szCs w:val="18"/>
              </w:rPr>
              <w:t>negotiated between buyer/seller</w:t>
            </w:r>
            <w:r w:rsidRPr="00DE17A8" w:rsidR="382F2330">
              <w:rPr>
                <w:rFonts w:eastAsia="Arial" w:cs="Arial"/>
                <w:color w:val="212121"/>
                <w:sz w:val="18"/>
                <w:szCs w:val="18"/>
              </w:rPr>
              <w:t>. T</w:t>
            </w:r>
            <w:r w:rsidRPr="00DE17A8" w:rsidR="413DB617">
              <w:rPr>
                <w:rFonts w:eastAsia="Arial" w:cs="Arial"/>
                <w:color w:val="212121"/>
                <w:sz w:val="18"/>
                <w:szCs w:val="18"/>
              </w:rPr>
              <w:t>he FCPF supporting on mechanisms to support price ambition/discovery (i.e.,</w:t>
            </w:r>
            <w:r w:rsidRPr="00DE17A8" w:rsidR="07C8B5F2">
              <w:rPr>
                <w:rFonts w:eastAsia="Arial" w:cs="Arial"/>
                <w:color w:val="212121"/>
                <w:sz w:val="18"/>
                <w:szCs w:val="18"/>
              </w:rPr>
              <w:t xml:space="preserve"> through an</w:t>
            </w:r>
            <w:r w:rsidRPr="00DE17A8" w:rsidR="413DB617">
              <w:rPr>
                <w:rFonts w:eastAsia="Arial" w:cs="Arial"/>
                <w:color w:val="212121"/>
                <w:sz w:val="18"/>
                <w:szCs w:val="18"/>
              </w:rPr>
              <w:t xml:space="preserve"> Auction Mechanism).</w:t>
            </w:r>
          </w:p>
        </w:tc>
      </w:tr>
      <w:tr w:rsidR="24958D28" w:rsidTr="19B08EA3" w14:paraId="3A0589D5"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DE17A8" w:rsidR="24958D28" w:rsidP="662399CC" w:rsidRDefault="24958D28" w14:paraId="51F4163E" w14:textId="6044FA6D">
            <w:pPr>
              <w:spacing w:line="276" w:lineRule="auto"/>
              <w:rPr>
                <w:rFonts w:eastAsia="Arial" w:cs="Arial"/>
                <w:color w:val="212121"/>
                <w:sz w:val="18"/>
                <w:szCs w:val="18"/>
              </w:rPr>
            </w:pPr>
            <w:r w:rsidRPr="00DE17A8">
              <w:rPr>
                <w:rFonts w:eastAsia="Arial" w:cs="Arial"/>
                <w:color w:val="212121"/>
                <w:sz w:val="18"/>
                <w:szCs w:val="18"/>
              </w:rPr>
              <w:t>Does the programme adhere to HMG’s fossil fuel policy?</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DE17A8" w:rsidR="24958D28" w:rsidP="662399CC" w:rsidRDefault="0E2CDA53" w14:paraId="4D99C99B" w14:textId="7B54E065">
            <w:pPr>
              <w:spacing w:line="276" w:lineRule="auto"/>
              <w:rPr>
                <w:rFonts w:eastAsia="Arial" w:cs="Arial"/>
                <w:color w:val="212121"/>
                <w:sz w:val="18"/>
                <w:szCs w:val="18"/>
              </w:rPr>
            </w:pPr>
            <w:r w:rsidRPr="00DE17A8">
              <w:rPr>
                <w:rFonts w:eastAsia="Arial" w:cs="Arial"/>
                <w:color w:val="212121"/>
                <w:sz w:val="18"/>
                <w:szCs w:val="18"/>
              </w:rPr>
              <w:t xml:space="preserve">Yes. This is existing support unrelated to fossil fuel </w:t>
            </w:r>
            <w:r w:rsidRPr="00DE17A8" w:rsidR="5E2FCED4">
              <w:rPr>
                <w:rFonts w:eastAsia="Arial" w:cs="Arial"/>
                <w:color w:val="212121"/>
                <w:sz w:val="18"/>
                <w:szCs w:val="18"/>
              </w:rPr>
              <w:t>policy and</w:t>
            </w:r>
            <w:r w:rsidRPr="00DE17A8">
              <w:rPr>
                <w:rFonts w:eastAsia="Arial" w:cs="Arial"/>
                <w:color w:val="212121"/>
                <w:sz w:val="18"/>
                <w:szCs w:val="18"/>
              </w:rPr>
              <w:t xml:space="preserve"> adher</w:t>
            </w:r>
            <w:r w:rsidRPr="00DE17A8" w:rsidR="1510727B">
              <w:rPr>
                <w:rFonts w:eastAsia="Arial" w:cs="Arial"/>
                <w:color w:val="212121"/>
                <w:sz w:val="18"/>
                <w:szCs w:val="18"/>
              </w:rPr>
              <w:t>e</w:t>
            </w:r>
            <w:r w:rsidRPr="00DE17A8">
              <w:rPr>
                <w:rFonts w:eastAsia="Arial" w:cs="Arial"/>
                <w:color w:val="212121"/>
                <w:sz w:val="18"/>
                <w:szCs w:val="18"/>
              </w:rPr>
              <w:t xml:space="preserve">s to HMG ‘no new overseas fossil fuel financial or promotional </w:t>
            </w:r>
            <w:r w:rsidRPr="00DE17A8" w:rsidR="476C5D06">
              <w:rPr>
                <w:rFonts w:eastAsia="Arial" w:cs="Arial"/>
                <w:color w:val="212121"/>
                <w:sz w:val="18"/>
                <w:szCs w:val="18"/>
              </w:rPr>
              <w:t>support</w:t>
            </w:r>
            <w:r w:rsidRPr="00DE17A8">
              <w:rPr>
                <w:rFonts w:eastAsia="Arial" w:cs="Arial"/>
                <w:color w:val="212121"/>
                <w:sz w:val="18"/>
                <w:szCs w:val="18"/>
              </w:rPr>
              <w:t xml:space="preserve"> other than limited circumstances’</w:t>
            </w:r>
            <w:r w:rsidRPr="00DE17A8" w:rsidR="1729C3BD">
              <w:rPr>
                <w:rFonts w:eastAsia="Arial" w:cs="Arial"/>
                <w:color w:val="212121"/>
                <w:sz w:val="18"/>
                <w:szCs w:val="18"/>
              </w:rPr>
              <w:t>.</w:t>
            </w:r>
          </w:p>
        </w:tc>
      </w:tr>
      <w:tr w:rsidR="24958D28" w:rsidTr="19B08EA3" w14:paraId="5AFB0C88"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DE17A8" w:rsidR="24958D28" w:rsidP="662399CC" w:rsidRDefault="24958D28" w14:paraId="046BB519" w14:textId="0AF09318">
            <w:pPr>
              <w:spacing w:line="276" w:lineRule="auto"/>
              <w:rPr>
                <w:rFonts w:eastAsia="Arial" w:cs="Arial"/>
                <w:color w:val="212121"/>
                <w:sz w:val="18"/>
                <w:szCs w:val="18"/>
              </w:rPr>
            </w:pPr>
            <w:r w:rsidRPr="00DE17A8">
              <w:rPr>
                <w:rFonts w:eastAsia="Arial" w:cs="Arial"/>
                <w:color w:val="212121"/>
                <w:sz w:val="18"/>
                <w:szCs w:val="18"/>
              </w:rPr>
              <w:t>Are you ensuring the programme does not undermine impacted countries climate plans?</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DE17A8" w:rsidR="24958D28" w:rsidP="662399CC" w:rsidRDefault="7462E513" w14:paraId="6B3574C7" w14:textId="4B044957">
            <w:pPr>
              <w:spacing w:line="276" w:lineRule="auto"/>
              <w:rPr>
                <w:rFonts w:eastAsia="Arial" w:cs="Arial"/>
                <w:color w:val="212121"/>
                <w:sz w:val="18"/>
                <w:szCs w:val="18"/>
              </w:rPr>
            </w:pPr>
            <w:r w:rsidRPr="00DE17A8">
              <w:rPr>
                <w:rFonts w:eastAsia="Arial" w:cs="Arial"/>
                <w:color w:val="212121"/>
                <w:sz w:val="18"/>
                <w:szCs w:val="18"/>
              </w:rPr>
              <w:t xml:space="preserve">Yes. FCPF country Emissions Reduction Programmes (ERPs) are aligned with, and supporting, forest country climate plans. The Programmes are delivered by the Government. Additionally, </w:t>
            </w:r>
            <w:r w:rsidRPr="00DE17A8" w:rsidR="7255B31A">
              <w:rPr>
                <w:rFonts w:eastAsia="Arial" w:cs="Arial"/>
                <w:color w:val="212121"/>
                <w:sz w:val="18"/>
                <w:szCs w:val="18"/>
              </w:rPr>
              <w:t>95% of the fund goes</w:t>
            </w:r>
            <w:r w:rsidRPr="00DE17A8" w:rsidR="78B56A2E">
              <w:rPr>
                <w:rFonts w:eastAsia="Arial" w:cs="Arial"/>
                <w:color w:val="212121"/>
                <w:sz w:val="18"/>
                <w:szCs w:val="18"/>
              </w:rPr>
              <w:t xml:space="preserve"> directly</w:t>
            </w:r>
            <w:r w:rsidRPr="00DE17A8" w:rsidR="7255B31A">
              <w:rPr>
                <w:rFonts w:eastAsia="Arial" w:cs="Arial"/>
                <w:color w:val="212121"/>
                <w:sz w:val="18"/>
                <w:szCs w:val="18"/>
              </w:rPr>
              <w:t xml:space="preserve"> towards supporting </w:t>
            </w:r>
            <w:r w:rsidRPr="00DE17A8" w:rsidR="57927921">
              <w:rPr>
                <w:rFonts w:eastAsia="Arial" w:cs="Arial"/>
                <w:color w:val="212121"/>
                <w:sz w:val="18"/>
                <w:szCs w:val="18"/>
              </w:rPr>
              <w:t xml:space="preserve">countries produce Emissions Reductions that would be available for use against their Nationally Determined Contributions (NDCs). </w:t>
            </w:r>
          </w:p>
        </w:tc>
      </w:tr>
    </w:tbl>
    <w:p w:rsidRPr="00D80C6C" w:rsidR="003D222C" w:rsidP="004D5FD5" w:rsidRDefault="003D222C" w14:paraId="4AB97E44" w14:textId="77777777">
      <w:pPr>
        <w:jc w:val="both"/>
        <w:rPr>
          <w:rFonts w:cs="Arial"/>
          <w:sz w:val="22"/>
          <w:szCs w:val="22"/>
        </w:rPr>
      </w:pPr>
    </w:p>
    <w:sectPr w:rsidRPr="00D80C6C" w:rsidR="003D222C" w:rsidSect="00740805">
      <w:headerReference w:type="default" r:id="rId24"/>
      <w:footerReference w:type="default" r:id="rId25"/>
      <w:headerReference w:type="first" r:id="rId26"/>
      <w:footerReference w:type="first" r:id="rId27"/>
      <w:pgSz w:w="11906" w:h="16838" w:orient="portrait"/>
      <w:pgMar w:top="709" w:right="1440" w:bottom="709" w:left="1440" w:header="708" w:footer="708" w:gutter="0"/>
      <w:pgBorders w:offsetFrom="page">
        <w:top w:val="single" w:color="auto" w:sz="4" w:space="24"/>
        <w:left w:val="single" w:color="auto" w:sz="4" w:space="24"/>
        <w:bottom w:val="single" w:color="auto" w:sz="4" w:space="24"/>
        <w:right w:val="single" w:color="auto" w:sz="4" w:space="24"/>
      </w:pgBorders>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2FC6" w:rsidP="003D222C" w:rsidRDefault="00982FC6" w14:paraId="384F7146" w14:textId="77777777">
      <w:r>
        <w:separator/>
      </w:r>
    </w:p>
  </w:endnote>
  <w:endnote w:type="continuationSeparator" w:id="0">
    <w:p w:rsidR="00982FC6" w:rsidP="003D222C" w:rsidRDefault="00982FC6" w14:paraId="11EFE348" w14:textId="77777777">
      <w:r>
        <w:continuationSeparator/>
      </w:r>
    </w:p>
  </w:endnote>
  <w:endnote w:type="continuationNotice" w:id="1">
    <w:p w:rsidR="00982FC6" w:rsidRDefault="00982FC6" w14:paraId="7C2BBC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779427"/>
      <w:docPartObj>
        <w:docPartGallery w:val="Page Numbers (Bottom of Page)"/>
        <w:docPartUnique/>
      </w:docPartObj>
    </w:sdtPr>
    <w:sdtEndPr>
      <w:rPr>
        <w:noProof/>
      </w:rPr>
    </w:sdtEndPr>
    <w:sdtContent>
      <w:p w:rsidR="00920D19" w:rsidRDefault="00920D19" w14:paraId="6505D46B" w14:textId="26A3B6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20D19" w:rsidRDefault="00920D19" w14:paraId="1D8727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0217" w:rsidP="00090217" w:rsidRDefault="00EE7FAA" w14:paraId="368DDCA5" w14:textId="790B3FEA">
    <w:pPr>
      <w:pStyle w:val="BEISDate"/>
    </w:pPr>
    <w:r>
      <w:t>December 2023</w:t>
    </w:r>
  </w:p>
  <w:p w:rsidR="00090217" w:rsidRDefault="00090217" w14:paraId="4E83EF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2FC6" w:rsidP="003D222C" w:rsidRDefault="00982FC6" w14:paraId="6D6DBC11" w14:textId="77777777">
      <w:r>
        <w:separator/>
      </w:r>
    </w:p>
  </w:footnote>
  <w:footnote w:type="continuationSeparator" w:id="0">
    <w:p w:rsidR="00982FC6" w:rsidP="003D222C" w:rsidRDefault="00982FC6" w14:paraId="702D8230" w14:textId="77777777">
      <w:r>
        <w:continuationSeparator/>
      </w:r>
    </w:p>
  </w:footnote>
  <w:footnote w:type="continuationNotice" w:id="1">
    <w:p w:rsidR="00982FC6" w:rsidRDefault="00982FC6" w14:paraId="1B0069B4" w14:textId="77777777"/>
  </w:footnote>
  <w:footnote w:id="2">
    <w:p w:rsidRPr="004E4D5A" w:rsidR="008D3D82" w:rsidP="008D3D82" w:rsidRDefault="008D3D82" w14:paraId="2F44B0FC" w14:textId="77777777">
      <w:pPr>
        <w:pStyle w:val="FootnoteText"/>
        <w:rPr>
          <w:sz w:val="18"/>
          <w:szCs w:val="18"/>
        </w:rPr>
      </w:pPr>
      <w:r w:rsidRPr="004E4D5A">
        <w:rPr>
          <w:rStyle w:val="FootnoteReference"/>
          <w:sz w:val="18"/>
          <w:szCs w:val="18"/>
        </w:rPr>
        <w:footnoteRef/>
      </w:r>
      <w:r w:rsidRPr="004E4D5A">
        <w:rPr>
          <w:sz w:val="18"/>
          <w:szCs w:val="18"/>
        </w:rPr>
        <w:t xml:space="preserve"> </w:t>
      </w:r>
      <w:r w:rsidRPr="004E4D5A">
        <w:rPr>
          <w:sz w:val="14"/>
          <w:szCs w:val="14"/>
        </w:rPr>
        <w:t xml:space="preserve">New risk categories have been adopted since 2015 review (Minor, Moderate, Major and Severe).   </w:t>
      </w:r>
    </w:p>
  </w:footnote>
  <w:footnote w:id="3">
    <w:p w:rsidRPr="004E4D5A" w:rsidR="00491754" w:rsidP="00491754" w:rsidRDefault="00491754" w14:paraId="288FB24D" w14:textId="77777777">
      <w:pPr>
        <w:pStyle w:val="FootnoteText"/>
        <w:rPr>
          <w:sz w:val="18"/>
          <w:szCs w:val="18"/>
        </w:rPr>
      </w:pPr>
      <w:r>
        <w:rPr>
          <w:rStyle w:val="FootnoteReference"/>
        </w:rPr>
        <w:footnoteRef/>
      </w:r>
      <w:r>
        <w:t xml:space="preserve"> </w:t>
      </w:r>
      <w:r w:rsidRPr="004E4D5A">
        <w:rPr>
          <w:sz w:val="14"/>
          <w:szCs w:val="14"/>
        </w:rPr>
        <w:t>From 2015, FCPF ICF Annual Reviews focus on the Carbon Fund. Previous reviews 2012-2014 were assessed on the basis of slightly different criteria (including progress of the Readiness Fund). Therefore, direct comparisons to earlier reviews are not possible.</w:t>
      </w:r>
      <w:r>
        <w:rPr>
          <w:sz w:val="14"/>
          <w:szCs w:val="14"/>
        </w:rPr>
        <w:t xml:space="preserve"> The decision to not review the Readiness Fund was taken given that UK investment in the Readiness Fund has been utilised and is no longer producing significant measurable or attributable results, and to efficiently manage the Forest Team portfolio. </w:t>
      </w:r>
    </w:p>
  </w:footnote>
  <w:footnote w:id="4">
    <w:p w:rsidR="00491754" w:rsidP="00491754" w:rsidRDefault="00491754" w14:paraId="2BB7F23D" w14:textId="77777777">
      <w:pPr>
        <w:pStyle w:val="FootnoteText"/>
      </w:pPr>
      <w:r>
        <w:rPr>
          <w:rStyle w:val="FootnoteReference"/>
        </w:rPr>
        <w:footnoteRef/>
      </w:r>
      <w:r>
        <w:t xml:space="preserve"> </w:t>
      </w:r>
      <w:r w:rsidRPr="00944AC3">
        <w:rPr>
          <w:sz w:val="14"/>
          <w:szCs w:val="14"/>
        </w:rPr>
        <w:t>To note, from hereon in FCPF and Carbon Fund will be used interchangeably to discuss the FCPF Carbon Fund. The only time where this will not happen is when discussion focuses on the Readiness Fund – and this will be noted within the text.</w:t>
      </w:r>
      <w:r>
        <w:t xml:space="preserve"> </w:t>
      </w:r>
    </w:p>
  </w:footnote>
  <w:footnote w:id="5">
    <w:p w:rsidR="00491754" w:rsidP="00491754" w:rsidRDefault="00491754" w14:paraId="4AD4E5D3" w14:textId="77777777">
      <w:pPr>
        <w:pStyle w:val="FootnoteText"/>
      </w:pPr>
      <w:r w:rsidRPr="004E4D5A">
        <w:rPr>
          <w:rStyle w:val="FootnoteReference"/>
          <w:sz w:val="18"/>
          <w:szCs w:val="18"/>
        </w:rPr>
        <w:footnoteRef/>
      </w:r>
      <w:r w:rsidRPr="004E4D5A">
        <w:rPr>
          <w:sz w:val="18"/>
          <w:szCs w:val="18"/>
        </w:rPr>
        <w:t xml:space="preserve"> </w:t>
      </w:r>
      <w:r w:rsidRPr="004E4D5A">
        <w:rPr>
          <w:rStyle w:val="normaltextrun"/>
          <w:rFonts w:cs="Arial"/>
          <w:color w:val="000000"/>
          <w:sz w:val="14"/>
          <w:szCs w:val="14"/>
          <w:bdr w:val="none" w:color="auto" w:sz="0" w:space="0" w:frame="1"/>
        </w:rPr>
        <w:t>Chile, Costa Rica, Cote d’Ivoire, Democratic Republic of Congo, Dominican Republic, Fiji, Ghana, Guatemala, Indonesia, Lao PDR, Madagascar, Mozambique, Mexico, Nepal, Nicaragua, Peru, Republic of Congo, and Vietnam. Mexico, Peru and Nicaragua have since left the Carbon Fund.</w:t>
      </w:r>
    </w:p>
  </w:footnote>
  <w:footnote w:id="6">
    <w:p w:rsidRPr="00E856E7" w:rsidR="00BB3FB8" w:rsidP="00BB3FB8" w:rsidRDefault="00BB3FB8" w14:paraId="080ECE20" w14:textId="77777777">
      <w:pPr>
        <w:pStyle w:val="FootnoteText"/>
        <w:rPr>
          <w:sz w:val="16"/>
          <w:szCs w:val="16"/>
        </w:rPr>
      </w:pPr>
      <w:r w:rsidRPr="00E856E7">
        <w:rPr>
          <w:rStyle w:val="FootnoteReference"/>
          <w:sz w:val="16"/>
          <w:szCs w:val="16"/>
        </w:rPr>
        <w:footnoteRef/>
      </w:r>
      <w:r w:rsidRPr="00E856E7">
        <w:rPr>
          <w:sz w:val="16"/>
          <w:szCs w:val="16"/>
        </w:rPr>
        <w:t xml:space="preserve"> Conditions of Effectiveness are requirements which must be fulfilled by a forest country as part of its obligations under the ERPA before it can sell, transfer, and receive payment for emission reductions. It includes components such as: submission of a final Benefit Sharing Plan; providing evidence of ability to transfer title; submission of a letter of approval etc. </w:t>
      </w:r>
    </w:p>
  </w:footnote>
  <w:footnote w:id="7">
    <w:p w:rsidR="00D742EB" w:rsidP="00D742EB" w:rsidRDefault="00D742EB" w14:paraId="0EC3AB5B" w14:textId="77777777">
      <w:pPr>
        <w:pStyle w:val="FootnoteText"/>
      </w:pPr>
      <w:r>
        <w:rPr>
          <w:rStyle w:val="FootnoteReference"/>
        </w:rPr>
        <w:footnoteRef/>
      </w:r>
      <w:r>
        <w:t xml:space="preserve"> </w:t>
      </w:r>
      <w:r w:rsidRPr="00F60C61">
        <w:rPr>
          <w:sz w:val="16"/>
          <w:szCs w:val="16"/>
        </w:rPr>
        <w:t>Number of participant countries where learning, evidence and knowledge products generated through FCPF has influenced other REDD+ programmes and practices; Number of participant counties where FCPF has influenced REDD+ country participants national approaches to sustainable forest resource management (including among women, women’s groups, IPS, CSOs, local communities)</w:t>
      </w:r>
      <w:r>
        <w:rPr>
          <w:sz w:val="16"/>
          <w:szCs w:val="16"/>
        </w:rPr>
        <w:t>.</w:t>
      </w:r>
    </w:p>
  </w:footnote>
  <w:footnote w:id="8">
    <w:p w:rsidRPr="00D27EC1" w:rsidR="000E49EE" w:rsidP="000E49EE" w:rsidRDefault="000E49EE" w14:paraId="692D3651" w14:textId="77777777">
      <w:pPr>
        <w:pStyle w:val="FootnoteText"/>
        <w:rPr>
          <w:sz w:val="16"/>
          <w:szCs w:val="16"/>
        </w:rPr>
      </w:pPr>
      <w:r>
        <w:rPr>
          <w:rStyle w:val="FootnoteReference"/>
        </w:rPr>
        <w:footnoteRef/>
      </w:r>
      <w:r>
        <w:t xml:space="preserve"> </w:t>
      </w:r>
      <w:r w:rsidRPr="00EB3309">
        <w:rPr>
          <w:sz w:val="16"/>
          <w:szCs w:val="16"/>
        </w:rPr>
        <w:t xml:space="preserve">The indicator </w:t>
      </w:r>
      <w:r>
        <w:rPr>
          <w:sz w:val="16"/>
          <w:szCs w:val="16"/>
        </w:rPr>
        <w:t>is used</w:t>
      </w:r>
      <w:r w:rsidRPr="00EB3309">
        <w:rPr>
          <w:sz w:val="16"/>
          <w:szCs w:val="16"/>
        </w:rPr>
        <w:t xml:space="preserve"> </w:t>
      </w:r>
      <w:r>
        <w:rPr>
          <w:sz w:val="16"/>
          <w:szCs w:val="16"/>
        </w:rPr>
        <w:t xml:space="preserve">to </w:t>
      </w:r>
      <w:r w:rsidRPr="00EB3309">
        <w:rPr>
          <w:sz w:val="16"/>
          <w:szCs w:val="16"/>
        </w:rPr>
        <w:t>measure the number of CF program</w:t>
      </w:r>
      <w:r>
        <w:rPr>
          <w:sz w:val="16"/>
          <w:szCs w:val="16"/>
        </w:rPr>
        <w:t>me</w:t>
      </w:r>
      <w:r w:rsidRPr="00EB3309">
        <w:rPr>
          <w:sz w:val="16"/>
          <w:szCs w:val="16"/>
        </w:rPr>
        <w:t>s that initially planned to test ways to sustain and</w:t>
      </w:r>
      <w:r>
        <w:rPr>
          <w:sz w:val="16"/>
          <w:szCs w:val="16"/>
        </w:rPr>
        <w:t xml:space="preserve"> </w:t>
      </w:r>
      <w:r w:rsidRPr="00EB3309">
        <w:rPr>
          <w:sz w:val="16"/>
          <w:szCs w:val="16"/>
        </w:rPr>
        <w:t>enhance livelihoods (e.g. program</w:t>
      </w:r>
      <w:r>
        <w:rPr>
          <w:sz w:val="16"/>
          <w:szCs w:val="16"/>
        </w:rPr>
        <w:t>me o</w:t>
      </w:r>
      <w:r w:rsidRPr="00EB3309">
        <w:rPr>
          <w:sz w:val="16"/>
          <w:szCs w:val="16"/>
        </w:rPr>
        <w:t>bjective/s explicitly targeted at livelihoods; the approach to noncarbon</w:t>
      </w:r>
      <w:r>
        <w:rPr>
          <w:sz w:val="16"/>
          <w:szCs w:val="16"/>
        </w:rPr>
        <w:t xml:space="preserve"> </w:t>
      </w:r>
      <w:r w:rsidRPr="00EB3309">
        <w:rPr>
          <w:sz w:val="16"/>
          <w:szCs w:val="16"/>
        </w:rPr>
        <w:t>benefits explicitly incorporated</w:t>
      </w:r>
      <w:r>
        <w:rPr>
          <w:sz w:val="16"/>
          <w:szCs w:val="16"/>
        </w:rPr>
        <w:t xml:space="preserve"> </w:t>
      </w:r>
      <w:r w:rsidRPr="00EB3309">
        <w:rPr>
          <w:sz w:val="16"/>
          <w:szCs w:val="16"/>
        </w:rPr>
        <w:t>livelihoods).</w:t>
      </w:r>
      <w:r>
        <w:rPr>
          <w:sz w:val="16"/>
          <w:szCs w:val="16"/>
        </w:rPr>
        <w:t xml:space="preserve"> </w:t>
      </w:r>
      <w:r w:rsidRPr="00EB3309">
        <w:rPr>
          <w:sz w:val="16"/>
          <w:szCs w:val="16"/>
        </w:rPr>
        <w:t xml:space="preserve">The indicator </w:t>
      </w:r>
      <w:r>
        <w:rPr>
          <w:sz w:val="16"/>
          <w:szCs w:val="16"/>
        </w:rPr>
        <w:t>is also then</w:t>
      </w:r>
      <w:r w:rsidRPr="00EB3309">
        <w:rPr>
          <w:sz w:val="16"/>
          <w:szCs w:val="16"/>
        </w:rPr>
        <w:t xml:space="preserve"> used to measure the number of CF program</w:t>
      </w:r>
      <w:r>
        <w:rPr>
          <w:sz w:val="16"/>
          <w:szCs w:val="16"/>
        </w:rPr>
        <w:t>me</w:t>
      </w:r>
      <w:r w:rsidRPr="00EB3309">
        <w:rPr>
          <w:sz w:val="16"/>
          <w:szCs w:val="16"/>
        </w:rPr>
        <w:t>s that subsequently actually tested</w:t>
      </w:r>
      <w:r>
        <w:rPr>
          <w:sz w:val="16"/>
          <w:szCs w:val="16"/>
        </w:rPr>
        <w:t xml:space="preserve"> </w:t>
      </w:r>
      <w:r w:rsidRPr="00EB3309">
        <w:rPr>
          <w:sz w:val="16"/>
          <w:szCs w:val="16"/>
        </w:rPr>
        <w:t>ways to sustain and enhance livelihoods</w:t>
      </w:r>
      <w:r>
        <w:rPr>
          <w:sz w:val="16"/>
          <w:szCs w:val="16"/>
        </w:rPr>
        <w:t xml:space="preserve"> (i.e., through Monitoring Report submissions)</w:t>
      </w:r>
      <w:r w:rsidRPr="00EB3309">
        <w:rPr>
          <w:sz w:val="16"/>
          <w:szCs w:val="16"/>
        </w:rPr>
        <w:t>.</w:t>
      </w:r>
    </w:p>
  </w:footnote>
  <w:footnote w:id="9">
    <w:p w:rsidRPr="00D27EC1" w:rsidR="000E49EE" w:rsidP="000E49EE" w:rsidRDefault="000E49EE" w14:paraId="6067A813" w14:textId="77777777">
      <w:pPr>
        <w:pStyle w:val="FootnoteText"/>
        <w:rPr>
          <w:rFonts w:cs="Arial"/>
          <w:color w:val="000000"/>
          <w:sz w:val="16"/>
          <w:szCs w:val="16"/>
          <w:shd w:val="clear" w:color="auto" w:fill="FFFFFF"/>
        </w:rPr>
      </w:pPr>
      <w:r>
        <w:rPr>
          <w:rStyle w:val="FootnoteReference"/>
        </w:rPr>
        <w:footnoteRef/>
      </w:r>
      <w:r>
        <w:t xml:space="preserve"> </w:t>
      </w:r>
      <w:r w:rsidRPr="00D65285">
        <w:rPr>
          <w:rFonts w:cs="Arial"/>
          <w:color w:val="000000"/>
          <w:sz w:val="16"/>
          <w:szCs w:val="16"/>
          <w:shd w:val="clear" w:color="auto" w:fill="FFFFFF"/>
        </w:rPr>
        <w:t>The indicator will measure the number of CF program</w:t>
      </w:r>
      <w:r>
        <w:rPr>
          <w:rFonts w:cs="Arial"/>
          <w:color w:val="000000"/>
          <w:sz w:val="16"/>
          <w:szCs w:val="16"/>
          <w:shd w:val="clear" w:color="auto" w:fill="FFFFFF"/>
        </w:rPr>
        <w:t>me</w:t>
      </w:r>
      <w:r w:rsidRPr="00D65285">
        <w:rPr>
          <w:rFonts w:cs="Arial"/>
          <w:color w:val="000000"/>
          <w:sz w:val="16"/>
          <w:szCs w:val="16"/>
          <w:shd w:val="clear" w:color="auto" w:fill="FFFFFF"/>
        </w:rPr>
        <w:t>s that initially planned to test ways conserve</w:t>
      </w:r>
      <w:r>
        <w:rPr>
          <w:rFonts w:cs="Arial"/>
          <w:color w:val="000000"/>
          <w:sz w:val="16"/>
          <w:szCs w:val="16"/>
          <w:shd w:val="clear" w:color="auto" w:fill="FFFFFF"/>
        </w:rPr>
        <w:t xml:space="preserve"> </w:t>
      </w:r>
      <w:r w:rsidRPr="00D65285">
        <w:rPr>
          <w:rFonts w:cs="Arial"/>
          <w:color w:val="000000"/>
          <w:sz w:val="16"/>
          <w:szCs w:val="16"/>
          <w:shd w:val="clear" w:color="auto" w:fill="FFFFFF"/>
        </w:rPr>
        <w:t>biodiversity (e.g. program objective/s explicitly targeted at biodiversity conservation; the approach to</w:t>
      </w:r>
      <w:r>
        <w:rPr>
          <w:rFonts w:cs="Arial"/>
          <w:color w:val="000000"/>
          <w:sz w:val="16"/>
          <w:szCs w:val="16"/>
          <w:shd w:val="clear" w:color="auto" w:fill="FFFFFF"/>
        </w:rPr>
        <w:t xml:space="preserve"> </w:t>
      </w:r>
      <w:r w:rsidRPr="00D65285">
        <w:rPr>
          <w:rFonts w:cs="Arial"/>
          <w:color w:val="000000"/>
          <w:sz w:val="16"/>
          <w:szCs w:val="16"/>
          <w:shd w:val="clear" w:color="auto" w:fill="FFFFFF"/>
        </w:rPr>
        <w:t>non-carbon benefits explicitly incorporated biodiversity conservation).</w:t>
      </w:r>
      <w:r>
        <w:rPr>
          <w:rFonts w:cs="Arial"/>
          <w:color w:val="000000"/>
          <w:sz w:val="16"/>
          <w:szCs w:val="16"/>
          <w:shd w:val="clear" w:color="auto" w:fill="FFFFFF"/>
        </w:rPr>
        <w:t xml:space="preserve"> </w:t>
      </w:r>
      <w:r w:rsidRPr="00D65285">
        <w:rPr>
          <w:rFonts w:cs="Arial"/>
          <w:color w:val="000000"/>
          <w:sz w:val="16"/>
          <w:szCs w:val="16"/>
          <w:shd w:val="clear" w:color="auto" w:fill="FFFFFF"/>
        </w:rPr>
        <w:t xml:space="preserve">The indicator </w:t>
      </w:r>
      <w:r>
        <w:rPr>
          <w:rFonts w:cs="Arial"/>
          <w:color w:val="000000"/>
          <w:sz w:val="16"/>
          <w:szCs w:val="16"/>
          <w:shd w:val="clear" w:color="auto" w:fill="FFFFFF"/>
        </w:rPr>
        <w:t>is then also</w:t>
      </w:r>
      <w:r w:rsidRPr="00D65285">
        <w:rPr>
          <w:rFonts w:cs="Arial"/>
          <w:color w:val="000000"/>
          <w:sz w:val="16"/>
          <w:szCs w:val="16"/>
          <w:shd w:val="clear" w:color="auto" w:fill="FFFFFF"/>
        </w:rPr>
        <w:t xml:space="preserve"> used to measure the number of CF program</w:t>
      </w:r>
      <w:r>
        <w:rPr>
          <w:rFonts w:cs="Arial"/>
          <w:color w:val="000000"/>
          <w:sz w:val="16"/>
          <w:szCs w:val="16"/>
          <w:shd w:val="clear" w:color="auto" w:fill="FFFFFF"/>
        </w:rPr>
        <w:t>me</w:t>
      </w:r>
      <w:r w:rsidRPr="00D65285">
        <w:rPr>
          <w:rFonts w:cs="Arial"/>
          <w:color w:val="000000"/>
          <w:sz w:val="16"/>
          <w:szCs w:val="16"/>
          <w:shd w:val="clear" w:color="auto" w:fill="FFFFFF"/>
        </w:rPr>
        <w:t>s that subsequently actually tested</w:t>
      </w:r>
      <w:r>
        <w:rPr>
          <w:rFonts w:cs="Arial"/>
          <w:color w:val="000000"/>
          <w:sz w:val="16"/>
          <w:szCs w:val="16"/>
          <w:shd w:val="clear" w:color="auto" w:fill="FFFFFF"/>
        </w:rPr>
        <w:t xml:space="preserve"> </w:t>
      </w:r>
      <w:r w:rsidRPr="00D65285">
        <w:rPr>
          <w:rFonts w:cs="Arial"/>
          <w:color w:val="000000"/>
          <w:sz w:val="16"/>
          <w:szCs w:val="16"/>
          <w:shd w:val="clear" w:color="auto" w:fill="FFFFFF"/>
        </w:rPr>
        <w:t>ways to conserve biodiversity</w:t>
      </w:r>
      <w:r>
        <w:rPr>
          <w:rFonts w:cs="Arial"/>
          <w:color w:val="000000"/>
          <w:sz w:val="16"/>
          <w:szCs w:val="16"/>
          <w:shd w:val="clear" w:color="auto" w:fill="FFFFFF"/>
        </w:rPr>
        <w:t xml:space="preserve"> (i.e., through Monitoring Report submissions)</w:t>
      </w:r>
      <w:r w:rsidRPr="00D65285">
        <w:rPr>
          <w:rFonts w:cs="Arial"/>
          <w:color w:val="000000"/>
          <w:sz w:val="16"/>
          <w:szCs w:val="16"/>
          <w:shd w:val="clear" w:color="auto" w:fill="FFFFFF"/>
        </w:rPr>
        <w:t>.</w:t>
      </w:r>
    </w:p>
  </w:footnote>
  <w:footnote w:id="10">
    <w:p w:rsidRPr="00181608" w:rsidR="19B08EA3" w:rsidP="19B08EA3" w:rsidRDefault="19B08EA3" w14:paraId="1942B9C5" w14:textId="431B83B0">
      <w:pPr>
        <w:rPr>
          <w:sz w:val="16"/>
          <w:szCs w:val="16"/>
        </w:rPr>
      </w:pPr>
      <w:r w:rsidRPr="00181608">
        <w:rPr>
          <w:sz w:val="16"/>
          <w:szCs w:val="16"/>
        </w:rPr>
        <w:footnoteRef/>
      </w:r>
      <w:r w:rsidRPr="00181608">
        <w:rPr>
          <w:sz w:val="16"/>
          <w:szCs w:val="16"/>
        </w:rPr>
        <w:t xml:space="preserve"> </w:t>
      </w:r>
      <w:r w:rsidRPr="00181608">
        <w:rPr>
          <w:rFonts w:eastAsia="Arial" w:cs="Arial"/>
          <w:sz w:val="16"/>
          <w:szCs w:val="16"/>
        </w:rPr>
        <w:t>Climate related risks could possibly impact on the programme success, and at least light touch risk reduction measures should be incorporated into project design and activities.</w:t>
      </w:r>
    </w:p>
  </w:footnote>
  <w:footnote w:id="11">
    <w:p w:rsidR="19B08EA3" w:rsidP="19B08EA3" w:rsidRDefault="19B08EA3" w14:paraId="39CA7A5F" w14:textId="7F060E35">
      <w:r w:rsidRPr="00181608">
        <w:rPr>
          <w:sz w:val="16"/>
          <w:szCs w:val="16"/>
        </w:rPr>
        <w:footnoteRef/>
      </w:r>
      <w:r w:rsidRPr="00181608">
        <w:rPr>
          <w:sz w:val="16"/>
          <w:szCs w:val="16"/>
        </w:rPr>
        <w:t xml:space="preserve"> </w:t>
      </w:r>
      <w:r w:rsidRPr="00181608">
        <w:rPr>
          <w:rFonts w:eastAsia="Arial" w:cs="Arial"/>
          <w:sz w:val="16"/>
          <w:szCs w:val="16"/>
        </w:rPr>
        <w:t>This range indicates the programme is either very low risk, or the proposal has considered risk management measures to minimize hazard impacts and associated risks, and that the programme may therefore have a potentially higher threshold against current and anticipated risks.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00598" w:rsidR="00164467" w:rsidP="00164467" w:rsidRDefault="00491754" w14:paraId="78DECE93" w14:textId="69DC07C0">
    <w:pPr>
      <w:pStyle w:val="Header"/>
      <w:pBdr>
        <w:bottom w:val="single" w:color="2B7EE2" w:sz="2" w:space="3"/>
      </w:pBdr>
      <w:rPr>
        <w:color w:val="041E42"/>
        <w:sz w:val="22"/>
      </w:rPr>
    </w:pPr>
    <w:r>
      <w:rPr>
        <w:color w:val="041E42"/>
        <w:sz w:val="22"/>
      </w:rPr>
      <w:t>FCPF Carbon Fund Annual Review 2022-23</w:t>
    </w:r>
  </w:p>
  <w:p w:rsidR="00164467" w:rsidRDefault="00164467" w14:paraId="0FC91C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67FEB" w:rsidRDefault="00E64702" w14:paraId="227BA78C" w14:textId="2ECCA5CD">
    <w:pPr>
      <w:pStyle w:val="Header"/>
    </w:pPr>
    <w:r>
      <w:rPr>
        <w:noProof/>
      </w:rPr>
      <w:drawing>
        <wp:inline distT="0" distB="0" distL="0" distR="0" wp14:anchorId="653BEA8C" wp14:editId="2F7827DB">
          <wp:extent cx="2131029" cy="936702"/>
          <wp:effectExtent l="0" t="0" r="0" b="0"/>
          <wp:docPr id="1165208529" name="Picture 11652085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0852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930" cy="944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CDC1"/>
    <w:multiLevelType w:val="hybridMultilevel"/>
    <w:tmpl w:val="FFFFFFFF"/>
    <w:lvl w:ilvl="0" w:tplc="1660B43A">
      <w:start w:val="1"/>
      <w:numFmt w:val="bullet"/>
      <w:lvlText w:val=""/>
      <w:lvlJc w:val="left"/>
      <w:pPr>
        <w:ind w:left="720" w:hanging="360"/>
      </w:pPr>
      <w:rPr>
        <w:rFonts w:hint="default" w:ascii="Symbol" w:hAnsi="Symbol"/>
      </w:rPr>
    </w:lvl>
    <w:lvl w:ilvl="1" w:tplc="91005948">
      <w:start w:val="1"/>
      <w:numFmt w:val="bullet"/>
      <w:lvlText w:val="o"/>
      <w:lvlJc w:val="left"/>
      <w:pPr>
        <w:ind w:left="1009" w:hanging="363"/>
      </w:pPr>
      <w:rPr>
        <w:rFonts w:hint="default" w:ascii="Courier New" w:hAnsi="Courier New"/>
      </w:rPr>
    </w:lvl>
    <w:lvl w:ilvl="2" w:tplc="8F6A8264">
      <w:start w:val="1"/>
      <w:numFmt w:val="bullet"/>
      <w:lvlText w:val=""/>
      <w:lvlJc w:val="left"/>
      <w:pPr>
        <w:ind w:left="2160" w:hanging="360"/>
      </w:pPr>
      <w:rPr>
        <w:rFonts w:hint="default" w:ascii="Wingdings" w:hAnsi="Wingdings"/>
      </w:rPr>
    </w:lvl>
    <w:lvl w:ilvl="3" w:tplc="C33C9152">
      <w:start w:val="1"/>
      <w:numFmt w:val="bullet"/>
      <w:lvlText w:val=""/>
      <w:lvlJc w:val="left"/>
      <w:pPr>
        <w:ind w:left="2880" w:hanging="360"/>
      </w:pPr>
      <w:rPr>
        <w:rFonts w:hint="default" w:ascii="Symbol" w:hAnsi="Symbol"/>
      </w:rPr>
    </w:lvl>
    <w:lvl w:ilvl="4" w:tplc="91001D70">
      <w:start w:val="1"/>
      <w:numFmt w:val="bullet"/>
      <w:lvlText w:val="o"/>
      <w:lvlJc w:val="left"/>
      <w:pPr>
        <w:ind w:left="3600" w:hanging="360"/>
      </w:pPr>
      <w:rPr>
        <w:rFonts w:hint="default" w:ascii="Courier New" w:hAnsi="Courier New"/>
      </w:rPr>
    </w:lvl>
    <w:lvl w:ilvl="5" w:tplc="A634C5A2">
      <w:start w:val="1"/>
      <w:numFmt w:val="bullet"/>
      <w:lvlText w:val=""/>
      <w:lvlJc w:val="left"/>
      <w:pPr>
        <w:ind w:left="4320" w:hanging="360"/>
      </w:pPr>
      <w:rPr>
        <w:rFonts w:hint="default" w:ascii="Wingdings" w:hAnsi="Wingdings"/>
      </w:rPr>
    </w:lvl>
    <w:lvl w:ilvl="6" w:tplc="78E8C1B6">
      <w:start w:val="1"/>
      <w:numFmt w:val="bullet"/>
      <w:lvlText w:val=""/>
      <w:lvlJc w:val="left"/>
      <w:pPr>
        <w:ind w:left="5040" w:hanging="360"/>
      </w:pPr>
      <w:rPr>
        <w:rFonts w:hint="default" w:ascii="Symbol" w:hAnsi="Symbol"/>
      </w:rPr>
    </w:lvl>
    <w:lvl w:ilvl="7" w:tplc="F3245FA2">
      <w:start w:val="1"/>
      <w:numFmt w:val="bullet"/>
      <w:lvlText w:val="o"/>
      <w:lvlJc w:val="left"/>
      <w:pPr>
        <w:ind w:left="5760" w:hanging="360"/>
      </w:pPr>
      <w:rPr>
        <w:rFonts w:hint="default" w:ascii="Courier New" w:hAnsi="Courier New"/>
      </w:rPr>
    </w:lvl>
    <w:lvl w:ilvl="8" w:tplc="3FFADDC4">
      <w:start w:val="1"/>
      <w:numFmt w:val="bullet"/>
      <w:lvlText w:val=""/>
      <w:lvlJc w:val="left"/>
      <w:pPr>
        <w:ind w:left="6480" w:hanging="360"/>
      </w:pPr>
      <w:rPr>
        <w:rFonts w:hint="default" w:ascii="Wingdings" w:hAnsi="Wingdings"/>
      </w:rPr>
    </w:lvl>
  </w:abstractNum>
  <w:abstractNum w:abstractNumId="1" w15:restartNumberingAfterBreak="0">
    <w:nsid w:val="067ED46B"/>
    <w:multiLevelType w:val="hybridMultilevel"/>
    <w:tmpl w:val="7A301BAC"/>
    <w:lvl w:ilvl="0" w:tplc="FFA03070">
      <w:start w:val="1"/>
      <w:numFmt w:val="bullet"/>
      <w:lvlText w:val=""/>
      <w:lvlJc w:val="left"/>
      <w:pPr>
        <w:ind w:left="720" w:hanging="360"/>
      </w:pPr>
      <w:rPr>
        <w:rFonts w:hint="default" w:ascii="Symbol" w:hAnsi="Symbol"/>
      </w:rPr>
    </w:lvl>
    <w:lvl w:ilvl="1" w:tplc="84BEF14E">
      <w:start w:val="1"/>
      <w:numFmt w:val="bullet"/>
      <w:lvlText w:val="o"/>
      <w:lvlJc w:val="left"/>
      <w:pPr>
        <w:ind w:left="1440" w:hanging="360"/>
      </w:pPr>
      <w:rPr>
        <w:rFonts w:hint="default" w:ascii="Courier New" w:hAnsi="Courier New"/>
      </w:rPr>
    </w:lvl>
    <w:lvl w:ilvl="2" w:tplc="C48A9524">
      <w:start w:val="1"/>
      <w:numFmt w:val="bullet"/>
      <w:lvlText w:val=""/>
      <w:lvlJc w:val="left"/>
      <w:pPr>
        <w:ind w:left="2160" w:hanging="360"/>
      </w:pPr>
      <w:rPr>
        <w:rFonts w:hint="default" w:ascii="Wingdings" w:hAnsi="Wingdings"/>
      </w:rPr>
    </w:lvl>
    <w:lvl w:ilvl="3" w:tplc="1BC25116">
      <w:start w:val="1"/>
      <w:numFmt w:val="bullet"/>
      <w:lvlText w:val=""/>
      <w:lvlJc w:val="left"/>
      <w:pPr>
        <w:ind w:left="2880" w:hanging="360"/>
      </w:pPr>
      <w:rPr>
        <w:rFonts w:hint="default" w:ascii="Symbol" w:hAnsi="Symbol"/>
      </w:rPr>
    </w:lvl>
    <w:lvl w:ilvl="4" w:tplc="1E76042E">
      <w:start w:val="1"/>
      <w:numFmt w:val="bullet"/>
      <w:lvlText w:val="o"/>
      <w:lvlJc w:val="left"/>
      <w:pPr>
        <w:ind w:left="3600" w:hanging="360"/>
      </w:pPr>
      <w:rPr>
        <w:rFonts w:hint="default" w:ascii="Courier New" w:hAnsi="Courier New"/>
      </w:rPr>
    </w:lvl>
    <w:lvl w:ilvl="5" w:tplc="B47EDFB6">
      <w:start w:val="1"/>
      <w:numFmt w:val="bullet"/>
      <w:lvlText w:val=""/>
      <w:lvlJc w:val="left"/>
      <w:pPr>
        <w:ind w:left="4320" w:hanging="360"/>
      </w:pPr>
      <w:rPr>
        <w:rFonts w:hint="default" w:ascii="Wingdings" w:hAnsi="Wingdings"/>
      </w:rPr>
    </w:lvl>
    <w:lvl w:ilvl="6" w:tplc="F38E2B9A">
      <w:start w:val="1"/>
      <w:numFmt w:val="bullet"/>
      <w:lvlText w:val=""/>
      <w:lvlJc w:val="left"/>
      <w:pPr>
        <w:ind w:left="5040" w:hanging="360"/>
      </w:pPr>
      <w:rPr>
        <w:rFonts w:hint="default" w:ascii="Symbol" w:hAnsi="Symbol"/>
      </w:rPr>
    </w:lvl>
    <w:lvl w:ilvl="7" w:tplc="0F8A8DC4">
      <w:start w:val="1"/>
      <w:numFmt w:val="bullet"/>
      <w:lvlText w:val="o"/>
      <w:lvlJc w:val="left"/>
      <w:pPr>
        <w:ind w:left="5760" w:hanging="360"/>
      </w:pPr>
      <w:rPr>
        <w:rFonts w:hint="default" w:ascii="Courier New" w:hAnsi="Courier New"/>
      </w:rPr>
    </w:lvl>
    <w:lvl w:ilvl="8" w:tplc="3A4247DA">
      <w:start w:val="1"/>
      <w:numFmt w:val="bullet"/>
      <w:lvlText w:val=""/>
      <w:lvlJc w:val="left"/>
      <w:pPr>
        <w:ind w:left="6480" w:hanging="360"/>
      </w:pPr>
      <w:rPr>
        <w:rFonts w:hint="default" w:ascii="Wingdings" w:hAnsi="Wingdings"/>
      </w:rPr>
    </w:lvl>
  </w:abstractNum>
  <w:abstractNum w:abstractNumId="2" w15:restartNumberingAfterBreak="0">
    <w:nsid w:val="0BF26F3D"/>
    <w:multiLevelType w:val="hybridMultilevel"/>
    <w:tmpl w:val="16983838"/>
    <w:lvl w:ilvl="0" w:tplc="63788F0C">
      <w:start w:val="1"/>
      <w:numFmt w:val="bullet"/>
      <w:lvlText w:val=""/>
      <w:lvlJc w:val="left"/>
      <w:pPr>
        <w:ind w:left="720" w:hanging="360"/>
      </w:pPr>
      <w:rPr>
        <w:rFonts w:hint="default" w:ascii="Wingdings" w:hAnsi="Wingdings"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3D2261"/>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C35234"/>
    <w:multiLevelType w:val="hybridMultilevel"/>
    <w:tmpl w:val="C9B84288"/>
    <w:lvl w:ilvl="0" w:tplc="D63693FC">
      <w:start w:val="1"/>
      <w:numFmt w:val="bullet"/>
      <w:lvlText w:val="-"/>
      <w:lvlJc w:val="left"/>
      <w:pPr>
        <w:ind w:left="1080" w:hanging="360"/>
      </w:pPr>
      <w:rPr>
        <w:rFonts w:hint="default" w:ascii="Courier New" w:hAnsi="Courier New"/>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D862167"/>
    <w:multiLevelType w:val="multilevel"/>
    <w:tmpl w:val="FFFFFFFF"/>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6" w15:restartNumberingAfterBreak="0">
    <w:nsid w:val="20F6242B"/>
    <w:multiLevelType w:val="hybridMultilevel"/>
    <w:tmpl w:val="23247920"/>
    <w:lvl w:ilvl="0" w:tplc="638677C4">
      <w:start w:val="1"/>
      <w:numFmt w:val="decimal"/>
      <w:lvlText w:val="%1."/>
      <w:lvlJc w:val="left"/>
      <w:pPr>
        <w:ind w:left="360" w:hanging="360"/>
      </w:pPr>
      <w:rPr>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B13E5F"/>
    <w:multiLevelType w:val="hybridMultilevel"/>
    <w:tmpl w:val="1EDE7E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20F60B4"/>
    <w:multiLevelType w:val="hybridMultilevel"/>
    <w:tmpl w:val="6DEEA24E"/>
    <w:lvl w:ilvl="0" w:tplc="B1628A76">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AA7E9A"/>
    <w:multiLevelType w:val="hybridMultilevel"/>
    <w:tmpl w:val="2A045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56490D"/>
    <w:multiLevelType w:val="hybridMultilevel"/>
    <w:tmpl w:val="90A452C8"/>
    <w:lvl w:ilvl="0" w:tplc="D63693FC">
      <w:start w:val="1"/>
      <w:numFmt w:val="bullet"/>
      <w:lvlText w:val="-"/>
      <w:lvlJc w:val="left"/>
      <w:pPr>
        <w:ind w:left="1080" w:hanging="360"/>
      </w:pPr>
      <w:rPr>
        <w:rFonts w:hint="default" w:ascii="Courier New" w:hAnsi="Courier New"/>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87063C7"/>
    <w:multiLevelType w:val="multilevel"/>
    <w:tmpl w:val="FFFFFFFF"/>
    <w:lvl w:ilvl="0">
      <w:start w:val="3"/>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2" w15:restartNumberingAfterBreak="0">
    <w:nsid w:val="2C12A8B1"/>
    <w:multiLevelType w:val="hybridMultilevel"/>
    <w:tmpl w:val="FFFFFFFF"/>
    <w:lvl w:ilvl="0" w:tplc="ADA042A8">
      <w:start w:val="1"/>
      <w:numFmt w:val="bullet"/>
      <w:lvlText w:val=""/>
      <w:lvlJc w:val="left"/>
      <w:pPr>
        <w:ind w:left="855" w:hanging="360"/>
      </w:pPr>
      <w:rPr>
        <w:rFonts w:hint="default" w:ascii="Symbol" w:hAnsi="Symbol"/>
      </w:rPr>
    </w:lvl>
    <w:lvl w:ilvl="1" w:tplc="B3D8DE5C">
      <w:start w:val="1"/>
      <w:numFmt w:val="bullet"/>
      <w:lvlText w:val="o"/>
      <w:lvlJc w:val="left"/>
      <w:pPr>
        <w:ind w:left="1440" w:hanging="360"/>
      </w:pPr>
      <w:rPr>
        <w:rFonts w:hint="default" w:ascii="Courier New" w:hAnsi="Courier New"/>
      </w:rPr>
    </w:lvl>
    <w:lvl w:ilvl="2" w:tplc="EB966FB2">
      <w:start w:val="1"/>
      <w:numFmt w:val="bullet"/>
      <w:lvlText w:val=""/>
      <w:lvlJc w:val="left"/>
      <w:pPr>
        <w:ind w:left="2160" w:hanging="360"/>
      </w:pPr>
      <w:rPr>
        <w:rFonts w:hint="default" w:ascii="Wingdings" w:hAnsi="Wingdings"/>
      </w:rPr>
    </w:lvl>
    <w:lvl w:ilvl="3" w:tplc="8A26432C">
      <w:start w:val="1"/>
      <w:numFmt w:val="bullet"/>
      <w:lvlText w:val=""/>
      <w:lvlJc w:val="left"/>
      <w:pPr>
        <w:ind w:left="2880" w:hanging="360"/>
      </w:pPr>
      <w:rPr>
        <w:rFonts w:hint="default" w:ascii="Symbol" w:hAnsi="Symbol"/>
      </w:rPr>
    </w:lvl>
    <w:lvl w:ilvl="4" w:tplc="663A5348">
      <w:start w:val="1"/>
      <w:numFmt w:val="bullet"/>
      <w:lvlText w:val="o"/>
      <w:lvlJc w:val="left"/>
      <w:pPr>
        <w:ind w:left="3600" w:hanging="360"/>
      </w:pPr>
      <w:rPr>
        <w:rFonts w:hint="default" w:ascii="Courier New" w:hAnsi="Courier New"/>
      </w:rPr>
    </w:lvl>
    <w:lvl w:ilvl="5" w:tplc="6C0EDF9E">
      <w:start w:val="1"/>
      <w:numFmt w:val="bullet"/>
      <w:lvlText w:val=""/>
      <w:lvlJc w:val="left"/>
      <w:pPr>
        <w:ind w:left="4320" w:hanging="360"/>
      </w:pPr>
      <w:rPr>
        <w:rFonts w:hint="default" w:ascii="Wingdings" w:hAnsi="Wingdings"/>
      </w:rPr>
    </w:lvl>
    <w:lvl w:ilvl="6" w:tplc="3ACADAFC">
      <w:start w:val="1"/>
      <w:numFmt w:val="bullet"/>
      <w:lvlText w:val=""/>
      <w:lvlJc w:val="left"/>
      <w:pPr>
        <w:ind w:left="5040" w:hanging="360"/>
      </w:pPr>
      <w:rPr>
        <w:rFonts w:hint="default" w:ascii="Symbol" w:hAnsi="Symbol"/>
      </w:rPr>
    </w:lvl>
    <w:lvl w:ilvl="7" w:tplc="93B0552C">
      <w:start w:val="1"/>
      <w:numFmt w:val="bullet"/>
      <w:lvlText w:val="o"/>
      <w:lvlJc w:val="left"/>
      <w:pPr>
        <w:ind w:left="5760" w:hanging="360"/>
      </w:pPr>
      <w:rPr>
        <w:rFonts w:hint="default" w:ascii="Courier New" w:hAnsi="Courier New"/>
      </w:rPr>
    </w:lvl>
    <w:lvl w:ilvl="8" w:tplc="F61657F4">
      <w:start w:val="1"/>
      <w:numFmt w:val="bullet"/>
      <w:lvlText w:val=""/>
      <w:lvlJc w:val="left"/>
      <w:pPr>
        <w:ind w:left="6480" w:hanging="360"/>
      </w:pPr>
      <w:rPr>
        <w:rFonts w:hint="default" w:ascii="Wingdings" w:hAnsi="Wingdings"/>
      </w:rPr>
    </w:lvl>
  </w:abstractNum>
  <w:abstractNum w:abstractNumId="13" w15:restartNumberingAfterBreak="0">
    <w:nsid w:val="31774C53"/>
    <w:multiLevelType w:val="multilevel"/>
    <w:tmpl w:val="FFFFFFFF"/>
    <w:lvl w:ilvl="0">
      <w:start w:val="4"/>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4" w15:restartNumberingAfterBreak="0">
    <w:nsid w:val="329F3565"/>
    <w:multiLevelType w:val="hybridMultilevel"/>
    <w:tmpl w:val="6A6C0A06"/>
    <w:lvl w:ilvl="0" w:tplc="A4445056">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45426D5"/>
    <w:multiLevelType w:val="hybridMultilevel"/>
    <w:tmpl w:val="0ABA05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F8C445E"/>
    <w:multiLevelType w:val="multilevel"/>
    <w:tmpl w:val="FFFFFFFF"/>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10B1514"/>
    <w:multiLevelType w:val="multilevel"/>
    <w:tmpl w:val="FFFFFFFF"/>
    <w:lvl w:ilvl="0">
      <w:start w:val="2"/>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8" w15:restartNumberingAfterBreak="0">
    <w:nsid w:val="414D718A"/>
    <w:multiLevelType w:val="hybridMultilevel"/>
    <w:tmpl w:val="7C180614"/>
    <w:lvl w:ilvl="0" w:tplc="34AAAE04">
      <w:start w:val="2"/>
      <w:numFmt w:val="bullet"/>
      <w:lvlText w:val=""/>
      <w:lvlJc w:val="left"/>
      <w:pPr>
        <w:ind w:left="720" w:hanging="360"/>
      </w:pPr>
      <w:rPr>
        <w:rFonts w:hint="default" w:ascii="Wingdings" w:hAnsi="Wingdings" w:eastAsia="Arial"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2A9E51D"/>
    <w:multiLevelType w:val="multilevel"/>
    <w:tmpl w:val="FFFFFFFF"/>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4467EE2"/>
    <w:multiLevelType w:val="hybridMultilevel"/>
    <w:tmpl w:val="148C98AA"/>
    <w:lvl w:ilvl="0" w:tplc="D63693FC">
      <w:start w:val="1"/>
      <w:numFmt w:val="bullet"/>
      <w:lvlText w:val="-"/>
      <w:lvlJc w:val="left"/>
      <w:pPr>
        <w:ind w:left="1080" w:hanging="360"/>
      </w:pPr>
      <w:rPr>
        <w:rFonts w:hint="default" w:ascii="Courier New" w:hAnsi="Courier New"/>
      </w:rPr>
    </w:lvl>
    <w:lvl w:ilvl="1" w:tplc="D63693FC">
      <w:start w:val="1"/>
      <w:numFmt w:val="bullet"/>
      <w:lvlText w:val="-"/>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6F97A37"/>
    <w:multiLevelType w:val="hybridMultilevel"/>
    <w:tmpl w:val="B3068798"/>
    <w:lvl w:ilvl="0" w:tplc="D63693FC">
      <w:start w:val="1"/>
      <w:numFmt w:val="bullet"/>
      <w:lvlText w:val="-"/>
      <w:lvlJc w:val="left"/>
      <w:pPr>
        <w:ind w:left="1080" w:hanging="360"/>
      </w:pPr>
      <w:rPr>
        <w:rFonts w:hint="default" w:ascii="Courier New" w:hAnsi="Courier New"/>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C3438E6"/>
    <w:multiLevelType w:val="hybridMultilevel"/>
    <w:tmpl w:val="112E6412"/>
    <w:lvl w:ilvl="0" w:tplc="D1DC88BC">
      <w:start w:val="5"/>
      <w:numFmt w:val="bullet"/>
      <w:lvlText w:val=""/>
      <w:lvlJc w:val="left"/>
      <w:pPr>
        <w:ind w:left="1080" w:hanging="360"/>
      </w:pPr>
      <w:rPr>
        <w:rFonts w:hint="default" w:ascii="Wingdings" w:hAnsi="Wingdings"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52001B62"/>
    <w:multiLevelType w:val="hybridMultilevel"/>
    <w:tmpl w:val="735ADD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2B40D08"/>
    <w:multiLevelType w:val="hybridMultilevel"/>
    <w:tmpl w:val="56962A94"/>
    <w:lvl w:ilvl="0" w:tplc="63788F0C">
      <w:start w:val="1"/>
      <w:numFmt w:val="bullet"/>
      <w:lvlText w:val=""/>
      <w:lvlJc w:val="left"/>
      <w:pPr>
        <w:ind w:left="720" w:hanging="360"/>
      </w:pPr>
      <w:rPr>
        <w:rFonts w:hint="default" w:ascii="Wingdings" w:hAnsi="Wingdings"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8C8E66B"/>
    <w:multiLevelType w:val="multilevel"/>
    <w:tmpl w:val="FFFFFFFF"/>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0F0334B"/>
    <w:multiLevelType w:val="hybridMultilevel"/>
    <w:tmpl w:val="D3945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342B0"/>
    <w:multiLevelType w:val="hybridMultilevel"/>
    <w:tmpl w:val="EB26A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0B659C7"/>
    <w:multiLevelType w:val="hybridMultilevel"/>
    <w:tmpl w:val="FFFFFFFF"/>
    <w:lvl w:ilvl="0" w:tplc="5852A780">
      <w:start w:val="1"/>
      <w:numFmt w:val="bullet"/>
      <w:lvlText w:val=""/>
      <w:lvlJc w:val="left"/>
      <w:pPr>
        <w:ind w:left="720" w:hanging="360"/>
      </w:pPr>
      <w:rPr>
        <w:rFonts w:hint="default" w:ascii="Symbol" w:hAnsi="Symbol"/>
      </w:rPr>
    </w:lvl>
    <w:lvl w:ilvl="1" w:tplc="83469120">
      <w:start w:val="1"/>
      <w:numFmt w:val="bullet"/>
      <w:lvlText w:val="o"/>
      <w:lvlJc w:val="left"/>
      <w:pPr>
        <w:ind w:left="1009" w:hanging="363"/>
      </w:pPr>
      <w:rPr>
        <w:rFonts w:hint="default" w:ascii="Courier New" w:hAnsi="Courier New"/>
      </w:rPr>
    </w:lvl>
    <w:lvl w:ilvl="2" w:tplc="09E026D8">
      <w:start w:val="1"/>
      <w:numFmt w:val="bullet"/>
      <w:lvlText w:val=""/>
      <w:lvlJc w:val="left"/>
      <w:pPr>
        <w:ind w:left="2160" w:hanging="360"/>
      </w:pPr>
      <w:rPr>
        <w:rFonts w:hint="default" w:ascii="Wingdings" w:hAnsi="Wingdings"/>
      </w:rPr>
    </w:lvl>
    <w:lvl w:ilvl="3" w:tplc="A26A6ADA">
      <w:start w:val="1"/>
      <w:numFmt w:val="bullet"/>
      <w:lvlText w:val=""/>
      <w:lvlJc w:val="left"/>
      <w:pPr>
        <w:ind w:left="2880" w:hanging="360"/>
      </w:pPr>
      <w:rPr>
        <w:rFonts w:hint="default" w:ascii="Symbol" w:hAnsi="Symbol"/>
      </w:rPr>
    </w:lvl>
    <w:lvl w:ilvl="4" w:tplc="A2865FF8">
      <w:start w:val="1"/>
      <w:numFmt w:val="bullet"/>
      <w:lvlText w:val="o"/>
      <w:lvlJc w:val="left"/>
      <w:pPr>
        <w:ind w:left="3600" w:hanging="360"/>
      </w:pPr>
      <w:rPr>
        <w:rFonts w:hint="default" w:ascii="Courier New" w:hAnsi="Courier New"/>
      </w:rPr>
    </w:lvl>
    <w:lvl w:ilvl="5" w:tplc="47060242">
      <w:start w:val="1"/>
      <w:numFmt w:val="bullet"/>
      <w:lvlText w:val=""/>
      <w:lvlJc w:val="left"/>
      <w:pPr>
        <w:ind w:left="4320" w:hanging="360"/>
      </w:pPr>
      <w:rPr>
        <w:rFonts w:hint="default" w:ascii="Wingdings" w:hAnsi="Wingdings"/>
      </w:rPr>
    </w:lvl>
    <w:lvl w:ilvl="6" w:tplc="F97E15C2">
      <w:start w:val="1"/>
      <w:numFmt w:val="bullet"/>
      <w:lvlText w:val=""/>
      <w:lvlJc w:val="left"/>
      <w:pPr>
        <w:ind w:left="5040" w:hanging="360"/>
      </w:pPr>
      <w:rPr>
        <w:rFonts w:hint="default" w:ascii="Symbol" w:hAnsi="Symbol"/>
      </w:rPr>
    </w:lvl>
    <w:lvl w:ilvl="7" w:tplc="2280FEEC">
      <w:start w:val="1"/>
      <w:numFmt w:val="bullet"/>
      <w:lvlText w:val="o"/>
      <w:lvlJc w:val="left"/>
      <w:pPr>
        <w:ind w:left="5760" w:hanging="360"/>
      </w:pPr>
      <w:rPr>
        <w:rFonts w:hint="default" w:ascii="Courier New" w:hAnsi="Courier New"/>
      </w:rPr>
    </w:lvl>
    <w:lvl w:ilvl="8" w:tplc="2B76BFF8">
      <w:start w:val="1"/>
      <w:numFmt w:val="bullet"/>
      <w:lvlText w:val=""/>
      <w:lvlJc w:val="left"/>
      <w:pPr>
        <w:ind w:left="6480" w:hanging="360"/>
      </w:pPr>
      <w:rPr>
        <w:rFonts w:hint="default" w:ascii="Wingdings" w:hAnsi="Wingdings"/>
      </w:rPr>
    </w:lvl>
  </w:abstractNum>
  <w:abstractNum w:abstractNumId="29" w15:restartNumberingAfterBreak="0">
    <w:nsid w:val="7346855F"/>
    <w:multiLevelType w:val="multilevel"/>
    <w:tmpl w:val="FFFFFFFF"/>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183397702">
    <w:abstractNumId w:val="0"/>
  </w:num>
  <w:num w:numId="2" w16cid:durableId="1315063852">
    <w:abstractNumId w:val="12"/>
  </w:num>
  <w:num w:numId="3" w16cid:durableId="910627168">
    <w:abstractNumId w:val="25"/>
  </w:num>
  <w:num w:numId="4" w16cid:durableId="1441491218">
    <w:abstractNumId w:val="16"/>
  </w:num>
  <w:num w:numId="5" w16cid:durableId="1547137026">
    <w:abstractNumId w:val="19"/>
  </w:num>
  <w:num w:numId="6" w16cid:durableId="1776631928">
    <w:abstractNumId w:val="3"/>
  </w:num>
  <w:num w:numId="7" w16cid:durableId="1851338002">
    <w:abstractNumId w:val="28"/>
  </w:num>
  <w:num w:numId="8" w16cid:durableId="1602643484">
    <w:abstractNumId w:val="13"/>
  </w:num>
  <w:num w:numId="9" w16cid:durableId="476263862">
    <w:abstractNumId w:val="11"/>
  </w:num>
  <w:num w:numId="10" w16cid:durableId="497574361">
    <w:abstractNumId w:val="17"/>
  </w:num>
  <w:num w:numId="11" w16cid:durableId="1510872749">
    <w:abstractNumId w:val="5"/>
  </w:num>
  <w:num w:numId="12" w16cid:durableId="1598714425">
    <w:abstractNumId w:val="29"/>
  </w:num>
  <w:num w:numId="13" w16cid:durableId="1048920116">
    <w:abstractNumId w:val="7"/>
  </w:num>
  <w:num w:numId="14" w16cid:durableId="714812672">
    <w:abstractNumId w:val="23"/>
  </w:num>
  <w:num w:numId="15" w16cid:durableId="748505300">
    <w:abstractNumId w:val="15"/>
  </w:num>
  <w:num w:numId="16" w16cid:durableId="1302731980">
    <w:abstractNumId w:val="21"/>
  </w:num>
  <w:num w:numId="17" w16cid:durableId="554388160">
    <w:abstractNumId w:val="10"/>
  </w:num>
  <w:num w:numId="18" w16cid:durableId="1329014394">
    <w:abstractNumId w:val="4"/>
  </w:num>
  <w:num w:numId="19" w16cid:durableId="611786646">
    <w:abstractNumId w:val="20"/>
  </w:num>
  <w:num w:numId="20" w16cid:durableId="1438677209">
    <w:abstractNumId w:val="22"/>
  </w:num>
  <w:num w:numId="21" w16cid:durableId="878278313">
    <w:abstractNumId w:val="2"/>
  </w:num>
  <w:num w:numId="22" w16cid:durableId="1831099471">
    <w:abstractNumId w:val="6"/>
  </w:num>
  <w:num w:numId="23" w16cid:durableId="1991395927">
    <w:abstractNumId w:val="1"/>
  </w:num>
  <w:num w:numId="24" w16cid:durableId="413666561">
    <w:abstractNumId w:val="9"/>
  </w:num>
  <w:num w:numId="25" w16cid:durableId="1755317056">
    <w:abstractNumId w:val="8"/>
  </w:num>
  <w:num w:numId="26" w16cid:durableId="1986624245">
    <w:abstractNumId w:val="14"/>
  </w:num>
  <w:num w:numId="27" w16cid:durableId="1940525822">
    <w:abstractNumId w:val="18"/>
  </w:num>
  <w:num w:numId="28" w16cid:durableId="1183594761">
    <w:abstractNumId w:val="24"/>
  </w:num>
  <w:num w:numId="29" w16cid:durableId="1744060618">
    <w:abstractNumId w:val="26"/>
  </w:num>
  <w:num w:numId="30" w16cid:durableId="2119983569">
    <w:abstractNumId w:val="2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238C"/>
    <w:rsid w:val="00004515"/>
    <w:rsid w:val="00007CA2"/>
    <w:rsid w:val="00012100"/>
    <w:rsid w:val="00012A04"/>
    <w:rsid w:val="00013AD9"/>
    <w:rsid w:val="000141BC"/>
    <w:rsid w:val="000208A6"/>
    <w:rsid w:val="0002157B"/>
    <w:rsid w:val="00027037"/>
    <w:rsid w:val="000334FA"/>
    <w:rsid w:val="000425EB"/>
    <w:rsid w:val="00042CDC"/>
    <w:rsid w:val="0004364B"/>
    <w:rsid w:val="00052E40"/>
    <w:rsid w:val="00056DF0"/>
    <w:rsid w:val="000626D1"/>
    <w:rsid w:val="000630C0"/>
    <w:rsid w:val="00071640"/>
    <w:rsid w:val="00080399"/>
    <w:rsid w:val="00080C85"/>
    <w:rsid w:val="0008189F"/>
    <w:rsid w:val="00083E43"/>
    <w:rsid w:val="00087D12"/>
    <w:rsid w:val="00090217"/>
    <w:rsid w:val="000979C0"/>
    <w:rsid w:val="00097DC4"/>
    <w:rsid w:val="000A0365"/>
    <w:rsid w:val="000A4120"/>
    <w:rsid w:val="000A5D80"/>
    <w:rsid w:val="000B07E4"/>
    <w:rsid w:val="000B191F"/>
    <w:rsid w:val="000B2062"/>
    <w:rsid w:val="000B5A29"/>
    <w:rsid w:val="000C0438"/>
    <w:rsid w:val="000C2765"/>
    <w:rsid w:val="000C7FEB"/>
    <w:rsid w:val="000D0BDB"/>
    <w:rsid w:val="000D14B2"/>
    <w:rsid w:val="000D37E9"/>
    <w:rsid w:val="000D47D2"/>
    <w:rsid w:val="000D50C3"/>
    <w:rsid w:val="000D6601"/>
    <w:rsid w:val="000D6D9F"/>
    <w:rsid w:val="000D74D0"/>
    <w:rsid w:val="000E49EE"/>
    <w:rsid w:val="000E763A"/>
    <w:rsid w:val="000E7AA7"/>
    <w:rsid w:val="000F06C6"/>
    <w:rsid w:val="001116D4"/>
    <w:rsid w:val="00112E33"/>
    <w:rsid w:val="00113638"/>
    <w:rsid w:val="00114FDE"/>
    <w:rsid w:val="00116D0F"/>
    <w:rsid w:val="00125931"/>
    <w:rsid w:val="001330CE"/>
    <w:rsid w:val="0013497B"/>
    <w:rsid w:val="00134C86"/>
    <w:rsid w:val="001356EA"/>
    <w:rsid w:val="0014283F"/>
    <w:rsid w:val="00144AFE"/>
    <w:rsid w:val="0014618D"/>
    <w:rsid w:val="00146C8A"/>
    <w:rsid w:val="0014786E"/>
    <w:rsid w:val="00150FA6"/>
    <w:rsid w:val="0015138E"/>
    <w:rsid w:val="00151A19"/>
    <w:rsid w:val="00152714"/>
    <w:rsid w:val="001567A7"/>
    <w:rsid w:val="00156862"/>
    <w:rsid w:val="0016149B"/>
    <w:rsid w:val="00163343"/>
    <w:rsid w:val="00163381"/>
    <w:rsid w:val="00164467"/>
    <w:rsid w:val="00165BDC"/>
    <w:rsid w:val="00172753"/>
    <w:rsid w:val="00174853"/>
    <w:rsid w:val="00180331"/>
    <w:rsid w:val="00181608"/>
    <w:rsid w:val="001827BC"/>
    <w:rsid w:val="00193E9D"/>
    <w:rsid w:val="00194C2A"/>
    <w:rsid w:val="001953BC"/>
    <w:rsid w:val="001A0B63"/>
    <w:rsid w:val="001A3D58"/>
    <w:rsid w:val="001A4AA4"/>
    <w:rsid w:val="001A55DB"/>
    <w:rsid w:val="001A6D97"/>
    <w:rsid w:val="001B12D9"/>
    <w:rsid w:val="001B14BA"/>
    <w:rsid w:val="001B2832"/>
    <w:rsid w:val="001C7810"/>
    <w:rsid w:val="001C7B32"/>
    <w:rsid w:val="001D7DAC"/>
    <w:rsid w:val="001E1189"/>
    <w:rsid w:val="001F2F19"/>
    <w:rsid w:val="001F3D9E"/>
    <w:rsid w:val="00212C0E"/>
    <w:rsid w:val="0021385C"/>
    <w:rsid w:val="00225D4D"/>
    <w:rsid w:val="00230B3B"/>
    <w:rsid w:val="00234902"/>
    <w:rsid w:val="0023692D"/>
    <w:rsid w:val="002408B0"/>
    <w:rsid w:val="00241400"/>
    <w:rsid w:val="00244304"/>
    <w:rsid w:val="0024598E"/>
    <w:rsid w:val="00252EDF"/>
    <w:rsid w:val="00262184"/>
    <w:rsid w:val="00263547"/>
    <w:rsid w:val="002656E9"/>
    <w:rsid w:val="00265CB3"/>
    <w:rsid w:val="00272DF1"/>
    <w:rsid w:val="002763E6"/>
    <w:rsid w:val="00276517"/>
    <w:rsid w:val="002765E9"/>
    <w:rsid w:val="00277C24"/>
    <w:rsid w:val="00277DDE"/>
    <w:rsid w:val="00286101"/>
    <w:rsid w:val="00292068"/>
    <w:rsid w:val="00292560"/>
    <w:rsid w:val="0029494A"/>
    <w:rsid w:val="00297F79"/>
    <w:rsid w:val="002A40D3"/>
    <w:rsid w:val="002C51D2"/>
    <w:rsid w:val="002C5AE0"/>
    <w:rsid w:val="002C7238"/>
    <w:rsid w:val="002D09A5"/>
    <w:rsid w:val="002E2BD1"/>
    <w:rsid w:val="002E34F8"/>
    <w:rsid w:val="002E3758"/>
    <w:rsid w:val="002E47F9"/>
    <w:rsid w:val="002E5ADB"/>
    <w:rsid w:val="002E7988"/>
    <w:rsid w:val="002F76D1"/>
    <w:rsid w:val="002F7768"/>
    <w:rsid w:val="0030176F"/>
    <w:rsid w:val="0031093D"/>
    <w:rsid w:val="00313F9E"/>
    <w:rsid w:val="00316505"/>
    <w:rsid w:val="00317176"/>
    <w:rsid w:val="00321EB1"/>
    <w:rsid w:val="003220EB"/>
    <w:rsid w:val="00323F06"/>
    <w:rsid w:val="00325038"/>
    <w:rsid w:val="0033611D"/>
    <w:rsid w:val="00346ABA"/>
    <w:rsid w:val="00347969"/>
    <w:rsid w:val="00350C50"/>
    <w:rsid w:val="00351576"/>
    <w:rsid w:val="003546FF"/>
    <w:rsid w:val="003548CD"/>
    <w:rsid w:val="00354BFB"/>
    <w:rsid w:val="00356B97"/>
    <w:rsid w:val="00365453"/>
    <w:rsid w:val="003703C9"/>
    <w:rsid w:val="00376464"/>
    <w:rsid w:val="00376877"/>
    <w:rsid w:val="00385AB9"/>
    <w:rsid w:val="00386DFC"/>
    <w:rsid w:val="00391C7A"/>
    <w:rsid w:val="00393E02"/>
    <w:rsid w:val="0039613E"/>
    <w:rsid w:val="003A1454"/>
    <w:rsid w:val="003A4191"/>
    <w:rsid w:val="003A5624"/>
    <w:rsid w:val="003B0E1B"/>
    <w:rsid w:val="003B21B0"/>
    <w:rsid w:val="003B4212"/>
    <w:rsid w:val="003B63E2"/>
    <w:rsid w:val="003C071B"/>
    <w:rsid w:val="003C1077"/>
    <w:rsid w:val="003C36D6"/>
    <w:rsid w:val="003C3D69"/>
    <w:rsid w:val="003D222C"/>
    <w:rsid w:val="003E37BB"/>
    <w:rsid w:val="003F07CE"/>
    <w:rsid w:val="003F3586"/>
    <w:rsid w:val="003F4717"/>
    <w:rsid w:val="003F6641"/>
    <w:rsid w:val="003F6CA5"/>
    <w:rsid w:val="004000EC"/>
    <w:rsid w:val="00401217"/>
    <w:rsid w:val="00402699"/>
    <w:rsid w:val="00407467"/>
    <w:rsid w:val="00407824"/>
    <w:rsid w:val="0041260C"/>
    <w:rsid w:val="004207E6"/>
    <w:rsid w:val="00426074"/>
    <w:rsid w:val="004271AB"/>
    <w:rsid w:val="00430ED6"/>
    <w:rsid w:val="00431FA3"/>
    <w:rsid w:val="004332A4"/>
    <w:rsid w:val="00433A67"/>
    <w:rsid w:val="00435248"/>
    <w:rsid w:val="004467DE"/>
    <w:rsid w:val="00457567"/>
    <w:rsid w:val="00463B74"/>
    <w:rsid w:val="004674E7"/>
    <w:rsid w:val="00467F26"/>
    <w:rsid w:val="00474AE2"/>
    <w:rsid w:val="00474CBC"/>
    <w:rsid w:val="00485028"/>
    <w:rsid w:val="004910B5"/>
    <w:rsid w:val="00491754"/>
    <w:rsid w:val="00495286"/>
    <w:rsid w:val="004A367B"/>
    <w:rsid w:val="004A51B0"/>
    <w:rsid w:val="004A554C"/>
    <w:rsid w:val="004A7090"/>
    <w:rsid w:val="004B55A4"/>
    <w:rsid w:val="004B6069"/>
    <w:rsid w:val="004C1E3D"/>
    <w:rsid w:val="004C2D11"/>
    <w:rsid w:val="004C7115"/>
    <w:rsid w:val="004D2202"/>
    <w:rsid w:val="004D2FC0"/>
    <w:rsid w:val="004D471C"/>
    <w:rsid w:val="004D5FD5"/>
    <w:rsid w:val="004D7460"/>
    <w:rsid w:val="004D78EB"/>
    <w:rsid w:val="004E0D48"/>
    <w:rsid w:val="004E106C"/>
    <w:rsid w:val="004E58C7"/>
    <w:rsid w:val="004E5D8A"/>
    <w:rsid w:val="004F1977"/>
    <w:rsid w:val="004F2FF5"/>
    <w:rsid w:val="004F72A6"/>
    <w:rsid w:val="005013C5"/>
    <w:rsid w:val="00501C83"/>
    <w:rsid w:val="005039E7"/>
    <w:rsid w:val="00504998"/>
    <w:rsid w:val="00506BA7"/>
    <w:rsid w:val="00511364"/>
    <w:rsid w:val="005150E9"/>
    <w:rsid w:val="00523527"/>
    <w:rsid w:val="00525560"/>
    <w:rsid w:val="00525685"/>
    <w:rsid w:val="00546684"/>
    <w:rsid w:val="005506F0"/>
    <w:rsid w:val="00551CC5"/>
    <w:rsid w:val="0055275A"/>
    <w:rsid w:val="00552D10"/>
    <w:rsid w:val="005608DB"/>
    <w:rsid w:val="0057533F"/>
    <w:rsid w:val="0057585C"/>
    <w:rsid w:val="00575D77"/>
    <w:rsid w:val="00575FCB"/>
    <w:rsid w:val="00585027"/>
    <w:rsid w:val="0059019B"/>
    <w:rsid w:val="005938E9"/>
    <w:rsid w:val="005956F6"/>
    <w:rsid w:val="00595C6A"/>
    <w:rsid w:val="005972B8"/>
    <w:rsid w:val="00597F7A"/>
    <w:rsid w:val="005A226C"/>
    <w:rsid w:val="005A5F86"/>
    <w:rsid w:val="005A72B9"/>
    <w:rsid w:val="005A7E49"/>
    <w:rsid w:val="005B0586"/>
    <w:rsid w:val="005B191D"/>
    <w:rsid w:val="005B3DCB"/>
    <w:rsid w:val="005C1B3A"/>
    <w:rsid w:val="005C2CD1"/>
    <w:rsid w:val="005C2F40"/>
    <w:rsid w:val="005C33CD"/>
    <w:rsid w:val="005D34A2"/>
    <w:rsid w:val="005D5388"/>
    <w:rsid w:val="005E2716"/>
    <w:rsid w:val="005E4CFD"/>
    <w:rsid w:val="005E7765"/>
    <w:rsid w:val="005F02BC"/>
    <w:rsid w:val="005F2FB9"/>
    <w:rsid w:val="006014B0"/>
    <w:rsid w:val="00602756"/>
    <w:rsid w:val="00603045"/>
    <w:rsid w:val="006052F2"/>
    <w:rsid w:val="00605A5D"/>
    <w:rsid w:val="00607F44"/>
    <w:rsid w:val="00611197"/>
    <w:rsid w:val="00612C92"/>
    <w:rsid w:val="00613C74"/>
    <w:rsid w:val="00614870"/>
    <w:rsid w:val="00616E86"/>
    <w:rsid w:val="0062096D"/>
    <w:rsid w:val="00621165"/>
    <w:rsid w:val="00624B06"/>
    <w:rsid w:val="00633718"/>
    <w:rsid w:val="00636337"/>
    <w:rsid w:val="0063799D"/>
    <w:rsid w:val="0064238D"/>
    <w:rsid w:val="0065287D"/>
    <w:rsid w:val="00653187"/>
    <w:rsid w:val="00667D9E"/>
    <w:rsid w:val="00670978"/>
    <w:rsid w:val="00674826"/>
    <w:rsid w:val="00674C26"/>
    <w:rsid w:val="00677C9F"/>
    <w:rsid w:val="006821DF"/>
    <w:rsid w:val="00682382"/>
    <w:rsid w:val="00684787"/>
    <w:rsid w:val="00684D59"/>
    <w:rsid w:val="00690170"/>
    <w:rsid w:val="00690A36"/>
    <w:rsid w:val="00691842"/>
    <w:rsid w:val="00693916"/>
    <w:rsid w:val="006A1163"/>
    <w:rsid w:val="006A75DA"/>
    <w:rsid w:val="006A79E4"/>
    <w:rsid w:val="006B0A54"/>
    <w:rsid w:val="006B29A2"/>
    <w:rsid w:val="006C516E"/>
    <w:rsid w:val="006D14D9"/>
    <w:rsid w:val="006D5F9C"/>
    <w:rsid w:val="006E3A30"/>
    <w:rsid w:val="006E76FC"/>
    <w:rsid w:val="006F258B"/>
    <w:rsid w:val="006F2F95"/>
    <w:rsid w:val="006F43E7"/>
    <w:rsid w:val="006F6251"/>
    <w:rsid w:val="00700FF7"/>
    <w:rsid w:val="007049F2"/>
    <w:rsid w:val="007079EC"/>
    <w:rsid w:val="0071446C"/>
    <w:rsid w:val="007235DD"/>
    <w:rsid w:val="00727C09"/>
    <w:rsid w:val="00730E57"/>
    <w:rsid w:val="0073458F"/>
    <w:rsid w:val="00734B0D"/>
    <w:rsid w:val="00740805"/>
    <w:rsid w:val="0074101F"/>
    <w:rsid w:val="00742FEF"/>
    <w:rsid w:val="00755B26"/>
    <w:rsid w:val="0075633C"/>
    <w:rsid w:val="007566AA"/>
    <w:rsid w:val="00763186"/>
    <w:rsid w:val="007632E2"/>
    <w:rsid w:val="00765353"/>
    <w:rsid w:val="00767C33"/>
    <w:rsid w:val="007716E2"/>
    <w:rsid w:val="00774FE6"/>
    <w:rsid w:val="00775871"/>
    <w:rsid w:val="0077756C"/>
    <w:rsid w:val="0078189C"/>
    <w:rsid w:val="00784CE9"/>
    <w:rsid w:val="0078797B"/>
    <w:rsid w:val="00792B52"/>
    <w:rsid w:val="00792BA8"/>
    <w:rsid w:val="0079568A"/>
    <w:rsid w:val="007A3325"/>
    <w:rsid w:val="007C121E"/>
    <w:rsid w:val="007C16AC"/>
    <w:rsid w:val="007C1877"/>
    <w:rsid w:val="007C6CE4"/>
    <w:rsid w:val="007D0168"/>
    <w:rsid w:val="007D1A96"/>
    <w:rsid w:val="007D1D64"/>
    <w:rsid w:val="007D4BF7"/>
    <w:rsid w:val="007D5FE9"/>
    <w:rsid w:val="007D6095"/>
    <w:rsid w:val="007D6AAD"/>
    <w:rsid w:val="007E0664"/>
    <w:rsid w:val="007E3455"/>
    <w:rsid w:val="007E3F3C"/>
    <w:rsid w:val="007E60B1"/>
    <w:rsid w:val="007E677F"/>
    <w:rsid w:val="007F466E"/>
    <w:rsid w:val="007F7140"/>
    <w:rsid w:val="007F7678"/>
    <w:rsid w:val="0080423B"/>
    <w:rsid w:val="00807A14"/>
    <w:rsid w:val="008139CB"/>
    <w:rsid w:val="00817082"/>
    <w:rsid w:val="00820B2D"/>
    <w:rsid w:val="00826C33"/>
    <w:rsid w:val="00826C6C"/>
    <w:rsid w:val="00827F76"/>
    <w:rsid w:val="00830D08"/>
    <w:rsid w:val="0083540F"/>
    <w:rsid w:val="00835EBD"/>
    <w:rsid w:val="00836D35"/>
    <w:rsid w:val="00841219"/>
    <w:rsid w:val="00842C58"/>
    <w:rsid w:val="00844808"/>
    <w:rsid w:val="00844E1E"/>
    <w:rsid w:val="008545EA"/>
    <w:rsid w:val="00861028"/>
    <w:rsid w:val="0086318F"/>
    <w:rsid w:val="0086548F"/>
    <w:rsid w:val="00865B2F"/>
    <w:rsid w:val="00872C6D"/>
    <w:rsid w:val="00872F0F"/>
    <w:rsid w:val="008767DD"/>
    <w:rsid w:val="00876BEE"/>
    <w:rsid w:val="00885790"/>
    <w:rsid w:val="00885BB9"/>
    <w:rsid w:val="00890E9F"/>
    <w:rsid w:val="008913D1"/>
    <w:rsid w:val="00894DAE"/>
    <w:rsid w:val="0089618B"/>
    <w:rsid w:val="00896B64"/>
    <w:rsid w:val="008A3B7C"/>
    <w:rsid w:val="008A64E4"/>
    <w:rsid w:val="008A687F"/>
    <w:rsid w:val="008A7B8F"/>
    <w:rsid w:val="008B1D52"/>
    <w:rsid w:val="008B6CE7"/>
    <w:rsid w:val="008C00A7"/>
    <w:rsid w:val="008C1833"/>
    <w:rsid w:val="008D3049"/>
    <w:rsid w:val="008D36C4"/>
    <w:rsid w:val="008D3D12"/>
    <w:rsid w:val="008D3D82"/>
    <w:rsid w:val="008D40E5"/>
    <w:rsid w:val="008E3E49"/>
    <w:rsid w:val="008E4265"/>
    <w:rsid w:val="008F09E7"/>
    <w:rsid w:val="008F24AA"/>
    <w:rsid w:val="008F56A7"/>
    <w:rsid w:val="008F57B0"/>
    <w:rsid w:val="008F6271"/>
    <w:rsid w:val="008F6408"/>
    <w:rsid w:val="008F6571"/>
    <w:rsid w:val="009056BC"/>
    <w:rsid w:val="00920A59"/>
    <w:rsid w:val="00920D19"/>
    <w:rsid w:val="009218DF"/>
    <w:rsid w:val="0092631E"/>
    <w:rsid w:val="00927E3A"/>
    <w:rsid w:val="009351E1"/>
    <w:rsid w:val="00945233"/>
    <w:rsid w:val="00946AAE"/>
    <w:rsid w:val="00953846"/>
    <w:rsid w:val="00961417"/>
    <w:rsid w:val="00963D09"/>
    <w:rsid w:val="00964968"/>
    <w:rsid w:val="00975DCB"/>
    <w:rsid w:val="00980883"/>
    <w:rsid w:val="00980B99"/>
    <w:rsid w:val="0098153F"/>
    <w:rsid w:val="00981DC5"/>
    <w:rsid w:val="00982B06"/>
    <w:rsid w:val="00982FC6"/>
    <w:rsid w:val="009837D8"/>
    <w:rsid w:val="00984441"/>
    <w:rsid w:val="009866C8"/>
    <w:rsid w:val="0099022D"/>
    <w:rsid w:val="009931CC"/>
    <w:rsid w:val="00995F8D"/>
    <w:rsid w:val="009A2822"/>
    <w:rsid w:val="009A5B7B"/>
    <w:rsid w:val="009A5DC8"/>
    <w:rsid w:val="009A6F40"/>
    <w:rsid w:val="009A7D7F"/>
    <w:rsid w:val="009B1315"/>
    <w:rsid w:val="009D00F2"/>
    <w:rsid w:val="009D038F"/>
    <w:rsid w:val="009D28E4"/>
    <w:rsid w:val="009D5553"/>
    <w:rsid w:val="009E0664"/>
    <w:rsid w:val="009E1EAF"/>
    <w:rsid w:val="009E3F6E"/>
    <w:rsid w:val="009E48EA"/>
    <w:rsid w:val="009E520E"/>
    <w:rsid w:val="009F0E6A"/>
    <w:rsid w:val="009F3C86"/>
    <w:rsid w:val="009F572A"/>
    <w:rsid w:val="009F5EB7"/>
    <w:rsid w:val="00A00F6B"/>
    <w:rsid w:val="00A04016"/>
    <w:rsid w:val="00A10BDB"/>
    <w:rsid w:val="00A127B9"/>
    <w:rsid w:val="00A12BF4"/>
    <w:rsid w:val="00A13C6B"/>
    <w:rsid w:val="00A174CA"/>
    <w:rsid w:val="00A20C0D"/>
    <w:rsid w:val="00A23A11"/>
    <w:rsid w:val="00A34BC8"/>
    <w:rsid w:val="00A44FEA"/>
    <w:rsid w:val="00A5180E"/>
    <w:rsid w:val="00A627BE"/>
    <w:rsid w:val="00A62D44"/>
    <w:rsid w:val="00A67F17"/>
    <w:rsid w:val="00A7122A"/>
    <w:rsid w:val="00A712B0"/>
    <w:rsid w:val="00A74752"/>
    <w:rsid w:val="00A753D0"/>
    <w:rsid w:val="00A77681"/>
    <w:rsid w:val="00A85C0D"/>
    <w:rsid w:val="00A86616"/>
    <w:rsid w:val="00A90165"/>
    <w:rsid w:val="00A95D0D"/>
    <w:rsid w:val="00A9696F"/>
    <w:rsid w:val="00AA718D"/>
    <w:rsid w:val="00AB0FEC"/>
    <w:rsid w:val="00AB3E95"/>
    <w:rsid w:val="00AC11A5"/>
    <w:rsid w:val="00AD32A3"/>
    <w:rsid w:val="00AD50F1"/>
    <w:rsid w:val="00AD67FC"/>
    <w:rsid w:val="00AD7171"/>
    <w:rsid w:val="00AD7739"/>
    <w:rsid w:val="00AE0FC9"/>
    <w:rsid w:val="00AE4D91"/>
    <w:rsid w:val="00AE4FF6"/>
    <w:rsid w:val="00AE5951"/>
    <w:rsid w:val="00AF1FFA"/>
    <w:rsid w:val="00B063C1"/>
    <w:rsid w:val="00B06671"/>
    <w:rsid w:val="00B10D68"/>
    <w:rsid w:val="00B17441"/>
    <w:rsid w:val="00B17F24"/>
    <w:rsid w:val="00B23823"/>
    <w:rsid w:val="00B31A88"/>
    <w:rsid w:val="00B34EB5"/>
    <w:rsid w:val="00B36D62"/>
    <w:rsid w:val="00B448EA"/>
    <w:rsid w:val="00B5182B"/>
    <w:rsid w:val="00B5333C"/>
    <w:rsid w:val="00B56289"/>
    <w:rsid w:val="00B60C14"/>
    <w:rsid w:val="00B63E5C"/>
    <w:rsid w:val="00B70281"/>
    <w:rsid w:val="00B70F1C"/>
    <w:rsid w:val="00B74143"/>
    <w:rsid w:val="00B75FD7"/>
    <w:rsid w:val="00B771A3"/>
    <w:rsid w:val="00B83A4E"/>
    <w:rsid w:val="00B85D7F"/>
    <w:rsid w:val="00BA6375"/>
    <w:rsid w:val="00BA69B9"/>
    <w:rsid w:val="00BA6C23"/>
    <w:rsid w:val="00BB008B"/>
    <w:rsid w:val="00BB1765"/>
    <w:rsid w:val="00BB33EF"/>
    <w:rsid w:val="00BB3FB8"/>
    <w:rsid w:val="00BB4FF2"/>
    <w:rsid w:val="00BB58BB"/>
    <w:rsid w:val="00BB6F0B"/>
    <w:rsid w:val="00BB709F"/>
    <w:rsid w:val="00BC009D"/>
    <w:rsid w:val="00BC1D8A"/>
    <w:rsid w:val="00BC2566"/>
    <w:rsid w:val="00BC5958"/>
    <w:rsid w:val="00BC7CC2"/>
    <w:rsid w:val="00BD09EA"/>
    <w:rsid w:val="00BD0CA4"/>
    <w:rsid w:val="00BD3921"/>
    <w:rsid w:val="00BD464A"/>
    <w:rsid w:val="00BD5DE7"/>
    <w:rsid w:val="00BE77A2"/>
    <w:rsid w:val="00BF0B89"/>
    <w:rsid w:val="00BF258A"/>
    <w:rsid w:val="00BF49E3"/>
    <w:rsid w:val="00BF5A99"/>
    <w:rsid w:val="00BF633B"/>
    <w:rsid w:val="00C02966"/>
    <w:rsid w:val="00C05527"/>
    <w:rsid w:val="00C12682"/>
    <w:rsid w:val="00C13455"/>
    <w:rsid w:val="00C138E2"/>
    <w:rsid w:val="00C161A7"/>
    <w:rsid w:val="00C16426"/>
    <w:rsid w:val="00C20587"/>
    <w:rsid w:val="00C208BC"/>
    <w:rsid w:val="00C21F39"/>
    <w:rsid w:val="00C22028"/>
    <w:rsid w:val="00C22C27"/>
    <w:rsid w:val="00C26753"/>
    <w:rsid w:val="00C279F9"/>
    <w:rsid w:val="00C327A3"/>
    <w:rsid w:val="00C32ADD"/>
    <w:rsid w:val="00C345CD"/>
    <w:rsid w:val="00C34E5E"/>
    <w:rsid w:val="00C4359E"/>
    <w:rsid w:val="00C4362C"/>
    <w:rsid w:val="00C503E2"/>
    <w:rsid w:val="00C518F8"/>
    <w:rsid w:val="00C54643"/>
    <w:rsid w:val="00C62242"/>
    <w:rsid w:val="00C63511"/>
    <w:rsid w:val="00C64A62"/>
    <w:rsid w:val="00C67FEB"/>
    <w:rsid w:val="00C81D08"/>
    <w:rsid w:val="00C87420"/>
    <w:rsid w:val="00C91262"/>
    <w:rsid w:val="00C9450F"/>
    <w:rsid w:val="00CA7E6A"/>
    <w:rsid w:val="00CA7EC1"/>
    <w:rsid w:val="00CB22FC"/>
    <w:rsid w:val="00CB2873"/>
    <w:rsid w:val="00CB2D92"/>
    <w:rsid w:val="00CB4ACE"/>
    <w:rsid w:val="00CB6352"/>
    <w:rsid w:val="00CC2511"/>
    <w:rsid w:val="00CC5905"/>
    <w:rsid w:val="00CD0386"/>
    <w:rsid w:val="00CD1CE9"/>
    <w:rsid w:val="00CD6DC6"/>
    <w:rsid w:val="00CE16B1"/>
    <w:rsid w:val="00CE1C67"/>
    <w:rsid w:val="00CE2098"/>
    <w:rsid w:val="00CE66C5"/>
    <w:rsid w:val="00CE6B27"/>
    <w:rsid w:val="00CE6E8A"/>
    <w:rsid w:val="00CE7CC3"/>
    <w:rsid w:val="00CF2784"/>
    <w:rsid w:val="00CF2FF7"/>
    <w:rsid w:val="00CF5E8C"/>
    <w:rsid w:val="00D0183B"/>
    <w:rsid w:val="00D024B7"/>
    <w:rsid w:val="00D0302B"/>
    <w:rsid w:val="00D037C5"/>
    <w:rsid w:val="00D12DA5"/>
    <w:rsid w:val="00D16B49"/>
    <w:rsid w:val="00D25315"/>
    <w:rsid w:val="00D404AC"/>
    <w:rsid w:val="00D43889"/>
    <w:rsid w:val="00D56ED4"/>
    <w:rsid w:val="00D57343"/>
    <w:rsid w:val="00D613FA"/>
    <w:rsid w:val="00D61D0F"/>
    <w:rsid w:val="00D63B29"/>
    <w:rsid w:val="00D63F99"/>
    <w:rsid w:val="00D649ED"/>
    <w:rsid w:val="00D64C2D"/>
    <w:rsid w:val="00D65163"/>
    <w:rsid w:val="00D65285"/>
    <w:rsid w:val="00D73621"/>
    <w:rsid w:val="00D73C2E"/>
    <w:rsid w:val="00D73C4B"/>
    <w:rsid w:val="00D742EB"/>
    <w:rsid w:val="00D7442D"/>
    <w:rsid w:val="00D80C6C"/>
    <w:rsid w:val="00D91A1B"/>
    <w:rsid w:val="00D91A4E"/>
    <w:rsid w:val="00D94BEA"/>
    <w:rsid w:val="00D975E5"/>
    <w:rsid w:val="00DA0813"/>
    <w:rsid w:val="00DA1CDD"/>
    <w:rsid w:val="00DA351D"/>
    <w:rsid w:val="00DA6B40"/>
    <w:rsid w:val="00DB287A"/>
    <w:rsid w:val="00DB3B57"/>
    <w:rsid w:val="00DB4AAF"/>
    <w:rsid w:val="00DB4C04"/>
    <w:rsid w:val="00DB598E"/>
    <w:rsid w:val="00DC0ECC"/>
    <w:rsid w:val="00DC330B"/>
    <w:rsid w:val="00DC3632"/>
    <w:rsid w:val="00DC66C8"/>
    <w:rsid w:val="00DD22EA"/>
    <w:rsid w:val="00DD430C"/>
    <w:rsid w:val="00DE17A8"/>
    <w:rsid w:val="00DE352C"/>
    <w:rsid w:val="00DE6BF4"/>
    <w:rsid w:val="00DE72A1"/>
    <w:rsid w:val="00DF096F"/>
    <w:rsid w:val="00DF31B2"/>
    <w:rsid w:val="00DF4598"/>
    <w:rsid w:val="00DF7330"/>
    <w:rsid w:val="00DF7465"/>
    <w:rsid w:val="00E01FB1"/>
    <w:rsid w:val="00E02281"/>
    <w:rsid w:val="00E0462C"/>
    <w:rsid w:val="00E100F0"/>
    <w:rsid w:val="00E119DE"/>
    <w:rsid w:val="00E120B8"/>
    <w:rsid w:val="00E12EF4"/>
    <w:rsid w:val="00E1615D"/>
    <w:rsid w:val="00E35738"/>
    <w:rsid w:val="00E427F1"/>
    <w:rsid w:val="00E43886"/>
    <w:rsid w:val="00E4530A"/>
    <w:rsid w:val="00E52F06"/>
    <w:rsid w:val="00E536ED"/>
    <w:rsid w:val="00E55E9C"/>
    <w:rsid w:val="00E6044C"/>
    <w:rsid w:val="00E611F0"/>
    <w:rsid w:val="00E64702"/>
    <w:rsid w:val="00E66B21"/>
    <w:rsid w:val="00E83E4B"/>
    <w:rsid w:val="00E83FD4"/>
    <w:rsid w:val="00E84BF8"/>
    <w:rsid w:val="00E873F4"/>
    <w:rsid w:val="00E91035"/>
    <w:rsid w:val="00EA409C"/>
    <w:rsid w:val="00EB3309"/>
    <w:rsid w:val="00EC1E4B"/>
    <w:rsid w:val="00ED2F58"/>
    <w:rsid w:val="00ED313F"/>
    <w:rsid w:val="00ED5FD4"/>
    <w:rsid w:val="00ED6730"/>
    <w:rsid w:val="00ED69B5"/>
    <w:rsid w:val="00ED69D0"/>
    <w:rsid w:val="00EE19D7"/>
    <w:rsid w:val="00EE6525"/>
    <w:rsid w:val="00EE7D55"/>
    <w:rsid w:val="00EE7FAA"/>
    <w:rsid w:val="00EF1850"/>
    <w:rsid w:val="00EF2DDD"/>
    <w:rsid w:val="00EF3E5E"/>
    <w:rsid w:val="00EF3FC2"/>
    <w:rsid w:val="00F013F9"/>
    <w:rsid w:val="00F03076"/>
    <w:rsid w:val="00F104F8"/>
    <w:rsid w:val="00F11371"/>
    <w:rsid w:val="00F12D00"/>
    <w:rsid w:val="00F165EB"/>
    <w:rsid w:val="00F2127D"/>
    <w:rsid w:val="00F2179B"/>
    <w:rsid w:val="00F23D38"/>
    <w:rsid w:val="00F366CC"/>
    <w:rsid w:val="00F376E8"/>
    <w:rsid w:val="00F37F08"/>
    <w:rsid w:val="00F41623"/>
    <w:rsid w:val="00F42024"/>
    <w:rsid w:val="00F52ED4"/>
    <w:rsid w:val="00F5568E"/>
    <w:rsid w:val="00F623AA"/>
    <w:rsid w:val="00F64A34"/>
    <w:rsid w:val="00F66924"/>
    <w:rsid w:val="00F729BF"/>
    <w:rsid w:val="00F820F5"/>
    <w:rsid w:val="00F9105D"/>
    <w:rsid w:val="00F91F29"/>
    <w:rsid w:val="00F91FD1"/>
    <w:rsid w:val="00FA23D3"/>
    <w:rsid w:val="00FA2E41"/>
    <w:rsid w:val="00FA6822"/>
    <w:rsid w:val="00FB1C26"/>
    <w:rsid w:val="00FB2415"/>
    <w:rsid w:val="00FB2AA2"/>
    <w:rsid w:val="00FB2C5E"/>
    <w:rsid w:val="00FB4619"/>
    <w:rsid w:val="00FB4942"/>
    <w:rsid w:val="00FC16A6"/>
    <w:rsid w:val="00FC70F4"/>
    <w:rsid w:val="00FD4CDB"/>
    <w:rsid w:val="00FE0148"/>
    <w:rsid w:val="00FE0B59"/>
    <w:rsid w:val="00FE2105"/>
    <w:rsid w:val="00FE26D6"/>
    <w:rsid w:val="00FF5639"/>
    <w:rsid w:val="016E7A31"/>
    <w:rsid w:val="01A19459"/>
    <w:rsid w:val="0227EE03"/>
    <w:rsid w:val="029A736B"/>
    <w:rsid w:val="02A2ABDC"/>
    <w:rsid w:val="0583C663"/>
    <w:rsid w:val="068E9F29"/>
    <w:rsid w:val="074A9BEB"/>
    <w:rsid w:val="07837BB0"/>
    <w:rsid w:val="07B19952"/>
    <w:rsid w:val="07C8B5F2"/>
    <w:rsid w:val="07FECC4E"/>
    <w:rsid w:val="091EBCA9"/>
    <w:rsid w:val="09F058FE"/>
    <w:rsid w:val="0B3D0AE3"/>
    <w:rsid w:val="0C998580"/>
    <w:rsid w:val="0CEF1458"/>
    <w:rsid w:val="0E2CDA53"/>
    <w:rsid w:val="0E5B8348"/>
    <w:rsid w:val="0FF61797"/>
    <w:rsid w:val="110331A2"/>
    <w:rsid w:val="142842A9"/>
    <w:rsid w:val="1510727B"/>
    <w:rsid w:val="156ED726"/>
    <w:rsid w:val="159F08A2"/>
    <w:rsid w:val="1729C3BD"/>
    <w:rsid w:val="17620490"/>
    <w:rsid w:val="178B95A0"/>
    <w:rsid w:val="18892D60"/>
    <w:rsid w:val="1927C63F"/>
    <w:rsid w:val="1972F88A"/>
    <w:rsid w:val="19B08EA3"/>
    <w:rsid w:val="1AAE7830"/>
    <w:rsid w:val="1B19D9BA"/>
    <w:rsid w:val="1D5A238D"/>
    <w:rsid w:val="1D5E912B"/>
    <w:rsid w:val="1DFBF18A"/>
    <w:rsid w:val="1E36C0A8"/>
    <w:rsid w:val="203DE22F"/>
    <w:rsid w:val="20539739"/>
    <w:rsid w:val="21013A66"/>
    <w:rsid w:val="21D32720"/>
    <w:rsid w:val="21F0CC04"/>
    <w:rsid w:val="22BFEBB5"/>
    <w:rsid w:val="22E90FF0"/>
    <w:rsid w:val="23BC5755"/>
    <w:rsid w:val="2411DAE5"/>
    <w:rsid w:val="24958D28"/>
    <w:rsid w:val="24B224AC"/>
    <w:rsid w:val="251BD8C0"/>
    <w:rsid w:val="251D4B31"/>
    <w:rsid w:val="26360E20"/>
    <w:rsid w:val="2640796A"/>
    <w:rsid w:val="267C8CC9"/>
    <w:rsid w:val="26A80248"/>
    <w:rsid w:val="27D4A597"/>
    <w:rsid w:val="28430F59"/>
    <w:rsid w:val="28A99A73"/>
    <w:rsid w:val="29178541"/>
    <w:rsid w:val="29955768"/>
    <w:rsid w:val="29A7B73B"/>
    <w:rsid w:val="2A7BF0F7"/>
    <w:rsid w:val="2CDABFA4"/>
    <w:rsid w:val="2D6D3185"/>
    <w:rsid w:val="2E87339B"/>
    <w:rsid w:val="2EABF644"/>
    <w:rsid w:val="2F941329"/>
    <w:rsid w:val="300677CC"/>
    <w:rsid w:val="30193D0A"/>
    <w:rsid w:val="308C0147"/>
    <w:rsid w:val="30D0FBC5"/>
    <w:rsid w:val="31AE30C7"/>
    <w:rsid w:val="31BCA3C4"/>
    <w:rsid w:val="32B5BD6A"/>
    <w:rsid w:val="32E449D2"/>
    <w:rsid w:val="339E06AF"/>
    <w:rsid w:val="35DC569E"/>
    <w:rsid w:val="36D8BC20"/>
    <w:rsid w:val="374737A8"/>
    <w:rsid w:val="379FF613"/>
    <w:rsid w:val="382F2330"/>
    <w:rsid w:val="384FA242"/>
    <w:rsid w:val="38C73E36"/>
    <w:rsid w:val="38E3CE12"/>
    <w:rsid w:val="3A21516F"/>
    <w:rsid w:val="3A221014"/>
    <w:rsid w:val="3AB42498"/>
    <w:rsid w:val="3C165D2C"/>
    <w:rsid w:val="3C9E9DA5"/>
    <w:rsid w:val="3DE4A661"/>
    <w:rsid w:val="3EA2DB50"/>
    <w:rsid w:val="3F76CE01"/>
    <w:rsid w:val="40C1F36B"/>
    <w:rsid w:val="413DB617"/>
    <w:rsid w:val="41B6EFAD"/>
    <w:rsid w:val="45CAA74F"/>
    <w:rsid w:val="45F3D031"/>
    <w:rsid w:val="46916135"/>
    <w:rsid w:val="476C5D06"/>
    <w:rsid w:val="4847ADD4"/>
    <w:rsid w:val="48AD42CC"/>
    <w:rsid w:val="4C7585EB"/>
    <w:rsid w:val="4CE17711"/>
    <w:rsid w:val="4F1B1973"/>
    <w:rsid w:val="50D18403"/>
    <w:rsid w:val="51112CE7"/>
    <w:rsid w:val="524C10BA"/>
    <w:rsid w:val="52F30766"/>
    <w:rsid w:val="5407F934"/>
    <w:rsid w:val="55756A93"/>
    <w:rsid w:val="56267AFA"/>
    <w:rsid w:val="564C1D5F"/>
    <w:rsid w:val="56C63D6C"/>
    <w:rsid w:val="57927921"/>
    <w:rsid w:val="58ECD6AE"/>
    <w:rsid w:val="59736221"/>
    <w:rsid w:val="5A4F641D"/>
    <w:rsid w:val="5AA7F347"/>
    <w:rsid w:val="5B0F7D49"/>
    <w:rsid w:val="5B1CD204"/>
    <w:rsid w:val="5B8ED6D2"/>
    <w:rsid w:val="5D2AA733"/>
    <w:rsid w:val="5DBDE8FB"/>
    <w:rsid w:val="5E2FCED4"/>
    <w:rsid w:val="5E4B1046"/>
    <w:rsid w:val="60E3964C"/>
    <w:rsid w:val="64CB3202"/>
    <w:rsid w:val="662399CC"/>
    <w:rsid w:val="6676F38E"/>
    <w:rsid w:val="67D1E42F"/>
    <w:rsid w:val="69805A3A"/>
    <w:rsid w:val="6A165445"/>
    <w:rsid w:val="6B5FB653"/>
    <w:rsid w:val="6F0FC11F"/>
    <w:rsid w:val="6F27FDAB"/>
    <w:rsid w:val="7140D9E0"/>
    <w:rsid w:val="716C2EB2"/>
    <w:rsid w:val="71D2A668"/>
    <w:rsid w:val="722B35F1"/>
    <w:rsid w:val="7255B31A"/>
    <w:rsid w:val="728DCB0A"/>
    <w:rsid w:val="7462E513"/>
    <w:rsid w:val="74AFB80E"/>
    <w:rsid w:val="77C7032D"/>
    <w:rsid w:val="78B56A2E"/>
    <w:rsid w:val="790ADDAA"/>
    <w:rsid w:val="7ADB864F"/>
    <w:rsid w:val="7C054946"/>
    <w:rsid w:val="7F62D2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A3ED6D94-36BE-4F22-9A92-DFB61157BF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D222C"/>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uiPriority w:val="9"/>
    <w:qFormat/>
    <w:rsid w:val="001B14B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953846"/>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222C"/>
    <w:rPr>
      <w:rFonts w:ascii="Segoe UI" w:hAnsi="Segoe UI" w:cs="Segoe UI"/>
      <w:sz w:val="18"/>
      <w:szCs w:val="18"/>
    </w:rPr>
  </w:style>
  <w:style w:type="character" w:styleId="Heading2Char" w:customStyle="1">
    <w:name w:val="Heading 2 Char"/>
    <w:basedOn w:val="DefaultParagraphFont"/>
    <w:link w:val="Heading2"/>
    <w:rsid w:val="003D222C"/>
    <w:rPr>
      <w:rFonts w:ascii="Arial" w:hAnsi="Arial" w:eastAsia="Times New Roman"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styleId="ListParagraphChar" w:customStyle="1">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hAnsi="Arial" w:eastAsia="Times New Roman" w:cs="Times New Roman"/>
      <w:sz w:val="24"/>
      <w:szCs w:val="20"/>
      <w:lang w:eastAsia="en-GB"/>
    </w:rPr>
  </w:style>
  <w:style w:type="table" w:styleId="TableGrid">
    <w:name w:val="Table Grid"/>
    <w:basedOn w:val="TableNormal"/>
    <w:uiPriority w:val="39"/>
    <w:rsid w:val="003D222C"/>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styleId="HeaderChar" w:customStyle="1">
    <w:name w:val="Header Char"/>
    <w:basedOn w:val="DefaultParagraphFont"/>
    <w:link w:val="Header"/>
    <w:uiPriority w:val="99"/>
    <w:rsid w:val="003D222C"/>
    <w:rPr>
      <w:rFonts w:ascii="Arial" w:hAnsi="Arial" w:eastAsia="Times New Roman"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styleId="FooterChar" w:customStyle="1">
    <w:name w:val="Footer Char"/>
    <w:basedOn w:val="DefaultParagraphFont"/>
    <w:link w:val="Footer"/>
    <w:uiPriority w:val="99"/>
    <w:rsid w:val="001A4AA4"/>
    <w:rPr>
      <w:rFonts w:ascii="Arial" w:hAnsi="Arial" w:eastAsia="Times New Roman"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hAnsi="Arial" w:eastAsia="Times New Roman" w:cs="Times New Roman"/>
      <w:sz w:val="24"/>
      <w:szCs w:val="24"/>
    </w:rPr>
  </w:style>
  <w:style w:type="paragraph" w:styleId="BEISTitle" w:customStyle="1">
    <w:name w:val="BEIS Title"/>
    <w:basedOn w:val="Normal"/>
    <w:next w:val="Normal"/>
    <w:rsid w:val="00885BB9"/>
    <w:pPr>
      <w:spacing w:after="240" w:line="320" w:lineRule="atLeast"/>
    </w:pPr>
    <w:rPr>
      <w:rFonts w:eastAsiaTheme="minorHAnsi" w:cstheme="minorBidi"/>
      <w:color w:val="041E42"/>
      <w:sz w:val="76"/>
      <w:szCs w:val="22"/>
    </w:rPr>
  </w:style>
  <w:style w:type="paragraph" w:styleId="BEISDate" w:customStyle="1">
    <w:name w:val="BEIS Date"/>
    <w:basedOn w:val="Normal"/>
    <w:rsid w:val="00090217"/>
    <w:pPr>
      <w:spacing w:line="320" w:lineRule="atLeast"/>
    </w:pPr>
    <w:rPr>
      <w:rFonts w:eastAsiaTheme="minorHAnsi" w:cstheme="minorBidi"/>
      <w:color w:val="868686"/>
      <w:sz w:val="28"/>
      <w:szCs w:val="22"/>
    </w:rPr>
  </w:style>
  <w:style w:type="character" w:styleId="Heading1Char" w:customStyle="1">
    <w:name w:val="Heading 1 Char"/>
    <w:basedOn w:val="DefaultParagraphFont"/>
    <w:link w:val="Heading1"/>
    <w:uiPriority w:val="9"/>
    <w:rsid w:val="001B14BA"/>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B14BA"/>
    <w:pPr>
      <w:spacing w:line="259" w:lineRule="auto"/>
      <w:outlineLvl w:val="9"/>
    </w:pPr>
    <w:rPr>
      <w:lang w:val="en-US"/>
    </w:rPr>
  </w:style>
  <w:style w:type="paragraph" w:styleId="TOC2">
    <w:name w:val="toc 2"/>
    <w:basedOn w:val="Normal"/>
    <w:next w:val="Normal"/>
    <w:autoRedefine/>
    <w:uiPriority w:val="39"/>
    <w:unhideWhenUsed/>
    <w:rsid w:val="00D65285"/>
    <w:pPr>
      <w:tabs>
        <w:tab w:val="right" w:leader="dot" w:pos="9016"/>
      </w:tabs>
      <w:spacing w:after="100"/>
      <w:ind w:left="240"/>
    </w:pPr>
  </w:style>
  <w:style w:type="paragraph" w:styleId="TOC1">
    <w:name w:val="toc 1"/>
    <w:basedOn w:val="Normal"/>
    <w:next w:val="Normal"/>
    <w:autoRedefine/>
    <w:uiPriority w:val="39"/>
    <w:unhideWhenUsed/>
    <w:rsid w:val="006C516E"/>
    <w:pPr>
      <w:spacing w:after="100"/>
    </w:pPr>
  </w:style>
  <w:style w:type="character" w:styleId="Heading3Char" w:customStyle="1">
    <w:name w:val="Heading 3 Char"/>
    <w:basedOn w:val="DefaultParagraphFont"/>
    <w:link w:val="Heading3"/>
    <w:uiPriority w:val="9"/>
    <w:rsid w:val="00953846"/>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unhideWhenUsed/>
    <w:rsid w:val="00953846"/>
    <w:pPr>
      <w:spacing w:after="100"/>
      <w:ind w:left="480"/>
    </w:pPr>
  </w:style>
  <w:style w:type="paragraph" w:styleId="FootnoteText">
    <w:name w:val="footnote text"/>
    <w:aliases w:val="Geneva 9,Font: Geneva 9,Boston 10,f"/>
    <w:basedOn w:val="Normal"/>
    <w:link w:val="FootnoteTextChar"/>
    <w:uiPriority w:val="99"/>
    <w:semiHidden/>
    <w:unhideWhenUsed/>
    <w:rsid w:val="008D3D82"/>
    <w:rPr>
      <w:sz w:val="20"/>
      <w:szCs w:val="20"/>
    </w:rPr>
  </w:style>
  <w:style w:type="character" w:styleId="FootnoteTextChar" w:customStyle="1">
    <w:name w:val="Footnote Text Char"/>
    <w:aliases w:val="Geneva 9 Char,Font: Geneva 9 Char,Boston 10 Char,f Char"/>
    <w:basedOn w:val="DefaultParagraphFont"/>
    <w:link w:val="FootnoteText"/>
    <w:uiPriority w:val="99"/>
    <w:semiHidden/>
    <w:rsid w:val="008D3D82"/>
    <w:rPr>
      <w:rFonts w:ascii="Arial" w:hAnsi="Arial" w:eastAsia="Times New Roman" w:cs="Times New Roman"/>
      <w:sz w:val="20"/>
      <w:szCs w:val="20"/>
    </w:rPr>
  </w:style>
  <w:style w:type="character" w:styleId="FootnoteReference">
    <w:name w:val="footnote reference"/>
    <w:aliases w:val="16 Point,Superscript 6 Point"/>
    <w:basedOn w:val="DefaultParagraphFont"/>
    <w:uiPriority w:val="99"/>
    <w:semiHidden/>
    <w:unhideWhenUsed/>
    <w:rsid w:val="008D3D82"/>
    <w:rPr>
      <w:vertAlign w:val="superscript"/>
    </w:rPr>
  </w:style>
  <w:style w:type="character" w:styleId="normaltextrun" w:customStyle="1">
    <w:name w:val="normaltextrun"/>
    <w:basedOn w:val="DefaultParagraphFont"/>
    <w:rsid w:val="00491754"/>
  </w:style>
  <w:style w:type="paragraph" w:styleId="paragraph" w:customStyle="1">
    <w:name w:val="paragraph"/>
    <w:basedOn w:val="Normal"/>
    <w:rsid w:val="007D0168"/>
    <w:pPr>
      <w:spacing w:before="100" w:beforeAutospacing="1" w:after="100" w:afterAutospacing="1"/>
    </w:pPr>
    <w:rPr>
      <w:rFonts w:ascii="Times New Roman" w:hAnsi="Times New Roman"/>
      <w:lang w:eastAsia="en-GB"/>
    </w:rPr>
  </w:style>
  <w:style w:type="character" w:styleId="eop" w:customStyle="1">
    <w:name w:val="eop"/>
    <w:basedOn w:val="DefaultParagraphFont"/>
    <w:rsid w:val="007D0168"/>
  </w:style>
  <w:style w:type="character" w:styleId="contentcontrolboundarysink" w:customStyle="1">
    <w:name w:val="contentcontrolboundarysink"/>
    <w:basedOn w:val="DefaultParagraphFont"/>
    <w:rsid w:val="007D0168"/>
  </w:style>
  <w:style w:type="character" w:styleId="CommentReference">
    <w:name w:val="annotation reference"/>
    <w:basedOn w:val="DefaultParagraphFont"/>
    <w:uiPriority w:val="99"/>
    <w:unhideWhenUsed/>
    <w:rsid w:val="00AD67FC"/>
    <w:rPr>
      <w:sz w:val="16"/>
      <w:szCs w:val="16"/>
    </w:rPr>
  </w:style>
  <w:style w:type="paragraph" w:styleId="CommentText">
    <w:name w:val="annotation text"/>
    <w:basedOn w:val="Normal"/>
    <w:link w:val="CommentTextChar"/>
    <w:uiPriority w:val="99"/>
    <w:unhideWhenUsed/>
    <w:rsid w:val="00AD67FC"/>
    <w:rPr>
      <w:sz w:val="20"/>
      <w:szCs w:val="20"/>
    </w:rPr>
  </w:style>
  <w:style w:type="character" w:styleId="CommentTextChar" w:customStyle="1">
    <w:name w:val="Comment Text Char"/>
    <w:basedOn w:val="DefaultParagraphFont"/>
    <w:link w:val="CommentText"/>
    <w:uiPriority w:val="99"/>
    <w:rsid w:val="00AD67FC"/>
    <w:rPr>
      <w:rFonts w:ascii="Arial" w:hAnsi="Arial" w:eastAsia="Times New Roman" w:cs="Times New Roman"/>
      <w:sz w:val="20"/>
      <w:szCs w:val="20"/>
    </w:rPr>
  </w:style>
  <w:style w:type="character" w:styleId="Mention">
    <w:name w:val="Mention"/>
    <w:basedOn w:val="DefaultParagraphFont"/>
    <w:uiPriority w:val="99"/>
    <w:unhideWhenUsed/>
    <w:rsid w:val="00CE66C5"/>
    <w:rPr>
      <w:color w:val="2B579A"/>
      <w:shd w:val="clear" w:color="auto" w:fill="E1DFDD"/>
    </w:rPr>
  </w:style>
  <w:style w:type="character" w:styleId="font581" w:customStyle="1">
    <w:name w:val="font581"/>
    <w:basedOn w:val="DefaultParagraphFont"/>
    <w:rsid w:val="006821DF"/>
    <w:rPr>
      <w:rFonts w:hint="default" w:ascii="Calibri" w:hAnsi="Calibri" w:cs="Calibri"/>
      <w:b/>
      <w:bCs/>
      <w:i/>
      <w:iCs/>
      <w:strike w:val="0"/>
      <w:dstrike w:val="0"/>
      <w:color w:val="000000"/>
      <w:sz w:val="20"/>
      <w:szCs w:val="20"/>
      <w:u w:val="none"/>
      <w:effect w:val="none"/>
    </w:rPr>
  </w:style>
  <w:style w:type="character" w:styleId="font411" w:customStyle="1">
    <w:name w:val="font411"/>
    <w:basedOn w:val="DefaultParagraphFont"/>
    <w:rsid w:val="006821DF"/>
    <w:rPr>
      <w:rFonts w:hint="default" w:ascii="Calibri" w:hAnsi="Calibri" w:cs="Calibri"/>
      <w:b w:val="0"/>
      <w:bCs w:val="0"/>
      <w:i w:val="0"/>
      <w:iCs w:val="0"/>
      <w:strike w:val="0"/>
      <w:dstrike w:val="0"/>
      <w:color w:val="000000"/>
      <w:sz w:val="20"/>
      <w:szCs w:val="20"/>
      <w:u w:val="none"/>
      <w:effect w:val="none"/>
    </w:rPr>
  </w:style>
  <w:style w:type="character" w:styleId="font541" w:customStyle="1">
    <w:name w:val="font541"/>
    <w:basedOn w:val="DefaultParagraphFont"/>
    <w:rsid w:val="006821DF"/>
    <w:rPr>
      <w:rFonts w:hint="default" w:ascii="Calibri" w:hAnsi="Calibri" w:cs="Calibri"/>
      <w:b/>
      <w:bCs/>
      <w:i/>
      <w:iCs/>
      <w:strike w:val="0"/>
      <w:dstrike w:val="0"/>
      <w:color w:val="000000"/>
      <w:sz w:val="20"/>
      <w:szCs w:val="20"/>
      <w:u w:val="none"/>
      <w:effect w:val="none"/>
    </w:rPr>
  </w:style>
  <w:style w:type="character" w:styleId="font101" w:customStyle="1">
    <w:name w:val="font101"/>
    <w:basedOn w:val="DefaultParagraphFont"/>
    <w:rsid w:val="006821DF"/>
    <w:rPr>
      <w:rFonts w:hint="default" w:ascii="Calibri" w:hAnsi="Calibri" w:cs="Calibri"/>
      <w:b w:val="0"/>
      <w:bCs w:val="0"/>
      <w:i w:val="0"/>
      <w:iCs w:val="0"/>
      <w:strike w:val="0"/>
      <w:dstrike w:val="0"/>
      <w:color w:val="000000"/>
      <w:sz w:val="20"/>
      <w:szCs w:val="20"/>
      <w:u w:val="none"/>
      <w:effect w:val="none"/>
    </w:rPr>
  </w:style>
  <w:style w:type="character" w:styleId="font601" w:customStyle="1">
    <w:name w:val="font601"/>
    <w:basedOn w:val="DefaultParagraphFont"/>
    <w:rsid w:val="006821DF"/>
    <w:rPr>
      <w:rFonts w:hint="default" w:ascii="Calibri" w:hAnsi="Calibri" w:cs="Calibri"/>
      <w:b/>
      <w:bCs/>
      <w:i/>
      <w:iCs/>
      <w:strike w:val="0"/>
      <w:dstrike w:val="0"/>
      <w:color w:val="auto"/>
      <w:sz w:val="20"/>
      <w:szCs w:val="20"/>
      <w:u w:val="none"/>
      <w:effect w:val="none"/>
    </w:rPr>
  </w:style>
  <w:style w:type="character" w:styleId="font591" w:customStyle="1">
    <w:name w:val="font591"/>
    <w:basedOn w:val="DefaultParagraphFont"/>
    <w:rsid w:val="006821DF"/>
    <w:rPr>
      <w:rFonts w:hint="default" w:ascii="Calibri" w:hAnsi="Calibri" w:cs="Calibri"/>
      <w:b w:val="0"/>
      <w:bCs w:val="0"/>
      <w:i w:val="0"/>
      <w:iCs w:val="0"/>
      <w:strike w:val="0"/>
      <w:dstrike w:val="0"/>
      <w:color w:val="auto"/>
      <w:sz w:val="20"/>
      <w:szCs w:val="20"/>
      <w:u w:val="none"/>
      <w:effect w:val="none"/>
    </w:rPr>
  </w:style>
  <w:style w:type="paragraph" w:styleId="CommentSubject">
    <w:name w:val="annotation subject"/>
    <w:basedOn w:val="CommentText"/>
    <w:next w:val="CommentText"/>
    <w:link w:val="CommentSubjectChar"/>
    <w:uiPriority w:val="99"/>
    <w:semiHidden/>
    <w:unhideWhenUsed/>
    <w:rsid w:val="00AE0FC9"/>
    <w:rPr>
      <w:b/>
      <w:bCs/>
    </w:rPr>
  </w:style>
  <w:style w:type="character" w:styleId="CommentSubjectChar" w:customStyle="1">
    <w:name w:val="Comment Subject Char"/>
    <w:basedOn w:val="CommentTextChar"/>
    <w:link w:val="CommentSubject"/>
    <w:uiPriority w:val="99"/>
    <w:semiHidden/>
    <w:rsid w:val="00AE0FC9"/>
    <w:rPr>
      <w:rFonts w:ascii="Arial" w:hAnsi="Arial"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448823124">
      <w:bodyDiv w:val="1"/>
      <w:marLeft w:val="0"/>
      <w:marRight w:val="0"/>
      <w:marTop w:val="0"/>
      <w:marBottom w:val="0"/>
      <w:divBdr>
        <w:top w:val="none" w:sz="0" w:space="0" w:color="auto"/>
        <w:left w:val="none" w:sz="0" w:space="0" w:color="auto"/>
        <w:bottom w:val="none" w:sz="0" w:space="0" w:color="auto"/>
        <w:right w:val="none" w:sz="0" w:space="0" w:color="auto"/>
      </w:divBdr>
      <w:divsChild>
        <w:div w:id="204948040">
          <w:marLeft w:val="0"/>
          <w:marRight w:val="0"/>
          <w:marTop w:val="0"/>
          <w:marBottom w:val="0"/>
          <w:divBdr>
            <w:top w:val="none" w:sz="0" w:space="0" w:color="auto"/>
            <w:left w:val="none" w:sz="0" w:space="0" w:color="auto"/>
            <w:bottom w:val="none" w:sz="0" w:space="0" w:color="auto"/>
            <w:right w:val="none" w:sz="0" w:space="0" w:color="auto"/>
          </w:divBdr>
          <w:divsChild>
            <w:div w:id="1791784205">
              <w:marLeft w:val="0"/>
              <w:marRight w:val="0"/>
              <w:marTop w:val="0"/>
              <w:marBottom w:val="0"/>
              <w:divBdr>
                <w:top w:val="none" w:sz="0" w:space="0" w:color="auto"/>
                <w:left w:val="none" w:sz="0" w:space="0" w:color="auto"/>
                <w:bottom w:val="none" w:sz="0" w:space="0" w:color="auto"/>
                <w:right w:val="none" w:sz="0" w:space="0" w:color="auto"/>
              </w:divBdr>
            </w:div>
          </w:divsChild>
        </w:div>
        <w:div w:id="223416929">
          <w:marLeft w:val="0"/>
          <w:marRight w:val="0"/>
          <w:marTop w:val="0"/>
          <w:marBottom w:val="0"/>
          <w:divBdr>
            <w:top w:val="none" w:sz="0" w:space="0" w:color="auto"/>
            <w:left w:val="none" w:sz="0" w:space="0" w:color="auto"/>
            <w:bottom w:val="none" w:sz="0" w:space="0" w:color="auto"/>
            <w:right w:val="none" w:sz="0" w:space="0" w:color="auto"/>
          </w:divBdr>
          <w:divsChild>
            <w:div w:id="1084644489">
              <w:marLeft w:val="0"/>
              <w:marRight w:val="0"/>
              <w:marTop w:val="0"/>
              <w:marBottom w:val="0"/>
              <w:divBdr>
                <w:top w:val="none" w:sz="0" w:space="0" w:color="auto"/>
                <w:left w:val="none" w:sz="0" w:space="0" w:color="auto"/>
                <w:bottom w:val="none" w:sz="0" w:space="0" w:color="auto"/>
                <w:right w:val="none" w:sz="0" w:space="0" w:color="auto"/>
              </w:divBdr>
            </w:div>
          </w:divsChild>
        </w:div>
        <w:div w:id="223875809">
          <w:marLeft w:val="0"/>
          <w:marRight w:val="0"/>
          <w:marTop w:val="0"/>
          <w:marBottom w:val="0"/>
          <w:divBdr>
            <w:top w:val="none" w:sz="0" w:space="0" w:color="auto"/>
            <w:left w:val="none" w:sz="0" w:space="0" w:color="auto"/>
            <w:bottom w:val="none" w:sz="0" w:space="0" w:color="auto"/>
            <w:right w:val="none" w:sz="0" w:space="0" w:color="auto"/>
          </w:divBdr>
          <w:divsChild>
            <w:div w:id="903836523">
              <w:marLeft w:val="0"/>
              <w:marRight w:val="0"/>
              <w:marTop w:val="0"/>
              <w:marBottom w:val="0"/>
              <w:divBdr>
                <w:top w:val="none" w:sz="0" w:space="0" w:color="auto"/>
                <w:left w:val="none" w:sz="0" w:space="0" w:color="auto"/>
                <w:bottom w:val="none" w:sz="0" w:space="0" w:color="auto"/>
                <w:right w:val="none" w:sz="0" w:space="0" w:color="auto"/>
              </w:divBdr>
            </w:div>
          </w:divsChild>
        </w:div>
        <w:div w:id="639966832">
          <w:marLeft w:val="0"/>
          <w:marRight w:val="0"/>
          <w:marTop w:val="0"/>
          <w:marBottom w:val="0"/>
          <w:divBdr>
            <w:top w:val="none" w:sz="0" w:space="0" w:color="auto"/>
            <w:left w:val="none" w:sz="0" w:space="0" w:color="auto"/>
            <w:bottom w:val="none" w:sz="0" w:space="0" w:color="auto"/>
            <w:right w:val="none" w:sz="0" w:space="0" w:color="auto"/>
          </w:divBdr>
          <w:divsChild>
            <w:div w:id="216744472">
              <w:marLeft w:val="0"/>
              <w:marRight w:val="0"/>
              <w:marTop w:val="0"/>
              <w:marBottom w:val="0"/>
              <w:divBdr>
                <w:top w:val="none" w:sz="0" w:space="0" w:color="auto"/>
                <w:left w:val="none" w:sz="0" w:space="0" w:color="auto"/>
                <w:bottom w:val="none" w:sz="0" w:space="0" w:color="auto"/>
                <w:right w:val="none" w:sz="0" w:space="0" w:color="auto"/>
              </w:divBdr>
            </w:div>
            <w:div w:id="428821258">
              <w:marLeft w:val="0"/>
              <w:marRight w:val="0"/>
              <w:marTop w:val="0"/>
              <w:marBottom w:val="0"/>
              <w:divBdr>
                <w:top w:val="none" w:sz="0" w:space="0" w:color="auto"/>
                <w:left w:val="none" w:sz="0" w:space="0" w:color="auto"/>
                <w:bottom w:val="none" w:sz="0" w:space="0" w:color="auto"/>
                <w:right w:val="none" w:sz="0" w:space="0" w:color="auto"/>
              </w:divBdr>
            </w:div>
            <w:div w:id="767581277">
              <w:marLeft w:val="0"/>
              <w:marRight w:val="0"/>
              <w:marTop w:val="0"/>
              <w:marBottom w:val="0"/>
              <w:divBdr>
                <w:top w:val="none" w:sz="0" w:space="0" w:color="auto"/>
                <w:left w:val="none" w:sz="0" w:space="0" w:color="auto"/>
                <w:bottom w:val="none" w:sz="0" w:space="0" w:color="auto"/>
                <w:right w:val="none" w:sz="0" w:space="0" w:color="auto"/>
              </w:divBdr>
            </w:div>
            <w:div w:id="1333609784">
              <w:marLeft w:val="0"/>
              <w:marRight w:val="0"/>
              <w:marTop w:val="0"/>
              <w:marBottom w:val="0"/>
              <w:divBdr>
                <w:top w:val="none" w:sz="0" w:space="0" w:color="auto"/>
                <w:left w:val="none" w:sz="0" w:space="0" w:color="auto"/>
                <w:bottom w:val="none" w:sz="0" w:space="0" w:color="auto"/>
                <w:right w:val="none" w:sz="0" w:space="0" w:color="auto"/>
              </w:divBdr>
            </w:div>
            <w:div w:id="1682511271">
              <w:marLeft w:val="0"/>
              <w:marRight w:val="0"/>
              <w:marTop w:val="0"/>
              <w:marBottom w:val="0"/>
              <w:divBdr>
                <w:top w:val="none" w:sz="0" w:space="0" w:color="auto"/>
                <w:left w:val="none" w:sz="0" w:space="0" w:color="auto"/>
                <w:bottom w:val="none" w:sz="0" w:space="0" w:color="auto"/>
                <w:right w:val="none" w:sz="0" w:space="0" w:color="auto"/>
              </w:divBdr>
            </w:div>
          </w:divsChild>
        </w:div>
        <w:div w:id="673654833">
          <w:marLeft w:val="0"/>
          <w:marRight w:val="0"/>
          <w:marTop w:val="0"/>
          <w:marBottom w:val="0"/>
          <w:divBdr>
            <w:top w:val="none" w:sz="0" w:space="0" w:color="auto"/>
            <w:left w:val="none" w:sz="0" w:space="0" w:color="auto"/>
            <w:bottom w:val="none" w:sz="0" w:space="0" w:color="auto"/>
            <w:right w:val="none" w:sz="0" w:space="0" w:color="auto"/>
          </w:divBdr>
          <w:divsChild>
            <w:div w:id="226381040">
              <w:marLeft w:val="0"/>
              <w:marRight w:val="0"/>
              <w:marTop w:val="0"/>
              <w:marBottom w:val="0"/>
              <w:divBdr>
                <w:top w:val="none" w:sz="0" w:space="0" w:color="auto"/>
                <w:left w:val="none" w:sz="0" w:space="0" w:color="auto"/>
                <w:bottom w:val="none" w:sz="0" w:space="0" w:color="auto"/>
                <w:right w:val="none" w:sz="0" w:space="0" w:color="auto"/>
              </w:divBdr>
            </w:div>
            <w:div w:id="399791558">
              <w:marLeft w:val="0"/>
              <w:marRight w:val="0"/>
              <w:marTop w:val="0"/>
              <w:marBottom w:val="0"/>
              <w:divBdr>
                <w:top w:val="none" w:sz="0" w:space="0" w:color="auto"/>
                <w:left w:val="none" w:sz="0" w:space="0" w:color="auto"/>
                <w:bottom w:val="none" w:sz="0" w:space="0" w:color="auto"/>
                <w:right w:val="none" w:sz="0" w:space="0" w:color="auto"/>
              </w:divBdr>
            </w:div>
            <w:div w:id="1054625978">
              <w:marLeft w:val="0"/>
              <w:marRight w:val="0"/>
              <w:marTop w:val="0"/>
              <w:marBottom w:val="0"/>
              <w:divBdr>
                <w:top w:val="none" w:sz="0" w:space="0" w:color="auto"/>
                <w:left w:val="none" w:sz="0" w:space="0" w:color="auto"/>
                <w:bottom w:val="none" w:sz="0" w:space="0" w:color="auto"/>
                <w:right w:val="none" w:sz="0" w:space="0" w:color="auto"/>
              </w:divBdr>
            </w:div>
            <w:div w:id="1072048168">
              <w:marLeft w:val="0"/>
              <w:marRight w:val="0"/>
              <w:marTop w:val="0"/>
              <w:marBottom w:val="0"/>
              <w:divBdr>
                <w:top w:val="none" w:sz="0" w:space="0" w:color="auto"/>
                <w:left w:val="none" w:sz="0" w:space="0" w:color="auto"/>
                <w:bottom w:val="none" w:sz="0" w:space="0" w:color="auto"/>
                <w:right w:val="none" w:sz="0" w:space="0" w:color="auto"/>
              </w:divBdr>
            </w:div>
          </w:divsChild>
        </w:div>
        <w:div w:id="712002800">
          <w:marLeft w:val="0"/>
          <w:marRight w:val="0"/>
          <w:marTop w:val="0"/>
          <w:marBottom w:val="0"/>
          <w:divBdr>
            <w:top w:val="none" w:sz="0" w:space="0" w:color="auto"/>
            <w:left w:val="none" w:sz="0" w:space="0" w:color="auto"/>
            <w:bottom w:val="none" w:sz="0" w:space="0" w:color="auto"/>
            <w:right w:val="none" w:sz="0" w:space="0" w:color="auto"/>
          </w:divBdr>
          <w:divsChild>
            <w:div w:id="348458286">
              <w:marLeft w:val="0"/>
              <w:marRight w:val="0"/>
              <w:marTop w:val="0"/>
              <w:marBottom w:val="0"/>
              <w:divBdr>
                <w:top w:val="none" w:sz="0" w:space="0" w:color="auto"/>
                <w:left w:val="none" w:sz="0" w:space="0" w:color="auto"/>
                <w:bottom w:val="none" w:sz="0" w:space="0" w:color="auto"/>
                <w:right w:val="none" w:sz="0" w:space="0" w:color="auto"/>
              </w:divBdr>
            </w:div>
          </w:divsChild>
        </w:div>
        <w:div w:id="1190222567">
          <w:marLeft w:val="0"/>
          <w:marRight w:val="0"/>
          <w:marTop w:val="0"/>
          <w:marBottom w:val="0"/>
          <w:divBdr>
            <w:top w:val="none" w:sz="0" w:space="0" w:color="auto"/>
            <w:left w:val="none" w:sz="0" w:space="0" w:color="auto"/>
            <w:bottom w:val="none" w:sz="0" w:space="0" w:color="auto"/>
            <w:right w:val="none" w:sz="0" w:space="0" w:color="auto"/>
          </w:divBdr>
          <w:divsChild>
            <w:div w:id="1713840739">
              <w:marLeft w:val="0"/>
              <w:marRight w:val="0"/>
              <w:marTop w:val="0"/>
              <w:marBottom w:val="0"/>
              <w:divBdr>
                <w:top w:val="none" w:sz="0" w:space="0" w:color="auto"/>
                <w:left w:val="none" w:sz="0" w:space="0" w:color="auto"/>
                <w:bottom w:val="none" w:sz="0" w:space="0" w:color="auto"/>
                <w:right w:val="none" w:sz="0" w:space="0" w:color="auto"/>
              </w:divBdr>
            </w:div>
          </w:divsChild>
        </w:div>
        <w:div w:id="1269047110">
          <w:marLeft w:val="0"/>
          <w:marRight w:val="0"/>
          <w:marTop w:val="0"/>
          <w:marBottom w:val="0"/>
          <w:divBdr>
            <w:top w:val="none" w:sz="0" w:space="0" w:color="auto"/>
            <w:left w:val="none" w:sz="0" w:space="0" w:color="auto"/>
            <w:bottom w:val="none" w:sz="0" w:space="0" w:color="auto"/>
            <w:right w:val="none" w:sz="0" w:space="0" w:color="auto"/>
          </w:divBdr>
          <w:divsChild>
            <w:div w:id="1812013240">
              <w:marLeft w:val="0"/>
              <w:marRight w:val="0"/>
              <w:marTop w:val="0"/>
              <w:marBottom w:val="0"/>
              <w:divBdr>
                <w:top w:val="none" w:sz="0" w:space="0" w:color="auto"/>
                <w:left w:val="none" w:sz="0" w:space="0" w:color="auto"/>
                <w:bottom w:val="none" w:sz="0" w:space="0" w:color="auto"/>
                <w:right w:val="none" w:sz="0" w:space="0" w:color="auto"/>
              </w:divBdr>
            </w:div>
          </w:divsChild>
        </w:div>
        <w:div w:id="1407612884">
          <w:marLeft w:val="0"/>
          <w:marRight w:val="0"/>
          <w:marTop w:val="0"/>
          <w:marBottom w:val="0"/>
          <w:divBdr>
            <w:top w:val="none" w:sz="0" w:space="0" w:color="auto"/>
            <w:left w:val="none" w:sz="0" w:space="0" w:color="auto"/>
            <w:bottom w:val="none" w:sz="0" w:space="0" w:color="auto"/>
            <w:right w:val="none" w:sz="0" w:space="0" w:color="auto"/>
          </w:divBdr>
          <w:divsChild>
            <w:div w:id="1257245589">
              <w:marLeft w:val="0"/>
              <w:marRight w:val="0"/>
              <w:marTop w:val="0"/>
              <w:marBottom w:val="0"/>
              <w:divBdr>
                <w:top w:val="none" w:sz="0" w:space="0" w:color="auto"/>
                <w:left w:val="none" w:sz="0" w:space="0" w:color="auto"/>
                <w:bottom w:val="none" w:sz="0" w:space="0" w:color="auto"/>
                <w:right w:val="none" w:sz="0" w:space="0" w:color="auto"/>
              </w:divBdr>
            </w:div>
          </w:divsChild>
        </w:div>
        <w:div w:id="1409888888">
          <w:marLeft w:val="0"/>
          <w:marRight w:val="0"/>
          <w:marTop w:val="0"/>
          <w:marBottom w:val="0"/>
          <w:divBdr>
            <w:top w:val="none" w:sz="0" w:space="0" w:color="auto"/>
            <w:left w:val="none" w:sz="0" w:space="0" w:color="auto"/>
            <w:bottom w:val="none" w:sz="0" w:space="0" w:color="auto"/>
            <w:right w:val="none" w:sz="0" w:space="0" w:color="auto"/>
          </w:divBdr>
          <w:divsChild>
            <w:div w:id="1181093174">
              <w:marLeft w:val="0"/>
              <w:marRight w:val="0"/>
              <w:marTop w:val="0"/>
              <w:marBottom w:val="0"/>
              <w:divBdr>
                <w:top w:val="none" w:sz="0" w:space="0" w:color="auto"/>
                <w:left w:val="none" w:sz="0" w:space="0" w:color="auto"/>
                <w:bottom w:val="none" w:sz="0" w:space="0" w:color="auto"/>
                <w:right w:val="none" w:sz="0" w:space="0" w:color="auto"/>
              </w:divBdr>
            </w:div>
          </w:divsChild>
        </w:div>
        <w:div w:id="1441220388">
          <w:marLeft w:val="0"/>
          <w:marRight w:val="0"/>
          <w:marTop w:val="0"/>
          <w:marBottom w:val="0"/>
          <w:divBdr>
            <w:top w:val="none" w:sz="0" w:space="0" w:color="auto"/>
            <w:left w:val="none" w:sz="0" w:space="0" w:color="auto"/>
            <w:bottom w:val="none" w:sz="0" w:space="0" w:color="auto"/>
            <w:right w:val="none" w:sz="0" w:space="0" w:color="auto"/>
          </w:divBdr>
          <w:divsChild>
            <w:div w:id="1070539330">
              <w:marLeft w:val="0"/>
              <w:marRight w:val="0"/>
              <w:marTop w:val="0"/>
              <w:marBottom w:val="0"/>
              <w:divBdr>
                <w:top w:val="none" w:sz="0" w:space="0" w:color="auto"/>
                <w:left w:val="none" w:sz="0" w:space="0" w:color="auto"/>
                <w:bottom w:val="none" w:sz="0" w:space="0" w:color="auto"/>
                <w:right w:val="none" w:sz="0" w:space="0" w:color="auto"/>
              </w:divBdr>
            </w:div>
          </w:divsChild>
        </w:div>
        <w:div w:id="1607038422">
          <w:marLeft w:val="0"/>
          <w:marRight w:val="0"/>
          <w:marTop w:val="0"/>
          <w:marBottom w:val="0"/>
          <w:divBdr>
            <w:top w:val="none" w:sz="0" w:space="0" w:color="auto"/>
            <w:left w:val="none" w:sz="0" w:space="0" w:color="auto"/>
            <w:bottom w:val="none" w:sz="0" w:space="0" w:color="auto"/>
            <w:right w:val="none" w:sz="0" w:space="0" w:color="auto"/>
          </w:divBdr>
          <w:divsChild>
            <w:div w:id="197549383">
              <w:marLeft w:val="0"/>
              <w:marRight w:val="0"/>
              <w:marTop w:val="0"/>
              <w:marBottom w:val="0"/>
              <w:divBdr>
                <w:top w:val="none" w:sz="0" w:space="0" w:color="auto"/>
                <w:left w:val="none" w:sz="0" w:space="0" w:color="auto"/>
                <w:bottom w:val="none" w:sz="0" w:space="0" w:color="auto"/>
                <w:right w:val="none" w:sz="0" w:space="0" w:color="auto"/>
              </w:divBdr>
            </w:div>
            <w:div w:id="264390820">
              <w:marLeft w:val="0"/>
              <w:marRight w:val="0"/>
              <w:marTop w:val="0"/>
              <w:marBottom w:val="0"/>
              <w:divBdr>
                <w:top w:val="none" w:sz="0" w:space="0" w:color="auto"/>
                <w:left w:val="none" w:sz="0" w:space="0" w:color="auto"/>
                <w:bottom w:val="none" w:sz="0" w:space="0" w:color="auto"/>
                <w:right w:val="none" w:sz="0" w:space="0" w:color="auto"/>
              </w:divBdr>
            </w:div>
            <w:div w:id="703402390">
              <w:marLeft w:val="0"/>
              <w:marRight w:val="0"/>
              <w:marTop w:val="0"/>
              <w:marBottom w:val="0"/>
              <w:divBdr>
                <w:top w:val="none" w:sz="0" w:space="0" w:color="auto"/>
                <w:left w:val="none" w:sz="0" w:space="0" w:color="auto"/>
                <w:bottom w:val="none" w:sz="0" w:space="0" w:color="auto"/>
                <w:right w:val="none" w:sz="0" w:space="0" w:color="auto"/>
              </w:divBdr>
            </w:div>
            <w:div w:id="1020475849">
              <w:marLeft w:val="0"/>
              <w:marRight w:val="0"/>
              <w:marTop w:val="0"/>
              <w:marBottom w:val="0"/>
              <w:divBdr>
                <w:top w:val="none" w:sz="0" w:space="0" w:color="auto"/>
                <w:left w:val="none" w:sz="0" w:space="0" w:color="auto"/>
                <w:bottom w:val="none" w:sz="0" w:space="0" w:color="auto"/>
                <w:right w:val="none" w:sz="0" w:space="0" w:color="auto"/>
              </w:divBdr>
            </w:div>
            <w:div w:id="1065953852">
              <w:marLeft w:val="0"/>
              <w:marRight w:val="0"/>
              <w:marTop w:val="0"/>
              <w:marBottom w:val="0"/>
              <w:divBdr>
                <w:top w:val="none" w:sz="0" w:space="0" w:color="auto"/>
                <w:left w:val="none" w:sz="0" w:space="0" w:color="auto"/>
                <w:bottom w:val="none" w:sz="0" w:space="0" w:color="auto"/>
                <w:right w:val="none" w:sz="0" w:space="0" w:color="auto"/>
              </w:divBdr>
            </w:div>
            <w:div w:id="1254899722">
              <w:marLeft w:val="0"/>
              <w:marRight w:val="0"/>
              <w:marTop w:val="0"/>
              <w:marBottom w:val="0"/>
              <w:divBdr>
                <w:top w:val="none" w:sz="0" w:space="0" w:color="auto"/>
                <w:left w:val="none" w:sz="0" w:space="0" w:color="auto"/>
                <w:bottom w:val="none" w:sz="0" w:space="0" w:color="auto"/>
                <w:right w:val="none" w:sz="0" w:space="0" w:color="auto"/>
              </w:divBdr>
            </w:div>
            <w:div w:id="1357459661">
              <w:marLeft w:val="0"/>
              <w:marRight w:val="0"/>
              <w:marTop w:val="0"/>
              <w:marBottom w:val="0"/>
              <w:divBdr>
                <w:top w:val="none" w:sz="0" w:space="0" w:color="auto"/>
                <w:left w:val="none" w:sz="0" w:space="0" w:color="auto"/>
                <w:bottom w:val="none" w:sz="0" w:space="0" w:color="auto"/>
                <w:right w:val="none" w:sz="0" w:space="0" w:color="auto"/>
              </w:divBdr>
            </w:div>
            <w:div w:id="1491485131">
              <w:marLeft w:val="0"/>
              <w:marRight w:val="0"/>
              <w:marTop w:val="0"/>
              <w:marBottom w:val="0"/>
              <w:divBdr>
                <w:top w:val="none" w:sz="0" w:space="0" w:color="auto"/>
                <w:left w:val="none" w:sz="0" w:space="0" w:color="auto"/>
                <w:bottom w:val="none" w:sz="0" w:space="0" w:color="auto"/>
                <w:right w:val="none" w:sz="0" w:space="0" w:color="auto"/>
              </w:divBdr>
            </w:div>
          </w:divsChild>
        </w:div>
        <w:div w:id="1752659393">
          <w:marLeft w:val="0"/>
          <w:marRight w:val="0"/>
          <w:marTop w:val="0"/>
          <w:marBottom w:val="0"/>
          <w:divBdr>
            <w:top w:val="none" w:sz="0" w:space="0" w:color="auto"/>
            <w:left w:val="none" w:sz="0" w:space="0" w:color="auto"/>
            <w:bottom w:val="none" w:sz="0" w:space="0" w:color="auto"/>
            <w:right w:val="none" w:sz="0" w:space="0" w:color="auto"/>
          </w:divBdr>
          <w:divsChild>
            <w:div w:id="1303776500">
              <w:marLeft w:val="0"/>
              <w:marRight w:val="0"/>
              <w:marTop w:val="0"/>
              <w:marBottom w:val="0"/>
              <w:divBdr>
                <w:top w:val="none" w:sz="0" w:space="0" w:color="auto"/>
                <w:left w:val="none" w:sz="0" w:space="0" w:color="auto"/>
                <w:bottom w:val="none" w:sz="0" w:space="0" w:color="auto"/>
                <w:right w:val="none" w:sz="0" w:space="0" w:color="auto"/>
              </w:divBdr>
            </w:div>
          </w:divsChild>
        </w:div>
        <w:div w:id="1773940012">
          <w:marLeft w:val="0"/>
          <w:marRight w:val="0"/>
          <w:marTop w:val="0"/>
          <w:marBottom w:val="0"/>
          <w:divBdr>
            <w:top w:val="none" w:sz="0" w:space="0" w:color="auto"/>
            <w:left w:val="none" w:sz="0" w:space="0" w:color="auto"/>
            <w:bottom w:val="none" w:sz="0" w:space="0" w:color="auto"/>
            <w:right w:val="none" w:sz="0" w:space="0" w:color="auto"/>
          </w:divBdr>
          <w:divsChild>
            <w:div w:id="558247468">
              <w:marLeft w:val="0"/>
              <w:marRight w:val="0"/>
              <w:marTop w:val="0"/>
              <w:marBottom w:val="0"/>
              <w:divBdr>
                <w:top w:val="none" w:sz="0" w:space="0" w:color="auto"/>
                <w:left w:val="none" w:sz="0" w:space="0" w:color="auto"/>
                <w:bottom w:val="none" w:sz="0" w:space="0" w:color="auto"/>
                <w:right w:val="none" w:sz="0" w:space="0" w:color="auto"/>
              </w:divBdr>
            </w:div>
          </w:divsChild>
        </w:div>
        <w:div w:id="1793937253">
          <w:marLeft w:val="0"/>
          <w:marRight w:val="0"/>
          <w:marTop w:val="0"/>
          <w:marBottom w:val="0"/>
          <w:divBdr>
            <w:top w:val="none" w:sz="0" w:space="0" w:color="auto"/>
            <w:left w:val="none" w:sz="0" w:space="0" w:color="auto"/>
            <w:bottom w:val="none" w:sz="0" w:space="0" w:color="auto"/>
            <w:right w:val="none" w:sz="0" w:space="0" w:color="auto"/>
          </w:divBdr>
          <w:divsChild>
            <w:div w:id="1696730032">
              <w:marLeft w:val="0"/>
              <w:marRight w:val="0"/>
              <w:marTop w:val="0"/>
              <w:marBottom w:val="0"/>
              <w:divBdr>
                <w:top w:val="none" w:sz="0" w:space="0" w:color="auto"/>
                <w:left w:val="none" w:sz="0" w:space="0" w:color="auto"/>
                <w:bottom w:val="none" w:sz="0" w:space="0" w:color="auto"/>
                <w:right w:val="none" w:sz="0" w:space="0" w:color="auto"/>
              </w:divBdr>
            </w:div>
          </w:divsChild>
        </w:div>
        <w:div w:id="1829637876">
          <w:marLeft w:val="0"/>
          <w:marRight w:val="0"/>
          <w:marTop w:val="0"/>
          <w:marBottom w:val="0"/>
          <w:divBdr>
            <w:top w:val="none" w:sz="0" w:space="0" w:color="auto"/>
            <w:left w:val="none" w:sz="0" w:space="0" w:color="auto"/>
            <w:bottom w:val="none" w:sz="0" w:space="0" w:color="auto"/>
            <w:right w:val="none" w:sz="0" w:space="0" w:color="auto"/>
          </w:divBdr>
          <w:divsChild>
            <w:div w:id="975258598">
              <w:marLeft w:val="0"/>
              <w:marRight w:val="0"/>
              <w:marTop w:val="0"/>
              <w:marBottom w:val="0"/>
              <w:divBdr>
                <w:top w:val="none" w:sz="0" w:space="0" w:color="auto"/>
                <w:left w:val="none" w:sz="0" w:space="0" w:color="auto"/>
                <w:bottom w:val="none" w:sz="0" w:space="0" w:color="auto"/>
                <w:right w:val="none" w:sz="0" w:space="0" w:color="auto"/>
              </w:divBdr>
            </w:div>
          </w:divsChild>
        </w:div>
        <w:div w:id="1885672812">
          <w:marLeft w:val="0"/>
          <w:marRight w:val="0"/>
          <w:marTop w:val="0"/>
          <w:marBottom w:val="0"/>
          <w:divBdr>
            <w:top w:val="none" w:sz="0" w:space="0" w:color="auto"/>
            <w:left w:val="none" w:sz="0" w:space="0" w:color="auto"/>
            <w:bottom w:val="none" w:sz="0" w:space="0" w:color="auto"/>
            <w:right w:val="none" w:sz="0" w:space="0" w:color="auto"/>
          </w:divBdr>
          <w:divsChild>
            <w:div w:id="16205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nationalarchives.gov.uk/doc/open-government-licence/version/3/" TargetMode="External" Id="rId13" /><Relationship Type="http://schemas.openxmlformats.org/officeDocument/2006/relationships/hyperlink" Target="http://www.aidstream.org/files/documents/FCPF-C-Extension-Business-Case-2015.pdf"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www.aidstream.org/files/documents/BioCF-and-FCPF-Business-Case.pdf"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devtracker.fcdo.gov.uk/projects/GB-GOV-13-ICF-0017-FCPF/documents" TargetMode="External" Id="rId16" /><Relationship Type="http://schemas.microsoft.com/office/2011/relationships/commentsExtended" Target="commentsExtended.xm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openxmlformats.org/officeDocument/2006/relationships/customXml" Target="../customXml/item5.xml" Id="rId5" /><Relationship Type="http://schemas.openxmlformats.org/officeDocument/2006/relationships/hyperlink" Target="mailto:ODA-Transparency@beis.gov.uk" TargetMode="External" Id="rId15"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psi@nationalarchives.gsi.gov.uk" TargetMode="External" Id="rId14" /><Relationship Type="http://schemas.openxmlformats.org/officeDocument/2006/relationships/footer" Target="footer2.xml" Id="rId27" /><Relationship Type="http://schemas.openxmlformats.org/officeDocument/2006/relationships/theme" Target="theme/theme1.xml" Id="rId30" /><Relationship Type="http://schemas.openxmlformats.org/officeDocument/2006/relationships/glossaryDocument" Target="glossary/document.xml" Id="R78e752706e2744a0" /><Relationship Type="http://schemas.openxmlformats.org/officeDocument/2006/relationships/hyperlink" Target="https://devtracker.fcdo.gov.uk/programme/GB-GOV-13-ICF-0017-FCPF/documents" TargetMode="External" Id="Rea703d8affa34619" /><Relationship Type="http://schemas.openxmlformats.org/officeDocument/2006/relationships/hyperlink" Target="https://devtracker.fcdo.gov.uk/programme/GB-GOV-13-ICF-0017-FCPF/documents" TargetMode="External" Id="R8b52a5fa6bf4445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584f0985-4509-4212-aa12-80d631cd485b}"/>
      </w:docPartPr>
      <w:docPartBody>
        <w:p xmlns:wp14="http://schemas.microsoft.com/office/word/2010/wordml" w14:paraId="54B55923"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"Name": "BEIS Annual Review Template April 2020.docx",
  "Title": "Annual Review Template_April 2020",
  "External": "",
  "Document Notes": "",
  "Security Classification": "OFFICIAL",
  "Handling Instructions": "",
  "Descriptor": "",
  "Government Body": "BEIS",
  "Business Unit": "BEIS:Energy, Transformation and Clean Growth:International (Climate and Energy):International Climate Finance",
  "Retention Label": "Corp PPP Review",
  "Date Opened": "2020-04-17T10:35:13.0000000Z",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"2020-04-17T10:35:16.0000000Z",
  "Document Modified By": "i:0#.f|membership|william.smithers@beis.gov.uk",
  "Document Created By": "i:0#.f|membership|william.smithers@beis.gov.uk",
  "Document ID Value": "2QFN7KK647Q6-169810503-3609",
  "Modified": "2020-06-12T15:11:14.0000000Z",
  "Original Location": "/sites/beis/201/Portfolio/Project Monitoring and Delivery/Annual Reviews/BEIS Annual Review Template April 2020.docx"
}</LegacyData>
    <_dlc_DocId xmlns="839018be-1fd5-46c8-bb5f-8e5f297ce001">N3MC4NMT5URJ-1164569100-6958</_dlc_DocId>
    <TaxCatchAll xmlns="839018be-1fd5-46c8-bb5f-8e5f297ce001">
      <Value>3</Value>
      <Value>2</Value>
      <Value>1</Value>
    </TaxCatchAll>
    <_dlc_DocIdUrl xmlns="839018be-1fd5-46c8-bb5f-8e5f297ce001">
      <Url>https://beisgov.sharepoint.com/sites/InternationalForests-EXT-OS/_layouts/15/DocIdRedir.aspx?ID=N3MC4NMT5URJ-1164569100-6958</Url>
      <Description>N3MC4NMT5URJ-1164569100-6958</Description>
    </_dlc_DocIdUrl>
    <SharedWithUsers xmlns="839018be-1fd5-46c8-bb5f-8e5f297ce001">
      <UserInfo>
        <DisplayName>Willson2, Maddy (DSIT)</DisplayName>
        <AccountId>1135</AccountId>
        <AccountType/>
      </UserInfo>
      <UserInfo>
        <DisplayName>SharingLinks.aa9d19f2-aff1-4585-96a6-865f7d89ef0f.OrganizationEdit.0955bf7c-9f97-4943-92cb-7c067f50063c</DisplayName>
        <AccountId>1134</AccountId>
        <AccountType/>
      </UserInfo>
      <UserInfo>
        <DisplayName>Hampton-Ball, Simon (Energy Security)</DisplayName>
        <AccountId>1136</AccountId>
        <AccountType/>
      </UserInfo>
      <UserInfo>
        <DisplayName>Oliver, Alison (Energy Security)</DisplayName>
        <AccountId>1489</AccountId>
        <AccountType/>
      </UserInfo>
      <UserInfo>
        <DisplayName>Pastore, Anna (Energy Security)</DisplayName>
        <AccountId>1436</AccountId>
        <AccountType/>
      </UserInfo>
      <UserInfo>
        <DisplayName>Mcneill, Tim (Energy Security)</DisplayName>
        <AccountId>1191</AccountId>
        <AccountType/>
      </UserInfo>
      <UserInfo>
        <DisplayName>SharingLinks.87dbe046-2183-441b-8941-5b92d9022cbd.Flexible.14756ac5-7b11-4b8b-b25d-1b94f8cd5056</DisplayName>
        <AccountId>1268</AccountId>
        <AccountType/>
      </UserInfo>
      <UserInfo>
        <DisplayName>dowen2, kate (Energy Security)</DisplayName>
        <AccountId>1433</AccountId>
        <AccountType/>
      </UserInfo>
      <UserInfo>
        <DisplayName>SharingLinks.08efe6c6-a914-4137-b8b1-e784e750fcbd.Flexible.47c397e4-d5f9-4617-9b0e-b5d53f04a4b4</DisplayName>
        <AccountId>534</AccountId>
        <AccountType/>
      </UserInfo>
      <UserInfo>
        <DisplayName>DESNZ Governance Secretariat</DisplayName>
        <AccountId>1518</AccountId>
        <AccountType/>
      </UserInfo>
      <UserInfo>
        <DisplayName>SharingLinks.cb256f5c-6bad-4e0b-b472-c39ee15063f2.Flexible.6a25cbdd-4132-4e60-a393-6f9f5d049706</DisplayName>
        <AccountId>282</AccountId>
        <AccountType/>
      </UserInfo>
      <UserInfo>
        <DisplayName>Monteiro Grilo Baguenier, Mariana (Energy Security)</DisplayName>
        <AccountId>539</AccountId>
        <AccountType/>
      </UserInfo>
      <UserInfo>
        <DisplayName>zz_Sobey, Martine (NZSI - International Forests Hub)</DisplayName>
        <AccountId>13</AccountId>
        <AccountType/>
      </UserInfo>
      <UserInfo>
        <DisplayName>kitty.raven</DisplayName>
        <AccountId>66</AccountId>
        <AccountType/>
      </UserInfo>
      <UserInfo>
        <DisplayName>SharingLinks.e9053380-c7ae-4b06-8201-af33cf5daed2.Flexible.2398f3f9-2da6-4f47-9a57-b5ad0499e221</DisplayName>
        <AccountId>142</AccountId>
        <AccountType/>
      </UserInfo>
      <UserInfo>
        <DisplayName>zz_Stathakopoulou, Christina (NZSI - International Net Zero)</DisplayName>
        <AccountId>219</AccountId>
        <AccountType/>
      </UserInfo>
      <UserInfo>
        <DisplayName>gaby.rivera</DisplayName>
        <AccountId>104</AccountId>
        <AccountType/>
      </UserInfo>
      <UserInfo>
        <DisplayName>Alex Berland</DisplayName>
        <AccountId>245</AccountId>
        <AccountType/>
      </UserInfo>
      <UserInfo>
        <DisplayName>Steve Arthur</DisplayName>
        <AccountId>37</AccountId>
        <AccountType/>
      </UserInfo>
      <UserInfo>
        <DisplayName>Secretary Of State (Energy Security)</DisplayName>
        <AccountId>81</AccountId>
        <AccountType/>
      </UserInfo>
      <UserInfo>
        <DisplayName>SharingLinks.7e6b33b4-7b97-4bc5-99c9-3c61e5b4bd7f.OrganizationEdit.b0d1b6ce-5fe3-4484-a3b8-817bcef0bba5</DisplayName>
        <AccountId>218</AccountId>
        <AccountType/>
      </UserInfo>
      <UserInfo>
        <DisplayName>SharingLinks.f94d703b-dab5-478d-921c-cb653f58c4f7.Flexible.565397c1-c75c-40c7-aac0-b4f70fa3eb84</DisplayName>
        <AccountId>72</AccountId>
        <AccountType/>
      </UserInfo>
      <UserInfo>
        <DisplayName>SharingLinks.f3dec951-c903-4898-a11e-710c49a93e6c.OrganizationEdit.2e490cdb-8d06-4727-8f5a-f20282ffdcb0</DisplayName>
        <AccountId>123</AccountId>
        <AccountType/>
      </UserInfo>
      <UserInfo>
        <DisplayName>SharingLinks.ab34ecd1-391f-4afb-a3dd-5f74a2f46fc3.OrganizationEdit.df7ce55c-be21-4bb3-8286-ce4030f6e3e8</DisplayName>
        <AccountId>162</AccountId>
        <AccountType/>
      </UserInfo>
      <UserInfo>
        <DisplayName>Noronha, Rachel (Energy Security)</DisplayName>
        <AccountId>267</AccountId>
        <AccountType/>
      </UserInfo>
      <UserInfo>
        <DisplayName>SharingLinks.860996bd-4ec7-40e2-bb5e-472e9d7b2927.OrganizationEdit.4e002803-dfbb-4f7f-a446-a895235aecfb</DisplayName>
        <AccountId>87</AccountId>
        <AccountType/>
      </UserInfo>
      <UserInfo>
        <DisplayName>SharingLinks.0239cde8-46b2-47ac-988e-bce9b727c9dd.OrganizationEdit.82fb9e58-6236-4fb8-86d2-afa4e3fe33c6</DisplayName>
        <AccountId>607</AccountId>
        <AccountType/>
      </UserInfo>
      <UserInfo>
        <DisplayName>SharingLinks.526ff98c-46a0-4fc8-ac18-e2e61fb0fc47.Flexible.c98e014d-1e65-43d0-9deb-790536d0632a</DisplayName>
        <AccountId>608</AccountId>
        <AccountType/>
      </UserInfo>
      <UserInfo>
        <DisplayName>SharingLinks.3b295f94-7dc0-42bd-852d-e4c678bf4cbf.OrganizationEdit.a73b1b21-386a-49bd-bad4-e87599ddc12a</DisplayName>
        <AccountId>606</AccountId>
        <AccountType/>
      </UserInfo>
      <UserInfo>
        <DisplayName>SharingLinks.0900daba-0fb9-413c-9985-ca6c4ed89b16.OrganizationEdit.fef6ead6-b462-47ee-bc5a-665d1b9e7990</DisplayName>
        <AccountId>187</AccountId>
        <AccountType/>
      </UserInfo>
      <UserInfo>
        <DisplayName>Katie Ingrey</DisplayName>
        <AccountId>723</AccountId>
        <AccountType/>
      </UserInfo>
      <UserInfo>
        <DisplayName>SharingLinks.68f189d5-3813-48d6-a51f-1deb7dd51e9f.OrganizationEdit.b89d68df-3c7c-4b03-8278-94169192b0ec</DisplayName>
        <AccountId>54</AccountId>
        <AccountType/>
      </UserInfo>
      <UserInfo>
        <DisplayName>Mcgowan, Elspeth (Energy Security)</DisplayName>
        <AccountId>190</AccountId>
        <AccountType/>
      </UserInfo>
      <UserInfo>
        <DisplayName>SharingLinks.0d593ddb-179a-491f-9ae5-022397333ddb.OrganizationEdit.f60b7afe-05b8-49a2-9b32-87ac23f31535</DisplayName>
        <AccountId>101</AccountId>
        <AccountType/>
      </UserInfo>
      <UserInfo>
        <DisplayName>neil.scotland</DisplayName>
        <AccountId>15</AccountId>
        <AccountType/>
      </UserInfo>
      <UserInfo>
        <DisplayName>zz_Mckay, Jessica (Policy Strategy &amp; Private Office)</DisplayName>
        <AccountId>80</AccountId>
        <AccountType/>
      </UserInfo>
      <UserInfo>
        <DisplayName>Patel, Savitri (Energy Security)</DisplayName>
        <AccountId>53</AccountId>
        <AccountType/>
      </UserInfo>
      <UserInfo>
        <DisplayName>SharingLinks.1547bc54-0a72-4d1a-96a0-174062e4965f.Flexible.9c99cbc1-136b-408b-90d3-1053a3b8c85e</DisplayName>
        <AccountId>306</AccountId>
        <AccountType/>
      </UserInfo>
      <UserInfo>
        <DisplayName>Hall1, Miriam</DisplayName>
        <AccountId>68</AccountId>
        <AccountType/>
      </UserInfo>
      <UserInfo>
        <DisplayName>zz_Thornley, Thomas (Intl Climate Finance - Investments)</DisplayName>
        <AccountId>99</AccountId>
        <AccountType/>
      </UserInfo>
      <UserInfo>
        <DisplayName>SharingLinks.a04fe04c-5271-499e-b073-9a189e69f1da.Flexible.2e9314b6-5240-49a5-b5e9-90d46ce086e9</DisplayName>
        <AccountId>183</AccountId>
        <AccountType/>
      </UserInfo>
      <UserInfo>
        <DisplayName>Smithers, William (Energy Security)</DisplayName>
        <AccountId>106</AccountId>
        <AccountType/>
      </UserInfo>
      <UserInfo>
        <DisplayName>Millar, Nico (Energy Security)</DisplayName>
        <AccountId>1604</AccountId>
        <AccountType/>
      </UserInfo>
      <UserInfo>
        <DisplayName>Sarah Pettem</DisplayName>
        <AccountId>122</AccountId>
        <AccountType/>
      </UserInfo>
      <UserInfo>
        <DisplayName>Stringer, Fiona (Energy Security)</DisplayName>
        <AccountId>29</AccountId>
        <AccountType/>
      </UserInfo>
      <UserInfo>
        <DisplayName>Killion2, Laura (NZSI - International Net Zero)</DisplayName>
        <AccountId>524</AccountId>
        <AccountType/>
      </UserInfo>
      <UserInfo>
        <DisplayName>Jones3, Philip (Energy Security)</DisplayName>
        <AccountId>746</AccountId>
        <AccountType/>
      </UserInfo>
      <UserInfo>
        <DisplayName>Alleyne-Mclaughlin, Leon (Energy Security)</DisplayName>
        <AccountId>1308</AccountId>
        <AccountType/>
      </UserInfo>
      <UserInfo>
        <DisplayName>Gurung, Rajina (Energy Security)</DisplayName>
        <AccountId>1091</AccountId>
        <AccountType/>
      </UserInfo>
    </SharedWithUsers>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cf76f155ced4ddcb4097134ff3c332f xmlns="b3d83fe4-f584-44c1-ada4-cced241b61b0">
      <Terms xmlns="http://schemas.microsoft.com/office/infopath/2007/PartnerControls"/>
    </lcf76f155ced4ddcb4097134ff3c332f>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 and Energy,</TermName>
          <TermId xmlns="http://schemas.microsoft.com/office/infopath/2007/PartnerControls">8ce3479e-0228-4d4b-8382-a951e8f3cec1</TermId>
        </TermInfo>
      </Terms>
    </h573c97cf80c4aa6b446c5363dc3ac94>
  </documentManagement>
</p:propertie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EDB4F82A4FD31439328CBC569C1149B" ma:contentTypeVersion="20" ma:contentTypeDescription="Create a new document." ma:contentTypeScope="" ma:versionID="cbdec49bc3c2747b4b7f9c8d03e2c199">
  <xsd:schema xmlns:xsd="http://www.w3.org/2001/XMLSchema" xmlns:xs="http://www.w3.org/2001/XMLSchema" xmlns:p="http://schemas.microsoft.com/office/2006/metadata/properties" xmlns:ns2="0f9fa326-da26-4ea8-b6a9-645e8136fe1d" xmlns:ns3="839018be-1fd5-46c8-bb5f-8e5f297ce001" xmlns:ns4="aaacb922-5235-4a66-b188-303b9b46fbd7" xmlns:ns5="b3d83fe4-f584-44c1-ada4-cced241b61b0" targetNamespace="http://schemas.microsoft.com/office/2006/metadata/properties" ma:root="true" ma:fieldsID="09638bb37fb7dc2f5006f93dbe7b2bbc" ns2:_="" ns3:_="" ns4:_="" ns5:_="">
    <xsd:import namespace="0f9fa326-da26-4ea8-b6a9-645e8136fe1d"/>
    <xsd:import namespace="839018be-1fd5-46c8-bb5f-8e5f297ce001"/>
    <xsd:import namespace="aaacb922-5235-4a66-b188-303b9b46fbd7"/>
    <xsd:import namespace="b3d83fe4-f584-44c1-ada4-cced241b61b0"/>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 and Energy,|8ce3479e-0228-4d4b-8382-a951e8f3cec1"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9018be-1fd5-46c8-bb5f-8e5f297ce00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7848f78-89dd-4aa4-a5d3-4bc706e8013d}" ma:internalName="TaxCatchAll" ma:showField="CatchAllData"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848f78-89dd-4aa4-a5d3-4bc706e8013d}" ma:internalName="TaxCatchAllLabel" ma:readOnly="true" ma:showField="CatchAllDataLabel"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83fe4-f584-44c1-ada4-cced241b61b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470627-5072-4164-B9A0-A8C60A90D51C}">
  <ds:schemaRefs>
    <ds:schemaRef ds:uri="http://schemas.openxmlformats.org/officeDocument/2006/bibliography"/>
  </ds:schemaRefs>
</ds:datastoreItem>
</file>

<file path=customXml/itemProps2.xml><?xml version="1.0" encoding="utf-8"?>
<ds:datastoreItem xmlns:ds="http://schemas.openxmlformats.org/officeDocument/2006/customXml" ds:itemID="{28542131-BD40-42FA-BF1D-325659C74395}">
  <ds:schemaRefs>
    <ds:schemaRef ds:uri="http://schemas.microsoft.com/sharepoint/v3/contenttype/forms"/>
  </ds:schemaRefs>
</ds:datastoreItem>
</file>

<file path=customXml/itemProps3.xml><?xml version="1.0" encoding="utf-8"?>
<ds:datastoreItem xmlns:ds="http://schemas.openxmlformats.org/officeDocument/2006/customXml" ds:itemID="{02FCA949-4A17-4A58-8CB4-38E906E85F6A}">
  <ds:schemaRefs>
    <ds:schemaRef ds:uri="http://schemas.microsoft.com/office/2006/documentManagement/types"/>
    <ds:schemaRef ds:uri="839018be-1fd5-46c8-bb5f-8e5f297ce001"/>
    <ds:schemaRef ds:uri="0f9fa326-da26-4ea8-b6a9-645e8136fe1d"/>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b3d83fe4-f584-44c1-ada4-cced241b61b0"/>
    <ds:schemaRef ds:uri="aaacb922-5235-4a66-b188-303b9b46fbd7"/>
    <ds:schemaRef ds:uri="http://www.w3.org/XML/1998/namespace"/>
    <ds:schemaRef ds:uri="http://purl.org/dc/dcmitype/"/>
  </ds:schemaRefs>
</ds:datastoreItem>
</file>

<file path=customXml/itemProps4.xml><?xml version="1.0" encoding="utf-8"?>
<ds:datastoreItem xmlns:ds="http://schemas.openxmlformats.org/officeDocument/2006/customXml" ds:itemID="{D228EFB9-A624-4E8C-9FD0-921751712922}"/>
</file>

<file path=customXml/itemProps5.xml><?xml version="1.0" encoding="utf-8"?>
<ds:datastoreItem xmlns:ds="http://schemas.openxmlformats.org/officeDocument/2006/customXml" ds:itemID="{49948BD2-19FB-4A1A-9F04-1E661C4B97AC}">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Graydon, Jessica (Energy Security)</cp:lastModifiedBy>
  <cp:revision>35</cp:revision>
  <dcterms:created xsi:type="dcterms:W3CDTF">2024-01-12T17:50:00Z</dcterms:created>
  <dcterms:modified xsi:type="dcterms:W3CDTF">2025-05-07T15:52:51Z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ContentTypeId">
    <vt:lpwstr>0x0101004691A8DE0991884F8E90AD6474FC737301002EDB4F82A4FD31439328CBC569C1149B</vt:lpwstr>
  </property>
  <property fmtid="{D5CDD505-2E9C-101B-9397-08002B2CF9AE}" pid="15" name="MSIP_Label_e4c996da-17fa-4fc5-8989-2758fb4cf86b_Enabled">
    <vt:lpwstr>true</vt:lpwstr>
  </property>
  <property fmtid="{D5CDD505-2E9C-101B-9397-08002B2CF9AE}" pid="16" name="MSIP_Label_e4c996da-17fa-4fc5-8989-2758fb4cf86b_Name">
    <vt:lpwstr>OFFICIAL</vt:lpwstr>
  </property>
  <property fmtid="{D5CDD505-2E9C-101B-9397-08002B2CF9AE}" pid="17" name="MSIP_Label_e4c996da-17fa-4fc5-8989-2758fb4cf86b_SetDate">
    <vt:lpwstr>2020-03-30T16:49:07Z</vt:lpwstr>
  </property>
  <property fmtid="{D5CDD505-2E9C-101B-9397-08002B2CF9AE}" pid="18" name="MSIP_Label_e4c996da-17fa-4fc5-8989-2758fb4cf86b_Method">
    <vt:lpwstr>Standard</vt:lpwstr>
  </property>
  <property fmtid="{D5CDD505-2E9C-101B-9397-08002B2CF9AE}" pid="19" name="_dlc_DocIdItemGuid">
    <vt:lpwstr>2ae3c1f7-02bd-45a7-8ca1-10666fb8b1c5</vt:lpwstr>
  </property>
  <property fmtid="{D5CDD505-2E9C-101B-9397-08002B2CF9AE}" pid="20" name="KIM_Activity">
    <vt:lpwstr>2;#International Climate and Energy,|8ce3479e-0228-4d4b-8382-a951e8f3cec1</vt:lpwstr>
  </property>
  <property fmtid="{D5CDD505-2E9C-101B-9397-08002B2CF9AE}" pid="21" name="MediaServiceImageTags">
    <vt:lpwstr/>
  </property>
  <property fmtid="{D5CDD505-2E9C-101B-9397-08002B2CF9AE}" pid="22" name="KIM_GovernmentBody">
    <vt:lpwstr>3;#BEIS|b386cac2-c28c-4db4-8fca-43733d0e74ef</vt:lpwstr>
  </property>
  <property fmtid="{D5CDD505-2E9C-101B-9397-08002B2CF9AE}" pid="23" name="KIM_Function">
    <vt:lpwstr>1;#Energy and Climate|67dfd3db-8e6c-4d42-96c1-aed1098cd89b</vt:lpwstr>
  </property>
</Properties>
</file>