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85BB9" w:rsidP="00885BB9" w:rsidRDefault="00885BB9" w14:paraId="0A34EE9B" w14:textId="77777777">
      <w:pPr>
        <w:pStyle w:val="BEISTitle"/>
      </w:pPr>
    </w:p>
    <w:p w:rsidR="00885BB9" w:rsidP="00885BB9" w:rsidRDefault="00885BB9" w14:paraId="76C49B04" w14:textId="77777777">
      <w:pPr>
        <w:pStyle w:val="BEISTitle"/>
      </w:pPr>
    </w:p>
    <w:p w:rsidR="00885BB9" w:rsidP="00885BB9" w:rsidRDefault="00885BB9" w14:paraId="7C7FEA78" w14:textId="77777777">
      <w:pPr>
        <w:pStyle w:val="BEISTitle"/>
      </w:pPr>
    </w:p>
    <w:p w:rsidR="00D80C6C" w:rsidP="00885BB9" w:rsidRDefault="00D80C6C" w14:paraId="64C9A776" w14:textId="77777777">
      <w:pPr>
        <w:pStyle w:val="BEISTitle"/>
      </w:pPr>
    </w:p>
    <w:p w:rsidRPr="00322410" w:rsidR="00C67FEB" w:rsidP="7D8D51F8" w:rsidRDefault="7359E812" w14:paraId="624DAC73" w14:textId="61BDF375">
      <w:pPr>
        <w:pStyle w:val="BEISTitle"/>
        <w:spacing w:after="160" w:line="259" w:lineRule="auto"/>
      </w:pPr>
      <w:r w:rsidRPr="00322410">
        <w:t>Forest Carbon Partnership Facility Carbon Fund Annual Review 2024-2025</w:t>
      </w:r>
    </w:p>
    <w:p w:rsidRPr="00322410" w:rsidR="007D1D64" w:rsidRDefault="007D1D64" w14:paraId="4AF08E4A" w14:textId="20AFDEDA">
      <w:pPr>
        <w:spacing w:after="160" w:line="259" w:lineRule="auto"/>
        <w:rPr>
          <w:sz w:val="22"/>
          <w:szCs w:val="22"/>
        </w:rPr>
      </w:pPr>
    </w:p>
    <w:p w:rsidRPr="00322410" w:rsidR="007D1D64" w:rsidRDefault="007D1D64" w14:paraId="160505CC" w14:textId="77777777">
      <w:pPr>
        <w:spacing w:after="160" w:line="259" w:lineRule="auto"/>
        <w:rPr>
          <w:sz w:val="22"/>
          <w:szCs w:val="22"/>
        </w:rPr>
      </w:pPr>
    </w:p>
    <w:p w:rsidRPr="00322410" w:rsidR="00090217" w:rsidP="003D222C" w:rsidRDefault="00090217" w14:paraId="6ED798D0" w14:textId="77777777">
      <w:pPr>
        <w:rPr>
          <w:sz w:val="22"/>
          <w:szCs w:val="22"/>
          <w:u w:val="single"/>
        </w:rPr>
      </w:pPr>
    </w:p>
    <w:p w:rsidRPr="00322410" w:rsidR="007D1D64" w:rsidP="007D1D64" w:rsidRDefault="007D1D64" w14:paraId="1F841114" w14:textId="027A752E">
      <w:pPr>
        <w:spacing w:after="160" w:line="259" w:lineRule="auto"/>
        <w:rPr>
          <w:sz w:val="22"/>
          <w:szCs w:val="22"/>
        </w:rPr>
      </w:pPr>
    </w:p>
    <w:p w:rsidRPr="00322410" w:rsidR="007D1D64" w:rsidRDefault="007D1D64" w14:paraId="744BC35C" w14:textId="77777777">
      <w:pPr>
        <w:spacing w:after="160" w:line="259" w:lineRule="auto"/>
        <w:rPr>
          <w:sz w:val="22"/>
          <w:szCs w:val="22"/>
        </w:rPr>
      </w:pPr>
    </w:p>
    <w:p w:rsidRPr="00322410" w:rsidR="007D1D64" w:rsidRDefault="007D1D64" w14:paraId="2EEE1272" w14:textId="0FA2D180">
      <w:pPr>
        <w:spacing w:after="160" w:line="259" w:lineRule="auto"/>
        <w:rPr>
          <w:sz w:val="22"/>
          <w:szCs w:val="22"/>
        </w:rPr>
      </w:pPr>
      <w:r w:rsidRPr="00322410">
        <w:rPr>
          <w:sz w:val="22"/>
          <w:szCs w:val="22"/>
        </w:rPr>
        <w:br w:type="page"/>
      </w:r>
    </w:p>
    <w:p w:rsidRPr="00322410" w:rsidR="007D1D64" w:rsidP="007D1D64" w:rsidRDefault="007D1D64" w14:paraId="1FB1C90B" w14:textId="21AF7FBD">
      <w:pPr>
        <w:spacing w:after="160" w:line="259" w:lineRule="auto"/>
        <w:rPr>
          <w:sz w:val="22"/>
          <w:szCs w:val="22"/>
        </w:rPr>
      </w:pPr>
    </w:p>
    <w:p w:rsidRPr="00322410" w:rsidR="007D1D64" w:rsidP="007D1D64" w:rsidRDefault="007D1D64" w14:paraId="6FC09FA9" w14:textId="77777777">
      <w:pPr>
        <w:spacing w:after="160" w:line="259" w:lineRule="auto"/>
        <w:rPr>
          <w:sz w:val="22"/>
          <w:szCs w:val="22"/>
        </w:rPr>
      </w:pPr>
    </w:p>
    <w:p w:rsidRPr="00322410" w:rsidR="00112E33" w:rsidP="007D1D64" w:rsidRDefault="00112E33" w14:paraId="40B4FF2C" w14:textId="77777777">
      <w:pPr>
        <w:spacing w:after="160" w:line="259" w:lineRule="auto"/>
        <w:rPr>
          <w:sz w:val="22"/>
          <w:szCs w:val="22"/>
        </w:rPr>
      </w:pPr>
    </w:p>
    <w:p w:rsidRPr="00322410" w:rsidR="00112E33" w:rsidP="007D1D64" w:rsidRDefault="00112E33" w14:paraId="01A42860" w14:textId="77777777">
      <w:pPr>
        <w:spacing w:after="160" w:line="259" w:lineRule="auto"/>
        <w:rPr>
          <w:sz w:val="22"/>
          <w:szCs w:val="22"/>
        </w:rPr>
      </w:pPr>
    </w:p>
    <w:p w:rsidRPr="00322410" w:rsidR="00112E33" w:rsidP="007D1D64" w:rsidRDefault="00112E33" w14:paraId="4A8FCC2A" w14:textId="77777777">
      <w:pPr>
        <w:spacing w:after="160" w:line="259" w:lineRule="auto"/>
        <w:rPr>
          <w:sz w:val="22"/>
          <w:szCs w:val="22"/>
        </w:rPr>
      </w:pPr>
    </w:p>
    <w:p w:rsidRPr="00322410" w:rsidR="00112E33" w:rsidP="007D1D64" w:rsidRDefault="00112E33" w14:paraId="31553A3C" w14:textId="77777777">
      <w:pPr>
        <w:spacing w:after="160" w:line="259" w:lineRule="auto"/>
        <w:rPr>
          <w:sz w:val="22"/>
          <w:szCs w:val="22"/>
        </w:rPr>
      </w:pPr>
    </w:p>
    <w:p w:rsidRPr="00322410" w:rsidR="00112E33" w:rsidP="007D1D64" w:rsidRDefault="00112E33" w14:paraId="1E72DB9D" w14:textId="77777777">
      <w:pPr>
        <w:spacing w:after="160" w:line="259" w:lineRule="auto"/>
        <w:rPr>
          <w:sz w:val="22"/>
          <w:szCs w:val="22"/>
        </w:rPr>
      </w:pPr>
    </w:p>
    <w:p w:rsidRPr="00322410" w:rsidR="00112E33" w:rsidP="007D1D64" w:rsidRDefault="00112E33" w14:paraId="716930C2" w14:textId="77777777">
      <w:pPr>
        <w:spacing w:after="160" w:line="259" w:lineRule="auto"/>
        <w:rPr>
          <w:sz w:val="22"/>
          <w:szCs w:val="22"/>
        </w:rPr>
      </w:pPr>
    </w:p>
    <w:p w:rsidRPr="00322410" w:rsidR="00112E33" w:rsidP="007D1D64" w:rsidRDefault="00112E33" w14:paraId="3ABDAEFF" w14:textId="77777777">
      <w:pPr>
        <w:spacing w:after="160" w:line="259" w:lineRule="auto"/>
        <w:rPr>
          <w:sz w:val="22"/>
          <w:szCs w:val="22"/>
        </w:rPr>
      </w:pPr>
    </w:p>
    <w:p w:rsidRPr="00322410" w:rsidR="00112E33" w:rsidP="007D1D64" w:rsidRDefault="00112E33" w14:paraId="0884299F" w14:textId="77777777">
      <w:pPr>
        <w:spacing w:after="160" w:line="259" w:lineRule="auto"/>
        <w:rPr>
          <w:sz w:val="22"/>
          <w:szCs w:val="22"/>
        </w:rPr>
      </w:pPr>
    </w:p>
    <w:p w:rsidRPr="00322410" w:rsidR="00112E33" w:rsidP="007D1D64" w:rsidRDefault="00112E33" w14:paraId="3BF57744" w14:textId="77777777">
      <w:pPr>
        <w:spacing w:after="160" w:line="259" w:lineRule="auto"/>
        <w:rPr>
          <w:sz w:val="22"/>
          <w:szCs w:val="22"/>
        </w:rPr>
      </w:pPr>
    </w:p>
    <w:p w:rsidRPr="00322410" w:rsidR="00112E33" w:rsidP="007D1D64" w:rsidRDefault="00112E33" w14:paraId="70B1D846" w14:textId="77777777">
      <w:pPr>
        <w:spacing w:after="160" w:line="259" w:lineRule="auto"/>
        <w:rPr>
          <w:sz w:val="22"/>
          <w:szCs w:val="22"/>
        </w:rPr>
      </w:pPr>
    </w:p>
    <w:p w:rsidRPr="00322410" w:rsidR="00112E33" w:rsidP="007D1D64" w:rsidRDefault="00112E33" w14:paraId="5C64FB7B" w14:textId="77777777">
      <w:pPr>
        <w:spacing w:after="160" w:line="259" w:lineRule="auto"/>
        <w:rPr>
          <w:sz w:val="22"/>
          <w:szCs w:val="22"/>
        </w:rPr>
      </w:pPr>
    </w:p>
    <w:p w:rsidRPr="00322410" w:rsidR="00112E33" w:rsidP="007D1D64" w:rsidRDefault="00112E33" w14:paraId="7997CC66" w14:textId="77777777">
      <w:pPr>
        <w:spacing w:after="160" w:line="259" w:lineRule="auto"/>
        <w:rPr>
          <w:sz w:val="22"/>
          <w:szCs w:val="22"/>
        </w:rPr>
      </w:pPr>
    </w:p>
    <w:p w:rsidRPr="00322410" w:rsidR="00112E33" w:rsidP="007D1D64" w:rsidRDefault="00112E33" w14:paraId="629D0223" w14:textId="77777777">
      <w:pPr>
        <w:spacing w:after="160" w:line="259" w:lineRule="auto"/>
        <w:rPr>
          <w:sz w:val="22"/>
          <w:szCs w:val="22"/>
        </w:rPr>
      </w:pPr>
    </w:p>
    <w:p w:rsidRPr="00322410" w:rsidR="00112E33" w:rsidP="007D1D64" w:rsidRDefault="00112E33" w14:paraId="7B71C4CA" w14:textId="77777777">
      <w:pPr>
        <w:spacing w:after="160" w:line="259" w:lineRule="auto"/>
        <w:rPr>
          <w:sz w:val="22"/>
          <w:szCs w:val="22"/>
        </w:rPr>
      </w:pPr>
    </w:p>
    <w:p w:rsidRPr="00322410" w:rsidR="00112E33" w:rsidP="007D1D64" w:rsidRDefault="00112E33" w14:paraId="0CB89A50" w14:textId="77777777">
      <w:pPr>
        <w:spacing w:after="160" w:line="259" w:lineRule="auto"/>
        <w:rPr>
          <w:sz w:val="22"/>
          <w:szCs w:val="22"/>
        </w:rPr>
      </w:pPr>
    </w:p>
    <w:p w:rsidRPr="00322410" w:rsidR="00112E33" w:rsidP="007D1D64" w:rsidRDefault="00112E33" w14:paraId="4B8E6647" w14:textId="77777777">
      <w:pPr>
        <w:spacing w:after="160" w:line="259" w:lineRule="auto"/>
        <w:rPr>
          <w:sz w:val="22"/>
          <w:szCs w:val="22"/>
        </w:rPr>
      </w:pPr>
    </w:p>
    <w:p w:rsidRPr="00322410" w:rsidR="00112E33" w:rsidP="007D1D64" w:rsidRDefault="00112E33" w14:paraId="7C0186E9" w14:textId="77777777">
      <w:pPr>
        <w:spacing w:after="160" w:line="259" w:lineRule="auto"/>
        <w:rPr>
          <w:sz w:val="22"/>
          <w:szCs w:val="22"/>
        </w:rPr>
      </w:pPr>
    </w:p>
    <w:p w:rsidRPr="00322410" w:rsidR="00112E33" w:rsidP="007D1D64" w:rsidRDefault="00112E33" w14:paraId="0E213DCA" w14:textId="77777777">
      <w:pPr>
        <w:spacing w:after="160" w:line="259" w:lineRule="auto"/>
        <w:rPr>
          <w:sz w:val="22"/>
          <w:szCs w:val="22"/>
        </w:rPr>
      </w:pPr>
    </w:p>
    <w:p w:rsidRPr="00322410" w:rsidR="00112E33" w:rsidP="007D1D64" w:rsidRDefault="00112E33" w14:paraId="7F45EBE4" w14:textId="77777777">
      <w:pPr>
        <w:spacing w:after="160" w:line="259" w:lineRule="auto"/>
        <w:rPr>
          <w:sz w:val="22"/>
          <w:szCs w:val="22"/>
        </w:rPr>
      </w:pPr>
    </w:p>
    <w:p w:rsidRPr="00322410" w:rsidR="00112E33" w:rsidP="007D1D64" w:rsidRDefault="00112E33" w14:paraId="5F38EC95" w14:textId="77777777">
      <w:pPr>
        <w:spacing w:after="160" w:line="259" w:lineRule="auto"/>
        <w:rPr>
          <w:sz w:val="22"/>
          <w:szCs w:val="22"/>
        </w:rPr>
      </w:pPr>
    </w:p>
    <w:p w:rsidRPr="00322410" w:rsidR="00112E33" w:rsidP="007D1D64" w:rsidRDefault="00112E33" w14:paraId="0FDC2684" w14:textId="77777777">
      <w:pPr>
        <w:spacing w:after="160" w:line="259" w:lineRule="auto"/>
        <w:rPr>
          <w:sz w:val="22"/>
          <w:szCs w:val="22"/>
        </w:rPr>
      </w:pPr>
    </w:p>
    <w:p w:rsidRPr="00322410" w:rsidR="00112E33" w:rsidP="007D1D64" w:rsidRDefault="00112E33" w14:paraId="1E5D0624" w14:textId="77777777">
      <w:pPr>
        <w:spacing w:after="160" w:line="259" w:lineRule="auto"/>
        <w:rPr>
          <w:sz w:val="22"/>
          <w:szCs w:val="22"/>
        </w:rPr>
      </w:pPr>
    </w:p>
    <w:p w:rsidRPr="00322410" w:rsidR="00112E33" w:rsidP="007D1D64" w:rsidRDefault="00112E33" w14:paraId="59AFB796" w14:textId="6367C0D1">
      <w:pPr>
        <w:spacing w:after="160" w:line="259" w:lineRule="auto"/>
        <w:rPr>
          <w:sz w:val="22"/>
          <w:szCs w:val="22"/>
        </w:rPr>
      </w:pPr>
      <w:r w:rsidRPr="00322410">
        <w:rPr>
          <w:noProof/>
        </w:rPr>
        <w:drawing>
          <wp:inline distT="0" distB="0" distL="0" distR="0" wp14:anchorId="6721D763" wp14:editId="1850EFF9">
            <wp:extent cx="792480" cy="323215"/>
            <wp:effectExtent l="0" t="0" r="7620" b="635"/>
            <wp:docPr id="12" name="Picture 12"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2480" cy="323215"/>
                    </a:xfrm>
                    <a:prstGeom prst="rect">
                      <a:avLst/>
                    </a:prstGeom>
                    <a:noFill/>
                  </pic:spPr>
                </pic:pic>
              </a:graphicData>
            </a:graphic>
          </wp:inline>
        </w:drawing>
      </w:r>
    </w:p>
    <w:p w:rsidRPr="00322410" w:rsidR="007D1D64" w:rsidP="007D1D64" w:rsidRDefault="007D1D64" w14:paraId="4BBA0357" w14:textId="7A458FEF">
      <w:pPr>
        <w:spacing w:after="160" w:line="259" w:lineRule="auto"/>
        <w:rPr>
          <w:sz w:val="22"/>
          <w:szCs w:val="22"/>
        </w:rPr>
      </w:pPr>
      <w:r w:rsidRPr="00322410">
        <w:rPr>
          <w:sz w:val="22"/>
          <w:szCs w:val="22"/>
        </w:rPr>
        <w:t>© Crown copyright 20[XX]</w:t>
      </w:r>
    </w:p>
    <w:p w:rsidRPr="00322410" w:rsidR="007D1D64" w:rsidP="007D1D64" w:rsidRDefault="007D1D64" w14:paraId="3A1EFEA4" w14:textId="779BDFEB">
      <w:pPr>
        <w:spacing w:after="160" w:line="259" w:lineRule="auto"/>
        <w:rPr>
          <w:sz w:val="22"/>
          <w:szCs w:val="22"/>
        </w:rPr>
      </w:pPr>
      <w:r w:rsidRPr="00322410">
        <w:rPr>
          <w:sz w:val="22"/>
          <w:szCs w:val="22"/>
        </w:rPr>
        <w:t xml:space="preserve">This publication is licensed under the terms of the Open Government Licence v3.0 except where otherwise stated. To view this licence, visit </w:t>
      </w:r>
      <w:hyperlink w:history="1" r:id="rId13">
        <w:r w:rsidRPr="00322410">
          <w:rPr>
            <w:rStyle w:val="Hyperlink"/>
            <w:sz w:val="22"/>
            <w:szCs w:val="22"/>
          </w:rPr>
          <w:t>nationalarchives.gov.uk/doc/open-government-licence/version/3</w:t>
        </w:r>
      </w:hyperlink>
      <w:r w:rsidRPr="00322410">
        <w:rPr>
          <w:sz w:val="22"/>
          <w:szCs w:val="22"/>
        </w:rPr>
        <w:t xml:space="preserve"> or write to the Information Policy Team, The National Archives, Kew, London TW9 4DU, or email: </w:t>
      </w:r>
      <w:hyperlink w:history="1" r:id="rId14">
        <w:r w:rsidRPr="00322410" w:rsidR="009E1EAF">
          <w:rPr>
            <w:rStyle w:val="Hyperlink"/>
            <w:sz w:val="22"/>
            <w:szCs w:val="22"/>
          </w:rPr>
          <w:t>psi@nationalarchives.gsi.gov.uk</w:t>
        </w:r>
      </w:hyperlink>
      <w:r w:rsidRPr="00322410">
        <w:rPr>
          <w:sz w:val="22"/>
          <w:szCs w:val="22"/>
        </w:rPr>
        <w:t>.</w:t>
      </w:r>
      <w:r w:rsidRPr="00322410" w:rsidR="009E1EAF">
        <w:rPr>
          <w:sz w:val="22"/>
          <w:szCs w:val="22"/>
        </w:rPr>
        <w:t xml:space="preserve"> </w:t>
      </w:r>
    </w:p>
    <w:p w:rsidRPr="00322410" w:rsidR="007D1D64" w:rsidP="007D1D64" w:rsidRDefault="007D1D64" w14:paraId="521BB1D8" w14:textId="77777777">
      <w:pPr>
        <w:spacing w:after="160" w:line="259" w:lineRule="auto"/>
        <w:rPr>
          <w:sz w:val="22"/>
          <w:szCs w:val="22"/>
        </w:rPr>
      </w:pPr>
      <w:r w:rsidRPr="00322410">
        <w:rPr>
          <w:sz w:val="22"/>
          <w:szCs w:val="22"/>
        </w:rPr>
        <w:t>Where we have identified any third-party copyright information you will need to obtain permission from the copyright holders concerned.</w:t>
      </w:r>
    </w:p>
    <w:p w:rsidRPr="00322410" w:rsidR="007D1D64" w:rsidP="007D1D64" w:rsidRDefault="007D1D64" w14:paraId="0B828443" w14:textId="77777777">
      <w:pPr>
        <w:spacing w:after="160" w:line="259" w:lineRule="auto"/>
        <w:rPr>
          <w:sz w:val="22"/>
          <w:szCs w:val="22"/>
        </w:rPr>
      </w:pPr>
      <w:r w:rsidRPr="00322410">
        <w:rPr>
          <w:sz w:val="22"/>
          <w:szCs w:val="22"/>
        </w:rPr>
        <w:t xml:space="preserve">Any enquiries regarding this publication should be sent to us at: </w:t>
      </w:r>
    </w:p>
    <w:p w:rsidRPr="00322410" w:rsidR="007D1D64" w:rsidRDefault="00A62D44" w14:paraId="5F0B07D2" w14:textId="0E9D6D15">
      <w:pPr>
        <w:spacing w:after="160" w:line="259" w:lineRule="auto"/>
        <w:rPr>
          <w:sz w:val="22"/>
          <w:szCs w:val="22"/>
        </w:rPr>
      </w:pPr>
      <w:hyperlink w:history="1" r:id="rId15">
        <w:r w:rsidRPr="00322410">
          <w:rPr>
            <w:rStyle w:val="Hyperlink"/>
            <w:sz w:val="22"/>
            <w:szCs w:val="22"/>
          </w:rPr>
          <w:t>ODA-Transparency@beis.gov.uk</w:t>
        </w:r>
      </w:hyperlink>
      <w:r w:rsidRPr="00322410">
        <w:rPr>
          <w:sz w:val="22"/>
          <w:szCs w:val="22"/>
        </w:rPr>
        <w:t xml:space="preserve"> </w:t>
      </w:r>
      <w:r w:rsidRPr="00322410" w:rsidR="007D1D64">
        <w:rPr>
          <w:sz w:val="22"/>
          <w:szCs w:val="22"/>
        </w:rPr>
        <w:br w:type="page"/>
      </w:r>
    </w:p>
    <w:sdt>
      <w:sdtPr>
        <w:rPr>
          <w:rFonts w:ascii="Arial" w:hAnsi="Arial" w:eastAsia="Times New Roman" w:cs="Times New Roman"/>
          <w:color w:val="auto"/>
          <w:sz w:val="24"/>
          <w:szCs w:val="24"/>
          <w:lang w:val="en-GB"/>
        </w:rPr>
        <w:id w:val="1895390369"/>
        <w:docPartObj>
          <w:docPartGallery w:val="Table of Contents"/>
          <w:docPartUnique/>
        </w:docPartObj>
      </w:sdtPr>
      <w:sdtContent>
        <w:p w:rsidRPr="00322410" w:rsidR="001B14BA" w:rsidRDefault="001B14BA" w14:paraId="52C8021F" w14:textId="7479CA6B">
          <w:pPr>
            <w:pStyle w:val="TOCHeading"/>
            <w:rPr>
              <w:rFonts w:ascii="Arial" w:hAnsi="Arial" w:cs="Arial"/>
              <w:color w:val="002060"/>
              <w:sz w:val="76"/>
              <w:szCs w:val="76"/>
            </w:rPr>
          </w:pPr>
          <w:r w:rsidRPr="00322410">
            <w:rPr>
              <w:rFonts w:ascii="Arial" w:hAnsi="Arial" w:cs="Arial"/>
              <w:color w:val="002060"/>
              <w:sz w:val="76"/>
              <w:szCs w:val="76"/>
            </w:rPr>
            <w:t>Contents</w:t>
          </w:r>
        </w:p>
        <w:p w:rsidRPr="00322410" w:rsidR="0030176F" w:rsidP="0030176F" w:rsidRDefault="0030176F" w14:paraId="7F576620" w14:textId="77777777">
          <w:pPr>
            <w:rPr>
              <w:lang w:val="en-US"/>
            </w:rPr>
          </w:pPr>
        </w:p>
        <w:p w:rsidRPr="00322410" w:rsidR="159F08A2" w:rsidP="159F08A2" w:rsidRDefault="159F08A2" w14:paraId="4A531AFB" w14:textId="7964F4C0">
          <w:pPr>
            <w:pStyle w:val="TOC1"/>
            <w:tabs>
              <w:tab w:val="right" w:leader="dot" w:pos="9016"/>
            </w:tabs>
            <w:rPr>
              <w:rFonts w:cs="Arial"/>
              <w:b/>
              <w:bCs/>
              <w:noProof/>
              <w:lang w:eastAsia="en-GB"/>
            </w:rPr>
          </w:pPr>
        </w:p>
        <w:p w:rsidR="00322410" w:rsidRDefault="527A8EFF" w14:paraId="1CFD04C3" w14:textId="0213B844">
          <w:pPr>
            <w:pStyle w:val="TOC1"/>
            <w:tabs>
              <w:tab w:val="right" w:leader="dot" w:pos="9016"/>
            </w:tabs>
            <w:rPr>
              <w:rFonts w:asciiTheme="minorHAnsi" w:hAnsiTheme="minorHAnsi" w:eastAsiaTheme="minorEastAsia" w:cstheme="minorBidi"/>
              <w:noProof/>
              <w:kern w:val="2"/>
              <w:lang w:eastAsia="en-GB"/>
              <w14:ligatures w14:val="standardContextual"/>
            </w:rPr>
          </w:pPr>
          <w:r w:rsidRPr="00322410">
            <w:fldChar w:fldCharType="begin"/>
          </w:r>
          <w:r w:rsidRPr="00322410" w:rsidR="00023069">
            <w:instrText>TOC \o "1-3" \z \u \h</w:instrText>
          </w:r>
          <w:r w:rsidRPr="00322410">
            <w:fldChar w:fldCharType="separate"/>
          </w:r>
          <w:hyperlink w:history="1" w:anchor="_Toc219130976">
            <w:r w:rsidRPr="005611DC" w:rsidR="00322410">
              <w:rPr>
                <w:rStyle w:val="Hyperlink"/>
                <w:rFonts w:cs="Arial"/>
                <w:b/>
                <w:bCs/>
                <w:noProof/>
                <w:lang w:eastAsia="en-GB"/>
              </w:rPr>
              <w:t>Section A: Summary and overview</w:t>
            </w:r>
            <w:r w:rsidR="00322410">
              <w:rPr>
                <w:noProof/>
                <w:webHidden/>
              </w:rPr>
              <w:tab/>
            </w:r>
            <w:r w:rsidR="00322410">
              <w:rPr>
                <w:noProof/>
                <w:webHidden/>
              </w:rPr>
              <w:fldChar w:fldCharType="begin"/>
            </w:r>
            <w:r w:rsidR="00322410">
              <w:rPr>
                <w:noProof/>
                <w:webHidden/>
              </w:rPr>
              <w:instrText xml:space="preserve"> PAGEREF _Toc219130976 \h </w:instrText>
            </w:r>
            <w:r w:rsidR="00322410">
              <w:rPr>
                <w:noProof/>
                <w:webHidden/>
              </w:rPr>
            </w:r>
            <w:r w:rsidR="00322410">
              <w:rPr>
                <w:noProof/>
                <w:webHidden/>
              </w:rPr>
              <w:fldChar w:fldCharType="separate"/>
            </w:r>
            <w:r w:rsidR="00322410">
              <w:rPr>
                <w:noProof/>
                <w:webHidden/>
              </w:rPr>
              <w:t>4</w:t>
            </w:r>
            <w:r w:rsidR="00322410">
              <w:rPr>
                <w:noProof/>
                <w:webHidden/>
              </w:rPr>
              <w:fldChar w:fldCharType="end"/>
            </w:r>
          </w:hyperlink>
        </w:p>
        <w:p w:rsidR="00322410" w:rsidRDefault="00322410" w14:paraId="31AC803C" w14:textId="4E0C1F5B">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19130977">
            <w:r w:rsidRPr="005611DC">
              <w:rPr>
                <w:rStyle w:val="Hyperlink"/>
                <w:noProof/>
              </w:rPr>
              <w:t>Description of programme</w:t>
            </w:r>
            <w:r>
              <w:rPr>
                <w:noProof/>
                <w:webHidden/>
              </w:rPr>
              <w:tab/>
            </w:r>
            <w:r>
              <w:rPr>
                <w:noProof/>
                <w:webHidden/>
              </w:rPr>
              <w:fldChar w:fldCharType="begin"/>
            </w:r>
            <w:r>
              <w:rPr>
                <w:noProof/>
                <w:webHidden/>
              </w:rPr>
              <w:instrText xml:space="preserve"> PAGEREF _Toc219130977 \h </w:instrText>
            </w:r>
            <w:r>
              <w:rPr>
                <w:noProof/>
                <w:webHidden/>
              </w:rPr>
            </w:r>
            <w:r>
              <w:rPr>
                <w:noProof/>
                <w:webHidden/>
              </w:rPr>
              <w:fldChar w:fldCharType="separate"/>
            </w:r>
            <w:r>
              <w:rPr>
                <w:noProof/>
                <w:webHidden/>
              </w:rPr>
              <w:t>4</w:t>
            </w:r>
            <w:r>
              <w:rPr>
                <w:noProof/>
                <w:webHidden/>
              </w:rPr>
              <w:fldChar w:fldCharType="end"/>
            </w:r>
          </w:hyperlink>
        </w:p>
        <w:p w:rsidR="00322410" w:rsidRDefault="00322410" w14:paraId="41C05E01" w14:textId="3B9B2360">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19130978">
            <w:r w:rsidRPr="005611DC">
              <w:rPr>
                <w:rStyle w:val="Hyperlink"/>
                <w:noProof/>
              </w:rPr>
              <w:t>Summary of progress and supporting narrative for the overall score</w:t>
            </w:r>
            <w:r>
              <w:rPr>
                <w:noProof/>
                <w:webHidden/>
              </w:rPr>
              <w:tab/>
            </w:r>
            <w:r>
              <w:rPr>
                <w:noProof/>
                <w:webHidden/>
              </w:rPr>
              <w:fldChar w:fldCharType="begin"/>
            </w:r>
            <w:r>
              <w:rPr>
                <w:noProof/>
                <w:webHidden/>
              </w:rPr>
              <w:instrText xml:space="preserve"> PAGEREF _Toc219130978 \h </w:instrText>
            </w:r>
            <w:r>
              <w:rPr>
                <w:noProof/>
                <w:webHidden/>
              </w:rPr>
            </w:r>
            <w:r>
              <w:rPr>
                <w:noProof/>
                <w:webHidden/>
              </w:rPr>
              <w:fldChar w:fldCharType="separate"/>
            </w:r>
            <w:r>
              <w:rPr>
                <w:noProof/>
                <w:webHidden/>
              </w:rPr>
              <w:t>5</w:t>
            </w:r>
            <w:r>
              <w:rPr>
                <w:noProof/>
                <w:webHidden/>
              </w:rPr>
              <w:fldChar w:fldCharType="end"/>
            </w:r>
          </w:hyperlink>
        </w:p>
        <w:p w:rsidR="00322410" w:rsidRDefault="00322410" w14:paraId="0BE32EE6" w14:textId="72D996CB">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19130979">
            <w:r w:rsidRPr="005611DC">
              <w:rPr>
                <w:rStyle w:val="Hyperlink"/>
                <w:noProof/>
              </w:rPr>
              <w:t>Progress against recommendations from the last review</w:t>
            </w:r>
            <w:r>
              <w:rPr>
                <w:noProof/>
                <w:webHidden/>
              </w:rPr>
              <w:tab/>
            </w:r>
            <w:r>
              <w:rPr>
                <w:noProof/>
                <w:webHidden/>
              </w:rPr>
              <w:fldChar w:fldCharType="begin"/>
            </w:r>
            <w:r>
              <w:rPr>
                <w:noProof/>
                <w:webHidden/>
              </w:rPr>
              <w:instrText xml:space="preserve"> PAGEREF _Toc219130979 \h </w:instrText>
            </w:r>
            <w:r>
              <w:rPr>
                <w:noProof/>
                <w:webHidden/>
              </w:rPr>
            </w:r>
            <w:r>
              <w:rPr>
                <w:noProof/>
                <w:webHidden/>
              </w:rPr>
              <w:fldChar w:fldCharType="separate"/>
            </w:r>
            <w:r>
              <w:rPr>
                <w:noProof/>
                <w:webHidden/>
              </w:rPr>
              <w:t>6</w:t>
            </w:r>
            <w:r>
              <w:rPr>
                <w:noProof/>
                <w:webHidden/>
              </w:rPr>
              <w:fldChar w:fldCharType="end"/>
            </w:r>
          </w:hyperlink>
        </w:p>
        <w:p w:rsidR="00322410" w:rsidRDefault="00322410" w14:paraId="258ADB90" w14:textId="26CCBCAF">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19130980">
            <w:r w:rsidRPr="005611DC">
              <w:rPr>
                <w:rStyle w:val="Hyperlink"/>
                <w:noProof/>
              </w:rPr>
              <w:t>Major lessons and recommendations for the year ahead</w:t>
            </w:r>
            <w:r>
              <w:rPr>
                <w:noProof/>
                <w:webHidden/>
              </w:rPr>
              <w:tab/>
            </w:r>
            <w:r>
              <w:rPr>
                <w:noProof/>
                <w:webHidden/>
              </w:rPr>
              <w:fldChar w:fldCharType="begin"/>
            </w:r>
            <w:r>
              <w:rPr>
                <w:noProof/>
                <w:webHidden/>
              </w:rPr>
              <w:instrText xml:space="preserve"> PAGEREF _Toc219130980 \h </w:instrText>
            </w:r>
            <w:r>
              <w:rPr>
                <w:noProof/>
                <w:webHidden/>
              </w:rPr>
            </w:r>
            <w:r>
              <w:rPr>
                <w:noProof/>
                <w:webHidden/>
              </w:rPr>
              <w:fldChar w:fldCharType="separate"/>
            </w:r>
            <w:r>
              <w:rPr>
                <w:noProof/>
                <w:webHidden/>
              </w:rPr>
              <w:t>9</w:t>
            </w:r>
            <w:r>
              <w:rPr>
                <w:noProof/>
                <w:webHidden/>
              </w:rPr>
              <w:fldChar w:fldCharType="end"/>
            </w:r>
          </w:hyperlink>
        </w:p>
        <w:p w:rsidR="00322410" w:rsidRDefault="00322410" w14:paraId="5B15EB04" w14:textId="2378FC0A">
          <w:pPr>
            <w:pStyle w:val="TOC1"/>
            <w:tabs>
              <w:tab w:val="right" w:leader="dot" w:pos="9016"/>
            </w:tabs>
            <w:rPr>
              <w:rFonts w:asciiTheme="minorHAnsi" w:hAnsiTheme="minorHAnsi" w:eastAsiaTheme="minorEastAsia" w:cstheme="minorBidi"/>
              <w:noProof/>
              <w:kern w:val="2"/>
              <w:lang w:eastAsia="en-GB"/>
              <w14:ligatures w14:val="standardContextual"/>
            </w:rPr>
          </w:pPr>
          <w:hyperlink w:history="1" w:anchor="_Toc219130981">
            <w:r w:rsidRPr="005611DC">
              <w:rPr>
                <w:rStyle w:val="Hyperlink"/>
                <w:rFonts w:cs="Arial"/>
                <w:b/>
                <w:bCs/>
                <w:noProof/>
                <w:lang w:eastAsia="en-GB"/>
              </w:rPr>
              <w:t>Section B: Theory of change and progress towards outcomes</w:t>
            </w:r>
            <w:r>
              <w:rPr>
                <w:noProof/>
                <w:webHidden/>
              </w:rPr>
              <w:tab/>
            </w:r>
            <w:r>
              <w:rPr>
                <w:noProof/>
                <w:webHidden/>
              </w:rPr>
              <w:fldChar w:fldCharType="begin"/>
            </w:r>
            <w:r>
              <w:rPr>
                <w:noProof/>
                <w:webHidden/>
              </w:rPr>
              <w:instrText xml:space="preserve"> PAGEREF _Toc219130981 \h </w:instrText>
            </w:r>
            <w:r>
              <w:rPr>
                <w:noProof/>
                <w:webHidden/>
              </w:rPr>
            </w:r>
            <w:r>
              <w:rPr>
                <w:noProof/>
                <w:webHidden/>
              </w:rPr>
              <w:fldChar w:fldCharType="separate"/>
            </w:r>
            <w:r>
              <w:rPr>
                <w:noProof/>
                <w:webHidden/>
              </w:rPr>
              <w:t>12</w:t>
            </w:r>
            <w:r>
              <w:rPr>
                <w:noProof/>
                <w:webHidden/>
              </w:rPr>
              <w:fldChar w:fldCharType="end"/>
            </w:r>
          </w:hyperlink>
        </w:p>
        <w:p w:rsidR="00322410" w:rsidRDefault="00322410" w14:paraId="72E5F222" w14:textId="3E4D9EE2">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19130982">
            <w:r w:rsidRPr="005611DC">
              <w:rPr>
                <w:rStyle w:val="Hyperlink"/>
                <w:noProof/>
              </w:rPr>
              <w:t>Summary of the programme’s theory of change, including any changes to outcome and impact indicators from the original business case</w:t>
            </w:r>
            <w:r>
              <w:rPr>
                <w:noProof/>
                <w:webHidden/>
              </w:rPr>
              <w:tab/>
            </w:r>
            <w:r>
              <w:rPr>
                <w:noProof/>
                <w:webHidden/>
              </w:rPr>
              <w:fldChar w:fldCharType="begin"/>
            </w:r>
            <w:r>
              <w:rPr>
                <w:noProof/>
                <w:webHidden/>
              </w:rPr>
              <w:instrText xml:space="preserve"> PAGEREF _Toc219130982 \h </w:instrText>
            </w:r>
            <w:r>
              <w:rPr>
                <w:noProof/>
                <w:webHidden/>
              </w:rPr>
            </w:r>
            <w:r>
              <w:rPr>
                <w:noProof/>
                <w:webHidden/>
              </w:rPr>
              <w:fldChar w:fldCharType="separate"/>
            </w:r>
            <w:r>
              <w:rPr>
                <w:noProof/>
                <w:webHidden/>
              </w:rPr>
              <w:t>12</w:t>
            </w:r>
            <w:r>
              <w:rPr>
                <w:noProof/>
                <w:webHidden/>
              </w:rPr>
              <w:fldChar w:fldCharType="end"/>
            </w:r>
          </w:hyperlink>
        </w:p>
        <w:p w:rsidR="00322410" w:rsidRDefault="00322410" w14:paraId="7A8701F4" w14:textId="03BF85AD">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19130983">
            <w:r w:rsidRPr="005611DC">
              <w:rPr>
                <w:rStyle w:val="Hyperlink"/>
                <w:noProof/>
              </w:rPr>
              <w:t>Progress against the expected outcomes and impact, and actions planned for the year ahead</w:t>
            </w:r>
            <w:r>
              <w:rPr>
                <w:noProof/>
                <w:webHidden/>
              </w:rPr>
              <w:tab/>
            </w:r>
            <w:r>
              <w:rPr>
                <w:noProof/>
                <w:webHidden/>
              </w:rPr>
              <w:fldChar w:fldCharType="begin"/>
            </w:r>
            <w:r>
              <w:rPr>
                <w:noProof/>
                <w:webHidden/>
              </w:rPr>
              <w:instrText xml:space="preserve"> PAGEREF _Toc219130983 \h </w:instrText>
            </w:r>
            <w:r>
              <w:rPr>
                <w:noProof/>
                <w:webHidden/>
              </w:rPr>
            </w:r>
            <w:r>
              <w:rPr>
                <w:noProof/>
                <w:webHidden/>
              </w:rPr>
              <w:fldChar w:fldCharType="separate"/>
            </w:r>
            <w:r>
              <w:rPr>
                <w:noProof/>
                <w:webHidden/>
              </w:rPr>
              <w:t>12</w:t>
            </w:r>
            <w:r>
              <w:rPr>
                <w:noProof/>
                <w:webHidden/>
              </w:rPr>
              <w:fldChar w:fldCharType="end"/>
            </w:r>
          </w:hyperlink>
        </w:p>
        <w:p w:rsidR="00322410" w:rsidRDefault="00322410" w14:paraId="2862D45E" w14:textId="465D8438">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19130984">
            <w:r w:rsidRPr="005611DC">
              <w:rPr>
                <w:rStyle w:val="Hyperlink"/>
                <w:noProof/>
              </w:rPr>
              <w:t>Logframe updates since the last review</w:t>
            </w:r>
            <w:r>
              <w:rPr>
                <w:noProof/>
                <w:webHidden/>
              </w:rPr>
              <w:tab/>
            </w:r>
            <w:r>
              <w:rPr>
                <w:noProof/>
                <w:webHidden/>
              </w:rPr>
              <w:fldChar w:fldCharType="begin"/>
            </w:r>
            <w:r>
              <w:rPr>
                <w:noProof/>
                <w:webHidden/>
              </w:rPr>
              <w:instrText xml:space="preserve"> PAGEREF _Toc219130984 \h </w:instrText>
            </w:r>
            <w:r>
              <w:rPr>
                <w:noProof/>
                <w:webHidden/>
              </w:rPr>
            </w:r>
            <w:r>
              <w:rPr>
                <w:noProof/>
                <w:webHidden/>
              </w:rPr>
              <w:fldChar w:fldCharType="separate"/>
            </w:r>
            <w:r>
              <w:rPr>
                <w:noProof/>
                <w:webHidden/>
              </w:rPr>
              <w:t>14</w:t>
            </w:r>
            <w:r>
              <w:rPr>
                <w:noProof/>
                <w:webHidden/>
              </w:rPr>
              <w:fldChar w:fldCharType="end"/>
            </w:r>
          </w:hyperlink>
        </w:p>
        <w:p w:rsidR="00322410" w:rsidRDefault="00322410" w14:paraId="7279F52F" w14:textId="5FE87AD9">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19130985">
            <w:r w:rsidRPr="005611DC">
              <w:rPr>
                <w:rStyle w:val="Hyperlink"/>
                <w:noProof/>
              </w:rPr>
              <w:t>Output 1: Emission Reductions Programmes planned and implemented/progressing through the Carbon Fund process.</w:t>
            </w:r>
            <w:r>
              <w:rPr>
                <w:noProof/>
                <w:webHidden/>
              </w:rPr>
              <w:tab/>
            </w:r>
            <w:r>
              <w:rPr>
                <w:noProof/>
                <w:webHidden/>
              </w:rPr>
              <w:fldChar w:fldCharType="begin"/>
            </w:r>
            <w:r>
              <w:rPr>
                <w:noProof/>
                <w:webHidden/>
              </w:rPr>
              <w:instrText xml:space="preserve"> PAGEREF _Toc219130985 \h </w:instrText>
            </w:r>
            <w:r>
              <w:rPr>
                <w:noProof/>
                <w:webHidden/>
              </w:rPr>
            </w:r>
            <w:r>
              <w:rPr>
                <w:noProof/>
                <w:webHidden/>
              </w:rPr>
              <w:fldChar w:fldCharType="separate"/>
            </w:r>
            <w:r>
              <w:rPr>
                <w:noProof/>
                <w:webHidden/>
              </w:rPr>
              <w:t>16</w:t>
            </w:r>
            <w:r>
              <w:rPr>
                <w:noProof/>
                <w:webHidden/>
              </w:rPr>
              <w:fldChar w:fldCharType="end"/>
            </w:r>
          </w:hyperlink>
        </w:p>
        <w:p w:rsidR="00322410" w:rsidRDefault="00322410" w14:paraId="4BC00083" w14:textId="2CCAC12D">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19130986">
            <w:r w:rsidRPr="005611DC">
              <w:rPr>
                <w:rStyle w:val="Hyperlink"/>
                <w:noProof/>
              </w:rPr>
              <w:t>Output 2: Countries implement programmes that conserve biodiversity and contribute positively to local socio-economic development, as well as generating emission reductions.</w:t>
            </w:r>
            <w:r>
              <w:rPr>
                <w:noProof/>
                <w:webHidden/>
              </w:rPr>
              <w:tab/>
            </w:r>
            <w:r>
              <w:rPr>
                <w:noProof/>
                <w:webHidden/>
              </w:rPr>
              <w:fldChar w:fldCharType="begin"/>
            </w:r>
            <w:r>
              <w:rPr>
                <w:noProof/>
                <w:webHidden/>
              </w:rPr>
              <w:instrText xml:space="preserve"> PAGEREF _Toc219130986 \h </w:instrText>
            </w:r>
            <w:r>
              <w:rPr>
                <w:noProof/>
                <w:webHidden/>
              </w:rPr>
            </w:r>
            <w:r>
              <w:rPr>
                <w:noProof/>
                <w:webHidden/>
              </w:rPr>
              <w:fldChar w:fldCharType="separate"/>
            </w:r>
            <w:r>
              <w:rPr>
                <w:noProof/>
                <w:webHidden/>
              </w:rPr>
              <w:t>20</w:t>
            </w:r>
            <w:r>
              <w:rPr>
                <w:noProof/>
                <w:webHidden/>
              </w:rPr>
              <w:fldChar w:fldCharType="end"/>
            </w:r>
          </w:hyperlink>
        </w:p>
        <w:p w:rsidR="00322410" w:rsidRDefault="00322410" w14:paraId="1FE085EC" w14:textId="2FC4F9E9">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19130987">
            <w:r w:rsidRPr="005611DC">
              <w:rPr>
                <w:rStyle w:val="Hyperlink"/>
                <w:noProof/>
              </w:rPr>
              <w:t>Output 3: Knowledge gained in the development of the FCPF and implementation of ER programmes is broadly shared and used by international REDD+ practitioners within and beyond FCPF country participants</w:t>
            </w:r>
            <w:r>
              <w:rPr>
                <w:noProof/>
                <w:webHidden/>
              </w:rPr>
              <w:tab/>
            </w:r>
            <w:r>
              <w:rPr>
                <w:noProof/>
                <w:webHidden/>
              </w:rPr>
              <w:fldChar w:fldCharType="begin"/>
            </w:r>
            <w:r>
              <w:rPr>
                <w:noProof/>
                <w:webHidden/>
              </w:rPr>
              <w:instrText xml:space="preserve"> PAGEREF _Toc219130987 \h </w:instrText>
            </w:r>
            <w:r>
              <w:rPr>
                <w:noProof/>
                <w:webHidden/>
              </w:rPr>
            </w:r>
            <w:r>
              <w:rPr>
                <w:noProof/>
                <w:webHidden/>
              </w:rPr>
              <w:fldChar w:fldCharType="separate"/>
            </w:r>
            <w:r>
              <w:rPr>
                <w:noProof/>
                <w:webHidden/>
              </w:rPr>
              <w:t>25</w:t>
            </w:r>
            <w:r>
              <w:rPr>
                <w:noProof/>
                <w:webHidden/>
              </w:rPr>
              <w:fldChar w:fldCharType="end"/>
            </w:r>
          </w:hyperlink>
        </w:p>
        <w:p w:rsidR="00322410" w:rsidRDefault="00322410" w14:paraId="037E6A88" w14:textId="4536B0EE">
          <w:pPr>
            <w:pStyle w:val="TOC1"/>
            <w:tabs>
              <w:tab w:val="right" w:leader="dot" w:pos="9016"/>
            </w:tabs>
            <w:rPr>
              <w:rFonts w:asciiTheme="minorHAnsi" w:hAnsiTheme="minorHAnsi" w:eastAsiaTheme="minorEastAsia" w:cstheme="minorBidi"/>
              <w:noProof/>
              <w:kern w:val="2"/>
              <w:lang w:eastAsia="en-GB"/>
              <w14:ligatures w14:val="standardContextual"/>
            </w:rPr>
          </w:pPr>
          <w:hyperlink w:history="1" w:anchor="_Toc219130988">
            <w:r w:rsidRPr="005611DC">
              <w:rPr>
                <w:rStyle w:val="Hyperlink"/>
                <w:rFonts w:cs="Arial"/>
                <w:b/>
                <w:bCs/>
                <w:noProof/>
                <w:lang w:eastAsia="en-GB"/>
              </w:rPr>
              <w:t>Section D: Programme performance not captured by outputs</w:t>
            </w:r>
            <w:r>
              <w:rPr>
                <w:noProof/>
                <w:webHidden/>
              </w:rPr>
              <w:tab/>
            </w:r>
            <w:r>
              <w:rPr>
                <w:noProof/>
                <w:webHidden/>
              </w:rPr>
              <w:fldChar w:fldCharType="begin"/>
            </w:r>
            <w:r>
              <w:rPr>
                <w:noProof/>
                <w:webHidden/>
              </w:rPr>
              <w:instrText xml:space="preserve"> PAGEREF _Toc219130988 \h </w:instrText>
            </w:r>
            <w:r>
              <w:rPr>
                <w:noProof/>
                <w:webHidden/>
              </w:rPr>
            </w:r>
            <w:r>
              <w:rPr>
                <w:noProof/>
                <w:webHidden/>
              </w:rPr>
              <w:fldChar w:fldCharType="separate"/>
            </w:r>
            <w:r>
              <w:rPr>
                <w:noProof/>
                <w:webHidden/>
              </w:rPr>
              <w:t>27</w:t>
            </w:r>
            <w:r>
              <w:rPr>
                <w:noProof/>
                <w:webHidden/>
              </w:rPr>
              <w:fldChar w:fldCharType="end"/>
            </w:r>
          </w:hyperlink>
        </w:p>
        <w:p w:rsidR="00322410" w:rsidRDefault="00322410" w14:paraId="23C994F0" w14:textId="34EBD9C5">
          <w:pPr>
            <w:pStyle w:val="TOC1"/>
            <w:tabs>
              <w:tab w:val="right" w:leader="dot" w:pos="9016"/>
            </w:tabs>
            <w:rPr>
              <w:rFonts w:asciiTheme="minorHAnsi" w:hAnsiTheme="minorHAnsi" w:eastAsiaTheme="minorEastAsia" w:cstheme="minorBidi"/>
              <w:noProof/>
              <w:kern w:val="2"/>
              <w:lang w:eastAsia="en-GB"/>
              <w14:ligatures w14:val="standardContextual"/>
            </w:rPr>
          </w:pPr>
          <w:hyperlink w:history="1" w:anchor="_Toc219130989">
            <w:r w:rsidRPr="005611DC">
              <w:rPr>
                <w:rStyle w:val="Hyperlink"/>
                <w:rFonts w:cs="Arial"/>
                <w:b/>
                <w:bCs/>
                <w:noProof/>
                <w:lang w:eastAsia="en-GB"/>
              </w:rPr>
              <w:t>Section E: Risk</w:t>
            </w:r>
            <w:r>
              <w:rPr>
                <w:noProof/>
                <w:webHidden/>
              </w:rPr>
              <w:tab/>
            </w:r>
            <w:r>
              <w:rPr>
                <w:noProof/>
                <w:webHidden/>
              </w:rPr>
              <w:fldChar w:fldCharType="begin"/>
            </w:r>
            <w:r>
              <w:rPr>
                <w:noProof/>
                <w:webHidden/>
              </w:rPr>
              <w:instrText xml:space="preserve"> PAGEREF _Toc219130989 \h </w:instrText>
            </w:r>
            <w:r>
              <w:rPr>
                <w:noProof/>
                <w:webHidden/>
              </w:rPr>
            </w:r>
            <w:r>
              <w:rPr>
                <w:noProof/>
                <w:webHidden/>
              </w:rPr>
              <w:fldChar w:fldCharType="separate"/>
            </w:r>
            <w:r>
              <w:rPr>
                <w:noProof/>
                <w:webHidden/>
              </w:rPr>
              <w:t>29</w:t>
            </w:r>
            <w:r>
              <w:rPr>
                <w:noProof/>
                <w:webHidden/>
              </w:rPr>
              <w:fldChar w:fldCharType="end"/>
            </w:r>
          </w:hyperlink>
        </w:p>
        <w:p w:rsidR="00322410" w:rsidRDefault="00322410" w14:paraId="07637124" w14:textId="55316025">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19130990">
            <w:r w:rsidRPr="005611DC">
              <w:rPr>
                <w:rStyle w:val="Hyperlink"/>
                <w:noProof/>
              </w:rPr>
              <w:t>Overall risk rating</w:t>
            </w:r>
            <w:r>
              <w:rPr>
                <w:noProof/>
                <w:webHidden/>
              </w:rPr>
              <w:tab/>
            </w:r>
            <w:r>
              <w:rPr>
                <w:noProof/>
                <w:webHidden/>
              </w:rPr>
              <w:fldChar w:fldCharType="begin"/>
            </w:r>
            <w:r>
              <w:rPr>
                <w:noProof/>
                <w:webHidden/>
              </w:rPr>
              <w:instrText xml:space="preserve"> PAGEREF _Toc219130990 \h </w:instrText>
            </w:r>
            <w:r>
              <w:rPr>
                <w:noProof/>
                <w:webHidden/>
              </w:rPr>
            </w:r>
            <w:r>
              <w:rPr>
                <w:noProof/>
                <w:webHidden/>
              </w:rPr>
              <w:fldChar w:fldCharType="separate"/>
            </w:r>
            <w:r>
              <w:rPr>
                <w:noProof/>
                <w:webHidden/>
              </w:rPr>
              <w:t>29</w:t>
            </w:r>
            <w:r>
              <w:rPr>
                <w:noProof/>
                <w:webHidden/>
              </w:rPr>
              <w:fldChar w:fldCharType="end"/>
            </w:r>
          </w:hyperlink>
        </w:p>
        <w:p w:rsidR="00322410" w:rsidRDefault="00322410" w14:paraId="0CF81D2A" w14:textId="246B6131">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19130991">
            <w:r w:rsidRPr="005611DC">
              <w:rPr>
                <w:rStyle w:val="Hyperlink"/>
                <w:noProof/>
              </w:rPr>
              <w:t>Overview of risk management</w:t>
            </w:r>
            <w:r>
              <w:rPr>
                <w:noProof/>
                <w:webHidden/>
              </w:rPr>
              <w:tab/>
            </w:r>
            <w:r>
              <w:rPr>
                <w:noProof/>
                <w:webHidden/>
              </w:rPr>
              <w:fldChar w:fldCharType="begin"/>
            </w:r>
            <w:r>
              <w:rPr>
                <w:noProof/>
                <w:webHidden/>
              </w:rPr>
              <w:instrText xml:space="preserve"> PAGEREF _Toc219130991 \h </w:instrText>
            </w:r>
            <w:r>
              <w:rPr>
                <w:noProof/>
                <w:webHidden/>
              </w:rPr>
            </w:r>
            <w:r>
              <w:rPr>
                <w:noProof/>
                <w:webHidden/>
              </w:rPr>
              <w:fldChar w:fldCharType="separate"/>
            </w:r>
            <w:r>
              <w:rPr>
                <w:noProof/>
                <w:webHidden/>
              </w:rPr>
              <w:t>29</w:t>
            </w:r>
            <w:r>
              <w:rPr>
                <w:noProof/>
                <w:webHidden/>
              </w:rPr>
              <w:fldChar w:fldCharType="end"/>
            </w:r>
          </w:hyperlink>
        </w:p>
        <w:p w:rsidR="00322410" w:rsidRDefault="00322410" w14:paraId="258398BF" w14:textId="2AC50842">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19130992">
            <w:r w:rsidRPr="005611DC">
              <w:rPr>
                <w:rStyle w:val="Hyperlink"/>
                <w:noProof/>
              </w:rPr>
              <w:t>Current risks</w:t>
            </w:r>
            <w:r>
              <w:rPr>
                <w:noProof/>
                <w:webHidden/>
              </w:rPr>
              <w:tab/>
            </w:r>
            <w:r>
              <w:rPr>
                <w:noProof/>
                <w:webHidden/>
              </w:rPr>
              <w:fldChar w:fldCharType="begin"/>
            </w:r>
            <w:r>
              <w:rPr>
                <w:noProof/>
                <w:webHidden/>
              </w:rPr>
              <w:instrText xml:space="preserve"> PAGEREF _Toc219130992 \h </w:instrText>
            </w:r>
            <w:r>
              <w:rPr>
                <w:noProof/>
                <w:webHidden/>
              </w:rPr>
            </w:r>
            <w:r>
              <w:rPr>
                <w:noProof/>
                <w:webHidden/>
              </w:rPr>
              <w:fldChar w:fldCharType="separate"/>
            </w:r>
            <w:r>
              <w:rPr>
                <w:noProof/>
                <w:webHidden/>
              </w:rPr>
              <w:t>29</w:t>
            </w:r>
            <w:r>
              <w:rPr>
                <w:noProof/>
                <w:webHidden/>
              </w:rPr>
              <w:fldChar w:fldCharType="end"/>
            </w:r>
          </w:hyperlink>
        </w:p>
        <w:p w:rsidR="00322410" w:rsidRDefault="00322410" w14:paraId="44878B9D" w14:textId="527A7E3D">
          <w:pPr>
            <w:pStyle w:val="TOC1"/>
            <w:tabs>
              <w:tab w:val="right" w:leader="dot" w:pos="9016"/>
            </w:tabs>
            <w:rPr>
              <w:rFonts w:asciiTheme="minorHAnsi" w:hAnsiTheme="minorHAnsi" w:eastAsiaTheme="minorEastAsia" w:cstheme="minorBidi"/>
              <w:noProof/>
              <w:kern w:val="2"/>
              <w:lang w:eastAsia="en-GB"/>
              <w14:ligatures w14:val="standardContextual"/>
            </w:rPr>
          </w:pPr>
          <w:hyperlink w:history="1" w:anchor="_Toc219130993">
            <w:r w:rsidRPr="005611DC">
              <w:rPr>
                <w:rStyle w:val="Hyperlink"/>
                <w:rFonts w:cs="Arial"/>
                <w:b/>
                <w:bCs/>
                <w:noProof/>
                <w:lang w:eastAsia="en-GB"/>
              </w:rPr>
              <w:t>Section F: Programme management: delivery, VfM, commercial and financial performance</w:t>
            </w:r>
            <w:r>
              <w:rPr>
                <w:noProof/>
                <w:webHidden/>
              </w:rPr>
              <w:tab/>
            </w:r>
            <w:r>
              <w:rPr>
                <w:noProof/>
                <w:webHidden/>
              </w:rPr>
              <w:fldChar w:fldCharType="begin"/>
            </w:r>
            <w:r>
              <w:rPr>
                <w:noProof/>
                <w:webHidden/>
              </w:rPr>
              <w:instrText xml:space="preserve"> PAGEREF _Toc219130993 \h </w:instrText>
            </w:r>
            <w:r>
              <w:rPr>
                <w:noProof/>
                <w:webHidden/>
              </w:rPr>
            </w:r>
            <w:r>
              <w:rPr>
                <w:noProof/>
                <w:webHidden/>
              </w:rPr>
              <w:fldChar w:fldCharType="separate"/>
            </w:r>
            <w:r>
              <w:rPr>
                <w:noProof/>
                <w:webHidden/>
              </w:rPr>
              <w:t>32</w:t>
            </w:r>
            <w:r>
              <w:rPr>
                <w:noProof/>
                <w:webHidden/>
              </w:rPr>
              <w:fldChar w:fldCharType="end"/>
            </w:r>
          </w:hyperlink>
        </w:p>
        <w:p w:rsidR="00322410" w:rsidRDefault="00322410" w14:paraId="1F03D0AB" w14:textId="6C43DF64">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19130994">
            <w:r w:rsidRPr="005611DC">
              <w:rPr>
                <w:rStyle w:val="Hyperlink"/>
                <w:noProof/>
              </w:rPr>
              <w:t>Summary of the performance of partners and DESNZ, notably on commercial and financial issues, and including consideration of VfM.</w:t>
            </w:r>
            <w:r>
              <w:rPr>
                <w:noProof/>
                <w:webHidden/>
              </w:rPr>
              <w:tab/>
            </w:r>
            <w:r>
              <w:rPr>
                <w:noProof/>
                <w:webHidden/>
              </w:rPr>
              <w:fldChar w:fldCharType="begin"/>
            </w:r>
            <w:r>
              <w:rPr>
                <w:noProof/>
                <w:webHidden/>
              </w:rPr>
              <w:instrText xml:space="preserve"> PAGEREF _Toc219130994 \h </w:instrText>
            </w:r>
            <w:r>
              <w:rPr>
                <w:noProof/>
                <w:webHidden/>
              </w:rPr>
            </w:r>
            <w:r>
              <w:rPr>
                <w:noProof/>
                <w:webHidden/>
              </w:rPr>
              <w:fldChar w:fldCharType="separate"/>
            </w:r>
            <w:r>
              <w:rPr>
                <w:noProof/>
                <w:webHidden/>
              </w:rPr>
              <w:t>32</w:t>
            </w:r>
            <w:r>
              <w:rPr>
                <w:noProof/>
                <w:webHidden/>
              </w:rPr>
              <w:fldChar w:fldCharType="end"/>
            </w:r>
          </w:hyperlink>
        </w:p>
        <w:p w:rsidRPr="00322410" w:rsidR="00DB4AAF" w:rsidP="6C96D7A6" w:rsidRDefault="527A8EFF" w14:paraId="6E7BF280" w14:textId="7068E04C">
          <w:pPr>
            <w:pStyle w:val="TOC2"/>
            <w:tabs>
              <w:tab w:val="right" w:leader="dot" w:pos="9015"/>
            </w:tabs>
            <w:rPr>
              <w:rStyle w:val="Hyperlink"/>
              <w:noProof/>
              <w:kern w:val="2"/>
              <w:lang w:eastAsia="en-GB"/>
              <w14:ligatures w14:val="standardContextual"/>
            </w:rPr>
          </w:pPr>
          <w:r w:rsidRPr="00322410">
            <w:fldChar w:fldCharType="end"/>
          </w:r>
        </w:p>
      </w:sdtContent>
      <w:sdtEndPr>
        <w:rPr>
          <w:rFonts w:ascii="Arial" w:hAnsi="Arial" w:eastAsia="Times New Roman" w:cs="Times New Roman"/>
          <w:color w:val="auto"/>
          <w:sz w:val="24"/>
          <w:szCs w:val="24"/>
          <w:lang w:val="en-GB"/>
        </w:rPr>
      </w:sdtEndPr>
    </w:sdt>
    <w:p w:rsidRPr="00322410" w:rsidR="001B14BA" w:rsidP="00276517" w:rsidRDefault="001B14BA" w14:paraId="5E063C9F" w14:textId="0782D2F0">
      <w:pPr>
        <w:spacing w:line="276" w:lineRule="auto"/>
      </w:pPr>
    </w:p>
    <w:p w:rsidRPr="00322410" w:rsidR="008D3049" w:rsidRDefault="008D3049" w14:paraId="5329C57B" w14:textId="77E53EDE">
      <w:pPr>
        <w:spacing w:after="160" w:line="259" w:lineRule="auto"/>
        <w:rPr>
          <w:sz w:val="22"/>
          <w:szCs w:val="22"/>
        </w:rPr>
      </w:pPr>
    </w:p>
    <w:p w:rsidRPr="00322410" w:rsidR="004D2FC0" w:rsidP="57D3D6FC" w:rsidRDefault="004D2FC0" w14:paraId="32718D3E" w14:textId="48A0A8E4">
      <w:pPr>
        <w:spacing w:after="160" w:line="259" w:lineRule="auto"/>
        <w:rPr>
          <w:sz w:val="22"/>
          <w:szCs w:val="22"/>
        </w:rPr>
      </w:pPr>
      <w:r w:rsidRPr="00322410">
        <w:rPr>
          <w:sz w:val="22"/>
          <w:szCs w:val="22"/>
        </w:rPr>
        <w:br w:type="page"/>
      </w:r>
    </w:p>
    <w:tbl>
      <w:tblPr>
        <w:tblStyle w:val="TableGrid"/>
        <w:tblW w:w="0" w:type="auto"/>
        <w:tblLook w:val="04A0" w:firstRow="1" w:lastRow="0" w:firstColumn="1" w:lastColumn="0" w:noHBand="0" w:noVBand="1"/>
      </w:tblPr>
      <w:tblGrid>
        <w:gridCol w:w="9016"/>
      </w:tblGrid>
      <w:tr w:rsidRPr="00322410" w:rsidR="00495286" w:rsidTr="6C96D7A6" w14:paraId="65DE13A0" w14:textId="77777777">
        <w:tc>
          <w:tcPr>
            <w:tcW w:w="9016" w:type="dxa"/>
            <w:shd w:val="clear" w:color="auto" w:fill="DEEAF6" w:themeFill="accent5" w:themeFillTint="33"/>
          </w:tcPr>
          <w:p w:rsidRPr="00322410" w:rsidR="00495286" w:rsidP="6C96D7A6" w:rsidRDefault="4B4AF2FF" w14:paraId="7DC76797" w14:textId="5F6C9379">
            <w:pPr>
              <w:rPr>
                <w:rStyle w:val="Heading1Char"/>
                <w:rFonts w:ascii="Arial" w:hAnsi="Arial" w:cs="Arial"/>
                <w:b/>
                <w:bCs/>
                <w:color w:val="auto"/>
              </w:rPr>
            </w:pPr>
            <w:bookmarkStart w:name="_Toc219130976" w:id="0"/>
            <w:r w:rsidRPr="00322410">
              <w:rPr>
                <w:rStyle w:val="Heading1Char"/>
                <w:rFonts w:ascii="Arial" w:hAnsi="Arial" w:cs="Arial"/>
                <w:b/>
                <w:bCs/>
                <w:color w:val="auto"/>
              </w:rPr>
              <w:t>Section A: Summary and overview</w:t>
            </w:r>
            <w:bookmarkEnd w:id="0"/>
          </w:p>
        </w:tc>
      </w:tr>
    </w:tbl>
    <w:p w:rsidRPr="00322410" w:rsidR="00495286" w:rsidP="006C516E" w:rsidRDefault="00495286" w14:paraId="006A5D19" w14:textId="77777777"/>
    <w:tbl>
      <w:tblPr>
        <w:tblStyle w:val="TableGrid"/>
        <w:tblW w:w="0" w:type="auto"/>
        <w:tblLook w:val="04A0" w:firstRow="1" w:lastRow="0" w:firstColumn="1" w:lastColumn="0" w:noHBand="0" w:noVBand="1"/>
      </w:tblPr>
      <w:tblGrid>
        <w:gridCol w:w="3397"/>
        <w:gridCol w:w="2410"/>
        <w:gridCol w:w="3209"/>
      </w:tblGrid>
      <w:tr w:rsidRPr="00322410" w:rsidR="004D2FC0" w:rsidTr="13C707C8" w14:paraId="2869ADA5" w14:textId="77777777">
        <w:trPr>
          <w:trHeight w:val="407"/>
        </w:trPr>
        <w:tc>
          <w:tcPr>
            <w:tcW w:w="9016" w:type="dxa"/>
            <w:gridSpan w:val="3"/>
            <w:tcBorders>
              <w:top w:val="single" w:color="auto" w:sz="4" w:space="0"/>
              <w:left w:val="single" w:color="auto" w:sz="4" w:space="0"/>
              <w:bottom w:val="dotted" w:color="000000" w:themeColor="text1" w:sz="2" w:space="0"/>
              <w:right w:val="single" w:color="auto" w:sz="4" w:space="0"/>
            </w:tcBorders>
          </w:tcPr>
          <w:p w:rsidRPr="00322410" w:rsidR="004D2FC0" w:rsidP="7D8D51F8" w:rsidRDefault="004D2FC0" w14:paraId="346F2EF8" w14:textId="6E704111">
            <w:pPr>
              <w:rPr>
                <w:rFonts w:cs="Arial"/>
                <w:b/>
                <w:bCs/>
                <w:sz w:val="22"/>
                <w:szCs w:val="22"/>
              </w:rPr>
            </w:pPr>
            <w:r w:rsidRPr="00322410">
              <w:rPr>
                <w:rFonts w:cs="Arial"/>
                <w:b/>
                <w:bCs/>
                <w:sz w:val="22"/>
                <w:szCs w:val="22"/>
              </w:rPr>
              <w:t xml:space="preserve">Title: </w:t>
            </w:r>
            <w:r w:rsidRPr="00322410" w:rsidR="43C61B6E">
              <w:rPr>
                <w:rFonts w:cs="Arial"/>
                <w:sz w:val="22"/>
                <w:szCs w:val="22"/>
              </w:rPr>
              <w:t>Forest Carbon Partnership Facility Carbon Fund</w:t>
            </w:r>
          </w:p>
        </w:tc>
      </w:tr>
      <w:tr w:rsidRPr="00322410" w:rsidR="004D2FC0" w:rsidTr="13C707C8" w14:paraId="109A3418" w14:textId="77777777">
        <w:trPr>
          <w:trHeight w:val="413"/>
        </w:trPr>
        <w:tc>
          <w:tcPr>
            <w:tcW w:w="5807" w:type="dxa"/>
            <w:gridSpan w:val="2"/>
            <w:tcBorders>
              <w:top w:val="dotted" w:color="000000" w:themeColor="text1" w:sz="2" w:space="0"/>
              <w:left w:val="single" w:color="000000" w:themeColor="text1" w:sz="4" w:space="0"/>
              <w:bottom w:val="dotted" w:color="000000" w:themeColor="text1" w:sz="2" w:space="0"/>
              <w:right w:val="dotted" w:color="000000" w:themeColor="text1" w:sz="2" w:space="0"/>
            </w:tcBorders>
            <w:hideMark/>
          </w:tcPr>
          <w:p w:rsidRPr="00322410" w:rsidR="004D2FC0" w:rsidP="7EEA1737" w:rsidRDefault="004D2FC0" w14:paraId="79376CB4" w14:textId="45512F06">
            <w:pPr>
              <w:rPr>
                <w:rFonts w:cs="Arial"/>
                <w:b/>
                <w:bCs/>
                <w:sz w:val="22"/>
                <w:szCs w:val="22"/>
              </w:rPr>
            </w:pPr>
            <w:r w:rsidRPr="00322410">
              <w:rPr>
                <w:rFonts w:cs="Arial"/>
                <w:b/>
                <w:bCs/>
                <w:sz w:val="22"/>
                <w:szCs w:val="22"/>
              </w:rPr>
              <w:t xml:space="preserve">Programme Value £ (full life): </w:t>
            </w:r>
            <w:r w:rsidRPr="00322410" w:rsidR="33277E93">
              <w:rPr>
                <w:rFonts w:cs="Arial"/>
                <w:sz w:val="22"/>
                <w:szCs w:val="22"/>
              </w:rPr>
              <w:t>£141.5m UK investment (£130m ICF and £11.5m ETF)</w:t>
            </w:r>
          </w:p>
        </w:tc>
        <w:tc>
          <w:tcPr>
            <w:tcW w:w="3209" w:type="dxa"/>
            <w:tcBorders>
              <w:top w:val="dotted" w:color="000000" w:themeColor="text1" w:sz="2" w:space="0"/>
              <w:left w:val="dotted" w:color="000000" w:themeColor="text1" w:sz="2" w:space="0"/>
              <w:bottom w:val="dotted" w:color="000000" w:themeColor="text1" w:sz="2" w:space="0"/>
              <w:right w:val="single" w:color="000000" w:themeColor="text1" w:sz="4" w:space="0"/>
            </w:tcBorders>
            <w:hideMark/>
          </w:tcPr>
          <w:p w:rsidRPr="00322410" w:rsidR="004D2FC0" w:rsidP="7EEA1737" w:rsidRDefault="004D2FC0" w14:paraId="5E522675" w14:textId="123A7682">
            <w:pPr>
              <w:rPr>
                <w:rFonts w:cs="Arial"/>
                <w:b/>
                <w:bCs/>
                <w:sz w:val="22"/>
                <w:szCs w:val="22"/>
              </w:rPr>
            </w:pPr>
            <w:r w:rsidRPr="00322410">
              <w:rPr>
                <w:rFonts w:cs="Arial"/>
                <w:b/>
                <w:bCs/>
                <w:sz w:val="22"/>
                <w:szCs w:val="22"/>
              </w:rPr>
              <w:t xml:space="preserve">Review date: </w:t>
            </w:r>
            <w:r w:rsidRPr="00322410" w:rsidR="0EFB94F5">
              <w:rPr>
                <w:rFonts w:cs="Arial"/>
                <w:sz w:val="22"/>
                <w:szCs w:val="22"/>
              </w:rPr>
              <w:t>1 July 2024 – 30 June 2025</w:t>
            </w:r>
          </w:p>
        </w:tc>
      </w:tr>
      <w:tr w:rsidRPr="00322410" w:rsidR="004D2FC0" w:rsidTr="13C707C8" w14:paraId="4F6467CB" w14:textId="77777777">
        <w:trPr>
          <w:trHeight w:val="300"/>
        </w:trPr>
        <w:tc>
          <w:tcPr>
            <w:tcW w:w="3397" w:type="dxa"/>
            <w:tcBorders>
              <w:top w:val="dotted" w:color="000000" w:themeColor="text1" w:sz="2" w:space="0"/>
              <w:left w:val="single" w:color="auto" w:sz="4" w:space="0"/>
              <w:bottom w:val="single" w:color="auto" w:sz="4" w:space="0"/>
              <w:right w:val="dotted" w:color="000000" w:themeColor="text1" w:sz="2" w:space="0"/>
            </w:tcBorders>
          </w:tcPr>
          <w:p w:rsidRPr="00322410" w:rsidR="004D2FC0" w:rsidP="13C707C8" w:rsidRDefault="004D2FC0" w14:paraId="07FE2881" w14:textId="0CB6B5C0">
            <w:pPr>
              <w:rPr>
                <w:rFonts w:cs="Arial"/>
                <w:b/>
                <w:bCs/>
                <w:sz w:val="22"/>
                <w:szCs w:val="22"/>
                <w:lang w:val="fr-FR"/>
              </w:rPr>
            </w:pPr>
            <w:r w:rsidRPr="00322410">
              <w:rPr>
                <w:rFonts w:cs="Arial"/>
                <w:b/>
                <w:bCs/>
                <w:sz w:val="22"/>
                <w:szCs w:val="22"/>
                <w:lang w:val="fr-FR"/>
              </w:rPr>
              <w:t xml:space="preserve">Programme Code: </w:t>
            </w:r>
            <w:r w:rsidRPr="00322410" w:rsidR="65AA9E0A">
              <w:rPr>
                <w:rFonts w:cs="Arial"/>
                <w:sz w:val="22"/>
                <w:szCs w:val="22"/>
                <w:lang w:val="fr-FR"/>
              </w:rPr>
              <w:t>GB-GOV-13-ICF-0017-FCPF </w:t>
            </w:r>
          </w:p>
        </w:tc>
        <w:tc>
          <w:tcPr>
            <w:tcW w:w="2410" w:type="dxa"/>
            <w:tcBorders>
              <w:top w:val="dotted" w:color="000000" w:themeColor="text1" w:sz="2" w:space="0"/>
              <w:left w:val="dotted" w:color="000000" w:themeColor="text1" w:sz="2" w:space="0"/>
              <w:bottom w:val="single" w:color="000000" w:themeColor="text1" w:sz="4" w:space="0"/>
              <w:right w:val="dotted" w:color="000000" w:themeColor="text1" w:sz="2" w:space="0"/>
            </w:tcBorders>
            <w:hideMark/>
          </w:tcPr>
          <w:p w:rsidRPr="00322410" w:rsidR="004D2FC0" w:rsidP="13C707C8" w:rsidRDefault="004D2FC0" w14:paraId="3C649775" w14:textId="45009E43">
            <w:pPr>
              <w:rPr>
                <w:rFonts w:cs="Arial"/>
                <w:b/>
                <w:bCs/>
                <w:sz w:val="22"/>
                <w:szCs w:val="22"/>
              </w:rPr>
            </w:pPr>
            <w:r w:rsidRPr="00322410">
              <w:rPr>
                <w:rFonts w:cs="Arial"/>
                <w:b/>
                <w:bCs/>
                <w:sz w:val="22"/>
                <w:szCs w:val="22"/>
              </w:rPr>
              <w:t>Programme start date:</w:t>
            </w:r>
            <w:r w:rsidRPr="00322410">
              <w:rPr>
                <w:rFonts w:cs="Arial"/>
                <w:sz w:val="22"/>
                <w:szCs w:val="22"/>
              </w:rPr>
              <w:t xml:space="preserve"> </w:t>
            </w:r>
            <w:r w:rsidRPr="00322410" w:rsidR="1BC30962">
              <w:rPr>
                <w:rFonts w:cs="Arial"/>
                <w:sz w:val="22"/>
                <w:szCs w:val="22"/>
              </w:rPr>
              <w:t>2011</w:t>
            </w:r>
          </w:p>
        </w:tc>
        <w:tc>
          <w:tcPr>
            <w:tcW w:w="3209" w:type="dxa"/>
            <w:tcBorders>
              <w:top w:val="dotted" w:color="000000" w:themeColor="text1" w:sz="2" w:space="0"/>
              <w:left w:val="dotted" w:color="000000" w:themeColor="text1" w:sz="2" w:space="0"/>
              <w:bottom w:val="single" w:color="auto" w:sz="4" w:space="0"/>
              <w:right w:val="single" w:color="auto" w:sz="4" w:space="0"/>
            </w:tcBorders>
            <w:hideMark/>
          </w:tcPr>
          <w:p w:rsidRPr="00322410" w:rsidR="004D2FC0" w:rsidP="13C707C8" w:rsidRDefault="004D2FC0" w14:paraId="7A133EFD" w14:textId="2B50FDEA">
            <w:pPr>
              <w:rPr>
                <w:rFonts w:cs="Arial"/>
                <w:b/>
                <w:bCs/>
                <w:sz w:val="22"/>
                <w:szCs w:val="22"/>
              </w:rPr>
            </w:pPr>
            <w:r w:rsidRPr="00322410">
              <w:rPr>
                <w:rFonts w:cs="Arial"/>
                <w:b/>
                <w:bCs/>
                <w:sz w:val="22"/>
                <w:szCs w:val="22"/>
              </w:rPr>
              <w:t>Programme end date:</w:t>
            </w:r>
            <w:r w:rsidRPr="00322410">
              <w:rPr>
                <w:rFonts w:cs="Arial"/>
                <w:sz w:val="22"/>
                <w:szCs w:val="22"/>
              </w:rPr>
              <w:t xml:space="preserve"> </w:t>
            </w:r>
            <w:r w:rsidRPr="00322410" w:rsidR="6B38F4D8">
              <w:rPr>
                <w:rFonts w:cs="Arial"/>
                <w:sz w:val="22"/>
                <w:szCs w:val="22"/>
              </w:rPr>
              <w:t>2028</w:t>
            </w:r>
          </w:p>
        </w:tc>
      </w:tr>
    </w:tbl>
    <w:p w:rsidRPr="00322410" w:rsidR="004D2FC0" w:rsidP="004D2FC0" w:rsidRDefault="004D2FC0" w14:paraId="44D21F6A" w14:textId="77777777">
      <w:pPr>
        <w:rPr>
          <w:rFonts w:cs="Arial"/>
          <w:b/>
          <w:sz w:val="22"/>
          <w:szCs w:val="22"/>
        </w:rPr>
      </w:pPr>
    </w:p>
    <w:tbl>
      <w:tblPr>
        <w:tblStyle w:val="TableGrid"/>
        <w:tblW w:w="9067" w:type="dxa"/>
        <w:tblLook w:val="04A0" w:firstRow="1" w:lastRow="0" w:firstColumn="1" w:lastColumn="0" w:noHBand="0" w:noVBand="1"/>
      </w:tblPr>
      <w:tblGrid>
        <w:gridCol w:w="852"/>
        <w:gridCol w:w="1026"/>
        <w:gridCol w:w="1027"/>
        <w:gridCol w:w="1027"/>
        <w:gridCol w:w="1027"/>
        <w:gridCol w:w="1027"/>
        <w:gridCol w:w="1027"/>
        <w:gridCol w:w="1027"/>
        <w:gridCol w:w="1027"/>
      </w:tblGrid>
      <w:tr w:rsidRPr="00322410" w:rsidR="003D13EA" w:rsidTr="003D13EA" w14:paraId="397F49F6" w14:textId="77777777">
        <w:trPr>
          <w:trHeight w:val="300"/>
        </w:trPr>
        <w:tc>
          <w:tcPr>
            <w:tcW w:w="852"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22410" w:rsidR="003D13EA" w:rsidP="792C6455" w:rsidRDefault="003D13EA" w14:paraId="4C0C093D" w14:textId="77777777">
            <w:pPr>
              <w:rPr>
                <w:rFonts w:cs="Arial"/>
                <w:b/>
                <w:bCs/>
                <w:sz w:val="18"/>
                <w:szCs w:val="18"/>
              </w:rPr>
            </w:pPr>
            <w:r w:rsidRPr="00322410">
              <w:rPr>
                <w:rFonts w:cs="Arial"/>
                <w:b/>
                <w:bCs/>
                <w:sz w:val="18"/>
                <w:szCs w:val="18"/>
              </w:rPr>
              <w:t>Year</w:t>
            </w:r>
          </w:p>
        </w:tc>
        <w:tc>
          <w:tcPr>
            <w:tcW w:w="1026" w:type="dxa"/>
            <w:tcBorders>
              <w:top w:val="single" w:color="auto" w:sz="4" w:space="0"/>
              <w:left w:val="single" w:color="auto" w:sz="4" w:space="0"/>
              <w:bottom w:val="single" w:color="auto" w:sz="4" w:space="0"/>
              <w:right w:val="single" w:color="auto" w:sz="4" w:space="0"/>
            </w:tcBorders>
          </w:tcPr>
          <w:p w:rsidRPr="00322410" w:rsidR="003D13EA" w:rsidP="6401B3DD" w:rsidRDefault="003D13EA" w14:paraId="04CB39F0" w14:textId="6771CD98">
            <w:pPr>
              <w:rPr>
                <w:rFonts w:cs="Arial"/>
                <w:sz w:val="18"/>
                <w:szCs w:val="18"/>
              </w:rPr>
            </w:pPr>
            <w:r w:rsidRPr="00322410">
              <w:rPr>
                <w:rFonts w:cs="Arial"/>
                <w:sz w:val="18"/>
                <w:szCs w:val="18"/>
              </w:rPr>
              <w:t>11/1</w:t>
            </w:r>
            <w:r w:rsidRPr="00322410" w:rsidR="00F60598">
              <w:rPr>
                <w:rFonts w:cs="Arial"/>
                <w:sz w:val="18"/>
                <w:szCs w:val="18"/>
              </w:rPr>
              <w:t>2</w:t>
            </w:r>
          </w:p>
        </w:tc>
        <w:tc>
          <w:tcPr>
            <w:tcW w:w="1027" w:type="dxa"/>
            <w:tcBorders>
              <w:top w:val="single" w:color="auto" w:sz="4" w:space="0"/>
              <w:left w:val="single" w:color="auto" w:sz="4" w:space="0"/>
              <w:bottom w:val="single" w:color="auto" w:sz="4" w:space="0"/>
              <w:right w:val="single" w:color="auto" w:sz="4" w:space="0"/>
            </w:tcBorders>
          </w:tcPr>
          <w:p w:rsidRPr="00322410" w:rsidR="003D13EA" w:rsidP="6401B3DD" w:rsidRDefault="0000608A" w14:paraId="037A5853" w14:textId="522B5ACE">
            <w:pPr>
              <w:rPr>
                <w:rFonts w:cs="Arial"/>
                <w:sz w:val="18"/>
                <w:szCs w:val="18"/>
              </w:rPr>
            </w:pPr>
            <w:r w:rsidRPr="00322410">
              <w:rPr>
                <w:rFonts w:cs="Arial"/>
                <w:sz w:val="18"/>
                <w:szCs w:val="18"/>
              </w:rPr>
              <w:t>12/13</w:t>
            </w:r>
          </w:p>
        </w:tc>
        <w:tc>
          <w:tcPr>
            <w:tcW w:w="1027" w:type="dxa"/>
            <w:tcBorders>
              <w:top w:val="single" w:color="auto" w:sz="4" w:space="0"/>
              <w:left w:val="single" w:color="auto" w:sz="4" w:space="0"/>
              <w:bottom w:val="single" w:color="auto" w:sz="4" w:space="0"/>
              <w:right w:val="single" w:color="auto" w:sz="4" w:space="0"/>
            </w:tcBorders>
          </w:tcPr>
          <w:p w:rsidRPr="00322410" w:rsidR="003D13EA" w:rsidP="6401B3DD" w:rsidRDefault="0000608A" w14:paraId="079B1B1B" w14:textId="11904739">
            <w:pPr>
              <w:rPr>
                <w:rFonts w:cs="Arial"/>
                <w:sz w:val="18"/>
                <w:szCs w:val="18"/>
              </w:rPr>
            </w:pPr>
            <w:r w:rsidRPr="00322410">
              <w:rPr>
                <w:rFonts w:cs="Arial"/>
                <w:sz w:val="18"/>
                <w:szCs w:val="18"/>
              </w:rPr>
              <w:t>13/14</w:t>
            </w:r>
          </w:p>
        </w:tc>
        <w:tc>
          <w:tcPr>
            <w:tcW w:w="1027" w:type="dxa"/>
            <w:tcBorders>
              <w:top w:val="single" w:color="auto" w:sz="4" w:space="0"/>
              <w:left w:val="single" w:color="auto" w:sz="4" w:space="0"/>
              <w:bottom w:val="single" w:color="auto" w:sz="4" w:space="0"/>
              <w:right w:val="single" w:color="auto" w:sz="4" w:space="0"/>
            </w:tcBorders>
          </w:tcPr>
          <w:p w:rsidRPr="00322410" w:rsidR="003D13EA" w:rsidP="6401B3DD" w:rsidRDefault="00A67BB6" w14:paraId="646BA210" w14:textId="550E212A">
            <w:pPr>
              <w:rPr>
                <w:rFonts w:cs="Arial"/>
                <w:sz w:val="18"/>
                <w:szCs w:val="18"/>
              </w:rPr>
            </w:pPr>
            <w:r w:rsidRPr="00322410">
              <w:rPr>
                <w:rFonts w:cs="Arial"/>
                <w:sz w:val="18"/>
                <w:szCs w:val="18"/>
              </w:rPr>
              <w:t>14/15</w:t>
            </w:r>
          </w:p>
        </w:tc>
        <w:tc>
          <w:tcPr>
            <w:tcW w:w="1027" w:type="dxa"/>
            <w:tcBorders>
              <w:top w:val="single" w:color="auto" w:sz="4" w:space="0"/>
              <w:left w:val="single" w:color="auto" w:sz="4" w:space="0"/>
              <w:bottom w:val="single" w:color="auto" w:sz="4" w:space="0"/>
              <w:right w:val="single" w:color="auto" w:sz="4" w:space="0"/>
            </w:tcBorders>
          </w:tcPr>
          <w:p w:rsidRPr="00322410" w:rsidR="003D13EA" w:rsidP="6401B3DD" w:rsidRDefault="006601D6" w14:paraId="1035360D" w14:textId="0F23B607">
            <w:pPr>
              <w:rPr>
                <w:rFonts w:cs="Arial"/>
                <w:sz w:val="18"/>
                <w:szCs w:val="18"/>
              </w:rPr>
            </w:pPr>
            <w:r w:rsidRPr="00322410">
              <w:rPr>
                <w:rFonts w:cs="Arial"/>
                <w:sz w:val="18"/>
                <w:szCs w:val="18"/>
              </w:rPr>
              <w:t>15/</w:t>
            </w:r>
            <w:r w:rsidRPr="00322410" w:rsidR="00F32C42">
              <w:rPr>
                <w:rFonts w:cs="Arial"/>
                <w:sz w:val="18"/>
                <w:szCs w:val="18"/>
              </w:rPr>
              <w:t>16</w:t>
            </w:r>
          </w:p>
        </w:tc>
        <w:tc>
          <w:tcPr>
            <w:tcW w:w="1027" w:type="dxa"/>
            <w:tcBorders>
              <w:top w:val="single" w:color="auto" w:sz="4" w:space="0"/>
              <w:left w:val="single" w:color="auto" w:sz="4" w:space="0"/>
              <w:bottom w:val="single" w:color="auto" w:sz="4" w:space="0"/>
              <w:right w:val="single" w:color="auto" w:sz="4" w:space="0"/>
            </w:tcBorders>
          </w:tcPr>
          <w:p w:rsidRPr="00322410" w:rsidR="003D13EA" w:rsidP="6401B3DD" w:rsidRDefault="00F32C42" w14:paraId="64675C53" w14:textId="6AB18C4B">
            <w:pPr>
              <w:rPr>
                <w:rFonts w:cs="Arial"/>
                <w:sz w:val="18"/>
                <w:szCs w:val="18"/>
              </w:rPr>
            </w:pPr>
            <w:r w:rsidRPr="00322410">
              <w:rPr>
                <w:rFonts w:cs="Arial"/>
                <w:sz w:val="18"/>
                <w:szCs w:val="18"/>
              </w:rPr>
              <w:t>16/17</w:t>
            </w:r>
          </w:p>
        </w:tc>
        <w:tc>
          <w:tcPr>
            <w:tcW w:w="1027" w:type="dxa"/>
            <w:tcBorders>
              <w:top w:val="single" w:color="auto" w:sz="4" w:space="0"/>
              <w:left w:val="single" w:color="auto" w:sz="4" w:space="0"/>
              <w:bottom w:val="single" w:color="auto" w:sz="4" w:space="0"/>
              <w:right w:val="single" w:color="auto" w:sz="4" w:space="0"/>
            </w:tcBorders>
          </w:tcPr>
          <w:p w:rsidRPr="00322410" w:rsidR="003D13EA" w:rsidP="6401B3DD" w:rsidRDefault="00F32C42" w14:paraId="6C4DC08E" w14:textId="1305B316">
            <w:pPr>
              <w:rPr>
                <w:rFonts w:cs="Arial"/>
                <w:sz w:val="18"/>
                <w:szCs w:val="18"/>
              </w:rPr>
            </w:pPr>
            <w:r w:rsidRPr="00322410">
              <w:rPr>
                <w:rFonts w:cs="Arial"/>
                <w:sz w:val="18"/>
                <w:szCs w:val="18"/>
              </w:rPr>
              <w:t>17/18</w:t>
            </w:r>
          </w:p>
        </w:tc>
        <w:tc>
          <w:tcPr>
            <w:tcW w:w="1027" w:type="dxa"/>
            <w:tcBorders>
              <w:top w:val="single" w:color="auto" w:sz="4" w:space="0"/>
              <w:left w:val="single" w:color="auto" w:sz="4" w:space="0"/>
              <w:bottom w:val="single" w:color="auto" w:sz="4" w:space="0"/>
              <w:right w:val="single" w:color="auto" w:sz="4" w:space="0"/>
            </w:tcBorders>
          </w:tcPr>
          <w:p w:rsidRPr="00322410" w:rsidR="003D13EA" w:rsidP="6401B3DD" w:rsidRDefault="00052419" w14:paraId="7DE0F0B5" w14:textId="62ECD164">
            <w:pPr>
              <w:rPr>
                <w:rFonts w:cs="Arial"/>
                <w:sz w:val="18"/>
                <w:szCs w:val="18"/>
              </w:rPr>
            </w:pPr>
            <w:r w:rsidRPr="00322410">
              <w:rPr>
                <w:rFonts w:cs="Arial"/>
                <w:sz w:val="18"/>
                <w:szCs w:val="18"/>
              </w:rPr>
              <w:t>18/19</w:t>
            </w:r>
          </w:p>
        </w:tc>
      </w:tr>
      <w:tr w:rsidRPr="00322410" w:rsidR="00415E8F" w:rsidTr="003D13EA" w14:paraId="461D6177" w14:textId="77777777">
        <w:trPr>
          <w:trHeight w:val="300"/>
        </w:trPr>
        <w:tc>
          <w:tcPr>
            <w:tcW w:w="852"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22410" w:rsidR="00415E8F" w:rsidP="00415E8F" w:rsidRDefault="00415E8F" w14:paraId="63454618" w14:textId="77777777">
            <w:pPr>
              <w:rPr>
                <w:rFonts w:cs="Arial"/>
                <w:b/>
                <w:bCs/>
                <w:sz w:val="18"/>
                <w:szCs w:val="18"/>
              </w:rPr>
            </w:pPr>
            <w:r w:rsidRPr="00322410">
              <w:rPr>
                <w:rFonts w:cs="Arial"/>
                <w:b/>
                <w:bCs/>
                <w:sz w:val="18"/>
                <w:szCs w:val="18"/>
              </w:rPr>
              <w:t>Overall Output Score</w:t>
            </w:r>
          </w:p>
        </w:tc>
        <w:tc>
          <w:tcPr>
            <w:tcW w:w="1026" w:type="dxa"/>
            <w:tcBorders>
              <w:top w:val="single" w:color="auto" w:sz="4" w:space="0"/>
              <w:left w:val="single" w:color="auto" w:sz="4" w:space="0"/>
              <w:bottom w:val="single" w:color="auto" w:sz="4" w:space="0"/>
              <w:right w:val="single" w:color="auto" w:sz="4" w:space="0"/>
            </w:tcBorders>
          </w:tcPr>
          <w:p w:rsidRPr="00322410" w:rsidR="00415E8F" w:rsidP="00415E8F" w:rsidRDefault="00415E8F" w14:paraId="739EFDDA" w14:textId="2F038410">
            <w:pPr>
              <w:rPr>
                <w:rFonts w:cs="Arial"/>
                <w:sz w:val="18"/>
                <w:szCs w:val="18"/>
              </w:rPr>
            </w:pPr>
            <w:r w:rsidRPr="00322410">
              <w:rPr>
                <w:rStyle w:val="normaltextrun"/>
                <w:rFonts w:cs="Arial"/>
                <w:sz w:val="18"/>
                <w:szCs w:val="18"/>
              </w:rPr>
              <w:t>A</w:t>
            </w:r>
            <w:r w:rsidRPr="00322410">
              <w:rPr>
                <w:rStyle w:val="eop"/>
                <w:rFonts w:cs="Arial"/>
                <w:sz w:val="18"/>
                <w:szCs w:val="18"/>
              </w:rPr>
              <w:t> </w:t>
            </w:r>
          </w:p>
        </w:tc>
        <w:tc>
          <w:tcPr>
            <w:tcW w:w="1027" w:type="dxa"/>
            <w:tcBorders>
              <w:top w:val="single" w:color="auto" w:sz="4" w:space="0"/>
              <w:left w:val="single" w:color="auto" w:sz="4" w:space="0"/>
              <w:bottom w:val="single" w:color="auto" w:sz="4" w:space="0"/>
              <w:right w:val="single" w:color="auto" w:sz="4" w:space="0"/>
            </w:tcBorders>
          </w:tcPr>
          <w:p w:rsidRPr="00322410" w:rsidR="00415E8F" w:rsidP="00415E8F" w:rsidRDefault="00415E8F" w14:paraId="357D8D0E" w14:textId="34EE3753">
            <w:pPr>
              <w:rPr>
                <w:rFonts w:cs="Arial"/>
                <w:sz w:val="18"/>
                <w:szCs w:val="18"/>
              </w:rPr>
            </w:pPr>
            <w:r w:rsidRPr="00322410">
              <w:rPr>
                <w:rStyle w:val="normaltextrun"/>
                <w:rFonts w:cs="Arial"/>
                <w:sz w:val="18"/>
                <w:szCs w:val="18"/>
              </w:rPr>
              <w:t>A</w:t>
            </w:r>
            <w:r w:rsidRPr="00322410">
              <w:rPr>
                <w:rStyle w:val="eop"/>
                <w:rFonts w:cs="Arial"/>
                <w:sz w:val="18"/>
                <w:szCs w:val="18"/>
              </w:rPr>
              <w:t> </w:t>
            </w:r>
          </w:p>
        </w:tc>
        <w:tc>
          <w:tcPr>
            <w:tcW w:w="1027" w:type="dxa"/>
            <w:tcBorders>
              <w:top w:val="single" w:color="auto" w:sz="4" w:space="0"/>
              <w:left w:val="single" w:color="auto" w:sz="4" w:space="0"/>
              <w:bottom w:val="single" w:color="auto" w:sz="4" w:space="0"/>
              <w:right w:val="single" w:color="auto" w:sz="4" w:space="0"/>
            </w:tcBorders>
          </w:tcPr>
          <w:p w:rsidRPr="00322410" w:rsidR="00415E8F" w:rsidP="00415E8F" w:rsidRDefault="00415E8F" w14:paraId="2C992B7A" w14:textId="31CD3901">
            <w:pPr>
              <w:rPr>
                <w:rFonts w:cs="Arial"/>
                <w:sz w:val="18"/>
                <w:szCs w:val="18"/>
              </w:rPr>
            </w:pPr>
            <w:r w:rsidRPr="00322410">
              <w:rPr>
                <w:rStyle w:val="normaltextrun"/>
                <w:rFonts w:cs="Arial"/>
                <w:sz w:val="18"/>
                <w:szCs w:val="18"/>
              </w:rPr>
              <w:t>A</w:t>
            </w:r>
            <w:r w:rsidRPr="00322410">
              <w:rPr>
                <w:rStyle w:val="eop"/>
                <w:rFonts w:cs="Arial"/>
                <w:sz w:val="18"/>
                <w:szCs w:val="18"/>
              </w:rPr>
              <w:t> </w:t>
            </w:r>
          </w:p>
        </w:tc>
        <w:tc>
          <w:tcPr>
            <w:tcW w:w="1027" w:type="dxa"/>
            <w:tcBorders>
              <w:top w:val="single" w:color="auto" w:sz="4" w:space="0"/>
              <w:left w:val="single" w:color="auto" w:sz="4" w:space="0"/>
              <w:bottom w:val="single" w:color="auto" w:sz="4" w:space="0"/>
              <w:right w:val="single" w:color="auto" w:sz="4" w:space="0"/>
            </w:tcBorders>
          </w:tcPr>
          <w:p w:rsidRPr="00322410" w:rsidR="00415E8F" w:rsidP="00415E8F" w:rsidRDefault="00415E8F" w14:paraId="0B25B58D" w14:textId="2910AAA4">
            <w:pPr>
              <w:rPr>
                <w:rFonts w:cs="Arial"/>
                <w:sz w:val="18"/>
                <w:szCs w:val="18"/>
              </w:rPr>
            </w:pPr>
            <w:r w:rsidRPr="00322410">
              <w:rPr>
                <w:rStyle w:val="normaltextrun"/>
                <w:rFonts w:cs="Arial"/>
                <w:sz w:val="18"/>
                <w:szCs w:val="18"/>
              </w:rPr>
              <w:t>A</w:t>
            </w:r>
            <w:r w:rsidRPr="00322410">
              <w:rPr>
                <w:rStyle w:val="eop"/>
                <w:rFonts w:cs="Arial"/>
                <w:sz w:val="18"/>
                <w:szCs w:val="18"/>
              </w:rPr>
              <w:t> </w:t>
            </w:r>
          </w:p>
        </w:tc>
        <w:tc>
          <w:tcPr>
            <w:tcW w:w="1027" w:type="dxa"/>
            <w:tcBorders>
              <w:top w:val="single" w:color="auto" w:sz="4" w:space="0"/>
              <w:left w:val="single" w:color="auto" w:sz="4" w:space="0"/>
              <w:bottom w:val="single" w:color="auto" w:sz="4" w:space="0"/>
              <w:right w:val="single" w:color="auto" w:sz="4" w:space="0"/>
            </w:tcBorders>
          </w:tcPr>
          <w:p w:rsidRPr="00322410" w:rsidR="00415E8F" w:rsidP="00415E8F" w:rsidRDefault="00415E8F" w14:paraId="40B2879D" w14:textId="7F6F0FCB">
            <w:pPr>
              <w:rPr>
                <w:rFonts w:cs="Arial"/>
                <w:sz w:val="18"/>
                <w:szCs w:val="18"/>
              </w:rPr>
            </w:pPr>
            <w:r w:rsidRPr="00322410">
              <w:rPr>
                <w:rStyle w:val="normaltextrun"/>
                <w:rFonts w:cs="Arial"/>
                <w:sz w:val="18"/>
                <w:szCs w:val="18"/>
              </w:rPr>
              <w:t>A</w:t>
            </w:r>
            <w:r w:rsidRPr="00322410">
              <w:rPr>
                <w:rStyle w:val="eop"/>
                <w:rFonts w:cs="Arial"/>
                <w:sz w:val="18"/>
                <w:szCs w:val="18"/>
              </w:rPr>
              <w:t> </w:t>
            </w:r>
          </w:p>
        </w:tc>
        <w:tc>
          <w:tcPr>
            <w:tcW w:w="1027" w:type="dxa"/>
            <w:tcBorders>
              <w:top w:val="single" w:color="auto" w:sz="4" w:space="0"/>
              <w:left w:val="single" w:color="auto" w:sz="4" w:space="0"/>
              <w:bottom w:val="single" w:color="auto" w:sz="4" w:space="0"/>
              <w:right w:val="single" w:color="auto" w:sz="4" w:space="0"/>
            </w:tcBorders>
          </w:tcPr>
          <w:p w:rsidRPr="00322410" w:rsidR="00415E8F" w:rsidP="00415E8F" w:rsidRDefault="00415E8F" w14:paraId="1C095E04" w14:textId="62BDE41E">
            <w:pPr>
              <w:rPr>
                <w:rFonts w:cs="Arial"/>
                <w:sz w:val="18"/>
                <w:szCs w:val="18"/>
              </w:rPr>
            </w:pPr>
            <w:r w:rsidRPr="00322410">
              <w:rPr>
                <w:rStyle w:val="normaltextrun"/>
                <w:rFonts w:cs="Arial"/>
                <w:sz w:val="18"/>
                <w:szCs w:val="18"/>
              </w:rPr>
              <w:t>A</w:t>
            </w:r>
            <w:r w:rsidRPr="00322410">
              <w:rPr>
                <w:rStyle w:val="eop"/>
                <w:rFonts w:cs="Arial"/>
                <w:sz w:val="18"/>
                <w:szCs w:val="18"/>
              </w:rPr>
              <w:t> </w:t>
            </w:r>
          </w:p>
        </w:tc>
        <w:tc>
          <w:tcPr>
            <w:tcW w:w="1027" w:type="dxa"/>
            <w:tcBorders>
              <w:top w:val="single" w:color="auto" w:sz="4" w:space="0"/>
              <w:left w:val="single" w:color="auto" w:sz="4" w:space="0"/>
              <w:bottom w:val="single" w:color="auto" w:sz="4" w:space="0"/>
              <w:right w:val="single" w:color="auto" w:sz="4" w:space="0"/>
            </w:tcBorders>
          </w:tcPr>
          <w:p w:rsidRPr="00322410" w:rsidR="00415E8F" w:rsidP="00415E8F" w:rsidRDefault="00415E8F" w14:paraId="2E6879F9" w14:textId="29E53907">
            <w:pPr>
              <w:rPr>
                <w:rFonts w:cs="Arial"/>
                <w:sz w:val="18"/>
                <w:szCs w:val="18"/>
              </w:rPr>
            </w:pPr>
            <w:r w:rsidRPr="00322410">
              <w:rPr>
                <w:rStyle w:val="normaltextrun"/>
                <w:rFonts w:cs="Arial"/>
                <w:sz w:val="18"/>
                <w:szCs w:val="18"/>
              </w:rPr>
              <w:t>B</w:t>
            </w:r>
            <w:r w:rsidRPr="00322410">
              <w:rPr>
                <w:rStyle w:val="eop"/>
                <w:rFonts w:cs="Arial"/>
                <w:sz w:val="18"/>
                <w:szCs w:val="18"/>
              </w:rPr>
              <w:t> </w:t>
            </w:r>
          </w:p>
        </w:tc>
        <w:tc>
          <w:tcPr>
            <w:tcW w:w="1027" w:type="dxa"/>
            <w:tcBorders>
              <w:top w:val="single" w:color="auto" w:sz="4" w:space="0"/>
              <w:left w:val="single" w:color="auto" w:sz="4" w:space="0"/>
              <w:bottom w:val="single" w:color="auto" w:sz="4" w:space="0"/>
              <w:right w:val="single" w:color="auto" w:sz="4" w:space="0"/>
            </w:tcBorders>
          </w:tcPr>
          <w:p w:rsidRPr="00322410" w:rsidR="00415E8F" w:rsidP="00415E8F" w:rsidRDefault="00415E8F" w14:paraId="791C19F9" w14:textId="59C98B1F">
            <w:pPr>
              <w:rPr>
                <w:rFonts w:cs="Arial"/>
                <w:sz w:val="18"/>
                <w:szCs w:val="18"/>
              </w:rPr>
            </w:pPr>
            <w:r w:rsidRPr="00322410">
              <w:rPr>
                <w:rStyle w:val="normaltextrun"/>
                <w:rFonts w:cs="Arial"/>
                <w:sz w:val="18"/>
                <w:szCs w:val="18"/>
              </w:rPr>
              <w:t>A</w:t>
            </w:r>
            <w:r w:rsidRPr="00322410">
              <w:rPr>
                <w:rStyle w:val="eop"/>
                <w:rFonts w:cs="Arial"/>
                <w:sz w:val="18"/>
                <w:szCs w:val="18"/>
              </w:rPr>
              <w:t> </w:t>
            </w:r>
          </w:p>
        </w:tc>
      </w:tr>
      <w:tr w:rsidRPr="00322410" w:rsidR="00C220E8" w:rsidTr="003D13EA" w14:paraId="58491621" w14:textId="77777777">
        <w:trPr>
          <w:trHeight w:val="309"/>
        </w:trPr>
        <w:tc>
          <w:tcPr>
            <w:tcW w:w="852"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22410" w:rsidR="00C220E8" w:rsidP="00C220E8" w:rsidRDefault="00C220E8" w14:paraId="7030DD62" w14:textId="77777777">
            <w:pPr>
              <w:rPr>
                <w:rFonts w:cs="Arial"/>
                <w:b/>
                <w:bCs/>
                <w:sz w:val="18"/>
                <w:szCs w:val="18"/>
              </w:rPr>
            </w:pPr>
            <w:r w:rsidRPr="00322410">
              <w:rPr>
                <w:rFonts w:cs="Arial"/>
                <w:b/>
                <w:bCs/>
                <w:sz w:val="18"/>
                <w:szCs w:val="18"/>
              </w:rPr>
              <w:t xml:space="preserve">Risk Rating </w:t>
            </w:r>
          </w:p>
        </w:tc>
        <w:tc>
          <w:tcPr>
            <w:tcW w:w="1026" w:type="dxa"/>
            <w:tcBorders>
              <w:top w:val="single" w:color="auto" w:sz="4" w:space="0"/>
              <w:left w:val="single" w:color="auto" w:sz="4" w:space="0"/>
              <w:bottom w:val="single" w:color="auto" w:sz="4" w:space="0"/>
              <w:right w:val="single" w:color="auto" w:sz="4" w:space="0"/>
            </w:tcBorders>
          </w:tcPr>
          <w:p w:rsidRPr="00322410" w:rsidR="00C220E8" w:rsidP="00C220E8" w:rsidRDefault="00C220E8" w14:paraId="1DA9D990" w14:textId="4705B03D">
            <w:pPr>
              <w:rPr>
                <w:rFonts w:cs="Arial"/>
                <w:sz w:val="18"/>
                <w:szCs w:val="18"/>
              </w:rPr>
            </w:pPr>
            <w:r w:rsidRPr="00322410">
              <w:rPr>
                <w:rStyle w:val="normaltextrun"/>
                <w:rFonts w:cs="Arial"/>
                <w:sz w:val="18"/>
                <w:szCs w:val="18"/>
              </w:rPr>
              <w:t>Low</w:t>
            </w:r>
            <w:r w:rsidRPr="00322410">
              <w:rPr>
                <w:rStyle w:val="eop"/>
                <w:rFonts w:cs="Arial"/>
                <w:sz w:val="18"/>
                <w:szCs w:val="18"/>
              </w:rPr>
              <w:t> </w:t>
            </w:r>
          </w:p>
        </w:tc>
        <w:tc>
          <w:tcPr>
            <w:tcW w:w="1027" w:type="dxa"/>
            <w:tcBorders>
              <w:top w:val="single" w:color="auto" w:sz="4" w:space="0"/>
              <w:left w:val="single" w:color="auto" w:sz="4" w:space="0"/>
              <w:bottom w:val="single" w:color="auto" w:sz="4" w:space="0"/>
              <w:right w:val="single" w:color="auto" w:sz="4" w:space="0"/>
            </w:tcBorders>
          </w:tcPr>
          <w:p w:rsidRPr="00322410" w:rsidR="00C220E8" w:rsidP="00C220E8" w:rsidRDefault="00C220E8" w14:paraId="180C1E97" w14:textId="4046FC50">
            <w:pPr>
              <w:rPr>
                <w:rFonts w:cs="Arial"/>
                <w:sz w:val="18"/>
                <w:szCs w:val="18"/>
              </w:rPr>
            </w:pPr>
            <w:r w:rsidRPr="00322410">
              <w:rPr>
                <w:rStyle w:val="normaltextrun"/>
                <w:rFonts w:cs="Arial"/>
                <w:sz w:val="18"/>
                <w:szCs w:val="18"/>
              </w:rPr>
              <w:t>Low</w:t>
            </w:r>
            <w:r w:rsidRPr="00322410">
              <w:rPr>
                <w:rStyle w:val="eop"/>
                <w:rFonts w:cs="Arial"/>
                <w:sz w:val="18"/>
                <w:szCs w:val="18"/>
              </w:rPr>
              <w:t> </w:t>
            </w:r>
          </w:p>
        </w:tc>
        <w:tc>
          <w:tcPr>
            <w:tcW w:w="1027" w:type="dxa"/>
            <w:tcBorders>
              <w:top w:val="single" w:color="auto" w:sz="4" w:space="0"/>
              <w:left w:val="single" w:color="auto" w:sz="4" w:space="0"/>
              <w:bottom w:val="single" w:color="auto" w:sz="4" w:space="0"/>
              <w:right w:val="single" w:color="auto" w:sz="4" w:space="0"/>
            </w:tcBorders>
          </w:tcPr>
          <w:p w:rsidRPr="00322410" w:rsidR="00C220E8" w:rsidP="00C220E8" w:rsidRDefault="00C220E8" w14:paraId="23FE3FF4" w14:textId="7E4A4EF8">
            <w:pPr>
              <w:rPr>
                <w:rFonts w:cs="Arial"/>
                <w:sz w:val="18"/>
                <w:szCs w:val="18"/>
              </w:rPr>
            </w:pPr>
            <w:r w:rsidRPr="00322410">
              <w:rPr>
                <w:rStyle w:val="normaltextrun"/>
                <w:rFonts w:cs="Arial"/>
                <w:sz w:val="18"/>
                <w:szCs w:val="18"/>
              </w:rPr>
              <w:t>Medium</w:t>
            </w:r>
            <w:r w:rsidRPr="00322410">
              <w:rPr>
                <w:rStyle w:val="eop"/>
                <w:rFonts w:cs="Arial"/>
                <w:sz w:val="18"/>
                <w:szCs w:val="18"/>
              </w:rPr>
              <w:t> </w:t>
            </w:r>
          </w:p>
        </w:tc>
        <w:tc>
          <w:tcPr>
            <w:tcW w:w="1027" w:type="dxa"/>
            <w:tcBorders>
              <w:top w:val="single" w:color="auto" w:sz="4" w:space="0"/>
              <w:left w:val="single" w:color="auto" w:sz="4" w:space="0"/>
              <w:bottom w:val="single" w:color="auto" w:sz="4" w:space="0"/>
              <w:right w:val="single" w:color="auto" w:sz="4" w:space="0"/>
            </w:tcBorders>
          </w:tcPr>
          <w:p w:rsidRPr="00322410" w:rsidR="00C220E8" w:rsidP="00C220E8" w:rsidRDefault="00C220E8" w14:paraId="6BE836D9" w14:textId="03C46BFF">
            <w:pPr>
              <w:rPr>
                <w:rFonts w:cs="Arial"/>
                <w:sz w:val="18"/>
                <w:szCs w:val="18"/>
              </w:rPr>
            </w:pPr>
            <w:r w:rsidRPr="00322410">
              <w:rPr>
                <w:rStyle w:val="normaltextrun"/>
                <w:rFonts w:cs="Arial"/>
                <w:sz w:val="18"/>
                <w:szCs w:val="18"/>
              </w:rPr>
              <w:t>Medium</w:t>
            </w:r>
            <w:r w:rsidRPr="00322410">
              <w:rPr>
                <w:rStyle w:val="eop"/>
                <w:rFonts w:cs="Arial"/>
                <w:sz w:val="18"/>
                <w:szCs w:val="18"/>
              </w:rPr>
              <w:t> </w:t>
            </w:r>
          </w:p>
        </w:tc>
        <w:tc>
          <w:tcPr>
            <w:tcW w:w="1027" w:type="dxa"/>
            <w:tcBorders>
              <w:top w:val="single" w:color="auto" w:sz="4" w:space="0"/>
              <w:left w:val="single" w:color="auto" w:sz="4" w:space="0"/>
              <w:bottom w:val="single" w:color="auto" w:sz="4" w:space="0"/>
              <w:right w:val="single" w:color="auto" w:sz="4" w:space="0"/>
            </w:tcBorders>
          </w:tcPr>
          <w:p w:rsidRPr="00322410" w:rsidR="00C220E8" w:rsidP="00C220E8" w:rsidRDefault="00C220E8" w14:paraId="468D2069" w14:textId="1294ABE4">
            <w:pPr>
              <w:rPr>
                <w:rFonts w:cs="Arial"/>
                <w:sz w:val="18"/>
                <w:szCs w:val="18"/>
              </w:rPr>
            </w:pPr>
            <w:r w:rsidRPr="00322410">
              <w:rPr>
                <w:rStyle w:val="normaltextrun"/>
                <w:rFonts w:cs="Arial"/>
                <w:sz w:val="18"/>
                <w:szCs w:val="18"/>
              </w:rPr>
              <w:t>Moderate</w:t>
            </w:r>
          </w:p>
        </w:tc>
        <w:tc>
          <w:tcPr>
            <w:tcW w:w="1027" w:type="dxa"/>
            <w:tcBorders>
              <w:top w:val="single" w:color="auto" w:sz="4" w:space="0"/>
              <w:left w:val="single" w:color="auto" w:sz="4" w:space="0"/>
              <w:bottom w:val="single" w:color="auto" w:sz="4" w:space="0"/>
              <w:right w:val="single" w:color="auto" w:sz="4" w:space="0"/>
            </w:tcBorders>
          </w:tcPr>
          <w:p w:rsidRPr="00322410" w:rsidR="00C220E8" w:rsidP="00C220E8" w:rsidRDefault="00C220E8" w14:paraId="2F214678" w14:textId="55FF4C2D">
            <w:pPr>
              <w:rPr>
                <w:rFonts w:cs="Arial"/>
                <w:sz w:val="18"/>
                <w:szCs w:val="18"/>
              </w:rPr>
            </w:pPr>
            <w:r w:rsidRPr="00322410">
              <w:rPr>
                <w:rStyle w:val="normaltextrun"/>
                <w:rFonts w:cs="Arial"/>
                <w:sz w:val="18"/>
                <w:szCs w:val="18"/>
              </w:rPr>
              <w:t>Moderate</w:t>
            </w:r>
            <w:r w:rsidRPr="00322410">
              <w:rPr>
                <w:rStyle w:val="eop"/>
                <w:rFonts w:cs="Arial"/>
                <w:sz w:val="18"/>
                <w:szCs w:val="18"/>
              </w:rPr>
              <w:t> </w:t>
            </w:r>
          </w:p>
        </w:tc>
        <w:tc>
          <w:tcPr>
            <w:tcW w:w="1027" w:type="dxa"/>
            <w:tcBorders>
              <w:top w:val="single" w:color="auto" w:sz="4" w:space="0"/>
              <w:left w:val="single" w:color="auto" w:sz="4" w:space="0"/>
              <w:bottom w:val="single" w:color="auto" w:sz="4" w:space="0"/>
              <w:right w:val="single" w:color="auto" w:sz="4" w:space="0"/>
            </w:tcBorders>
          </w:tcPr>
          <w:p w:rsidRPr="00322410" w:rsidR="00C220E8" w:rsidP="00C220E8" w:rsidRDefault="00C220E8" w14:paraId="2A9939C5" w14:textId="3E1A3623">
            <w:pPr>
              <w:rPr>
                <w:rFonts w:cs="Arial"/>
                <w:sz w:val="18"/>
                <w:szCs w:val="18"/>
              </w:rPr>
            </w:pPr>
            <w:r w:rsidRPr="00322410">
              <w:rPr>
                <w:rStyle w:val="normaltextrun"/>
                <w:rFonts w:cs="Arial"/>
                <w:sz w:val="18"/>
                <w:szCs w:val="18"/>
              </w:rPr>
              <w:t>Moderate</w:t>
            </w:r>
            <w:r w:rsidRPr="00322410">
              <w:rPr>
                <w:rStyle w:val="eop"/>
                <w:rFonts w:cs="Arial"/>
                <w:sz w:val="18"/>
                <w:szCs w:val="18"/>
              </w:rPr>
              <w:t> </w:t>
            </w:r>
          </w:p>
        </w:tc>
        <w:tc>
          <w:tcPr>
            <w:tcW w:w="1027" w:type="dxa"/>
            <w:tcBorders>
              <w:top w:val="single" w:color="auto" w:sz="4" w:space="0"/>
              <w:left w:val="single" w:color="auto" w:sz="4" w:space="0"/>
              <w:bottom w:val="single" w:color="auto" w:sz="4" w:space="0"/>
              <w:right w:val="single" w:color="auto" w:sz="4" w:space="0"/>
            </w:tcBorders>
          </w:tcPr>
          <w:p w:rsidRPr="00322410" w:rsidR="00C220E8" w:rsidP="00C220E8" w:rsidRDefault="00C220E8" w14:paraId="5349FBAE" w14:textId="0E9BA3C0">
            <w:pPr>
              <w:rPr>
                <w:rFonts w:cs="Arial"/>
                <w:sz w:val="18"/>
                <w:szCs w:val="18"/>
              </w:rPr>
            </w:pPr>
            <w:r w:rsidRPr="00322410">
              <w:rPr>
                <w:rStyle w:val="normaltextrun"/>
                <w:rFonts w:cs="Arial"/>
                <w:sz w:val="18"/>
                <w:szCs w:val="18"/>
              </w:rPr>
              <w:t>Major</w:t>
            </w:r>
            <w:r w:rsidRPr="00322410">
              <w:rPr>
                <w:rStyle w:val="eop"/>
                <w:rFonts w:cs="Arial"/>
                <w:sz w:val="18"/>
                <w:szCs w:val="18"/>
              </w:rPr>
              <w:t> </w:t>
            </w:r>
          </w:p>
        </w:tc>
      </w:tr>
    </w:tbl>
    <w:p w:rsidRPr="00322410" w:rsidR="004D2FC0" w:rsidP="004D2FC0" w:rsidRDefault="004D2FC0" w14:paraId="06E2DA9D" w14:textId="77777777">
      <w:pPr>
        <w:rPr>
          <w:rFonts w:cs="Arial"/>
          <w:b/>
          <w:sz w:val="22"/>
          <w:szCs w:val="22"/>
        </w:rPr>
      </w:pPr>
    </w:p>
    <w:tbl>
      <w:tblPr>
        <w:tblStyle w:val="TableGrid"/>
        <w:tblW w:w="5987" w:type="dxa"/>
        <w:tblLook w:val="04A0" w:firstRow="1" w:lastRow="0" w:firstColumn="1" w:lastColumn="0" w:noHBand="0" w:noVBand="1"/>
      </w:tblPr>
      <w:tblGrid>
        <w:gridCol w:w="852"/>
        <w:gridCol w:w="1027"/>
        <w:gridCol w:w="1027"/>
        <w:gridCol w:w="1027"/>
        <w:gridCol w:w="1027"/>
        <w:gridCol w:w="1027"/>
      </w:tblGrid>
      <w:tr w:rsidRPr="00322410" w:rsidR="00562653" w:rsidTr="6C96D7A6" w14:paraId="258BEA8B" w14:textId="77777777">
        <w:trPr>
          <w:trHeight w:val="300"/>
        </w:trPr>
        <w:tc>
          <w:tcPr>
            <w:tcW w:w="852"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22410" w:rsidR="00562653" w:rsidP="00C11503" w:rsidRDefault="00562653" w14:paraId="412437D9" w14:textId="77777777">
            <w:pPr>
              <w:rPr>
                <w:rFonts w:cs="Arial"/>
                <w:b/>
                <w:bCs/>
                <w:sz w:val="18"/>
                <w:szCs w:val="18"/>
              </w:rPr>
            </w:pPr>
            <w:r w:rsidRPr="00322410">
              <w:rPr>
                <w:rFonts w:cs="Arial"/>
                <w:b/>
                <w:bCs/>
                <w:sz w:val="18"/>
                <w:szCs w:val="18"/>
              </w:rPr>
              <w:t>Year</w:t>
            </w:r>
          </w:p>
        </w:tc>
        <w:tc>
          <w:tcPr>
            <w:tcW w:w="1027" w:type="dxa"/>
            <w:tcBorders>
              <w:top w:val="single" w:color="auto" w:sz="4" w:space="0"/>
              <w:left w:val="single" w:color="auto" w:sz="4" w:space="0"/>
              <w:bottom w:val="single" w:color="auto" w:sz="4" w:space="0"/>
              <w:right w:val="single" w:color="auto" w:sz="4" w:space="0"/>
            </w:tcBorders>
          </w:tcPr>
          <w:p w:rsidRPr="00322410" w:rsidR="00562653" w:rsidP="00C11503" w:rsidRDefault="00562653" w14:paraId="1F94C4B2" w14:textId="15857DBF">
            <w:pPr>
              <w:rPr>
                <w:rFonts w:cs="Arial"/>
                <w:sz w:val="18"/>
                <w:szCs w:val="18"/>
              </w:rPr>
            </w:pPr>
            <w:r w:rsidRPr="00322410">
              <w:rPr>
                <w:rFonts w:cs="Arial"/>
                <w:sz w:val="18"/>
                <w:szCs w:val="18"/>
              </w:rPr>
              <w:t>20/21</w:t>
            </w:r>
          </w:p>
        </w:tc>
        <w:tc>
          <w:tcPr>
            <w:tcW w:w="1027" w:type="dxa"/>
            <w:tcBorders>
              <w:top w:val="single" w:color="auto" w:sz="4" w:space="0"/>
              <w:left w:val="single" w:color="auto" w:sz="4" w:space="0"/>
              <w:bottom w:val="single" w:color="auto" w:sz="4" w:space="0"/>
              <w:right w:val="single" w:color="auto" w:sz="4" w:space="0"/>
            </w:tcBorders>
          </w:tcPr>
          <w:p w:rsidRPr="00322410" w:rsidR="00562653" w:rsidP="00C11503" w:rsidRDefault="00562653" w14:paraId="294AA8D2" w14:textId="2713905B">
            <w:pPr>
              <w:rPr>
                <w:rFonts w:cs="Arial"/>
                <w:sz w:val="18"/>
                <w:szCs w:val="18"/>
              </w:rPr>
            </w:pPr>
            <w:r w:rsidRPr="00322410">
              <w:rPr>
                <w:rFonts w:cs="Arial"/>
                <w:sz w:val="18"/>
                <w:szCs w:val="18"/>
              </w:rPr>
              <w:t>21/22</w:t>
            </w:r>
          </w:p>
        </w:tc>
        <w:tc>
          <w:tcPr>
            <w:tcW w:w="1027" w:type="dxa"/>
            <w:tcBorders>
              <w:top w:val="single" w:color="auto" w:sz="4" w:space="0"/>
              <w:left w:val="single" w:color="auto" w:sz="4" w:space="0"/>
              <w:bottom w:val="single" w:color="auto" w:sz="4" w:space="0"/>
              <w:right w:val="single" w:color="auto" w:sz="4" w:space="0"/>
            </w:tcBorders>
          </w:tcPr>
          <w:p w:rsidRPr="00322410" w:rsidR="00562653" w:rsidP="00C11503" w:rsidRDefault="00562653" w14:paraId="303B570F" w14:textId="69D0C2C7">
            <w:pPr>
              <w:rPr>
                <w:rFonts w:cs="Arial"/>
                <w:sz w:val="18"/>
                <w:szCs w:val="18"/>
              </w:rPr>
            </w:pPr>
            <w:r w:rsidRPr="00322410">
              <w:rPr>
                <w:rFonts w:cs="Arial"/>
                <w:sz w:val="18"/>
                <w:szCs w:val="18"/>
              </w:rPr>
              <w:t>22/23</w:t>
            </w:r>
          </w:p>
        </w:tc>
        <w:tc>
          <w:tcPr>
            <w:tcW w:w="1027" w:type="dxa"/>
            <w:tcBorders>
              <w:top w:val="single" w:color="auto" w:sz="4" w:space="0"/>
              <w:left w:val="single" w:color="auto" w:sz="4" w:space="0"/>
              <w:bottom w:val="single" w:color="auto" w:sz="4" w:space="0"/>
              <w:right w:val="single" w:color="auto" w:sz="4" w:space="0"/>
            </w:tcBorders>
          </w:tcPr>
          <w:p w:rsidRPr="00322410" w:rsidR="00562653" w:rsidP="00C11503" w:rsidRDefault="00562653" w14:paraId="6F879AF6" w14:textId="1E7216F9">
            <w:pPr>
              <w:rPr>
                <w:rFonts w:cs="Arial"/>
                <w:sz w:val="18"/>
                <w:szCs w:val="18"/>
              </w:rPr>
            </w:pPr>
            <w:r w:rsidRPr="00322410">
              <w:rPr>
                <w:rFonts w:cs="Arial"/>
                <w:sz w:val="18"/>
                <w:szCs w:val="18"/>
              </w:rPr>
              <w:t>23/24</w:t>
            </w:r>
          </w:p>
        </w:tc>
        <w:tc>
          <w:tcPr>
            <w:tcW w:w="1027" w:type="dxa"/>
            <w:tcBorders>
              <w:top w:val="single" w:color="auto" w:sz="4" w:space="0"/>
              <w:left w:val="single" w:color="auto" w:sz="4" w:space="0"/>
              <w:bottom w:val="single" w:color="auto" w:sz="4" w:space="0"/>
              <w:right w:val="single" w:color="auto" w:sz="4" w:space="0"/>
            </w:tcBorders>
          </w:tcPr>
          <w:p w:rsidRPr="00322410" w:rsidR="00562653" w:rsidP="00C11503" w:rsidRDefault="00562653" w14:paraId="4050B844" w14:textId="03A7FD27">
            <w:pPr>
              <w:rPr>
                <w:rFonts w:cs="Arial"/>
                <w:sz w:val="18"/>
                <w:szCs w:val="18"/>
              </w:rPr>
            </w:pPr>
            <w:r w:rsidRPr="00322410">
              <w:rPr>
                <w:rFonts w:cs="Arial"/>
                <w:sz w:val="18"/>
                <w:szCs w:val="18"/>
              </w:rPr>
              <w:t>24/25</w:t>
            </w:r>
          </w:p>
        </w:tc>
      </w:tr>
      <w:tr w:rsidRPr="00322410" w:rsidR="00562653" w:rsidTr="6C96D7A6" w14:paraId="53B963E5" w14:textId="77777777">
        <w:trPr>
          <w:trHeight w:val="300"/>
        </w:trPr>
        <w:tc>
          <w:tcPr>
            <w:tcW w:w="852"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22410" w:rsidR="00562653" w:rsidP="00C11503" w:rsidRDefault="00562653" w14:paraId="03B19EE1" w14:textId="77777777">
            <w:pPr>
              <w:rPr>
                <w:rFonts w:cs="Arial"/>
                <w:b/>
                <w:bCs/>
                <w:sz w:val="18"/>
                <w:szCs w:val="18"/>
              </w:rPr>
            </w:pPr>
            <w:r w:rsidRPr="00322410">
              <w:rPr>
                <w:rFonts w:cs="Arial"/>
                <w:b/>
                <w:bCs/>
                <w:sz w:val="18"/>
                <w:szCs w:val="18"/>
              </w:rPr>
              <w:t>Overall Output Score</w:t>
            </w:r>
          </w:p>
        </w:tc>
        <w:tc>
          <w:tcPr>
            <w:tcW w:w="1027" w:type="dxa"/>
            <w:tcBorders>
              <w:top w:val="single" w:color="auto" w:sz="4" w:space="0"/>
              <w:left w:val="single" w:color="auto" w:sz="4" w:space="0"/>
              <w:bottom w:val="single" w:color="auto" w:sz="4" w:space="0"/>
              <w:right w:val="single" w:color="auto" w:sz="4" w:space="0"/>
            </w:tcBorders>
          </w:tcPr>
          <w:p w:rsidRPr="00322410" w:rsidR="00562653" w:rsidP="00C11503" w:rsidRDefault="00562653" w14:paraId="4B9B1DDF" w14:textId="3EE2A84B">
            <w:pPr>
              <w:rPr>
                <w:rFonts w:cs="Arial"/>
                <w:sz w:val="18"/>
                <w:szCs w:val="18"/>
              </w:rPr>
            </w:pPr>
            <w:r w:rsidRPr="00322410">
              <w:rPr>
                <w:rFonts w:cs="Arial"/>
                <w:sz w:val="18"/>
                <w:szCs w:val="18"/>
              </w:rPr>
              <w:t>A</w:t>
            </w:r>
          </w:p>
        </w:tc>
        <w:tc>
          <w:tcPr>
            <w:tcW w:w="1027" w:type="dxa"/>
            <w:tcBorders>
              <w:top w:val="single" w:color="auto" w:sz="4" w:space="0"/>
              <w:left w:val="single" w:color="auto" w:sz="4" w:space="0"/>
              <w:bottom w:val="single" w:color="auto" w:sz="4" w:space="0"/>
              <w:right w:val="single" w:color="auto" w:sz="4" w:space="0"/>
            </w:tcBorders>
          </w:tcPr>
          <w:p w:rsidRPr="00322410" w:rsidR="00562653" w:rsidP="00C11503" w:rsidRDefault="00562653" w14:paraId="18D5DE0A" w14:textId="185F0DB4">
            <w:pPr>
              <w:rPr>
                <w:rFonts w:cs="Arial"/>
                <w:sz w:val="18"/>
                <w:szCs w:val="18"/>
              </w:rPr>
            </w:pPr>
            <w:r w:rsidRPr="00322410">
              <w:rPr>
                <w:rFonts w:cs="Arial"/>
                <w:sz w:val="18"/>
                <w:szCs w:val="18"/>
              </w:rPr>
              <w:t>A</w:t>
            </w:r>
          </w:p>
        </w:tc>
        <w:tc>
          <w:tcPr>
            <w:tcW w:w="1027" w:type="dxa"/>
            <w:tcBorders>
              <w:top w:val="single" w:color="auto" w:sz="4" w:space="0"/>
              <w:left w:val="single" w:color="auto" w:sz="4" w:space="0"/>
              <w:bottom w:val="single" w:color="auto" w:sz="4" w:space="0"/>
              <w:right w:val="single" w:color="auto" w:sz="4" w:space="0"/>
            </w:tcBorders>
          </w:tcPr>
          <w:p w:rsidRPr="00322410" w:rsidR="00562653" w:rsidP="00C11503" w:rsidRDefault="00562653" w14:paraId="5FB3D9EE" w14:textId="119D7EAC">
            <w:pPr>
              <w:rPr>
                <w:rFonts w:cs="Arial"/>
                <w:sz w:val="18"/>
                <w:szCs w:val="18"/>
              </w:rPr>
            </w:pPr>
            <w:r w:rsidRPr="00322410">
              <w:rPr>
                <w:rFonts w:cs="Arial"/>
                <w:sz w:val="18"/>
                <w:szCs w:val="18"/>
              </w:rPr>
              <w:t>A</w:t>
            </w:r>
          </w:p>
        </w:tc>
        <w:tc>
          <w:tcPr>
            <w:tcW w:w="1027" w:type="dxa"/>
            <w:tcBorders>
              <w:top w:val="single" w:color="auto" w:sz="4" w:space="0"/>
              <w:left w:val="single" w:color="auto" w:sz="4" w:space="0"/>
              <w:bottom w:val="single" w:color="auto" w:sz="4" w:space="0"/>
              <w:right w:val="single" w:color="auto" w:sz="4" w:space="0"/>
            </w:tcBorders>
          </w:tcPr>
          <w:p w:rsidRPr="00322410" w:rsidR="00562653" w:rsidP="00C11503" w:rsidRDefault="00562653" w14:paraId="11BC776D" w14:textId="62113C83">
            <w:pPr>
              <w:rPr>
                <w:rFonts w:cs="Arial"/>
                <w:sz w:val="18"/>
                <w:szCs w:val="18"/>
              </w:rPr>
            </w:pPr>
            <w:r w:rsidRPr="00322410">
              <w:rPr>
                <w:rFonts w:cs="Arial"/>
                <w:sz w:val="18"/>
                <w:szCs w:val="18"/>
              </w:rPr>
              <w:t>A</w:t>
            </w:r>
          </w:p>
        </w:tc>
        <w:tc>
          <w:tcPr>
            <w:tcW w:w="1027" w:type="dxa"/>
            <w:tcBorders>
              <w:top w:val="single" w:color="auto" w:sz="4" w:space="0"/>
              <w:left w:val="single" w:color="auto" w:sz="4" w:space="0"/>
              <w:bottom w:val="single" w:color="auto" w:sz="4" w:space="0"/>
              <w:right w:val="single" w:color="auto" w:sz="4" w:space="0"/>
            </w:tcBorders>
          </w:tcPr>
          <w:p w:rsidRPr="00322410" w:rsidR="00562653" w:rsidP="00C11503" w:rsidRDefault="00C9097D" w14:paraId="063E3CA9" w14:textId="0471FB4C">
            <w:pPr>
              <w:rPr>
                <w:rFonts w:cs="Arial"/>
                <w:sz w:val="18"/>
                <w:szCs w:val="18"/>
              </w:rPr>
            </w:pPr>
            <w:r w:rsidRPr="00322410">
              <w:rPr>
                <w:rFonts w:cs="Arial"/>
                <w:sz w:val="18"/>
                <w:szCs w:val="18"/>
              </w:rPr>
              <w:t>A</w:t>
            </w:r>
          </w:p>
        </w:tc>
      </w:tr>
      <w:tr w:rsidRPr="00322410" w:rsidR="00562653" w:rsidTr="6C96D7A6" w14:paraId="1E553E86" w14:textId="77777777">
        <w:trPr>
          <w:trHeight w:val="309"/>
        </w:trPr>
        <w:tc>
          <w:tcPr>
            <w:tcW w:w="852"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22410" w:rsidR="00562653" w:rsidP="00C220E8" w:rsidRDefault="00562653" w14:paraId="0A3A3DAF" w14:textId="77777777">
            <w:pPr>
              <w:rPr>
                <w:rFonts w:cs="Arial"/>
                <w:b/>
                <w:bCs/>
                <w:sz w:val="18"/>
                <w:szCs w:val="18"/>
              </w:rPr>
            </w:pPr>
            <w:r w:rsidRPr="00322410">
              <w:rPr>
                <w:rFonts w:cs="Arial"/>
                <w:b/>
                <w:bCs/>
                <w:sz w:val="18"/>
                <w:szCs w:val="18"/>
              </w:rPr>
              <w:t xml:space="preserve">Risk Rating </w:t>
            </w:r>
          </w:p>
        </w:tc>
        <w:tc>
          <w:tcPr>
            <w:tcW w:w="1027" w:type="dxa"/>
            <w:tcBorders>
              <w:top w:val="single" w:color="auto" w:sz="4" w:space="0"/>
              <w:left w:val="single" w:color="auto" w:sz="4" w:space="0"/>
              <w:bottom w:val="single" w:color="auto" w:sz="4" w:space="0"/>
              <w:right w:val="single" w:color="auto" w:sz="4" w:space="0"/>
            </w:tcBorders>
          </w:tcPr>
          <w:p w:rsidRPr="00322410" w:rsidR="00562653" w:rsidP="00C220E8" w:rsidRDefault="00562653" w14:paraId="480FCECF" w14:textId="24E5B141">
            <w:pPr>
              <w:rPr>
                <w:rFonts w:cs="Arial"/>
                <w:sz w:val="18"/>
                <w:szCs w:val="18"/>
              </w:rPr>
            </w:pPr>
            <w:r w:rsidRPr="00322410">
              <w:rPr>
                <w:rStyle w:val="normaltextrun"/>
                <w:rFonts w:cs="Arial"/>
                <w:sz w:val="18"/>
                <w:szCs w:val="18"/>
              </w:rPr>
              <w:t>Moderate</w:t>
            </w:r>
            <w:r w:rsidRPr="00322410">
              <w:rPr>
                <w:rStyle w:val="eop"/>
                <w:rFonts w:cs="Arial"/>
                <w:sz w:val="18"/>
                <w:szCs w:val="18"/>
              </w:rPr>
              <w:t> </w:t>
            </w:r>
          </w:p>
        </w:tc>
        <w:tc>
          <w:tcPr>
            <w:tcW w:w="1027" w:type="dxa"/>
            <w:tcBorders>
              <w:top w:val="single" w:color="auto" w:sz="4" w:space="0"/>
              <w:left w:val="single" w:color="auto" w:sz="4" w:space="0"/>
              <w:bottom w:val="single" w:color="auto" w:sz="4" w:space="0"/>
              <w:right w:val="single" w:color="auto" w:sz="4" w:space="0"/>
            </w:tcBorders>
          </w:tcPr>
          <w:p w:rsidRPr="00322410" w:rsidR="00562653" w:rsidP="00C220E8" w:rsidRDefault="00562653" w14:paraId="217DC0BB" w14:textId="1ACDE342">
            <w:pPr>
              <w:rPr>
                <w:rFonts w:cs="Arial"/>
                <w:sz w:val="18"/>
                <w:szCs w:val="18"/>
              </w:rPr>
            </w:pPr>
            <w:r w:rsidRPr="00322410">
              <w:rPr>
                <w:rStyle w:val="normaltextrun"/>
                <w:rFonts w:cs="Arial"/>
                <w:sz w:val="18"/>
                <w:szCs w:val="18"/>
              </w:rPr>
              <w:t>Moderate</w:t>
            </w:r>
            <w:r w:rsidRPr="00322410">
              <w:rPr>
                <w:rStyle w:val="eop"/>
                <w:rFonts w:cs="Arial"/>
                <w:sz w:val="18"/>
                <w:szCs w:val="18"/>
              </w:rPr>
              <w:t> </w:t>
            </w:r>
          </w:p>
        </w:tc>
        <w:tc>
          <w:tcPr>
            <w:tcW w:w="1027" w:type="dxa"/>
            <w:tcBorders>
              <w:top w:val="single" w:color="auto" w:sz="4" w:space="0"/>
              <w:left w:val="single" w:color="auto" w:sz="4" w:space="0"/>
              <w:bottom w:val="single" w:color="auto" w:sz="4" w:space="0"/>
              <w:right w:val="single" w:color="auto" w:sz="4" w:space="0"/>
            </w:tcBorders>
          </w:tcPr>
          <w:p w:rsidRPr="00322410" w:rsidR="00562653" w:rsidP="00C220E8" w:rsidRDefault="00562653" w14:paraId="70577E21" w14:textId="679409E1">
            <w:pPr>
              <w:rPr>
                <w:rFonts w:cs="Arial"/>
                <w:sz w:val="18"/>
                <w:szCs w:val="18"/>
              </w:rPr>
            </w:pPr>
            <w:r w:rsidRPr="00322410">
              <w:rPr>
                <w:rStyle w:val="normaltextrun"/>
                <w:rFonts w:cs="Arial"/>
                <w:sz w:val="18"/>
                <w:szCs w:val="18"/>
              </w:rPr>
              <w:t>Moderate</w:t>
            </w:r>
            <w:r w:rsidRPr="00322410">
              <w:rPr>
                <w:rStyle w:val="eop"/>
                <w:rFonts w:cs="Arial"/>
                <w:sz w:val="18"/>
                <w:szCs w:val="18"/>
              </w:rPr>
              <w:t> </w:t>
            </w:r>
          </w:p>
        </w:tc>
        <w:tc>
          <w:tcPr>
            <w:tcW w:w="1027" w:type="dxa"/>
            <w:tcBorders>
              <w:top w:val="single" w:color="auto" w:sz="4" w:space="0"/>
              <w:left w:val="single" w:color="auto" w:sz="4" w:space="0"/>
              <w:bottom w:val="single" w:color="auto" w:sz="4" w:space="0"/>
              <w:right w:val="single" w:color="auto" w:sz="4" w:space="0"/>
            </w:tcBorders>
          </w:tcPr>
          <w:p w:rsidRPr="00322410" w:rsidR="00562653" w:rsidP="00C220E8" w:rsidRDefault="00562653" w14:paraId="678E9AAB" w14:textId="1B00DB1D">
            <w:pPr>
              <w:rPr>
                <w:rFonts w:cs="Arial"/>
                <w:sz w:val="18"/>
                <w:szCs w:val="18"/>
              </w:rPr>
            </w:pPr>
            <w:r w:rsidRPr="00322410">
              <w:rPr>
                <w:rFonts w:cs="Arial"/>
                <w:sz w:val="18"/>
                <w:szCs w:val="18"/>
              </w:rPr>
              <w:t>Moderate</w:t>
            </w:r>
          </w:p>
        </w:tc>
        <w:tc>
          <w:tcPr>
            <w:tcW w:w="1027" w:type="dxa"/>
            <w:tcBorders>
              <w:top w:val="single" w:color="auto" w:sz="4" w:space="0"/>
              <w:left w:val="single" w:color="auto" w:sz="4" w:space="0"/>
              <w:bottom w:val="single" w:color="auto" w:sz="4" w:space="0"/>
              <w:right w:val="single" w:color="auto" w:sz="4" w:space="0"/>
            </w:tcBorders>
          </w:tcPr>
          <w:p w:rsidRPr="00322410" w:rsidR="00562653" w:rsidP="00C220E8" w:rsidRDefault="053E3A1F" w14:paraId="64D07480" w14:textId="0A0A3DAE">
            <w:pPr>
              <w:rPr>
                <w:rFonts w:cs="Arial"/>
                <w:sz w:val="18"/>
                <w:szCs w:val="18"/>
              </w:rPr>
            </w:pPr>
            <w:r w:rsidRPr="00322410">
              <w:rPr>
                <w:rFonts w:cs="Arial"/>
                <w:sz w:val="18"/>
                <w:szCs w:val="18"/>
              </w:rPr>
              <w:t>Moderate</w:t>
            </w:r>
          </w:p>
        </w:tc>
      </w:tr>
    </w:tbl>
    <w:p w:rsidRPr="00322410" w:rsidR="003D13EA" w:rsidP="004D2FC0" w:rsidRDefault="003D13EA" w14:paraId="451F41A2" w14:textId="77777777">
      <w:pPr>
        <w:rPr>
          <w:rFonts w:cs="Arial"/>
          <w:b/>
          <w:sz w:val="22"/>
          <w:szCs w:val="22"/>
        </w:rPr>
      </w:pPr>
    </w:p>
    <w:p w:rsidRPr="00322410" w:rsidR="003D13EA" w:rsidP="004D2FC0" w:rsidRDefault="003D13EA" w14:paraId="5F50FDC4" w14:textId="77777777">
      <w:pPr>
        <w:rPr>
          <w:rFonts w:cs="Arial"/>
          <w:b/>
          <w:sz w:val="22"/>
          <w:szCs w:val="22"/>
        </w:rPr>
      </w:pPr>
    </w:p>
    <w:tbl>
      <w:tblPr>
        <w:tblStyle w:val="TableGrid"/>
        <w:tblW w:w="0" w:type="auto"/>
        <w:tblInd w:w="-5" w:type="dxa"/>
        <w:tblLook w:val="04A0" w:firstRow="1" w:lastRow="0" w:firstColumn="1" w:lastColumn="0" w:noHBand="0" w:noVBand="1"/>
      </w:tblPr>
      <w:tblGrid>
        <w:gridCol w:w="3969"/>
        <w:gridCol w:w="5052"/>
      </w:tblGrid>
      <w:tr w:rsidRPr="00322410" w:rsidR="004D2FC0" w:rsidTr="2C0DF5FE" w14:paraId="4FEBD36E" w14:textId="77777777">
        <w:trPr>
          <w:trHeight w:val="355"/>
        </w:trPr>
        <w:tc>
          <w:tcPr>
            <w:tcW w:w="3969" w:type="dxa"/>
            <w:shd w:val="clear" w:color="auto" w:fill="DEEAF6" w:themeFill="accent5" w:themeFillTint="33"/>
            <w:tcMar/>
            <w:hideMark/>
          </w:tcPr>
          <w:p w:rsidRPr="00322410" w:rsidR="004D2FC0" w:rsidP="00FC16A6" w:rsidRDefault="004D2FC0" w14:paraId="47E97EB8" w14:textId="77777777">
            <w:pPr>
              <w:rPr>
                <w:rFonts w:cs="Arial"/>
                <w:b/>
                <w:sz w:val="22"/>
                <w:szCs w:val="22"/>
              </w:rPr>
            </w:pPr>
            <w:r w:rsidRPr="00322410">
              <w:rPr>
                <w:rFonts w:cs="Arial"/>
                <w:b/>
                <w:sz w:val="22"/>
                <w:szCs w:val="22"/>
              </w:rPr>
              <w:t xml:space="preserve">Link to Business Case: </w:t>
            </w:r>
          </w:p>
        </w:tc>
        <w:tc>
          <w:tcPr>
            <w:tcW w:w="5052" w:type="dxa"/>
            <w:tcMar/>
          </w:tcPr>
          <w:p w:rsidRPr="00322410" w:rsidR="00562653" w:rsidP="00562653" w:rsidRDefault="00562653" w14:paraId="28FE520B" w14:textId="77777777">
            <w:pPr>
              <w:rPr>
                <w:rFonts w:cs="Arial"/>
                <w:bCs/>
                <w:sz w:val="22"/>
                <w:szCs w:val="22"/>
              </w:rPr>
            </w:pPr>
            <w:hyperlink w:tgtFrame="_blank" w:history="1" r:id="rId16">
              <w:r w:rsidRPr="00322410">
                <w:rPr>
                  <w:rStyle w:val="Hyperlink"/>
                  <w:rFonts w:cs="Arial"/>
                  <w:bCs/>
                  <w:sz w:val="22"/>
                  <w:szCs w:val="22"/>
                </w:rPr>
                <w:t>FCPF Business Case</w:t>
              </w:r>
            </w:hyperlink>
            <w:r w:rsidRPr="00322410">
              <w:rPr>
                <w:rFonts w:cs="Arial"/>
                <w:bCs/>
                <w:sz w:val="22"/>
                <w:szCs w:val="22"/>
              </w:rPr>
              <w:t> </w:t>
            </w:r>
          </w:p>
          <w:p w:rsidRPr="00322410" w:rsidR="00562653" w:rsidP="00562653" w:rsidRDefault="00562653" w14:paraId="3F9E2E56" w14:textId="77777777">
            <w:pPr>
              <w:rPr>
                <w:rFonts w:cs="Arial"/>
                <w:bCs/>
                <w:sz w:val="22"/>
                <w:szCs w:val="22"/>
              </w:rPr>
            </w:pPr>
            <w:r w:rsidRPr="00322410">
              <w:rPr>
                <w:rFonts w:cs="Arial"/>
                <w:bCs/>
                <w:sz w:val="22"/>
                <w:szCs w:val="22"/>
              </w:rPr>
              <w:t> </w:t>
            </w:r>
          </w:p>
          <w:p w:rsidRPr="00322410" w:rsidR="004D2FC0" w:rsidP="00FC16A6" w:rsidRDefault="00562653" w14:paraId="52CAFA29" w14:textId="5C5A8C37">
            <w:pPr>
              <w:rPr>
                <w:rFonts w:cs="Arial"/>
                <w:bCs/>
                <w:sz w:val="22"/>
                <w:szCs w:val="22"/>
              </w:rPr>
            </w:pPr>
            <w:hyperlink w:tgtFrame="_blank" w:history="1" r:id="rId17">
              <w:r w:rsidRPr="00322410">
                <w:rPr>
                  <w:rStyle w:val="Hyperlink"/>
                  <w:rFonts w:cs="Arial"/>
                  <w:bCs/>
                  <w:sz w:val="22"/>
                  <w:szCs w:val="22"/>
                </w:rPr>
                <w:t>FCPF Extension Business Case</w:t>
              </w:r>
            </w:hyperlink>
            <w:r w:rsidRPr="00322410">
              <w:rPr>
                <w:rFonts w:cs="Arial"/>
                <w:bCs/>
                <w:sz w:val="22"/>
                <w:szCs w:val="22"/>
              </w:rPr>
              <w:t> </w:t>
            </w:r>
          </w:p>
        </w:tc>
      </w:tr>
      <w:tr w:rsidRPr="00322410" w:rsidR="004D2FC0" w:rsidTr="2C0DF5FE" w14:paraId="728A7692" w14:textId="77777777">
        <w:trPr>
          <w:trHeight w:val="403"/>
        </w:trPr>
        <w:tc>
          <w:tcPr>
            <w:tcW w:w="3969" w:type="dxa"/>
            <w:shd w:val="clear" w:color="auto" w:fill="DEEAF6" w:themeFill="accent5" w:themeFillTint="33"/>
            <w:tcMar/>
            <w:hideMark/>
          </w:tcPr>
          <w:p w:rsidRPr="00322410" w:rsidR="004D2FC0" w:rsidP="00FC16A6" w:rsidRDefault="004D2FC0" w14:paraId="251B0951" w14:textId="77777777">
            <w:pPr>
              <w:rPr>
                <w:rFonts w:cs="Arial"/>
                <w:b/>
                <w:i/>
                <w:sz w:val="22"/>
                <w:szCs w:val="22"/>
              </w:rPr>
            </w:pPr>
            <w:r w:rsidRPr="00322410">
              <w:rPr>
                <w:rFonts w:cs="Arial"/>
                <w:b/>
                <w:sz w:val="22"/>
                <w:szCs w:val="22"/>
              </w:rPr>
              <w:t xml:space="preserve">Link to Logframe: </w:t>
            </w:r>
          </w:p>
        </w:tc>
        <w:tc>
          <w:tcPr>
            <w:tcW w:w="5052" w:type="dxa"/>
            <w:tcMar/>
          </w:tcPr>
          <w:p w:rsidRPr="00322410" w:rsidR="004D2FC0" w:rsidP="0BF53F93" w:rsidRDefault="27CA5F2D" w14:paraId="1941208D" w14:textId="028B74BD">
            <w:pPr>
              <w:rPr>
                <w:rFonts w:cs="Arial"/>
                <w:sz w:val="22"/>
                <w:szCs w:val="22"/>
              </w:rPr>
            </w:pPr>
            <w:hyperlink r:id="Re000c076949441d1">
              <w:r w:rsidRPr="2C0DF5FE" w:rsidR="27CA5F2D">
                <w:rPr>
                  <w:rStyle w:val="Hyperlink"/>
                  <w:rFonts w:cs="Arial"/>
                  <w:sz w:val="22"/>
                  <w:szCs w:val="22"/>
                </w:rPr>
                <w:t>FCPF Logframe 2024-25</w:t>
              </w:r>
            </w:hyperlink>
          </w:p>
        </w:tc>
      </w:tr>
      <w:tr w:rsidRPr="00322410" w:rsidR="004D2FC0" w:rsidTr="2C0DF5FE" w14:paraId="240D100A" w14:textId="77777777">
        <w:trPr>
          <w:trHeight w:val="403"/>
        </w:trPr>
        <w:tc>
          <w:tcPr>
            <w:tcW w:w="3969" w:type="dxa"/>
            <w:shd w:val="clear" w:color="auto" w:fill="DEEAF6" w:themeFill="accent5" w:themeFillTint="33"/>
            <w:tcMar/>
          </w:tcPr>
          <w:p w:rsidRPr="00322410" w:rsidR="004D2FC0" w:rsidP="00FC16A6" w:rsidRDefault="004D2FC0" w14:paraId="44F3A577" w14:textId="77777777">
            <w:pPr>
              <w:rPr>
                <w:rFonts w:cs="Arial"/>
                <w:b/>
                <w:sz w:val="22"/>
                <w:szCs w:val="22"/>
              </w:rPr>
            </w:pPr>
            <w:r w:rsidRPr="00322410">
              <w:rPr>
                <w:rFonts w:cs="Arial"/>
                <w:b/>
                <w:sz w:val="22"/>
                <w:szCs w:val="22"/>
              </w:rPr>
              <w:t xml:space="preserve">Link to previous Annual Review </w:t>
            </w:r>
            <w:r w:rsidRPr="00322410">
              <w:rPr>
                <w:rFonts w:cs="Arial"/>
                <w:bCs/>
                <w:sz w:val="22"/>
                <w:szCs w:val="22"/>
              </w:rPr>
              <w:t>(if appropriate)</w:t>
            </w:r>
          </w:p>
        </w:tc>
        <w:tc>
          <w:tcPr>
            <w:tcW w:w="5052" w:type="dxa"/>
            <w:tcMar/>
          </w:tcPr>
          <w:p w:rsidRPr="00322410" w:rsidR="004D2FC0" w:rsidP="00FC16A6" w:rsidRDefault="007E3680" w14:paraId="521FABC2" w14:textId="043E7BFF">
            <w:pPr>
              <w:rPr>
                <w:rFonts w:cs="Arial"/>
                <w:bCs/>
                <w:sz w:val="22"/>
                <w:szCs w:val="22"/>
              </w:rPr>
            </w:pPr>
            <w:hyperlink w:history="1" r:id="rId23">
              <w:r w:rsidRPr="00322410">
                <w:rPr>
                  <w:rStyle w:val="Hyperlink"/>
                  <w:rFonts w:cs="Arial"/>
                  <w:bCs/>
                  <w:sz w:val="22"/>
                  <w:szCs w:val="22"/>
                  <w:lang w:eastAsia="en-US"/>
                </w:rPr>
                <w:t>FCPF Annual Review 2023-24</w:t>
              </w:r>
            </w:hyperlink>
          </w:p>
        </w:tc>
      </w:tr>
    </w:tbl>
    <w:p w:rsidRPr="00322410" w:rsidR="004D2FC0" w:rsidP="006C516E" w:rsidRDefault="004D2FC0" w14:paraId="5A54EF7F" w14:textId="77777777"/>
    <w:p w:rsidRPr="00322410" w:rsidR="003D222C" w:rsidP="1C11F5A3" w:rsidRDefault="601D34FE" w14:paraId="7A642962" w14:textId="6A4E2461">
      <w:pPr>
        <w:jc w:val="both"/>
        <w:rPr>
          <w:rStyle w:val="Heading2Char"/>
        </w:rPr>
      </w:pPr>
      <w:bookmarkStart w:name="_Toc219130977" w:id="2"/>
      <w:r w:rsidRPr="00322410">
        <w:rPr>
          <w:rStyle w:val="Heading2Char"/>
        </w:rPr>
        <w:t>Description of programme</w:t>
      </w:r>
      <w:bookmarkEnd w:id="2"/>
    </w:p>
    <w:p w:rsidRPr="00322410" w:rsidR="003D222C" w:rsidP="004D5FD5" w:rsidRDefault="003D222C" w14:paraId="6F9482AB" w14:textId="77777777">
      <w:pPr>
        <w:jc w:val="both"/>
        <w:rPr>
          <w:rFonts w:cs="Arial"/>
          <w:b/>
          <w:sz w:val="22"/>
          <w:szCs w:val="22"/>
        </w:rPr>
      </w:pPr>
    </w:p>
    <w:p w:rsidRPr="00322410" w:rsidR="003D222C" w:rsidP="004D5FD5" w:rsidRDefault="00A16741" w14:paraId="36448C51" w14:textId="0F0D0168">
      <w:pPr>
        <w:spacing w:before="40" w:after="40"/>
        <w:jc w:val="both"/>
        <w:rPr>
          <w:rFonts w:cs="Arial"/>
          <w:sz w:val="22"/>
          <w:szCs w:val="22"/>
        </w:rPr>
      </w:pPr>
      <w:r w:rsidRPr="00322410">
        <w:rPr>
          <w:rFonts w:cs="Arial"/>
          <w:sz w:val="22"/>
          <w:szCs w:val="22"/>
        </w:rPr>
        <w:t xml:space="preserve">The Forest Carbon Partnership Facility (FCPF) was established in 2008 to assist developing countries in their efforts to reduce emissions from deforestation and forest degradation and foster conservation, sustainable </w:t>
      </w:r>
      <w:r w:rsidRPr="00322410" w:rsidR="00E00AD6">
        <w:rPr>
          <w:rFonts w:cs="Arial"/>
          <w:sz w:val="22"/>
          <w:szCs w:val="22"/>
        </w:rPr>
        <w:t>management of forests and enhancement of forest carbon stocks (all activities commonly referred to as “REDD+”) by providing value to standing forests. The F</w:t>
      </w:r>
      <w:r w:rsidRPr="00322410" w:rsidR="7BE284C0">
        <w:rPr>
          <w:rFonts w:cs="Arial"/>
          <w:sz w:val="22"/>
          <w:szCs w:val="22"/>
        </w:rPr>
        <w:t>C</w:t>
      </w:r>
      <w:r w:rsidRPr="00322410" w:rsidR="00E00AD6">
        <w:rPr>
          <w:rFonts w:cs="Arial"/>
          <w:sz w:val="22"/>
          <w:szCs w:val="22"/>
        </w:rPr>
        <w:t xml:space="preserve">PF is a multi-donor </w:t>
      </w:r>
      <w:r w:rsidRPr="00322410" w:rsidR="00DA071A">
        <w:rPr>
          <w:rFonts w:cs="Arial"/>
          <w:sz w:val="22"/>
          <w:szCs w:val="22"/>
        </w:rPr>
        <w:t>trust fund managed by the World Bank. It has two separate but complementary funding mechanisms – the Readiness Fund (now closed) and the Carbon Fund.</w:t>
      </w:r>
      <w:r w:rsidRPr="00322410" w:rsidR="002043AE">
        <w:rPr>
          <w:rStyle w:val="FootnoteReference"/>
          <w:rFonts w:cs="Arial"/>
          <w:sz w:val="22"/>
          <w:szCs w:val="22"/>
        </w:rPr>
        <w:footnoteReference w:id="2"/>
      </w:r>
    </w:p>
    <w:p w:rsidRPr="00322410" w:rsidR="009E3F6E" w:rsidP="004D5FD5" w:rsidRDefault="009E3F6E" w14:paraId="58574625" w14:textId="77777777">
      <w:pPr>
        <w:jc w:val="both"/>
        <w:rPr>
          <w:sz w:val="22"/>
          <w:szCs w:val="22"/>
        </w:rPr>
      </w:pPr>
    </w:p>
    <w:p w:rsidRPr="00322410" w:rsidR="00E15DBA" w:rsidP="004D5FD5" w:rsidRDefault="00E15DBA" w14:paraId="1ACA06E7" w14:textId="160F7E35">
      <w:pPr>
        <w:jc w:val="both"/>
        <w:rPr>
          <w:sz w:val="22"/>
          <w:szCs w:val="22"/>
        </w:rPr>
      </w:pPr>
      <w:r w:rsidRPr="00322410">
        <w:rPr>
          <w:sz w:val="22"/>
          <w:szCs w:val="22"/>
        </w:rPr>
        <w:t>The FCPF Carbon Fund, which is the focus of this review, has been operational since 2011. The Carbon Fund</w:t>
      </w:r>
      <w:r w:rsidRPr="00322410" w:rsidR="00CD2EE0">
        <w:rPr>
          <w:rStyle w:val="FootnoteReference"/>
          <w:sz w:val="22"/>
          <w:szCs w:val="22"/>
        </w:rPr>
        <w:footnoteReference w:id="3"/>
      </w:r>
      <w:r w:rsidRPr="00322410">
        <w:rPr>
          <w:sz w:val="22"/>
          <w:szCs w:val="22"/>
        </w:rPr>
        <w:t xml:space="preserve"> is a pilot payment-for-results mechanism, designed to incentivise actions to reduce deforestation through payments for verified emission reductions (ERs) generated by jurisdictional REDD+ programmes.</w:t>
      </w:r>
    </w:p>
    <w:p w:rsidRPr="00322410" w:rsidR="00E15DBA" w:rsidP="004D5FD5" w:rsidRDefault="00E15DBA" w14:paraId="5088B444" w14:textId="77777777">
      <w:pPr>
        <w:jc w:val="both"/>
        <w:rPr>
          <w:sz w:val="22"/>
          <w:szCs w:val="22"/>
        </w:rPr>
      </w:pPr>
    </w:p>
    <w:p w:rsidRPr="00322410" w:rsidR="00E15DBA" w:rsidP="004D5FD5" w:rsidRDefault="00E15DBA" w14:paraId="51B721DC" w14:textId="481309AB">
      <w:pPr>
        <w:jc w:val="both"/>
        <w:rPr>
          <w:sz w:val="22"/>
          <w:szCs w:val="22"/>
        </w:rPr>
      </w:pPr>
      <w:r w:rsidRPr="00322410">
        <w:rPr>
          <w:sz w:val="22"/>
          <w:szCs w:val="22"/>
        </w:rPr>
        <w:t>Eighteen countries were initially selected into the Carbon Fund port</w:t>
      </w:r>
      <w:r w:rsidRPr="00322410" w:rsidR="009E7395">
        <w:rPr>
          <w:sz w:val="22"/>
          <w:szCs w:val="22"/>
        </w:rPr>
        <w:t>folio based on their ER programmes. Since this initial selection, three countries have left the Carbon Fund and now fifteen countries ha</w:t>
      </w:r>
      <w:r w:rsidRPr="00322410" w:rsidR="00D07BB3">
        <w:rPr>
          <w:sz w:val="22"/>
          <w:szCs w:val="22"/>
        </w:rPr>
        <w:t>ve</w:t>
      </w:r>
      <w:r w:rsidRPr="00322410" w:rsidR="009E7395">
        <w:rPr>
          <w:sz w:val="22"/>
          <w:szCs w:val="22"/>
        </w:rPr>
        <w:t xml:space="preserve"> succeeded in signing Emission Reduction P</w:t>
      </w:r>
      <w:r w:rsidRPr="00322410" w:rsidR="008C149D">
        <w:rPr>
          <w:sz w:val="22"/>
          <w:szCs w:val="22"/>
        </w:rPr>
        <w:t>ayment</w:t>
      </w:r>
      <w:r w:rsidRPr="00322410" w:rsidR="009E7395">
        <w:rPr>
          <w:sz w:val="22"/>
          <w:szCs w:val="22"/>
        </w:rPr>
        <w:t xml:space="preserve"> Agreements (ERPAs).</w:t>
      </w:r>
      <w:r w:rsidRPr="00322410" w:rsidR="009E7395">
        <w:rPr>
          <w:rStyle w:val="FootnoteReference"/>
          <w:sz w:val="22"/>
          <w:szCs w:val="22"/>
        </w:rPr>
        <w:footnoteReference w:id="4"/>
      </w:r>
      <w:r w:rsidRPr="00322410" w:rsidR="008C149D">
        <w:rPr>
          <w:sz w:val="22"/>
          <w:szCs w:val="22"/>
        </w:rPr>
        <w:t xml:space="preserve"> An ERPA is an agreement signed between country participants and the World Bank (acting as trustee of the FCPF Carbon Fund) for the sale, transfer </w:t>
      </w:r>
      <w:r w:rsidRPr="00322410" w:rsidR="001A7472">
        <w:rPr>
          <w:sz w:val="22"/>
          <w:szCs w:val="22"/>
        </w:rPr>
        <w:t>of and payment for ERs generated under the ER programme.</w:t>
      </w:r>
    </w:p>
    <w:p w:rsidRPr="00322410" w:rsidR="001A7472" w:rsidP="004D5FD5" w:rsidRDefault="001A7472" w14:paraId="0B6501C6" w14:textId="77777777">
      <w:pPr>
        <w:jc w:val="both"/>
        <w:rPr>
          <w:sz w:val="22"/>
          <w:szCs w:val="22"/>
        </w:rPr>
      </w:pPr>
    </w:p>
    <w:p w:rsidRPr="00322410" w:rsidR="001A7472" w:rsidP="004D5FD5" w:rsidRDefault="001A7472" w14:paraId="068BD49F" w14:textId="6FCB38F7">
      <w:pPr>
        <w:jc w:val="both"/>
        <w:rPr>
          <w:sz w:val="22"/>
          <w:szCs w:val="22"/>
        </w:rPr>
      </w:pPr>
      <w:r w:rsidRPr="00322410">
        <w:rPr>
          <w:sz w:val="22"/>
          <w:szCs w:val="22"/>
        </w:rPr>
        <w:t xml:space="preserve">To date, the UK has invested £141.5m in the Carbon Fund (£11.5m Environmental Technology Fund investment in 2011; £45m International Climate </w:t>
      </w:r>
      <w:r w:rsidRPr="00322410" w:rsidR="00030106">
        <w:rPr>
          <w:sz w:val="22"/>
          <w:szCs w:val="22"/>
        </w:rPr>
        <w:t>Finance (ICF) investment in 2014; and £85m ICF investment in 2015).</w:t>
      </w:r>
    </w:p>
    <w:p w:rsidRPr="00322410" w:rsidR="00030106" w:rsidP="004D5FD5" w:rsidRDefault="00030106" w14:paraId="7CE611E6" w14:textId="77777777">
      <w:pPr>
        <w:jc w:val="both"/>
        <w:rPr>
          <w:sz w:val="22"/>
          <w:szCs w:val="22"/>
        </w:rPr>
      </w:pPr>
    </w:p>
    <w:p w:rsidRPr="00322410" w:rsidR="008D4224" w:rsidP="021A52EC" w:rsidRDefault="53817107" w14:paraId="047969B9" w14:textId="61C2A317">
      <w:pPr>
        <w:jc w:val="both"/>
        <w:rPr>
          <w:sz w:val="22"/>
          <w:szCs w:val="22"/>
        </w:rPr>
      </w:pPr>
      <w:r w:rsidRPr="2C0DF5FE" w:rsidR="53817107">
        <w:rPr>
          <w:sz w:val="22"/>
          <w:szCs w:val="22"/>
        </w:rPr>
        <w:t>The Carbon Fund at the end of June 2025 had a fund balance of</w:t>
      </w:r>
      <w:r w:rsidRPr="2C0DF5FE" w:rsidR="4ED9CD6F">
        <w:rPr>
          <w:sz w:val="22"/>
          <w:szCs w:val="22"/>
        </w:rPr>
        <w:t xml:space="preserve"> $662.8 million </w:t>
      </w:r>
      <w:r w:rsidRPr="2C0DF5FE" w:rsidR="53817107">
        <w:rPr>
          <w:sz w:val="22"/>
          <w:szCs w:val="22"/>
        </w:rPr>
        <w:t>and a cash balance of</w:t>
      </w:r>
      <w:r w:rsidRPr="2C0DF5FE" w:rsidR="48F28CB3">
        <w:rPr>
          <w:sz w:val="22"/>
          <w:szCs w:val="22"/>
        </w:rPr>
        <w:t xml:space="preserve"> $659.4 million</w:t>
      </w:r>
      <w:r w:rsidRPr="2C0DF5FE" w:rsidR="53817107">
        <w:rPr>
          <w:sz w:val="22"/>
          <w:szCs w:val="22"/>
        </w:rPr>
        <w:t xml:space="preserve">. </w:t>
      </w:r>
      <w:r w:rsidRPr="2C0DF5FE" w:rsidR="53817107">
        <w:rPr>
          <w:sz w:val="22"/>
          <w:szCs w:val="22"/>
        </w:rPr>
        <w:t xml:space="preserve">The outstanding balances on </w:t>
      </w:r>
      <w:r w:rsidRPr="2C0DF5FE" w:rsidR="361EA9C7">
        <w:rPr>
          <w:sz w:val="22"/>
          <w:szCs w:val="22"/>
        </w:rPr>
        <w:t>Promissory Notes account for the</w:t>
      </w:r>
      <w:r w:rsidRPr="2C0DF5FE" w:rsidR="60AB1885">
        <w:rPr>
          <w:sz w:val="22"/>
          <w:szCs w:val="22"/>
        </w:rPr>
        <w:t xml:space="preserve"> $3.3 million </w:t>
      </w:r>
      <w:r w:rsidRPr="2C0DF5FE" w:rsidR="361EA9C7">
        <w:rPr>
          <w:sz w:val="22"/>
          <w:szCs w:val="22"/>
        </w:rPr>
        <w:t xml:space="preserve">difference. </w:t>
      </w:r>
      <w:r w:rsidRPr="2C0DF5FE" w:rsidR="3A4AF67B">
        <w:rPr>
          <w:sz w:val="22"/>
          <w:szCs w:val="22"/>
        </w:rPr>
        <w:t>Cumulative</w:t>
      </w:r>
      <w:r w:rsidRPr="2C0DF5FE" w:rsidR="361EA9C7">
        <w:rPr>
          <w:sz w:val="22"/>
          <w:szCs w:val="22"/>
        </w:rPr>
        <w:t xml:space="preserve"> donor contributions received through the end of the </w:t>
      </w:r>
      <w:r w:rsidRPr="2C0DF5FE" w:rsidR="660DD5F5">
        <w:rPr>
          <w:sz w:val="22"/>
          <w:szCs w:val="22"/>
        </w:rPr>
        <w:t xml:space="preserve">reporting period </w:t>
      </w:r>
      <w:r w:rsidRPr="2C0DF5FE" w:rsidR="68065741">
        <w:rPr>
          <w:sz w:val="22"/>
          <w:szCs w:val="22"/>
        </w:rPr>
        <w:t>202</w:t>
      </w:r>
      <w:r w:rsidRPr="2C0DF5FE" w:rsidR="4B473134">
        <w:rPr>
          <w:sz w:val="22"/>
          <w:szCs w:val="22"/>
        </w:rPr>
        <w:t>4/</w:t>
      </w:r>
      <w:r w:rsidRPr="2C0DF5FE" w:rsidR="68065741">
        <w:rPr>
          <w:sz w:val="22"/>
          <w:szCs w:val="22"/>
        </w:rPr>
        <w:t>5</w:t>
      </w:r>
      <w:r w:rsidRPr="2C0DF5FE" w:rsidR="0CEA3EFB">
        <w:rPr>
          <w:sz w:val="22"/>
          <w:szCs w:val="22"/>
        </w:rPr>
        <w:t xml:space="preserve"> </w:t>
      </w:r>
      <w:r w:rsidRPr="2C0DF5FE" w:rsidR="6E2BB26F">
        <w:rPr>
          <w:sz w:val="22"/>
          <w:szCs w:val="22"/>
        </w:rPr>
        <w:t xml:space="preserve">(RP25), </w:t>
      </w:r>
      <w:r w:rsidRPr="2C0DF5FE" w:rsidR="0CEA3EFB">
        <w:rPr>
          <w:sz w:val="22"/>
          <w:szCs w:val="22"/>
        </w:rPr>
        <w:t>which refers to 1 July 2024 to 30 June 2025</w:t>
      </w:r>
      <w:r w:rsidRPr="2C0DF5FE" w:rsidR="6E2BB26F">
        <w:rPr>
          <w:sz w:val="22"/>
          <w:szCs w:val="22"/>
        </w:rPr>
        <w:t>,</w:t>
      </w:r>
      <w:r w:rsidRPr="2C0DF5FE" w:rsidR="744F6E83">
        <w:rPr>
          <w:sz w:val="22"/>
          <w:szCs w:val="22"/>
        </w:rPr>
        <w:t xml:space="preserve"> amounted to </w:t>
      </w:r>
      <w:r w:rsidRPr="2C0DF5FE" w:rsidR="76CFDADD">
        <w:rPr>
          <w:sz w:val="22"/>
          <w:szCs w:val="22"/>
        </w:rPr>
        <w:t>$874.5 million</w:t>
      </w:r>
      <w:r w:rsidRPr="2C0DF5FE" w:rsidR="5EFCAADF">
        <w:rPr>
          <w:sz w:val="22"/>
          <w:szCs w:val="22"/>
        </w:rPr>
        <w:t xml:space="preserve">, while </w:t>
      </w:r>
      <w:r w:rsidRPr="2C0DF5FE" w:rsidR="1ECEC177">
        <w:rPr>
          <w:sz w:val="22"/>
          <w:szCs w:val="22"/>
        </w:rPr>
        <w:t>total disbursements over the same period totalled</w:t>
      </w:r>
      <w:r w:rsidRPr="2C0DF5FE" w:rsidR="3EAB0E10">
        <w:rPr>
          <w:sz w:val="22"/>
          <w:szCs w:val="22"/>
        </w:rPr>
        <w:t xml:space="preserve"> $320 million,</w:t>
      </w:r>
      <w:r w:rsidRPr="2C0DF5FE" w:rsidR="5681631D">
        <w:rPr>
          <w:sz w:val="22"/>
          <w:szCs w:val="22"/>
        </w:rPr>
        <w:t xml:space="preserve"> made up of cash disbursements, administration </w:t>
      </w:r>
      <w:r w:rsidRPr="2C0DF5FE" w:rsidR="5681631D">
        <w:rPr>
          <w:sz w:val="22"/>
          <w:szCs w:val="22"/>
        </w:rPr>
        <w:t>fees</w:t>
      </w:r>
      <w:r w:rsidRPr="2C0DF5FE" w:rsidR="5681631D">
        <w:rPr>
          <w:sz w:val="22"/>
          <w:szCs w:val="22"/>
        </w:rPr>
        <w:t xml:space="preserve"> and ER payments. Investment income generated from the contributions held in the Carbon Fund was channelled to the Readiness Fund up until </w:t>
      </w:r>
      <w:r w:rsidRPr="2C0DF5FE" w:rsidR="3E6F15EB">
        <w:rPr>
          <w:sz w:val="22"/>
          <w:szCs w:val="22"/>
        </w:rPr>
        <w:t>r</w:t>
      </w:r>
      <w:r w:rsidRPr="2C0DF5FE" w:rsidR="5681631D">
        <w:rPr>
          <w:sz w:val="22"/>
          <w:szCs w:val="22"/>
        </w:rPr>
        <w:t xml:space="preserve">eporting </w:t>
      </w:r>
      <w:r w:rsidRPr="2C0DF5FE" w:rsidR="30E2BED3">
        <w:rPr>
          <w:sz w:val="22"/>
          <w:szCs w:val="22"/>
        </w:rPr>
        <w:t>p</w:t>
      </w:r>
      <w:r w:rsidRPr="2C0DF5FE" w:rsidR="5681631D">
        <w:rPr>
          <w:sz w:val="22"/>
          <w:szCs w:val="22"/>
        </w:rPr>
        <w:t>eriod 20</w:t>
      </w:r>
      <w:r w:rsidRPr="2C0DF5FE" w:rsidR="3F5E09AC">
        <w:rPr>
          <w:sz w:val="22"/>
          <w:szCs w:val="22"/>
        </w:rPr>
        <w:t>21/</w:t>
      </w:r>
      <w:r w:rsidRPr="2C0DF5FE" w:rsidR="5681631D">
        <w:rPr>
          <w:sz w:val="22"/>
          <w:szCs w:val="22"/>
        </w:rPr>
        <w:t xml:space="preserve">22, but with the closure of the Readiness Fund, any interest generated form the Carbon </w:t>
      </w:r>
      <w:r w:rsidRPr="2C0DF5FE" w:rsidR="46BB4920">
        <w:rPr>
          <w:sz w:val="22"/>
          <w:szCs w:val="22"/>
        </w:rPr>
        <w:t xml:space="preserve">Fund contributions began being channelled to the Carbon Fund in </w:t>
      </w:r>
      <w:r w:rsidRPr="2C0DF5FE" w:rsidR="7B3DE9CF">
        <w:rPr>
          <w:sz w:val="22"/>
          <w:szCs w:val="22"/>
        </w:rPr>
        <w:t>r</w:t>
      </w:r>
      <w:r w:rsidRPr="2C0DF5FE" w:rsidR="46BB4920">
        <w:rPr>
          <w:sz w:val="22"/>
          <w:szCs w:val="22"/>
        </w:rPr>
        <w:t xml:space="preserve">eporting </w:t>
      </w:r>
      <w:r w:rsidRPr="2C0DF5FE" w:rsidR="756AF5D6">
        <w:rPr>
          <w:sz w:val="22"/>
          <w:szCs w:val="22"/>
        </w:rPr>
        <w:t>p</w:t>
      </w:r>
      <w:r w:rsidRPr="2C0DF5FE" w:rsidR="46BB4920">
        <w:rPr>
          <w:sz w:val="22"/>
          <w:szCs w:val="22"/>
        </w:rPr>
        <w:t xml:space="preserve">eriod </w:t>
      </w:r>
      <w:r w:rsidRPr="2C0DF5FE" w:rsidR="46BB4920">
        <w:rPr>
          <w:sz w:val="22"/>
          <w:szCs w:val="22"/>
        </w:rPr>
        <w:t>20</w:t>
      </w:r>
      <w:r w:rsidRPr="2C0DF5FE" w:rsidR="19B1E298">
        <w:rPr>
          <w:sz w:val="22"/>
          <w:szCs w:val="22"/>
        </w:rPr>
        <w:t>22/</w:t>
      </w:r>
      <w:r w:rsidRPr="2C0DF5FE" w:rsidR="46BB4920">
        <w:rPr>
          <w:sz w:val="22"/>
          <w:szCs w:val="22"/>
        </w:rPr>
        <w:t>23.</w:t>
      </w:r>
      <w:r w:rsidRPr="2C0DF5FE" w:rsidR="46BB4920">
        <w:rPr>
          <w:sz w:val="22"/>
          <w:szCs w:val="22"/>
        </w:rPr>
        <w:t xml:space="preserve"> The cumulative total investment income deposited into the Carbon Fund (through the end of </w:t>
      </w:r>
      <w:r w:rsidRPr="2C0DF5FE" w:rsidR="0CEA3EFB">
        <w:rPr>
          <w:sz w:val="22"/>
          <w:szCs w:val="22"/>
        </w:rPr>
        <w:t>RP</w:t>
      </w:r>
      <w:r w:rsidRPr="2C0DF5FE" w:rsidR="5EC9B179">
        <w:rPr>
          <w:sz w:val="22"/>
          <w:szCs w:val="22"/>
        </w:rPr>
        <w:t>25</w:t>
      </w:r>
      <w:r w:rsidRPr="2C0DF5FE" w:rsidR="46BB4920">
        <w:rPr>
          <w:sz w:val="22"/>
          <w:szCs w:val="22"/>
        </w:rPr>
        <w:t xml:space="preserve">) </w:t>
      </w:r>
      <w:r w:rsidRPr="2C0DF5FE" w:rsidR="3EDFA0B5">
        <w:rPr>
          <w:sz w:val="22"/>
          <w:szCs w:val="22"/>
        </w:rPr>
        <w:t>is $108.3 million.</w:t>
      </w:r>
    </w:p>
    <w:p w:rsidRPr="00322410" w:rsidR="008D4224" w:rsidP="004D5FD5" w:rsidRDefault="008D4224" w14:paraId="319529C7" w14:textId="77777777">
      <w:pPr>
        <w:jc w:val="both"/>
        <w:rPr>
          <w:sz w:val="22"/>
          <w:szCs w:val="22"/>
        </w:rPr>
      </w:pPr>
    </w:p>
    <w:p w:rsidRPr="00322410" w:rsidR="008D4224" w:rsidP="004D5FD5" w:rsidRDefault="008D4224" w14:paraId="70F01461" w14:textId="2C74C0E9">
      <w:pPr>
        <w:jc w:val="both"/>
        <w:rPr>
          <w:sz w:val="22"/>
          <w:szCs w:val="22"/>
        </w:rPr>
      </w:pPr>
      <w:r w:rsidRPr="2C0DF5FE" w:rsidR="008D4224">
        <w:rPr>
          <w:sz w:val="22"/>
          <w:szCs w:val="22"/>
        </w:rPr>
        <w:t xml:space="preserve">There are 11 donors to the FCPF Carbon Fund and 15 forest country participants, with observers from Indigenous </w:t>
      </w:r>
      <w:r w:rsidRPr="2C0DF5FE" w:rsidR="00236E4E">
        <w:rPr>
          <w:sz w:val="22"/>
          <w:szCs w:val="22"/>
        </w:rPr>
        <w:t xml:space="preserve">Groups, </w:t>
      </w:r>
      <w:r w:rsidRPr="2C0DF5FE" w:rsidR="00617F10">
        <w:rPr>
          <w:sz w:val="22"/>
          <w:szCs w:val="22"/>
        </w:rPr>
        <w:t xml:space="preserve">civil society organisations, international organisations, women’s </w:t>
      </w:r>
      <w:r w:rsidRPr="2C0DF5FE" w:rsidR="00617F10">
        <w:rPr>
          <w:sz w:val="22"/>
          <w:szCs w:val="22"/>
        </w:rPr>
        <w:t>groups</w:t>
      </w:r>
      <w:r w:rsidRPr="2C0DF5FE" w:rsidR="00617F10">
        <w:rPr>
          <w:sz w:val="22"/>
          <w:szCs w:val="22"/>
        </w:rPr>
        <w:t xml:space="preserve"> and the private sector. </w:t>
      </w:r>
      <w:r w:rsidRPr="2C0DF5FE" w:rsidR="00617F10">
        <w:rPr>
          <w:sz w:val="22"/>
          <w:szCs w:val="22"/>
        </w:rPr>
        <w:t xml:space="preserve">The UK is the third largest financial contributor to the Carbon Fund with a c. </w:t>
      </w:r>
      <w:r w:rsidRPr="2C0DF5FE" w:rsidR="00617F10">
        <w:rPr>
          <w:sz w:val="22"/>
          <w:szCs w:val="22"/>
        </w:rPr>
        <w:t>21% burden share</w:t>
      </w:r>
      <w:r w:rsidRPr="2C0DF5FE" w:rsidR="1892DFD6">
        <w:rPr>
          <w:sz w:val="22"/>
          <w:szCs w:val="22"/>
        </w:rPr>
        <w:t xml:space="preserve"> of the total expected ER payments.</w:t>
      </w:r>
    </w:p>
    <w:p w:rsidRPr="00322410" w:rsidR="008D4224" w:rsidP="004D5FD5" w:rsidRDefault="008D4224" w14:paraId="5CF3B1FF" w14:textId="77777777">
      <w:pPr>
        <w:jc w:val="both"/>
      </w:pPr>
    </w:p>
    <w:p w:rsidRPr="00322410" w:rsidR="003D222C" w:rsidP="00617F10" w:rsidRDefault="003D222C" w14:paraId="01141ADC" w14:textId="7356FAD9">
      <w:pPr>
        <w:jc w:val="both"/>
      </w:pPr>
      <w:bookmarkStart w:name="_Toc219130978" w:id="10"/>
      <w:r w:rsidRPr="00322410">
        <w:rPr>
          <w:rStyle w:val="Heading2Char"/>
        </w:rPr>
        <w:t>Summary of progress and supporting narrative for the overall score</w:t>
      </w:r>
      <w:bookmarkEnd w:id="10"/>
      <w:r w:rsidRPr="00322410" w:rsidR="00A86616">
        <w:t xml:space="preserve"> </w:t>
      </w:r>
    </w:p>
    <w:p w:rsidRPr="00322410" w:rsidR="008244AD" w:rsidP="00617F10" w:rsidRDefault="008244AD" w14:paraId="7C6338F8" w14:textId="16826B3E">
      <w:pPr>
        <w:jc w:val="both"/>
      </w:pPr>
    </w:p>
    <w:p w:rsidRPr="00322410" w:rsidR="00234F48" w:rsidP="51851990" w:rsidRDefault="525980CD" w14:paraId="5A25E1F4" w14:textId="18DAF452">
      <w:pPr>
        <w:jc w:val="both"/>
        <w:rPr>
          <w:rFonts w:eastAsia="Arial" w:cs="Arial"/>
          <w:color w:val="000000" w:themeColor="text1"/>
          <w:sz w:val="22"/>
          <w:szCs w:val="22"/>
        </w:rPr>
      </w:pPr>
      <w:r w:rsidRPr="00322410">
        <w:rPr>
          <w:rFonts w:eastAsia="Arial" w:cs="Arial"/>
          <w:color w:val="000000" w:themeColor="text1"/>
          <w:sz w:val="22"/>
          <w:szCs w:val="22"/>
        </w:rPr>
        <w:t>In RP25</w:t>
      </w:r>
      <w:r w:rsidRPr="00322410" w:rsidR="00E05E65">
        <w:rPr>
          <w:rFonts w:eastAsia="Arial" w:cs="Arial"/>
          <w:color w:val="000000" w:themeColor="text1"/>
          <w:sz w:val="22"/>
          <w:szCs w:val="22"/>
        </w:rPr>
        <w:t xml:space="preserve"> the FCPF programme </w:t>
      </w:r>
      <w:r w:rsidRPr="00322410" w:rsidR="00C9097D">
        <w:rPr>
          <w:rFonts w:eastAsia="Arial" w:cs="Arial"/>
          <w:color w:val="000000" w:themeColor="text1"/>
          <w:sz w:val="22"/>
          <w:szCs w:val="22"/>
        </w:rPr>
        <w:t>scored an A</w:t>
      </w:r>
      <w:r w:rsidRPr="00322410" w:rsidR="00E05E65">
        <w:rPr>
          <w:rFonts w:eastAsia="Arial" w:cs="Arial"/>
          <w:color w:val="000000" w:themeColor="text1"/>
          <w:sz w:val="22"/>
          <w:szCs w:val="22"/>
        </w:rPr>
        <w:t>; t</w:t>
      </w:r>
      <w:r w:rsidRPr="00322410" w:rsidR="002B27A2">
        <w:rPr>
          <w:rFonts w:eastAsia="Arial" w:cs="Arial"/>
          <w:color w:val="000000" w:themeColor="text1"/>
          <w:sz w:val="22"/>
          <w:szCs w:val="22"/>
        </w:rPr>
        <w:t>his score has been maintained since reporting period 2018/</w:t>
      </w:r>
      <w:r w:rsidRPr="61C086B0" w:rsidR="002B27A2">
        <w:rPr>
          <w:rFonts w:eastAsia="Arial" w:cs="Arial"/>
          <w:color w:val="000000" w:themeColor="text1"/>
          <w:sz w:val="22"/>
          <w:szCs w:val="22"/>
        </w:rPr>
        <w:t>19.</w:t>
      </w:r>
      <w:r w:rsidRPr="00322410" w:rsidR="00E05E65">
        <w:rPr>
          <w:rFonts w:eastAsia="Arial" w:cs="Arial"/>
          <w:color w:val="000000" w:themeColor="text1"/>
          <w:sz w:val="22"/>
          <w:szCs w:val="22"/>
        </w:rPr>
        <w:t xml:space="preserve"> Overall, the programme met expectations</w:t>
      </w:r>
      <w:r w:rsidRPr="4CF1D26C" w:rsidR="56F5CFD8">
        <w:rPr>
          <w:rFonts w:eastAsia="Arial" w:cs="Arial"/>
          <w:color w:val="000000" w:themeColor="text1"/>
          <w:sz w:val="22"/>
          <w:szCs w:val="22"/>
        </w:rPr>
        <w:t>.</w:t>
      </w:r>
      <w:r w:rsidRPr="00322410" w:rsidR="00E05E65">
        <w:rPr>
          <w:rFonts w:eastAsia="Arial" w:cs="Arial"/>
          <w:color w:val="000000" w:themeColor="text1"/>
          <w:sz w:val="22"/>
          <w:szCs w:val="22"/>
        </w:rPr>
        <w:t xml:space="preserve"> </w:t>
      </w:r>
      <w:r w:rsidRPr="150FCB5C" w:rsidR="3342BB3D">
        <w:rPr>
          <w:rFonts w:eastAsia="Arial" w:cs="Arial"/>
          <w:color w:val="000000" w:themeColor="text1"/>
          <w:sz w:val="22"/>
          <w:szCs w:val="22"/>
        </w:rPr>
        <w:t>H</w:t>
      </w:r>
      <w:r w:rsidRPr="150FCB5C" w:rsidR="00E05E65">
        <w:rPr>
          <w:rFonts w:eastAsia="Arial" w:cs="Arial"/>
          <w:color w:val="000000" w:themeColor="text1"/>
          <w:sz w:val="22"/>
          <w:szCs w:val="22"/>
        </w:rPr>
        <w:t>owever</w:t>
      </w:r>
      <w:r w:rsidRPr="150FCB5C" w:rsidR="2F87C721">
        <w:rPr>
          <w:rFonts w:eastAsia="Arial" w:cs="Arial"/>
          <w:color w:val="000000" w:themeColor="text1"/>
          <w:sz w:val="22"/>
          <w:szCs w:val="22"/>
        </w:rPr>
        <w:t>,</w:t>
      </w:r>
      <w:r w:rsidRPr="00322410" w:rsidR="00E05E65">
        <w:rPr>
          <w:rFonts w:eastAsia="Arial" w:cs="Arial"/>
          <w:color w:val="000000" w:themeColor="text1"/>
          <w:sz w:val="22"/>
          <w:szCs w:val="22"/>
        </w:rPr>
        <w:t xml:space="preserve"> there has been mixed success across outputs. </w:t>
      </w:r>
      <w:r w:rsidRPr="00322410" w:rsidR="00234F48">
        <w:rPr>
          <w:rFonts w:eastAsia="Arial" w:cs="Arial"/>
          <w:color w:val="000000" w:themeColor="text1"/>
          <w:sz w:val="22"/>
          <w:szCs w:val="22"/>
        </w:rPr>
        <w:t xml:space="preserve">The </w:t>
      </w:r>
      <w:r w:rsidRPr="00322410" w:rsidR="00EF6C08">
        <w:rPr>
          <w:rFonts w:eastAsia="Arial" w:cs="Arial"/>
          <w:color w:val="000000" w:themeColor="text1"/>
          <w:sz w:val="22"/>
          <w:szCs w:val="22"/>
        </w:rPr>
        <w:t>programme</w:t>
      </w:r>
      <w:r w:rsidRPr="00322410" w:rsidR="00234F48">
        <w:rPr>
          <w:rFonts w:eastAsia="Arial" w:cs="Arial"/>
          <w:color w:val="000000" w:themeColor="text1"/>
          <w:sz w:val="22"/>
          <w:szCs w:val="22"/>
        </w:rPr>
        <w:t xml:space="preserve"> </w:t>
      </w:r>
      <w:r w:rsidRPr="00322410" w:rsidR="002C192C">
        <w:rPr>
          <w:rFonts w:eastAsia="Arial" w:cs="Arial"/>
          <w:color w:val="000000" w:themeColor="text1"/>
          <w:sz w:val="22"/>
          <w:szCs w:val="22"/>
        </w:rPr>
        <w:t xml:space="preserve">has </w:t>
      </w:r>
      <w:r w:rsidRPr="00322410" w:rsidR="00D9249B">
        <w:rPr>
          <w:rFonts w:eastAsia="Arial" w:cs="Arial"/>
          <w:color w:val="000000" w:themeColor="text1"/>
          <w:sz w:val="22"/>
          <w:szCs w:val="22"/>
        </w:rPr>
        <w:t>scored positively across outputs related to</w:t>
      </w:r>
      <w:r w:rsidRPr="00322410" w:rsidR="002B4F46">
        <w:rPr>
          <w:rFonts w:eastAsia="Arial" w:cs="Arial"/>
          <w:color w:val="000000" w:themeColor="text1"/>
          <w:sz w:val="22"/>
          <w:szCs w:val="22"/>
        </w:rPr>
        <w:t xml:space="preserve"> </w:t>
      </w:r>
      <w:r w:rsidRPr="00322410" w:rsidR="00A9485E">
        <w:rPr>
          <w:rFonts w:eastAsia="Arial" w:cs="Arial"/>
          <w:color w:val="000000" w:themeColor="text1"/>
          <w:sz w:val="22"/>
          <w:szCs w:val="22"/>
        </w:rPr>
        <w:t>t</w:t>
      </w:r>
      <w:r w:rsidRPr="00322410" w:rsidR="00406E44">
        <w:rPr>
          <w:rFonts w:eastAsia="Arial" w:cs="Arial"/>
          <w:color w:val="000000" w:themeColor="text1"/>
          <w:sz w:val="22"/>
          <w:szCs w:val="22"/>
        </w:rPr>
        <w:t>he percentage of ERs purchased</w:t>
      </w:r>
      <w:r w:rsidRPr="00322410" w:rsidR="008957CA">
        <w:rPr>
          <w:rFonts w:eastAsia="Arial" w:cs="Arial"/>
          <w:color w:val="000000" w:themeColor="text1"/>
          <w:sz w:val="22"/>
          <w:szCs w:val="22"/>
        </w:rPr>
        <w:t xml:space="preserve"> so far, </w:t>
      </w:r>
      <w:r w:rsidRPr="00322410" w:rsidR="00707243">
        <w:rPr>
          <w:rFonts w:eastAsia="Arial" w:cs="Arial"/>
          <w:color w:val="000000" w:themeColor="text1"/>
          <w:sz w:val="22"/>
          <w:szCs w:val="22"/>
        </w:rPr>
        <w:t>the testing of approaches to sustaining li</w:t>
      </w:r>
      <w:r w:rsidRPr="00322410" w:rsidR="00EF6C08">
        <w:rPr>
          <w:rFonts w:eastAsia="Arial" w:cs="Arial"/>
          <w:color w:val="000000" w:themeColor="text1"/>
          <w:sz w:val="22"/>
          <w:szCs w:val="22"/>
        </w:rPr>
        <w:t>velihood</w:t>
      </w:r>
      <w:r w:rsidRPr="00322410" w:rsidR="00707243">
        <w:rPr>
          <w:rFonts w:eastAsia="Arial" w:cs="Arial"/>
          <w:color w:val="000000" w:themeColor="text1"/>
          <w:sz w:val="22"/>
          <w:szCs w:val="22"/>
        </w:rPr>
        <w:t xml:space="preserve">s and conserving </w:t>
      </w:r>
      <w:r w:rsidRPr="00322410" w:rsidR="00EF6C08">
        <w:rPr>
          <w:rFonts w:eastAsia="Arial" w:cs="Arial"/>
          <w:color w:val="000000" w:themeColor="text1"/>
          <w:sz w:val="22"/>
          <w:szCs w:val="22"/>
        </w:rPr>
        <w:t xml:space="preserve">biodiversity </w:t>
      </w:r>
      <w:r w:rsidRPr="00322410" w:rsidR="00246B93">
        <w:rPr>
          <w:rFonts w:eastAsia="Arial" w:cs="Arial"/>
          <w:color w:val="000000" w:themeColor="text1"/>
          <w:sz w:val="22"/>
          <w:szCs w:val="22"/>
        </w:rPr>
        <w:t xml:space="preserve">and </w:t>
      </w:r>
      <w:r w:rsidRPr="00322410" w:rsidR="00642653">
        <w:rPr>
          <w:rFonts w:eastAsia="Arial" w:cs="Arial"/>
          <w:color w:val="000000" w:themeColor="text1"/>
          <w:sz w:val="22"/>
          <w:szCs w:val="22"/>
        </w:rPr>
        <w:t xml:space="preserve">the delivery </w:t>
      </w:r>
      <w:r w:rsidRPr="00322410" w:rsidR="00580BDD">
        <w:rPr>
          <w:rFonts w:eastAsia="Arial" w:cs="Arial"/>
          <w:color w:val="000000" w:themeColor="text1"/>
          <w:sz w:val="22"/>
          <w:szCs w:val="22"/>
        </w:rPr>
        <w:t>and perception of</w:t>
      </w:r>
      <w:r w:rsidRPr="00322410" w:rsidR="00642653">
        <w:rPr>
          <w:rFonts w:eastAsia="Arial" w:cs="Arial"/>
          <w:color w:val="000000" w:themeColor="text1"/>
          <w:sz w:val="22"/>
          <w:szCs w:val="22"/>
        </w:rPr>
        <w:t xml:space="preserve"> </w:t>
      </w:r>
      <w:r w:rsidRPr="00322410" w:rsidR="00142851">
        <w:rPr>
          <w:rFonts w:eastAsia="Arial" w:cs="Arial"/>
          <w:color w:val="000000" w:themeColor="text1"/>
          <w:sz w:val="22"/>
          <w:szCs w:val="22"/>
        </w:rPr>
        <w:t xml:space="preserve">learning activities. </w:t>
      </w:r>
      <w:r w:rsidRPr="00322410" w:rsidR="00A7601B">
        <w:rPr>
          <w:rFonts w:eastAsia="Arial" w:cs="Arial"/>
          <w:color w:val="000000" w:themeColor="text1"/>
          <w:sz w:val="22"/>
          <w:szCs w:val="22"/>
        </w:rPr>
        <w:t xml:space="preserve">On the other hand, progress was slower than expected </w:t>
      </w:r>
      <w:r w:rsidRPr="00322410" w:rsidR="001269FA">
        <w:rPr>
          <w:rFonts w:eastAsia="Arial" w:cs="Arial"/>
          <w:color w:val="000000" w:themeColor="text1"/>
          <w:sz w:val="22"/>
          <w:szCs w:val="22"/>
        </w:rPr>
        <w:t xml:space="preserve">in terms of </w:t>
      </w:r>
      <w:r w:rsidRPr="00322410" w:rsidR="00231F55">
        <w:rPr>
          <w:rFonts w:eastAsia="Arial" w:cs="Arial"/>
          <w:color w:val="000000" w:themeColor="text1"/>
          <w:sz w:val="22"/>
          <w:szCs w:val="22"/>
        </w:rPr>
        <w:t xml:space="preserve">the submission </w:t>
      </w:r>
      <w:r w:rsidRPr="00322410" w:rsidR="000356CB">
        <w:rPr>
          <w:rFonts w:eastAsia="Arial" w:cs="Arial"/>
          <w:color w:val="000000" w:themeColor="text1"/>
          <w:sz w:val="22"/>
          <w:szCs w:val="22"/>
        </w:rPr>
        <w:t xml:space="preserve">and verification of ER monitoring reports and </w:t>
      </w:r>
      <w:r w:rsidRPr="00322410" w:rsidR="001269FA">
        <w:rPr>
          <w:rFonts w:eastAsia="Arial" w:cs="Arial"/>
          <w:color w:val="000000" w:themeColor="text1"/>
          <w:sz w:val="22"/>
          <w:szCs w:val="22"/>
        </w:rPr>
        <w:t>the implementation of benefit-sharing plans</w:t>
      </w:r>
      <w:r w:rsidRPr="00322410" w:rsidR="000356CB">
        <w:rPr>
          <w:rFonts w:eastAsia="Arial" w:cs="Arial"/>
          <w:color w:val="000000" w:themeColor="text1"/>
          <w:sz w:val="22"/>
          <w:szCs w:val="22"/>
        </w:rPr>
        <w:t>.</w:t>
      </w:r>
    </w:p>
    <w:p w:rsidRPr="00322410" w:rsidR="000356CB" w:rsidP="51851990" w:rsidRDefault="000356CB" w14:paraId="30F1AEB0" w14:textId="77777777">
      <w:pPr>
        <w:jc w:val="both"/>
        <w:rPr>
          <w:rFonts w:eastAsia="Arial" w:cs="Arial"/>
          <w:color w:val="000000" w:themeColor="text1"/>
          <w:sz w:val="22"/>
          <w:szCs w:val="22"/>
        </w:rPr>
      </w:pPr>
    </w:p>
    <w:p w:rsidRPr="00322410" w:rsidR="51851990" w:rsidP="51851990" w:rsidRDefault="000356CB" w14:paraId="6CBA8C53" w14:textId="424BD81F">
      <w:pPr>
        <w:jc w:val="both"/>
        <w:rPr>
          <w:rFonts w:eastAsia="Arial" w:cs="Arial"/>
          <w:color w:val="000000" w:themeColor="text1"/>
          <w:sz w:val="22"/>
          <w:szCs w:val="22"/>
        </w:rPr>
      </w:pPr>
      <w:r w:rsidRPr="77E2F264">
        <w:rPr>
          <w:rFonts w:eastAsia="Arial" w:cs="Arial"/>
          <w:color w:val="000000" w:themeColor="text1"/>
          <w:sz w:val="22"/>
          <w:szCs w:val="22"/>
        </w:rPr>
        <w:t>Although not included in the overall score, it should be noted that the</w:t>
      </w:r>
      <w:r w:rsidRPr="77E2F264" w:rsidR="512AF31B">
        <w:rPr>
          <w:rFonts w:eastAsia="Arial" w:cs="Arial"/>
          <w:color w:val="000000" w:themeColor="text1"/>
          <w:sz w:val="22"/>
          <w:szCs w:val="22"/>
        </w:rPr>
        <w:t>re has been positive progress across the outcomes</w:t>
      </w:r>
      <w:r w:rsidRPr="77E2F264" w:rsidR="00A52B5D">
        <w:rPr>
          <w:rFonts w:eastAsia="Arial" w:cs="Arial"/>
          <w:color w:val="000000" w:themeColor="text1"/>
          <w:sz w:val="22"/>
          <w:szCs w:val="22"/>
        </w:rPr>
        <w:t xml:space="preserve">, particularly in terms of </w:t>
      </w:r>
      <w:r w:rsidRPr="77E2F264" w:rsidR="005E303A">
        <w:rPr>
          <w:rFonts w:eastAsia="Arial" w:cs="Arial"/>
          <w:color w:val="000000" w:themeColor="text1"/>
          <w:sz w:val="22"/>
          <w:szCs w:val="22"/>
        </w:rPr>
        <w:t xml:space="preserve">the </w:t>
      </w:r>
      <w:r w:rsidRPr="77E2F264" w:rsidR="00057681">
        <w:rPr>
          <w:rFonts w:eastAsia="Arial" w:cs="Arial"/>
          <w:color w:val="000000" w:themeColor="text1"/>
          <w:sz w:val="22"/>
          <w:szCs w:val="22"/>
        </w:rPr>
        <w:t>net change in greenhouse gas emissions and the volume of finance mobilised</w:t>
      </w:r>
      <w:r w:rsidRPr="77E2F264" w:rsidR="00927932">
        <w:rPr>
          <w:rFonts w:eastAsia="Arial" w:cs="Arial"/>
          <w:color w:val="000000" w:themeColor="text1"/>
          <w:sz w:val="22"/>
          <w:szCs w:val="22"/>
        </w:rPr>
        <w:t xml:space="preserve"> by the programme, both of which exceeded their targets for the past year.</w:t>
      </w:r>
    </w:p>
    <w:p w:rsidRPr="00322410" w:rsidR="51851990" w:rsidP="51851990" w:rsidRDefault="51851990" w14:paraId="26C0369A" w14:textId="6B8B9225">
      <w:pPr>
        <w:jc w:val="both"/>
        <w:rPr>
          <w:rFonts w:eastAsia="Arial" w:cs="Arial"/>
          <w:color w:val="000000" w:themeColor="text1"/>
          <w:sz w:val="22"/>
          <w:szCs w:val="22"/>
        </w:rPr>
      </w:pPr>
    </w:p>
    <w:p w:rsidRPr="00322410" w:rsidR="525980CD" w:rsidP="51851990" w:rsidRDefault="525980CD" w14:paraId="1B4562A5" w14:textId="354EED82">
      <w:pPr>
        <w:jc w:val="both"/>
        <w:rPr>
          <w:rFonts w:eastAsia="Arial" w:cs="Arial"/>
          <w:color w:val="000000" w:themeColor="text1"/>
          <w:sz w:val="22"/>
          <w:szCs w:val="22"/>
        </w:rPr>
      </w:pPr>
      <w:r w:rsidRPr="77E2F264">
        <w:rPr>
          <w:rFonts w:eastAsia="Arial" w:cs="Arial"/>
          <w:color w:val="000000" w:themeColor="text1"/>
          <w:sz w:val="22"/>
          <w:szCs w:val="22"/>
        </w:rPr>
        <w:t xml:space="preserve">There have been </w:t>
      </w:r>
      <w:r w:rsidRPr="77E2F264" w:rsidR="4C95575F">
        <w:rPr>
          <w:rFonts w:eastAsia="Arial" w:cs="Arial"/>
          <w:color w:val="000000" w:themeColor="text1"/>
          <w:sz w:val="22"/>
          <w:szCs w:val="22"/>
        </w:rPr>
        <w:t xml:space="preserve">several </w:t>
      </w:r>
      <w:r w:rsidRPr="77E2F264">
        <w:rPr>
          <w:rFonts w:eastAsia="Arial" w:cs="Arial"/>
          <w:color w:val="000000" w:themeColor="text1"/>
          <w:sz w:val="22"/>
          <w:szCs w:val="22"/>
        </w:rPr>
        <w:t>notable successes over the past year:</w:t>
      </w:r>
    </w:p>
    <w:p w:rsidRPr="00322410" w:rsidR="005C680E" w:rsidP="00F8289A" w:rsidRDefault="669B4A4E" w14:paraId="485658E3" w14:textId="3D995A75">
      <w:pPr>
        <w:pStyle w:val="ListParagraph"/>
        <w:numPr>
          <w:ilvl w:val="0"/>
          <w:numId w:val="14"/>
        </w:numPr>
        <w:jc w:val="both"/>
        <w:rPr>
          <w:sz w:val="22"/>
          <w:szCs w:val="22"/>
        </w:rPr>
      </w:pPr>
      <w:r w:rsidRPr="00322410">
        <w:rPr>
          <w:sz w:val="22"/>
          <w:szCs w:val="22"/>
        </w:rPr>
        <w:t>In RP25, t</w:t>
      </w:r>
      <w:r w:rsidRPr="00322410" w:rsidR="00414EC4">
        <w:rPr>
          <w:sz w:val="22"/>
          <w:szCs w:val="22"/>
        </w:rPr>
        <w:t>he FCPF paid</w:t>
      </w:r>
      <w:r w:rsidRPr="00322410" w:rsidR="627D8988">
        <w:rPr>
          <w:sz w:val="22"/>
          <w:szCs w:val="22"/>
        </w:rPr>
        <w:t xml:space="preserve"> $</w:t>
      </w:r>
      <w:r w:rsidRPr="00322410" w:rsidR="07FACE7F">
        <w:rPr>
          <w:sz w:val="22"/>
          <w:szCs w:val="22"/>
        </w:rPr>
        <w:t>70</w:t>
      </w:r>
      <w:r w:rsidRPr="00322410" w:rsidR="727F644F">
        <w:rPr>
          <w:sz w:val="22"/>
          <w:szCs w:val="22"/>
        </w:rPr>
        <w:t>.</w:t>
      </w:r>
      <w:r w:rsidRPr="00322410" w:rsidR="07FACE7F">
        <w:rPr>
          <w:sz w:val="22"/>
          <w:szCs w:val="22"/>
        </w:rPr>
        <w:t>9</w:t>
      </w:r>
      <w:r w:rsidRPr="00322410" w:rsidR="3423A74A">
        <w:rPr>
          <w:sz w:val="22"/>
          <w:szCs w:val="22"/>
        </w:rPr>
        <w:t xml:space="preserve"> million</w:t>
      </w:r>
      <w:r w:rsidRPr="00322410" w:rsidR="627D8988">
        <w:rPr>
          <w:sz w:val="22"/>
          <w:szCs w:val="22"/>
        </w:rPr>
        <w:t xml:space="preserve"> </w:t>
      </w:r>
      <w:r w:rsidRPr="00322410" w:rsidR="00414EC4">
        <w:rPr>
          <w:sz w:val="22"/>
          <w:szCs w:val="22"/>
        </w:rPr>
        <w:t xml:space="preserve">to </w:t>
      </w:r>
      <w:r w:rsidRPr="00322410" w:rsidR="62924814">
        <w:rPr>
          <w:sz w:val="22"/>
          <w:szCs w:val="22"/>
        </w:rPr>
        <w:t>five</w:t>
      </w:r>
      <w:r w:rsidRPr="00322410" w:rsidR="00414EC4">
        <w:rPr>
          <w:sz w:val="22"/>
          <w:szCs w:val="22"/>
        </w:rPr>
        <w:t xml:space="preserve"> countries</w:t>
      </w:r>
      <w:r w:rsidRPr="00322410" w:rsidR="75BDEDE6">
        <w:rPr>
          <w:sz w:val="22"/>
          <w:szCs w:val="22"/>
        </w:rPr>
        <w:t xml:space="preserve">: </w:t>
      </w:r>
      <w:r w:rsidRPr="00322410" w:rsidR="24027357">
        <w:rPr>
          <w:sz w:val="22"/>
          <w:szCs w:val="22"/>
        </w:rPr>
        <w:t>Chile, Costa Rica, Côte d’Ivoire, the Democratic Republic of</w:t>
      </w:r>
      <w:r w:rsidRPr="00322410" w:rsidR="6C7AF553">
        <w:rPr>
          <w:sz w:val="22"/>
          <w:szCs w:val="22"/>
        </w:rPr>
        <w:t xml:space="preserve"> Congo (DRC) and Lao PDR.</w:t>
      </w:r>
      <w:r w:rsidRPr="00322410" w:rsidR="00414EC4">
        <w:rPr>
          <w:sz w:val="22"/>
          <w:szCs w:val="22"/>
        </w:rPr>
        <w:t xml:space="preserve"> This has brought up the total </w:t>
      </w:r>
      <w:r w:rsidRPr="00322410" w:rsidR="008C4000">
        <w:rPr>
          <w:sz w:val="22"/>
          <w:szCs w:val="22"/>
        </w:rPr>
        <w:t xml:space="preserve">FCPF ER payments to </w:t>
      </w:r>
      <w:r w:rsidRPr="00322410" w:rsidR="52600756">
        <w:rPr>
          <w:sz w:val="22"/>
          <w:szCs w:val="22"/>
        </w:rPr>
        <w:t>$</w:t>
      </w:r>
      <w:r w:rsidRPr="00322410" w:rsidR="3290C5E4">
        <w:rPr>
          <w:sz w:val="22"/>
          <w:szCs w:val="22"/>
        </w:rPr>
        <w:t>235</w:t>
      </w:r>
      <w:r w:rsidRPr="00322410" w:rsidR="768CF13C">
        <w:rPr>
          <w:sz w:val="22"/>
          <w:szCs w:val="22"/>
        </w:rPr>
        <w:t>.45 million,</w:t>
      </w:r>
      <w:r w:rsidRPr="00322410" w:rsidR="008C4000">
        <w:rPr>
          <w:sz w:val="22"/>
          <w:szCs w:val="22"/>
        </w:rPr>
        <w:t xml:space="preserve"> up from </w:t>
      </w:r>
      <w:r w:rsidRPr="00322410" w:rsidR="701509C7">
        <w:rPr>
          <w:rFonts w:eastAsia="Arial" w:cs="Arial"/>
          <w:color w:val="000000" w:themeColor="text1"/>
          <w:sz w:val="22"/>
          <w:szCs w:val="22"/>
        </w:rPr>
        <w:t>$164.5 million</w:t>
      </w:r>
      <w:r w:rsidRPr="00322410" w:rsidR="008C4000">
        <w:rPr>
          <w:sz w:val="22"/>
          <w:szCs w:val="22"/>
        </w:rPr>
        <w:t xml:space="preserve"> in RP2</w:t>
      </w:r>
      <w:r w:rsidRPr="00322410" w:rsidR="72C48B13">
        <w:rPr>
          <w:sz w:val="22"/>
          <w:szCs w:val="22"/>
        </w:rPr>
        <w:t>4</w:t>
      </w:r>
      <w:r w:rsidRPr="00322410" w:rsidR="008C4000">
        <w:rPr>
          <w:sz w:val="22"/>
          <w:szCs w:val="22"/>
        </w:rPr>
        <w:t>.</w:t>
      </w:r>
      <w:r w:rsidRPr="00322410" w:rsidR="00695604">
        <w:rPr>
          <w:sz w:val="22"/>
          <w:szCs w:val="22"/>
        </w:rPr>
        <w:t xml:space="preserve"> These payments deliver on the commitments made in the fifteen FCPF ERPAs.</w:t>
      </w:r>
    </w:p>
    <w:p w:rsidRPr="00322410" w:rsidR="00695604" w:rsidP="00F8289A" w:rsidRDefault="64D7640A" w14:paraId="7F272E3A" w14:textId="59B1B16A">
      <w:pPr>
        <w:pStyle w:val="ListParagraph"/>
        <w:numPr>
          <w:ilvl w:val="0"/>
          <w:numId w:val="14"/>
        </w:numPr>
        <w:jc w:val="both"/>
        <w:rPr>
          <w:sz w:val="22"/>
          <w:szCs w:val="22"/>
        </w:rPr>
      </w:pPr>
      <w:r w:rsidRPr="00322410">
        <w:rPr>
          <w:sz w:val="22"/>
          <w:szCs w:val="22"/>
        </w:rPr>
        <w:t xml:space="preserve">By the end of RP25, Carbon Fund </w:t>
      </w:r>
      <w:r w:rsidRPr="00322410" w:rsidR="14EC8BED">
        <w:rPr>
          <w:sz w:val="22"/>
          <w:szCs w:val="22"/>
        </w:rPr>
        <w:t>programm</w:t>
      </w:r>
      <w:r w:rsidRPr="00322410">
        <w:rPr>
          <w:sz w:val="22"/>
          <w:szCs w:val="22"/>
        </w:rPr>
        <w:t xml:space="preserve">es had reported a total of </w:t>
      </w:r>
      <w:r w:rsidRPr="00322410" w:rsidR="362C4F8A">
        <w:rPr>
          <w:sz w:val="22"/>
          <w:szCs w:val="22"/>
        </w:rPr>
        <w:t>123.7</w:t>
      </w:r>
      <w:r w:rsidRPr="00322410">
        <w:rPr>
          <w:sz w:val="22"/>
          <w:szCs w:val="22"/>
        </w:rPr>
        <w:t xml:space="preserve"> million tonnes of ERs. Contract ER payments to the</w:t>
      </w:r>
      <w:r w:rsidRPr="00322410" w:rsidR="55EF0207">
        <w:rPr>
          <w:sz w:val="22"/>
          <w:szCs w:val="22"/>
        </w:rPr>
        <w:t xml:space="preserve"> forest country participants are projected to reach </w:t>
      </w:r>
      <w:r w:rsidRPr="00322410" w:rsidR="46235715">
        <w:rPr>
          <w:sz w:val="22"/>
          <w:szCs w:val="22"/>
        </w:rPr>
        <w:t>up to $721 million</w:t>
      </w:r>
      <w:r w:rsidRPr="00322410" w:rsidR="55EF0207">
        <w:rPr>
          <w:sz w:val="22"/>
          <w:szCs w:val="22"/>
        </w:rPr>
        <w:t xml:space="preserve"> for </w:t>
      </w:r>
      <w:r w:rsidRPr="00322410" w:rsidR="28563BF2">
        <w:rPr>
          <w:sz w:val="22"/>
          <w:szCs w:val="22"/>
        </w:rPr>
        <w:t>144 million</w:t>
      </w:r>
      <w:r w:rsidRPr="00322410" w:rsidR="55EF0207">
        <w:rPr>
          <w:sz w:val="22"/>
          <w:szCs w:val="22"/>
        </w:rPr>
        <w:t xml:space="preserve"> tonnes of ERs.</w:t>
      </w:r>
    </w:p>
    <w:p w:rsidRPr="00322410" w:rsidR="00B51A08" w:rsidP="00F8289A" w:rsidRDefault="2240309F" w14:paraId="543820A2" w14:textId="3530DFAB">
      <w:pPr>
        <w:pStyle w:val="ListParagraph"/>
        <w:numPr>
          <w:ilvl w:val="0"/>
          <w:numId w:val="14"/>
        </w:numPr>
        <w:jc w:val="both"/>
        <w:rPr>
          <w:sz w:val="22"/>
          <w:szCs w:val="22"/>
        </w:rPr>
      </w:pPr>
      <w:r w:rsidRPr="00322410">
        <w:rPr>
          <w:sz w:val="22"/>
          <w:szCs w:val="22"/>
        </w:rPr>
        <w:t>The World Bank’s ER transaction registry, the Carbon Assets Tracking System (CATS), continues to provide a secure, transparent, and user-friendly global resource that participant countries can use to minimise risk in ER payment operations.</w:t>
      </w:r>
      <w:r w:rsidRPr="00322410" w:rsidR="2025E328">
        <w:rPr>
          <w:sz w:val="22"/>
          <w:szCs w:val="22"/>
        </w:rPr>
        <w:t xml:space="preserve"> A</w:t>
      </w:r>
      <w:r w:rsidRPr="00322410">
        <w:rPr>
          <w:sz w:val="22"/>
          <w:szCs w:val="22"/>
        </w:rPr>
        <w:t>fter four years in operation</w:t>
      </w:r>
      <w:r w:rsidRPr="00322410" w:rsidR="492EC5AE">
        <w:rPr>
          <w:sz w:val="22"/>
          <w:szCs w:val="22"/>
        </w:rPr>
        <w:t>, CATS remains the largest transaction platform for jurisdictional REDD+</w:t>
      </w:r>
      <w:r w:rsidRPr="00322410" w:rsidR="4A8B3B08">
        <w:rPr>
          <w:sz w:val="22"/>
          <w:szCs w:val="22"/>
        </w:rPr>
        <w:t xml:space="preserve">, with </w:t>
      </w:r>
      <w:r w:rsidRPr="00322410">
        <w:rPr>
          <w:sz w:val="22"/>
          <w:szCs w:val="22"/>
        </w:rPr>
        <w:t xml:space="preserve">a transacted volume of </w:t>
      </w:r>
      <w:r w:rsidRPr="00322410" w:rsidR="6568097E">
        <w:rPr>
          <w:sz w:val="22"/>
          <w:szCs w:val="22"/>
        </w:rPr>
        <w:t xml:space="preserve">81.6 </w:t>
      </w:r>
      <w:r w:rsidRPr="00322410">
        <w:rPr>
          <w:sz w:val="22"/>
          <w:szCs w:val="22"/>
        </w:rPr>
        <w:t xml:space="preserve">million </w:t>
      </w:r>
      <w:r w:rsidRPr="00322410" w:rsidR="113A5A18">
        <w:rPr>
          <w:sz w:val="22"/>
          <w:szCs w:val="22"/>
        </w:rPr>
        <w:t>ER</w:t>
      </w:r>
      <w:r w:rsidRPr="00322410">
        <w:rPr>
          <w:sz w:val="22"/>
          <w:szCs w:val="22"/>
        </w:rPr>
        <w:t>s.</w:t>
      </w:r>
    </w:p>
    <w:p w:rsidRPr="00322410" w:rsidR="40F4366E" w:rsidP="00F8289A" w:rsidRDefault="40F4366E" w14:paraId="77DFFBED" w14:textId="016A8F7D">
      <w:pPr>
        <w:pStyle w:val="ListParagraph"/>
        <w:numPr>
          <w:ilvl w:val="0"/>
          <w:numId w:val="14"/>
        </w:numPr>
        <w:jc w:val="both"/>
        <w:rPr>
          <w:sz w:val="22"/>
          <w:szCs w:val="22"/>
        </w:rPr>
      </w:pPr>
      <w:r w:rsidRPr="00322410">
        <w:rPr>
          <w:sz w:val="22"/>
          <w:szCs w:val="22"/>
        </w:rPr>
        <w:t>Costa Rica became the first country to sell FCPF credits on the voluntary carbon market</w:t>
      </w:r>
      <w:r w:rsidRPr="00322410" w:rsidR="31488CC7">
        <w:rPr>
          <w:sz w:val="22"/>
          <w:szCs w:val="22"/>
        </w:rPr>
        <w:t xml:space="preserve"> after selling 100,000 excess emission reductions to a member of the Lowering Emissions by Accelerating Forest Finance (LEAF) Coalition.</w:t>
      </w:r>
    </w:p>
    <w:p w:rsidRPr="00322410" w:rsidR="0824ED9C" w:rsidP="00F8289A" w:rsidRDefault="06EF9D66" w14:paraId="3256EE43" w14:textId="647EB83F">
      <w:pPr>
        <w:pStyle w:val="ListParagraph"/>
        <w:numPr>
          <w:ilvl w:val="0"/>
          <w:numId w:val="14"/>
        </w:numPr>
        <w:jc w:val="both"/>
        <w:rPr>
          <w:sz w:val="22"/>
          <w:szCs w:val="22"/>
        </w:rPr>
      </w:pPr>
      <w:r w:rsidRPr="2167A57D">
        <w:rPr>
          <w:sz w:val="22"/>
          <w:szCs w:val="22"/>
        </w:rPr>
        <w:t xml:space="preserve">The World Bank hosted </w:t>
      </w:r>
      <w:r w:rsidRPr="2167A57D" w:rsidR="55E70449">
        <w:rPr>
          <w:sz w:val="22"/>
          <w:szCs w:val="22"/>
        </w:rPr>
        <w:t xml:space="preserve">successful </w:t>
      </w:r>
      <w:r w:rsidRPr="2167A57D" w:rsidR="63FD0682">
        <w:rPr>
          <w:sz w:val="22"/>
          <w:szCs w:val="22"/>
        </w:rPr>
        <w:t>29</w:t>
      </w:r>
      <w:r w:rsidRPr="2167A57D" w:rsidR="63FD0682">
        <w:rPr>
          <w:sz w:val="22"/>
          <w:szCs w:val="22"/>
          <w:vertAlign w:val="superscript"/>
        </w:rPr>
        <w:t>th</w:t>
      </w:r>
      <w:r w:rsidRPr="2167A57D" w:rsidR="63FD0682">
        <w:rPr>
          <w:sz w:val="22"/>
          <w:szCs w:val="22"/>
        </w:rPr>
        <w:t xml:space="preserve"> and 30</w:t>
      </w:r>
      <w:r w:rsidRPr="2167A57D" w:rsidR="63FD0682">
        <w:rPr>
          <w:sz w:val="22"/>
          <w:szCs w:val="22"/>
          <w:vertAlign w:val="superscript"/>
        </w:rPr>
        <w:t>th</w:t>
      </w:r>
      <w:r w:rsidRPr="2167A57D" w:rsidR="63FD0682">
        <w:rPr>
          <w:sz w:val="22"/>
          <w:szCs w:val="22"/>
        </w:rPr>
        <w:t xml:space="preserve"> Carbon Fund meetings (CF29 and CF30). CF29 took place in Abidjan and was followed by a field trip to </w:t>
      </w:r>
      <w:r w:rsidRPr="2167A57D" w:rsidR="5BE2782E">
        <w:rPr>
          <w:sz w:val="22"/>
          <w:szCs w:val="22"/>
        </w:rPr>
        <w:t xml:space="preserve">the programme area to </w:t>
      </w:r>
      <w:r w:rsidRPr="6F6B6959" w:rsidR="3A7403B2">
        <w:rPr>
          <w:sz w:val="22"/>
          <w:szCs w:val="22"/>
        </w:rPr>
        <w:t>engage with</w:t>
      </w:r>
      <w:r w:rsidRPr="2167A57D" w:rsidR="5BE2782E">
        <w:rPr>
          <w:sz w:val="22"/>
          <w:szCs w:val="22"/>
        </w:rPr>
        <w:t xml:space="preserve"> beneficiaries. </w:t>
      </w:r>
      <w:r w:rsidRPr="2167A57D" w:rsidR="296FB15C">
        <w:rPr>
          <w:sz w:val="22"/>
          <w:szCs w:val="22"/>
        </w:rPr>
        <w:t xml:space="preserve">CF30 was held alongside </w:t>
      </w:r>
      <w:r w:rsidRPr="2167A57D" w:rsidR="28A1C2C1">
        <w:rPr>
          <w:sz w:val="22"/>
          <w:szCs w:val="22"/>
        </w:rPr>
        <w:t>a</w:t>
      </w:r>
      <w:r w:rsidRPr="2167A57D" w:rsidR="296FB15C">
        <w:rPr>
          <w:sz w:val="22"/>
          <w:szCs w:val="22"/>
        </w:rPr>
        <w:t xml:space="preserve"> </w:t>
      </w:r>
      <w:r w:rsidRPr="2167A57D" w:rsidR="70BB4430">
        <w:rPr>
          <w:sz w:val="22"/>
          <w:szCs w:val="22"/>
        </w:rPr>
        <w:t>“</w:t>
      </w:r>
      <w:r w:rsidRPr="2167A57D" w:rsidR="296FB15C">
        <w:rPr>
          <w:sz w:val="22"/>
          <w:szCs w:val="22"/>
        </w:rPr>
        <w:t>Knowledge Day</w:t>
      </w:r>
      <w:r w:rsidRPr="2167A57D" w:rsidR="2B544610">
        <w:rPr>
          <w:sz w:val="22"/>
          <w:szCs w:val="22"/>
        </w:rPr>
        <w:t>”</w:t>
      </w:r>
      <w:r w:rsidRPr="2167A57D" w:rsidR="296FB15C">
        <w:rPr>
          <w:sz w:val="22"/>
          <w:szCs w:val="22"/>
        </w:rPr>
        <w:t xml:space="preserve">, </w:t>
      </w:r>
      <w:r w:rsidRPr="2167A57D" w:rsidR="322DD678">
        <w:rPr>
          <w:sz w:val="22"/>
          <w:szCs w:val="22"/>
        </w:rPr>
        <w:t xml:space="preserve">which facilitated the sharing of experience and lessons learned between the FCPF and other </w:t>
      </w:r>
      <w:r w:rsidRPr="2167A57D" w:rsidR="1D80F2A1">
        <w:rPr>
          <w:sz w:val="22"/>
          <w:szCs w:val="22"/>
        </w:rPr>
        <w:t xml:space="preserve">World Bank programmes such as the </w:t>
      </w:r>
      <w:proofErr w:type="spellStart"/>
      <w:r w:rsidRPr="2167A57D" w:rsidR="1D80F2A1">
        <w:rPr>
          <w:sz w:val="22"/>
          <w:szCs w:val="22"/>
        </w:rPr>
        <w:t>BioCarbon</w:t>
      </w:r>
      <w:proofErr w:type="spellEnd"/>
      <w:r w:rsidRPr="2167A57D" w:rsidR="1D80F2A1">
        <w:rPr>
          <w:sz w:val="22"/>
          <w:szCs w:val="22"/>
        </w:rPr>
        <w:t xml:space="preserve"> Fund Initiative for Sustainable Forest Landscapes (ISFL) and Scaling Climate Action by Lowering Emissions (SCALE).</w:t>
      </w:r>
    </w:p>
    <w:p w:rsidRPr="00322410" w:rsidR="003D222C" w:rsidP="004D5FD5" w:rsidRDefault="003D222C" w14:paraId="7B570BA3" w14:textId="77777777">
      <w:pPr>
        <w:pStyle w:val="Heading2"/>
        <w:jc w:val="both"/>
      </w:pPr>
      <w:bookmarkStart w:name="_Toc219130979" w:id="11"/>
      <w:r w:rsidRPr="00322410">
        <w:t>Progress against recommendations from the last review</w:t>
      </w:r>
      <w:bookmarkEnd w:id="11"/>
    </w:p>
    <w:p w:rsidRPr="00322410" w:rsidR="003D222C" w:rsidP="004D5FD5" w:rsidRDefault="003D222C" w14:paraId="55666261" w14:textId="77777777">
      <w:pPr>
        <w:jc w:val="both"/>
        <w:rPr>
          <w:rFonts w:cs="Arial"/>
          <w:b/>
          <w:sz w:val="22"/>
          <w:szCs w:val="22"/>
        </w:rPr>
      </w:pPr>
    </w:p>
    <w:tbl>
      <w:tblPr>
        <w:tblStyle w:val="TableGrid"/>
        <w:tblW w:w="9132" w:type="dxa"/>
        <w:tblLook w:val="04A0" w:firstRow="1" w:lastRow="0" w:firstColumn="1" w:lastColumn="0" w:noHBand="0" w:noVBand="1"/>
      </w:tblPr>
      <w:tblGrid>
        <w:gridCol w:w="4452"/>
        <w:gridCol w:w="4680"/>
      </w:tblGrid>
      <w:tr w:rsidRPr="00322410" w:rsidR="003D222C" w:rsidTr="0053CEBA" w14:paraId="70C21392" w14:textId="77777777">
        <w:trPr>
          <w:trHeight w:val="300"/>
        </w:trPr>
        <w:tc>
          <w:tcPr>
            <w:tcW w:w="4452" w:type="dxa"/>
            <w:shd w:val="clear" w:color="auto" w:fill="DEEAF6" w:themeFill="accent5" w:themeFillTint="33"/>
            <w:tcMar/>
          </w:tcPr>
          <w:p w:rsidRPr="00322410" w:rsidR="003D222C" w:rsidP="004D5FD5" w:rsidRDefault="003D222C" w14:paraId="53D8F37C" w14:textId="77777777">
            <w:pPr>
              <w:jc w:val="both"/>
              <w:rPr>
                <w:rFonts w:cs="Arial"/>
                <w:b/>
                <w:sz w:val="22"/>
                <w:szCs w:val="22"/>
              </w:rPr>
            </w:pPr>
            <w:r w:rsidRPr="00322410">
              <w:rPr>
                <w:rFonts w:cs="Arial"/>
                <w:b/>
                <w:sz w:val="22"/>
                <w:szCs w:val="22"/>
              </w:rPr>
              <w:t>Recommendation</w:t>
            </w:r>
          </w:p>
        </w:tc>
        <w:tc>
          <w:tcPr>
            <w:tcW w:w="4680" w:type="dxa"/>
            <w:shd w:val="clear" w:color="auto" w:fill="DEEAF6" w:themeFill="accent5" w:themeFillTint="33"/>
            <w:tcMar/>
          </w:tcPr>
          <w:p w:rsidRPr="00322410" w:rsidR="003D222C" w:rsidP="004D5FD5" w:rsidRDefault="003D222C" w14:paraId="4501CA7E" w14:textId="77777777">
            <w:pPr>
              <w:jc w:val="both"/>
              <w:rPr>
                <w:rFonts w:cs="Arial"/>
                <w:b/>
                <w:sz w:val="22"/>
                <w:szCs w:val="22"/>
              </w:rPr>
            </w:pPr>
            <w:r w:rsidRPr="00322410">
              <w:rPr>
                <w:rFonts w:cs="Arial"/>
                <w:b/>
                <w:sz w:val="22"/>
                <w:szCs w:val="22"/>
              </w:rPr>
              <w:t>Progress</w:t>
            </w:r>
          </w:p>
        </w:tc>
      </w:tr>
      <w:tr w:rsidRPr="00322410" w:rsidR="003D222C" w:rsidTr="0053CEBA" w14:paraId="3B8F7C7F" w14:textId="77777777">
        <w:trPr>
          <w:trHeight w:val="300"/>
        </w:trPr>
        <w:tc>
          <w:tcPr>
            <w:tcW w:w="4452" w:type="dxa"/>
            <w:tcMar/>
          </w:tcPr>
          <w:p w:rsidRPr="00322410" w:rsidR="002D379A" w:rsidP="002D379A" w:rsidRDefault="002D379A" w14:paraId="68F29274" w14:textId="77777777">
            <w:pPr>
              <w:jc w:val="both"/>
              <w:rPr>
                <w:rFonts w:cs="Arial"/>
                <w:b/>
                <w:sz w:val="22"/>
                <w:szCs w:val="22"/>
              </w:rPr>
            </w:pPr>
            <w:r w:rsidRPr="00322410">
              <w:rPr>
                <w:rFonts w:cs="Arial"/>
                <w:b/>
                <w:bCs/>
                <w:sz w:val="22"/>
                <w:szCs w:val="22"/>
              </w:rPr>
              <w:t>Recommendation 1: </w:t>
            </w:r>
            <w:r w:rsidRPr="00322410">
              <w:rPr>
                <w:rFonts w:cs="Arial"/>
                <w:b/>
                <w:sz w:val="22"/>
                <w:szCs w:val="22"/>
              </w:rPr>
              <w:t> </w:t>
            </w:r>
          </w:p>
          <w:p w:rsidRPr="00322410" w:rsidR="003D222C" w:rsidP="30615C7B" w:rsidRDefault="002D379A" w14:paraId="6075B309" w14:textId="3C35CEC8">
            <w:pPr>
              <w:jc w:val="both"/>
              <w:rPr>
                <w:rFonts w:cs="Arial"/>
                <w:b w:val="1"/>
                <w:bCs w:val="1"/>
                <w:sz w:val="22"/>
                <w:szCs w:val="22"/>
              </w:rPr>
            </w:pPr>
            <w:r w:rsidRPr="0053CEBA" w:rsidR="002D379A">
              <w:rPr>
                <w:rFonts w:cs="Arial"/>
                <w:b w:val="1"/>
                <w:bCs w:val="1"/>
                <w:sz w:val="22"/>
                <w:szCs w:val="22"/>
              </w:rPr>
              <w:t xml:space="preserve">FCPF Standalone Standard: </w:t>
            </w:r>
            <w:r w:rsidRPr="0053CEBA" w:rsidR="002D379A">
              <w:rPr>
                <w:rFonts w:cs="Arial"/>
                <w:sz w:val="22"/>
                <w:szCs w:val="22"/>
              </w:rPr>
              <w:t>The World Bank to</w:t>
            </w:r>
            <w:r w:rsidRPr="0053CEBA" w:rsidR="37E2D446">
              <w:rPr>
                <w:rFonts w:cs="Arial"/>
                <w:sz w:val="22"/>
                <w:szCs w:val="22"/>
              </w:rPr>
              <w:t xml:space="preserve"> </w:t>
            </w:r>
            <w:r w:rsidRPr="0053CEBA" w:rsidR="002D379A">
              <w:rPr>
                <w:rFonts w:cs="Arial"/>
                <w:sz w:val="22"/>
                <w:szCs w:val="22"/>
              </w:rPr>
              <w:t>find a route for the creation of a standalone FCPF standard. </w:t>
            </w:r>
          </w:p>
        </w:tc>
        <w:tc>
          <w:tcPr>
            <w:tcW w:w="4680" w:type="dxa"/>
            <w:tcMar/>
          </w:tcPr>
          <w:p w:rsidRPr="00322410" w:rsidR="00751818" w:rsidP="51851990" w:rsidRDefault="6117EEF9" w14:paraId="7C53A5C3" w14:textId="3B2F1AED">
            <w:pPr>
              <w:jc w:val="both"/>
              <w:rPr>
                <w:rFonts w:eastAsia="Arial" w:cs="Arial"/>
                <w:color w:val="000000" w:themeColor="text1"/>
                <w:sz w:val="22"/>
                <w:szCs w:val="22"/>
              </w:rPr>
            </w:pPr>
            <w:r w:rsidRPr="2C0DF5FE" w:rsidR="6117EEF9">
              <w:rPr>
                <w:rFonts w:eastAsia="Arial" w:cs="Arial"/>
                <w:i w:val="1"/>
                <w:iCs w:val="1"/>
                <w:color w:val="000000" w:themeColor="text1" w:themeTint="FF" w:themeShade="FF"/>
                <w:sz w:val="22"/>
                <w:szCs w:val="22"/>
              </w:rPr>
              <w:t>Not achieved</w:t>
            </w:r>
          </w:p>
          <w:p w:rsidRPr="00322410" w:rsidR="00751818" w:rsidP="0053CEBA" w:rsidRDefault="00751818" w14:paraId="585A2E46" w14:textId="36026A13">
            <w:pPr>
              <w:pStyle w:val="Normal"/>
              <w:jc w:val="both"/>
              <w:rPr>
                <w:rFonts w:eastAsia="Arial" w:cs="Arial"/>
                <w:color w:val="000000" w:themeColor="text1"/>
                <w:sz w:val="22"/>
                <w:szCs w:val="22"/>
              </w:rPr>
            </w:pPr>
          </w:p>
          <w:p w:rsidRPr="00322410" w:rsidR="00751818" w:rsidP="51851990" w:rsidRDefault="5525EF1B" w14:paraId="059B176B" w14:textId="5C07664E">
            <w:pPr>
              <w:jc w:val="both"/>
              <w:rPr>
                <w:rFonts w:eastAsia="Arial" w:cs="Arial"/>
                <w:color w:val="000000" w:themeColor="text1"/>
                <w:sz w:val="22"/>
                <w:szCs w:val="22"/>
              </w:rPr>
            </w:pPr>
            <w:r w:rsidRPr="00322410">
              <w:rPr>
                <w:rFonts w:eastAsia="Arial" w:cs="Arial"/>
                <w:color w:val="000000" w:themeColor="text1"/>
                <w:sz w:val="22"/>
                <w:szCs w:val="22"/>
              </w:rPr>
              <w:t>At the point of writing there are no plans to progress a standalone FCPF standard. The UK is disappointed that this recommendation was not achieved. We feel that this is a missed opportunity for FCPF countries who may wish to continue to use the FCPF standard after the programme’s closure and hope that it does not compromise the long-term value of the remaining FCPF credits.</w:t>
            </w:r>
          </w:p>
          <w:p w:rsidRPr="00322410" w:rsidR="00751818" w:rsidP="51851990" w:rsidRDefault="00751818" w14:paraId="1C4D23D8" w14:textId="1109C1D6">
            <w:pPr>
              <w:jc w:val="both"/>
              <w:rPr>
                <w:rFonts w:eastAsia="Arial" w:cs="Arial"/>
                <w:color w:val="000000" w:themeColor="text1"/>
                <w:sz w:val="22"/>
                <w:szCs w:val="22"/>
              </w:rPr>
            </w:pPr>
          </w:p>
          <w:p w:rsidRPr="00322410" w:rsidR="00751818" w:rsidP="51851990" w:rsidRDefault="5525EF1B" w14:paraId="58DDB912" w14:textId="211C6291">
            <w:pPr>
              <w:jc w:val="both"/>
              <w:rPr>
                <w:rFonts w:eastAsia="Arial" w:cs="Arial"/>
                <w:color w:val="000000" w:themeColor="text1"/>
                <w:sz w:val="22"/>
                <w:szCs w:val="22"/>
              </w:rPr>
            </w:pPr>
            <w:r w:rsidRPr="00322410">
              <w:rPr>
                <w:rFonts w:eastAsia="Arial" w:cs="Arial"/>
                <w:color w:val="000000" w:themeColor="text1"/>
                <w:sz w:val="22"/>
                <w:szCs w:val="22"/>
              </w:rPr>
              <w:t>Although a standalone FCPF standard has not been secured, we are pleased that there will be a pathway for FCPF countries to transition to the TREES standard. Since the end of the reporting period, ART shared a draft of TREES 3.0, which set out a pathway for FCPF countries to transition to TREES. At the time of writing (November 2025), the World Bank, DESNZ and the ART Secretariat are discussing this transition pathway.</w:t>
            </w:r>
          </w:p>
          <w:p w:rsidRPr="00322410" w:rsidR="00751818" w:rsidP="51851990" w:rsidRDefault="00751818" w14:paraId="152460BE" w14:textId="7C30A9E3">
            <w:pPr>
              <w:jc w:val="both"/>
              <w:rPr>
                <w:rFonts w:eastAsia="Arial" w:cs="Arial"/>
                <w:color w:val="000000" w:themeColor="text1"/>
                <w:sz w:val="22"/>
                <w:szCs w:val="22"/>
              </w:rPr>
            </w:pPr>
          </w:p>
          <w:p w:rsidRPr="00322410" w:rsidR="00751818" w:rsidP="328D6447" w:rsidRDefault="5525EF1B" w14:paraId="1E6248CC" w14:textId="53038763">
            <w:pPr>
              <w:jc w:val="both"/>
              <w:rPr>
                <w:rFonts w:eastAsia="Arial" w:cs="Arial"/>
                <w:color w:val="000000" w:themeColor="text1"/>
                <w:sz w:val="22"/>
                <w:szCs w:val="22"/>
              </w:rPr>
            </w:pPr>
            <w:r w:rsidRPr="2C0DF5FE" w:rsidR="5525EF1B">
              <w:rPr>
                <w:rFonts w:eastAsia="Arial" w:cs="Arial"/>
                <w:color w:val="000000" w:themeColor="text1" w:themeTint="FF" w:themeShade="FF"/>
                <w:sz w:val="22"/>
                <w:szCs w:val="22"/>
              </w:rPr>
              <w:t>Furthermore, in this reporting CFPs approved the allocation of up to $4 million to support Carbon Fund countries in successfully transitioning them to a new framework of crediting standard and financial mechanism.</w:t>
            </w:r>
            <w:r w:rsidRPr="2C0DF5FE" w:rsidR="740930AA">
              <w:rPr>
                <w:rFonts w:eastAsia="Arial" w:cs="Arial"/>
                <w:color w:val="000000" w:themeColor="text1" w:themeTint="FF" w:themeShade="FF"/>
                <w:sz w:val="22"/>
                <w:szCs w:val="22"/>
              </w:rPr>
              <w:t xml:space="preserve"> At the time of writing, Chile and Cote d’Ivoire have requested funding from this window. We expect further requests to be made in 2026.</w:t>
            </w:r>
          </w:p>
        </w:tc>
      </w:tr>
      <w:tr w:rsidRPr="00322410" w:rsidR="00D0302B" w:rsidTr="0053CEBA" w14:paraId="2483F714" w14:textId="77777777">
        <w:trPr>
          <w:trHeight w:val="300"/>
        </w:trPr>
        <w:tc>
          <w:tcPr>
            <w:tcW w:w="4452" w:type="dxa"/>
            <w:tcMar/>
          </w:tcPr>
          <w:p w:rsidRPr="00322410" w:rsidR="007A15EB" w:rsidP="007A15EB" w:rsidRDefault="007A15EB" w14:paraId="4FC45D3C" w14:textId="77777777">
            <w:pPr>
              <w:jc w:val="both"/>
              <w:rPr>
                <w:rFonts w:cs="Arial"/>
                <w:b/>
                <w:sz w:val="22"/>
                <w:szCs w:val="22"/>
              </w:rPr>
            </w:pPr>
            <w:r w:rsidRPr="00322410">
              <w:rPr>
                <w:rFonts w:cs="Arial"/>
                <w:b/>
                <w:bCs/>
                <w:sz w:val="22"/>
                <w:szCs w:val="22"/>
              </w:rPr>
              <w:t>Recommendation 2: </w:t>
            </w:r>
            <w:r w:rsidRPr="00322410">
              <w:rPr>
                <w:rFonts w:cs="Arial"/>
                <w:b/>
                <w:sz w:val="22"/>
                <w:szCs w:val="22"/>
              </w:rPr>
              <w:t> </w:t>
            </w:r>
          </w:p>
          <w:p w:rsidRPr="00322410" w:rsidR="007A15EB" w:rsidP="709DE660" w:rsidRDefault="007A15EB" w14:paraId="3B39B82A" w14:textId="4415B360">
            <w:pPr>
              <w:jc w:val="both"/>
              <w:rPr>
                <w:rFonts w:cs="Arial"/>
                <w:sz w:val="22"/>
                <w:szCs w:val="22"/>
              </w:rPr>
            </w:pPr>
            <w:r w:rsidRPr="00322410">
              <w:rPr>
                <w:rFonts w:cs="Arial"/>
                <w:b/>
                <w:bCs/>
                <w:sz w:val="22"/>
                <w:szCs w:val="22"/>
              </w:rPr>
              <w:t xml:space="preserve">[Rolled over] Leveraging Finance: </w:t>
            </w:r>
            <w:r w:rsidRPr="00322410">
              <w:rPr>
                <w:rFonts w:cs="Arial"/>
                <w:sz w:val="22"/>
                <w:szCs w:val="22"/>
              </w:rPr>
              <w:t>Continue to monitor progress and efforts to leverage finance, e.g. linking CATS to ART and VERRA, and on call options. Secure ERPA flexibility to allow more countries access to markets, especially following on from the FCPF Carbon Fund 29 in January 2025.</w:t>
            </w:r>
            <w:r w:rsidRPr="00322410">
              <w:rPr>
                <w:rFonts w:cs="Arial"/>
                <w:b/>
                <w:bCs/>
                <w:sz w:val="22"/>
                <w:szCs w:val="22"/>
              </w:rPr>
              <w:t> </w:t>
            </w:r>
          </w:p>
          <w:p w:rsidRPr="00322410" w:rsidR="00D0302B" w:rsidP="004D5FD5" w:rsidRDefault="00D0302B" w14:paraId="25E1262C" w14:textId="77777777">
            <w:pPr>
              <w:jc w:val="both"/>
              <w:rPr>
                <w:rFonts w:cs="Arial"/>
                <w:b/>
                <w:sz w:val="22"/>
                <w:szCs w:val="22"/>
              </w:rPr>
            </w:pPr>
          </w:p>
        </w:tc>
        <w:tc>
          <w:tcPr>
            <w:tcW w:w="4680" w:type="dxa"/>
            <w:tcMar/>
          </w:tcPr>
          <w:p w:rsidRPr="00322410" w:rsidR="00BF5FCF" w:rsidP="7C76C8CF" w:rsidRDefault="2BCA5848" w14:paraId="6E25C092" w14:textId="5349EC91">
            <w:pPr>
              <w:jc w:val="both"/>
              <w:rPr>
                <w:rFonts w:eastAsia="Arial" w:cs="Arial"/>
                <w:color w:val="000000" w:themeColor="text1"/>
                <w:sz w:val="22"/>
                <w:szCs w:val="22"/>
              </w:rPr>
            </w:pPr>
            <w:r w:rsidRPr="00322410">
              <w:rPr>
                <w:rFonts w:eastAsia="Arial" w:cs="Arial"/>
                <w:i/>
                <w:iCs/>
                <w:color w:val="000000" w:themeColor="text1"/>
                <w:sz w:val="22"/>
                <w:szCs w:val="22"/>
              </w:rPr>
              <w:t>Achieved</w:t>
            </w:r>
          </w:p>
          <w:p w:rsidRPr="00322410" w:rsidR="00BF5FCF" w:rsidP="7C76C8CF" w:rsidRDefault="00BF5FCF" w14:paraId="779C1324" w14:textId="2F62324B">
            <w:pPr>
              <w:jc w:val="both"/>
              <w:rPr>
                <w:rFonts w:eastAsia="Arial" w:cs="Arial"/>
                <w:color w:val="000000" w:themeColor="text1"/>
                <w:sz w:val="22"/>
                <w:szCs w:val="22"/>
              </w:rPr>
            </w:pPr>
          </w:p>
          <w:p w:rsidRPr="00322410" w:rsidR="00BF5FCF" w:rsidP="12F9BFEB" w:rsidRDefault="2BCA5848" w14:paraId="1C8BB60C" w14:textId="49F09201">
            <w:pPr>
              <w:jc w:val="both"/>
              <w:rPr>
                <w:rFonts w:eastAsia="Arial" w:cs="Arial"/>
                <w:color w:val="000000" w:themeColor="text1"/>
                <w:sz w:val="22"/>
                <w:szCs w:val="22"/>
              </w:rPr>
            </w:pPr>
            <w:r w:rsidRPr="00322410">
              <w:rPr>
                <w:rFonts w:eastAsia="Arial" w:cs="Arial"/>
                <w:color w:val="000000" w:themeColor="text1"/>
                <w:sz w:val="22"/>
                <w:szCs w:val="22"/>
              </w:rPr>
              <w:t>In this reporting period, several decisions have been approved to secure ERPA flexibility for FCPF countries.  </w:t>
            </w:r>
          </w:p>
          <w:p w:rsidRPr="00322410" w:rsidR="12F9BFEB" w:rsidP="12F9BFEB" w:rsidRDefault="12F9BFEB" w14:paraId="4E139E17" w14:textId="18D6E196">
            <w:pPr>
              <w:jc w:val="both"/>
              <w:rPr>
                <w:rFonts w:eastAsia="Arial" w:cs="Arial"/>
                <w:color w:val="000000" w:themeColor="text1"/>
                <w:sz w:val="22"/>
                <w:szCs w:val="22"/>
              </w:rPr>
            </w:pPr>
          </w:p>
          <w:p w:rsidRPr="00322410" w:rsidR="00BF5FCF" w:rsidP="12F9BFEB" w:rsidRDefault="2BCA5848" w14:paraId="2576EAC8" w14:textId="032F0D19">
            <w:pPr>
              <w:jc w:val="both"/>
              <w:rPr>
                <w:rFonts w:eastAsia="Arial" w:cs="Arial"/>
                <w:color w:val="000000" w:themeColor="text1"/>
                <w:sz w:val="22"/>
                <w:szCs w:val="22"/>
              </w:rPr>
            </w:pPr>
            <w:r w:rsidRPr="00322410">
              <w:rPr>
                <w:rFonts w:eastAsia="Arial" w:cs="Arial"/>
                <w:color w:val="000000" w:themeColor="text1"/>
                <w:sz w:val="22"/>
                <w:szCs w:val="22"/>
              </w:rPr>
              <w:t>FMT proposed to contributors enhanced ERPA flexibility to provide forest countries with additional pathways to release and monetise separately in carbon markets a portion of their contract ER volumes. At CF29, contributors agreed that ERPA flexibility should be treated on a case-by-case basis, whereby countries individually request ERPA flexibility, commit to sharing revenue from third-party transactions according to their BSP, and ensure demand-side integrity. In April 2025, FMT presented a proposal on how to streamline and expedite the approval process for ERPA flexibility requests to reduce transaction costs. For example, the proposal sets out conditions in which FMT would not be required to seek CFPs’ approval of the ERPA flexibility request. This proposal was approved by contributors. </w:t>
            </w:r>
          </w:p>
          <w:p w:rsidRPr="00322410" w:rsidR="00BF5FCF" w:rsidP="7C76C8CF" w:rsidRDefault="2BCA5848" w14:paraId="50CCCE02" w14:textId="1C3BD36B">
            <w:pPr>
              <w:jc w:val="both"/>
              <w:rPr>
                <w:rFonts w:eastAsia="Arial" w:cs="Arial"/>
                <w:color w:val="000000" w:themeColor="text1"/>
                <w:sz w:val="22"/>
                <w:szCs w:val="22"/>
              </w:rPr>
            </w:pPr>
            <w:r w:rsidRPr="00322410">
              <w:rPr>
                <w:rFonts w:eastAsia="Arial" w:cs="Arial"/>
                <w:color w:val="000000" w:themeColor="text1"/>
                <w:sz w:val="22"/>
                <w:szCs w:val="22"/>
              </w:rPr>
              <w:t> </w:t>
            </w:r>
          </w:p>
          <w:p w:rsidRPr="00322410" w:rsidR="00BF5FCF" w:rsidP="7C76C8CF" w:rsidRDefault="2BCA5848" w14:paraId="3CBCF6F4" w14:textId="17D8296D">
            <w:pPr>
              <w:jc w:val="both"/>
              <w:rPr>
                <w:rFonts w:eastAsia="Arial" w:cs="Arial"/>
                <w:color w:val="000000" w:themeColor="text1"/>
                <w:sz w:val="22"/>
                <w:szCs w:val="22"/>
              </w:rPr>
            </w:pPr>
            <w:r w:rsidRPr="00322410">
              <w:rPr>
                <w:rFonts w:eastAsia="Arial" w:cs="Arial"/>
                <w:color w:val="000000" w:themeColor="text1"/>
                <w:sz w:val="22"/>
                <w:szCs w:val="22"/>
              </w:rPr>
              <w:t>In line with this agreed process, Costa Rica submitted a formal request for ERPA flexibility. Specifically, Costa Rica: </w:t>
            </w:r>
          </w:p>
          <w:p w:rsidRPr="00322410" w:rsidR="00BF5FCF" w:rsidP="7C76C8CF" w:rsidRDefault="2BCA5848" w14:paraId="0F822E1D" w14:textId="7CCA6C10">
            <w:pPr>
              <w:pStyle w:val="ListParagraph"/>
              <w:numPr>
                <w:ilvl w:val="0"/>
                <w:numId w:val="6"/>
              </w:numPr>
              <w:spacing w:after="0"/>
              <w:jc w:val="both"/>
              <w:rPr>
                <w:rFonts w:eastAsia="Arial" w:cs="Arial"/>
                <w:color w:val="000000" w:themeColor="text1"/>
                <w:sz w:val="22"/>
                <w:szCs w:val="22"/>
              </w:rPr>
            </w:pPr>
            <w:r w:rsidRPr="00322410">
              <w:rPr>
                <w:rFonts w:eastAsia="Arial" w:cs="Arial"/>
                <w:color w:val="000000" w:themeColor="text1"/>
                <w:sz w:val="22"/>
                <w:szCs w:val="22"/>
              </w:rPr>
              <w:t>Requested to retain 4,603,292 ERs of the remaining 5,103,292 Contract ERs for the purpose of monetization in the carbon market, while delivering 500,000 ERs to the FCPF as Contract ERs under the FCPF ERPAs. </w:t>
            </w:r>
          </w:p>
          <w:p w:rsidRPr="00322410" w:rsidR="00BF5FCF" w:rsidP="7C76C8CF" w:rsidRDefault="2BCA5848" w14:paraId="5EED1129" w14:textId="33CB1853">
            <w:pPr>
              <w:pStyle w:val="ListParagraph"/>
              <w:numPr>
                <w:ilvl w:val="0"/>
                <w:numId w:val="5"/>
              </w:numPr>
              <w:spacing w:after="0"/>
              <w:jc w:val="both"/>
              <w:rPr>
                <w:rFonts w:eastAsia="Arial" w:cs="Arial"/>
                <w:color w:val="000000" w:themeColor="text1"/>
                <w:sz w:val="22"/>
                <w:szCs w:val="22"/>
              </w:rPr>
            </w:pPr>
            <w:r w:rsidRPr="00322410">
              <w:rPr>
                <w:rFonts w:eastAsia="Arial" w:cs="Arial"/>
                <w:color w:val="000000" w:themeColor="text1"/>
                <w:sz w:val="22"/>
                <w:szCs w:val="22"/>
              </w:rPr>
              <w:t>Committed to using the LEAF Coalition demand-side integrity requirements. </w:t>
            </w:r>
          </w:p>
          <w:p w:rsidRPr="00322410" w:rsidR="00BF5FCF" w:rsidP="7C76C8CF" w:rsidRDefault="2BCA5848" w14:paraId="62FC0AA9" w14:textId="66E44A70">
            <w:pPr>
              <w:jc w:val="both"/>
              <w:rPr>
                <w:rFonts w:eastAsia="Arial" w:cs="Arial"/>
                <w:color w:val="000000" w:themeColor="text1"/>
                <w:sz w:val="22"/>
                <w:szCs w:val="22"/>
              </w:rPr>
            </w:pPr>
            <w:r w:rsidRPr="00322410">
              <w:rPr>
                <w:rFonts w:eastAsia="Arial" w:cs="Arial"/>
                <w:color w:val="000000" w:themeColor="text1"/>
                <w:sz w:val="22"/>
                <w:szCs w:val="22"/>
              </w:rPr>
              <w:t> </w:t>
            </w:r>
          </w:p>
          <w:p w:rsidRPr="00322410" w:rsidR="00BF5FCF" w:rsidP="7C76C8CF" w:rsidRDefault="2BCA5848" w14:paraId="49823DA6" w14:textId="0F4D21B5">
            <w:pPr>
              <w:jc w:val="both"/>
              <w:rPr>
                <w:rFonts w:cs="Arial"/>
                <w:sz w:val="22"/>
                <w:szCs w:val="22"/>
              </w:rPr>
            </w:pPr>
            <w:r w:rsidRPr="00322410">
              <w:rPr>
                <w:rFonts w:eastAsia="Arial" w:cs="Arial"/>
                <w:color w:val="000000" w:themeColor="text1"/>
                <w:sz w:val="22"/>
                <w:szCs w:val="22"/>
              </w:rPr>
              <w:t>This was approved by contributors in June 2025.</w:t>
            </w:r>
            <w:r w:rsidRPr="00322410" w:rsidR="00BF5FCF">
              <w:rPr>
                <w:rFonts w:cs="Arial"/>
                <w:sz w:val="22"/>
                <w:szCs w:val="22"/>
              </w:rPr>
              <w:t> </w:t>
            </w:r>
          </w:p>
        </w:tc>
      </w:tr>
      <w:tr w:rsidRPr="00322410" w:rsidR="00D0302B" w:rsidTr="0053CEBA" w14:paraId="76F25969" w14:textId="77777777">
        <w:trPr>
          <w:trHeight w:val="300"/>
        </w:trPr>
        <w:tc>
          <w:tcPr>
            <w:tcW w:w="4452" w:type="dxa"/>
            <w:tcBorders>
              <w:bottom w:val="single" w:color="000000" w:themeColor="text1" w:sz="2" w:space="0"/>
            </w:tcBorders>
            <w:tcMar/>
          </w:tcPr>
          <w:p w:rsidRPr="00322410" w:rsidR="003622BC" w:rsidP="003622BC" w:rsidRDefault="003622BC" w14:paraId="06AE614F" w14:textId="77777777">
            <w:pPr>
              <w:jc w:val="both"/>
              <w:rPr>
                <w:rFonts w:cs="Arial"/>
                <w:b/>
                <w:sz w:val="22"/>
                <w:szCs w:val="22"/>
              </w:rPr>
            </w:pPr>
            <w:r w:rsidRPr="00322410">
              <w:rPr>
                <w:rFonts w:cs="Arial"/>
                <w:b/>
                <w:bCs/>
                <w:sz w:val="22"/>
                <w:szCs w:val="22"/>
              </w:rPr>
              <w:t>Recommendation 3: </w:t>
            </w:r>
            <w:r w:rsidRPr="00322410">
              <w:rPr>
                <w:rFonts w:cs="Arial"/>
                <w:b/>
                <w:sz w:val="22"/>
                <w:szCs w:val="22"/>
              </w:rPr>
              <w:t> </w:t>
            </w:r>
          </w:p>
          <w:p w:rsidRPr="00322410" w:rsidR="003622BC" w:rsidP="47F29D40" w:rsidRDefault="003622BC" w14:paraId="6AD7C347" w14:textId="77777777">
            <w:pPr>
              <w:jc w:val="both"/>
              <w:rPr>
                <w:rFonts w:cs="Arial"/>
                <w:sz w:val="22"/>
                <w:szCs w:val="22"/>
              </w:rPr>
            </w:pPr>
            <w:r w:rsidRPr="00322410">
              <w:rPr>
                <w:rFonts w:cs="Arial"/>
                <w:sz w:val="22"/>
                <w:szCs w:val="22"/>
              </w:rPr>
              <w:t>Logframe changes:  </w:t>
            </w:r>
          </w:p>
          <w:p w:rsidRPr="00322410" w:rsidR="00D0302B" w:rsidP="00F8289A" w:rsidRDefault="003622BC" w14:paraId="73E99515" w14:textId="3ABE808F">
            <w:pPr>
              <w:pStyle w:val="ListParagraph"/>
              <w:numPr>
                <w:ilvl w:val="0"/>
                <w:numId w:val="15"/>
              </w:numPr>
              <w:jc w:val="both"/>
              <w:rPr>
                <w:rFonts w:cs="Arial"/>
                <w:sz w:val="22"/>
                <w:szCs w:val="22"/>
              </w:rPr>
            </w:pPr>
            <w:r w:rsidRPr="00322410">
              <w:rPr>
                <w:rFonts w:cs="Arial"/>
                <w:sz w:val="22"/>
                <w:szCs w:val="22"/>
              </w:rPr>
              <w:t>The World Bank to set milestones and target for Output Indicator 2.2 (WB Outcome Indicator 2D) by the end of Reporting Period (RP) 2024-25. This will include an assessment on whether effectiveness should include both monetary and non-monetary milestones under Output 2.2.  </w:t>
            </w:r>
          </w:p>
          <w:p w:rsidRPr="00322410" w:rsidR="00D0302B" w:rsidP="00F8289A" w:rsidRDefault="003622BC" w14:paraId="76FFE955" w14:textId="0B14B87D">
            <w:pPr>
              <w:pStyle w:val="ListParagraph"/>
              <w:numPr>
                <w:ilvl w:val="0"/>
                <w:numId w:val="15"/>
              </w:numPr>
              <w:jc w:val="both"/>
              <w:rPr>
                <w:rFonts w:cs="Arial"/>
                <w:sz w:val="22"/>
                <w:szCs w:val="22"/>
              </w:rPr>
            </w:pPr>
            <w:r w:rsidRPr="00322410">
              <w:rPr>
                <w:rFonts w:cs="Arial"/>
                <w:sz w:val="22"/>
                <w:szCs w:val="22"/>
              </w:rPr>
              <w:t>The UK to revise the UK’s logframe to reflect the programme extension until December 2028.</w:t>
            </w:r>
            <w:r w:rsidRPr="00322410">
              <w:rPr>
                <w:rFonts w:cs="Arial"/>
                <w:b/>
                <w:bCs/>
                <w:sz w:val="22"/>
                <w:szCs w:val="22"/>
              </w:rPr>
              <w:t> </w:t>
            </w:r>
          </w:p>
        </w:tc>
        <w:tc>
          <w:tcPr>
            <w:tcW w:w="4680" w:type="dxa"/>
            <w:tcBorders>
              <w:bottom w:val="single" w:color="000000" w:themeColor="text1" w:sz="2" w:space="0"/>
            </w:tcBorders>
            <w:tcMar/>
          </w:tcPr>
          <w:p w:rsidRPr="00322410" w:rsidR="00324DAB" w:rsidP="037B2450" w:rsidRDefault="070822AE" w14:paraId="4AD1D63D" w14:textId="14335D6C">
            <w:pPr>
              <w:jc w:val="both"/>
              <w:rPr>
                <w:rFonts w:cs="Arial"/>
                <w:i/>
                <w:iCs/>
                <w:sz w:val="22"/>
                <w:szCs w:val="22"/>
              </w:rPr>
            </w:pPr>
            <w:r w:rsidRPr="00322410">
              <w:rPr>
                <w:rFonts w:cs="Arial"/>
                <w:i/>
                <w:iCs/>
                <w:sz w:val="22"/>
                <w:szCs w:val="22"/>
              </w:rPr>
              <w:t>Partially a</w:t>
            </w:r>
            <w:r w:rsidRPr="00322410" w:rsidR="00324DAB">
              <w:rPr>
                <w:rFonts w:cs="Arial"/>
                <w:i/>
                <w:iCs/>
                <w:sz w:val="22"/>
                <w:szCs w:val="22"/>
              </w:rPr>
              <w:t>chieved</w:t>
            </w:r>
          </w:p>
          <w:p w:rsidRPr="00322410" w:rsidR="00324DAB" w:rsidP="00324DAB" w:rsidRDefault="00324DAB" w14:paraId="0812EDF8" w14:textId="6535212E">
            <w:pPr>
              <w:jc w:val="both"/>
              <w:rPr>
                <w:rFonts w:cs="Arial"/>
                <w:sz w:val="22"/>
                <w:szCs w:val="22"/>
              </w:rPr>
            </w:pPr>
          </w:p>
          <w:p w:rsidRPr="00322410" w:rsidR="00D0302B" w:rsidP="00F8289A" w:rsidRDefault="721807ED" w14:paraId="1EF91167" w14:textId="58A407E6">
            <w:pPr>
              <w:pStyle w:val="ListParagraph"/>
              <w:numPr>
                <w:ilvl w:val="0"/>
                <w:numId w:val="9"/>
              </w:numPr>
              <w:jc w:val="both"/>
              <w:rPr>
                <w:rFonts w:eastAsia="Arial" w:cs="Arial"/>
                <w:color w:val="000000" w:themeColor="text1"/>
                <w:sz w:val="22"/>
                <w:szCs w:val="22"/>
              </w:rPr>
            </w:pPr>
            <w:r w:rsidRPr="00322410">
              <w:rPr>
                <w:rFonts w:eastAsia="Arial" w:cs="Arial"/>
                <w:color w:val="000000" w:themeColor="text1"/>
                <w:sz w:val="22"/>
                <w:szCs w:val="22"/>
              </w:rPr>
              <w:t>Although outside of the RP, in September 2025 the World Bank revised outcome indicator 2D (which corresponds to DESNZ output indicator 2.2). It was previously “% of monetary benefits from CF program</w:t>
            </w:r>
            <w:r w:rsidRPr="00322410" w:rsidR="007F70A3">
              <w:rPr>
                <w:rFonts w:eastAsia="Arial" w:cs="Arial"/>
                <w:color w:val="000000" w:themeColor="text1"/>
                <w:sz w:val="22"/>
                <w:szCs w:val="22"/>
              </w:rPr>
              <w:t>me</w:t>
            </w:r>
            <w:r w:rsidRPr="00322410">
              <w:rPr>
                <w:rFonts w:eastAsia="Arial" w:cs="Arial"/>
                <w:color w:val="000000" w:themeColor="text1"/>
                <w:sz w:val="22"/>
                <w:szCs w:val="22"/>
              </w:rPr>
              <w:t>s shared with beneficiaries” and is now “% of carbon benefits paid from CF program</w:t>
            </w:r>
            <w:r w:rsidRPr="00322410" w:rsidR="007F70A3">
              <w:rPr>
                <w:rFonts w:eastAsia="Arial" w:cs="Arial"/>
                <w:color w:val="000000" w:themeColor="text1"/>
                <w:sz w:val="22"/>
                <w:szCs w:val="22"/>
              </w:rPr>
              <w:t>me</w:t>
            </w:r>
            <w:r w:rsidRPr="00322410">
              <w:rPr>
                <w:rFonts w:eastAsia="Arial" w:cs="Arial"/>
                <w:color w:val="000000" w:themeColor="text1"/>
                <w:sz w:val="22"/>
                <w:szCs w:val="22"/>
              </w:rPr>
              <w:t>s shared with beneficiaries”, meaning that both monetary and non-monetary benefits are measured. This change is described in more detail in the Output 2 scoring section.</w:t>
            </w:r>
            <w:r w:rsidRPr="00322410" w:rsidR="400B274D">
              <w:rPr>
                <w:rFonts w:eastAsia="Arial" w:cs="Arial"/>
                <w:color w:val="000000" w:themeColor="text1"/>
                <w:sz w:val="22"/>
                <w:szCs w:val="22"/>
              </w:rPr>
              <w:t xml:space="preserve"> Interim milestones have not been set; this has been taken forward in Recommendation</w:t>
            </w:r>
            <w:r w:rsidRPr="00322410" w:rsidR="3EE66861">
              <w:rPr>
                <w:rFonts w:eastAsia="Arial" w:cs="Arial"/>
                <w:color w:val="000000" w:themeColor="text1"/>
                <w:sz w:val="22"/>
                <w:szCs w:val="22"/>
              </w:rPr>
              <w:t xml:space="preserve"> 1</w:t>
            </w:r>
            <w:r w:rsidRPr="00322410" w:rsidR="1089E7AA">
              <w:rPr>
                <w:rFonts w:eastAsia="Arial" w:cs="Arial"/>
                <w:color w:val="000000" w:themeColor="text1"/>
                <w:sz w:val="22"/>
                <w:szCs w:val="22"/>
              </w:rPr>
              <w:t>h</w:t>
            </w:r>
            <w:r w:rsidRPr="00322410" w:rsidR="3EE66861">
              <w:rPr>
                <w:rFonts w:eastAsia="Arial" w:cs="Arial"/>
                <w:color w:val="000000" w:themeColor="text1"/>
                <w:sz w:val="22"/>
                <w:szCs w:val="22"/>
              </w:rPr>
              <w:t>.</w:t>
            </w:r>
          </w:p>
          <w:p w:rsidRPr="00322410" w:rsidR="00D0302B" w:rsidP="00F8289A" w:rsidRDefault="721807ED" w14:paraId="52A74AED" w14:textId="00988D11">
            <w:pPr>
              <w:pStyle w:val="ListParagraph"/>
              <w:numPr>
                <w:ilvl w:val="0"/>
                <w:numId w:val="9"/>
              </w:numPr>
              <w:jc w:val="both"/>
              <w:rPr>
                <w:rFonts w:eastAsia="Arial" w:cs="Arial"/>
                <w:color w:val="000000" w:themeColor="text1"/>
                <w:sz w:val="22"/>
                <w:szCs w:val="22"/>
              </w:rPr>
            </w:pPr>
            <w:r w:rsidRPr="00322410">
              <w:rPr>
                <w:rFonts w:eastAsia="Arial" w:cs="Arial"/>
                <w:color w:val="000000" w:themeColor="text1"/>
                <w:sz w:val="22"/>
                <w:szCs w:val="22"/>
              </w:rPr>
              <w:t>Milestones have been extended to 2028 across the DESNZ logframe.</w:t>
            </w:r>
          </w:p>
        </w:tc>
      </w:tr>
      <w:tr w:rsidRPr="00322410" w:rsidR="003622BC" w:rsidTr="0053CEBA" w14:paraId="4AA6FCBE" w14:textId="77777777">
        <w:trPr>
          <w:trHeight w:val="300"/>
        </w:trPr>
        <w:tc>
          <w:tcPr>
            <w:tcW w:w="445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cPr>
          <w:p w:rsidRPr="00322410" w:rsidR="003622BC" w:rsidP="758155F8" w:rsidRDefault="003622BC" w14:paraId="736CABDF" w14:textId="3822A0A3">
            <w:pPr>
              <w:jc w:val="both"/>
              <w:rPr>
                <w:rFonts w:cs="Arial"/>
                <w:b/>
                <w:bCs/>
                <w:sz w:val="22"/>
                <w:szCs w:val="22"/>
              </w:rPr>
            </w:pPr>
            <w:r w:rsidRPr="00322410">
              <w:rPr>
                <w:rFonts w:cs="Arial"/>
                <w:b/>
                <w:bCs/>
                <w:sz w:val="22"/>
                <w:szCs w:val="22"/>
              </w:rPr>
              <w:t xml:space="preserve">Recommendation 4: </w:t>
            </w:r>
          </w:p>
          <w:p w:rsidRPr="00322410" w:rsidR="003622BC" w:rsidP="003622BC" w:rsidRDefault="003622BC" w14:paraId="64B0C76B" w14:textId="4C5A004F">
            <w:pPr>
              <w:jc w:val="both"/>
              <w:rPr>
                <w:rFonts w:cs="Arial"/>
                <w:b/>
                <w:bCs/>
                <w:sz w:val="22"/>
                <w:szCs w:val="22"/>
              </w:rPr>
            </w:pPr>
            <w:r w:rsidRPr="00322410">
              <w:rPr>
                <w:rFonts w:cs="Arial"/>
                <w:sz w:val="22"/>
                <w:szCs w:val="22"/>
              </w:rPr>
              <w:t>The World Bank to decide on a process by which to continue to monitor the implementation of the benefit-sharing plans post the closure of the Carbon Fund.</w:t>
            </w:r>
            <w:r w:rsidRPr="00322410">
              <w:rPr>
                <w:rFonts w:cs="Arial"/>
                <w:b/>
                <w:bCs/>
                <w:sz w:val="22"/>
                <w:szCs w:val="22"/>
              </w:rPr>
              <w:t> </w:t>
            </w:r>
          </w:p>
        </w:tc>
        <w:tc>
          <w:tcPr>
            <w:tcW w:w="468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cPr>
          <w:p w:rsidRPr="00322410" w:rsidR="00843587" w:rsidP="2C0DF5FE" w:rsidRDefault="3E58EAF1" w14:paraId="7AD9430A" w14:textId="66DADF47">
            <w:pPr>
              <w:jc w:val="both"/>
              <w:rPr>
                <w:rFonts w:cs="Arial"/>
                <w:i w:val="1"/>
                <w:iCs w:val="1"/>
                <w:sz w:val="22"/>
                <w:szCs w:val="22"/>
              </w:rPr>
            </w:pPr>
            <w:r w:rsidRPr="2C0DF5FE" w:rsidR="3E58EAF1">
              <w:rPr>
                <w:rFonts w:cs="Arial"/>
                <w:i w:val="1"/>
                <w:iCs w:val="1"/>
                <w:sz w:val="22"/>
                <w:szCs w:val="22"/>
              </w:rPr>
              <w:t>A</w:t>
            </w:r>
            <w:r w:rsidRPr="2C0DF5FE" w:rsidR="00843587">
              <w:rPr>
                <w:rFonts w:cs="Arial"/>
                <w:i w:val="1"/>
                <w:iCs w:val="1"/>
                <w:sz w:val="22"/>
                <w:szCs w:val="22"/>
              </w:rPr>
              <w:t>chieved</w:t>
            </w:r>
          </w:p>
          <w:p w:rsidRPr="00322410" w:rsidR="00A47F9D" w:rsidP="004D5FD5" w:rsidRDefault="00A47F9D" w14:paraId="0E121C4A" w14:textId="77777777">
            <w:pPr>
              <w:jc w:val="both"/>
              <w:rPr>
                <w:rFonts w:cs="Arial"/>
                <w:sz w:val="22"/>
                <w:szCs w:val="22"/>
              </w:rPr>
            </w:pPr>
          </w:p>
          <w:p w:rsidRPr="00322410" w:rsidR="00A47F9D" w:rsidP="004D5FD5" w:rsidRDefault="000D51F8" w14:paraId="74D040F6" w14:textId="67F0B927">
            <w:pPr>
              <w:jc w:val="both"/>
              <w:rPr>
                <w:rFonts w:cs="Arial"/>
                <w:sz w:val="22"/>
                <w:szCs w:val="22"/>
              </w:rPr>
            </w:pPr>
            <w:r w:rsidRPr="00322410">
              <w:rPr>
                <w:rFonts w:cs="Arial"/>
                <w:sz w:val="22"/>
                <w:szCs w:val="22"/>
              </w:rPr>
              <w:t xml:space="preserve">The Bank has set </w:t>
            </w:r>
            <w:r w:rsidRPr="00322410" w:rsidR="00464CDD">
              <w:rPr>
                <w:rFonts w:cs="Arial"/>
                <w:sz w:val="22"/>
                <w:szCs w:val="22"/>
              </w:rPr>
              <w:t>ou</w:t>
            </w:r>
            <w:r w:rsidRPr="00322410" w:rsidR="00E3391A">
              <w:rPr>
                <w:rFonts w:cs="Arial"/>
                <w:sz w:val="22"/>
                <w:szCs w:val="22"/>
              </w:rPr>
              <w:t>t</w:t>
            </w:r>
            <w:r w:rsidRPr="00322410" w:rsidR="00F40687">
              <w:rPr>
                <w:rFonts w:cs="Arial"/>
                <w:sz w:val="22"/>
                <w:szCs w:val="22"/>
              </w:rPr>
              <w:t xml:space="preserve"> </w:t>
            </w:r>
            <w:r w:rsidRPr="00322410" w:rsidR="00640F0D">
              <w:rPr>
                <w:rFonts w:cs="Arial"/>
                <w:sz w:val="22"/>
                <w:szCs w:val="22"/>
              </w:rPr>
              <w:t xml:space="preserve">various options for the monitoring of </w:t>
            </w:r>
            <w:r w:rsidRPr="00322410" w:rsidR="00DF726A">
              <w:rPr>
                <w:rFonts w:cs="Arial"/>
                <w:sz w:val="22"/>
                <w:szCs w:val="22"/>
              </w:rPr>
              <w:t>benefit-sharing plans</w:t>
            </w:r>
            <w:r w:rsidRPr="00322410" w:rsidR="00CE6D4A">
              <w:rPr>
                <w:rFonts w:cs="Arial"/>
                <w:sz w:val="22"/>
                <w:szCs w:val="22"/>
              </w:rPr>
              <w:t xml:space="preserve"> (BSPs)</w:t>
            </w:r>
            <w:r w:rsidRPr="00322410" w:rsidR="00DF726A">
              <w:rPr>
                <w:rFonts w:cs="Arial"/>
                <w:sz w:val="22"/>
                <w:szCs w:val="22"/>
              </w:rPr>
              <w:t xml:space="preserve">, depending on country </w:t>
            </w:r>
            <w:r w:rsidRPr="00322410" w:rsidR="00507BBF">
              <w:rPr>
                <w:rFonts w:cs="Arial"/>
                <w:sz w:val="22"/>
                <w:szCs w:val="22"/>
              </w:rPr>
              <w:t xml:space="preserve">circumstances and </w:t>
            </w:r>
            <w:r w:rsidRPr="00322410" w:rsidR="0028496D">
              <w:rPr>
                <w:rFonts w:cs="Arial"/>
                <w:sz w:val="22"/>
                <w:szCs w:val="22"/>
              </w:rPr>
              <w:t>the decision of the World Bank regional team. Options include:</w:t>
            </w:r>
          </w:p>
          <w:p w:rsidRPr="00322410" w:rsidR="0028496D" w:rsidP="0028496D" w:rsidRDefault="00CE6D4A" w14:paraId="2328DC24" w14:textId="77777777">
            <w:pPr>
              <w:pStyle w:val="ListParagraph"/>
              <w:numPr>
                <w:ilvl w:val="0"/>
                <w:numId w:val="19"/>
              </w:numPr>
              <w:jc w:val="both"/>
              <w:rPr>
                <w:rFonts w:cs="Arial"/>
                <w:sz w:val="22"/>
                <w:szCs w:val="22"/>
              </w:rPr>
            </w:pPr>
            <w:r w:rsidRPr="00322410">
              <w:rPr>
                <w:rFonts w:cs="Arial"/>
                <w:sz w:val="22"/>
                <w:szCs w:val="22"/>
              </w:rPr>
              <w:t xml:space="preserve">ERPA extension to enable BSP implementation. The rationale for </w:t>
            </w:r>
            <w:r w:rsidRPr="00322410" w:rsidR="00ED196B">
              <w:rPr>
                <w:rFonts w:cs="Arial"/>
                <w:sz w:val="22"/>
                <w:szCs w:val="22"/>
              </w:rPr>
              <w:t>extension in many ER programmes is linked to the monitoring of BSPs implementation.</w:t>
            </w:r>
          </w:p>
          <w:p w:rsidRPr="00322410" w:rsidR="00ED196B" w:rsidP="0028496D" w:rsidRDefault="00ED196B" w14:paraId="5D02A879" w14:textId="77777777">
            <w:pPr>
              <w:pStyle w:val="ListParagraph"/>
              <w:numPr>
                <w:ilvl w:val="0"/>
                <w:numId w:val="19"/>
              </w:numPr>
              <w:jc w:val="both"/>
              <w:rPr>
                <w:rFonts w:cs="Arial"/>
                <w:sz w:val="22"/>
                <w:szCs w:val="22"/>
              </w:rPr>
            </w:pPr>
            <w:r w:rsidRPr="00322410">
              <w:rPr>
                <w:rFonts w:cs="Arial"/>
                <w:sz w:val="22"/>
                <w:szCs w:val="22"/>
              </w:rPr>
              <w:t>Post-ERPA actio</w:t>
            </w:r>
            <w:r w:rsidRPr="00322410" w:rsidR="00FB0C4B">
              <w:rPr>
                <w:rFonts w:cs="Arial"/>
                <w:sz w:val="22"/>
                <w:szCs w:val="22"/>
              </w:rPr>
              <w:t xml:space="preserve">n plan. If BSP implementation has been slow and it can be justified that </w:t>
            </w:r>
            <w:r w:rsidRPr="00322410" w:rsidR="00A05E64">
              <w:rPr>
                <w:rFonts w:cs="Arial"/>
                <w:sz w:val="22"/>
                <w:szCs w:val="22"/>
              </w:rPr>
              <w:t xml:space="preserve">the BSP has not been implemented in accordance </w:t>
            </w:r>
            <w:proofErr w:type="gramStart"/>
            <w:r w:rsidRPr="00322410" w:rsidR="00A05E64">
              <w:rPr>
                <w:rFonts w:cs="Arial"/>
                <w:sz w:val="22"/>
                <w:szCs w:val="22"/>
              </w:rPr>
              <w:t>to</w:t>
            </w:r>
            <w:proofErr w:type="gramEnd"/>
            <w:r w:rsidRPr="00322410" w:rsidR="00A05E64">
              <w:rPr>
                <w:rFonts w:cs="Arial"/>
                <w:sz w:val="22"/>
                <w:szCs w:val="22"/>
              </w:rPr>
              <w:t xml:space="preserve"> its terms, the World Bank acting as trustee could declare an Event of Default which would trigger the development of an action plan. Its enforcement will survive beyond the termination date to allow the World Bank to monitor BSP implementation.</w:t>
            </w:r>
          </w:p>
          <w:p w:rsidRPr="00322410" w:rsidR="00A05E64" w:rsidP="0028496D" w:rsidRDefault="00A05E64" w14:paraId="10C68848" w14:textId="77777777">
            <w:pPr>
              <w:pStyle w:val="ListParagraph"/>
              <w:numPr>
                <w:ilvl w:val="0"/>
                <w:numId w:val="19"/>
              </w:numPr>
              <w:jc w:val="both"/>
              <w:rPr>
                <w:rFonts w:cs="Arial"/>
                <w:sz w:val="22"/>
                <w:szCs w:val="22"/>
              </w:rPr>
            </w:pPr>
            <w:r w:rsidRPr="00322410">
              <w:rPr>
                <w:rFonts w:cs="Arial"/>
                <w:sz w:val="22"/>
                <w:szCs w:val="22"/>
              </w:rPr>
              <w:t>Monitoring responsibility to be transferred to another project. The country and task team may agree that the monitoring responsibility would be transferred to another project after the termination of the ERPA.</w:t>
            </w:r>
          </w:p>
          <w:p w:rsidRPr="00322410" w:rsidR="00A05E64" w:rsidP="6162BA50" w:rsidRDefault="00A05E64" w14:paraId="6CDF3952" w14:textId="5880C35A">
            <w:pPr>
              <w:pStyle w:val="ListParagraph"/>
              <w:numPr>
                <w:ilvl w:val="0"/>
                <w:numId w:val="19"/>
              </w:numPr>
              <w:jc w:val="both"/>
              <w:rPr>
                <w:rFonts w:cs="Arial"/>
                <w:sz w:val="22"/>
                <w:szCs w:val="22"/>
              </w:rPr>
            </w:pPr>
            <w:r w:rsidRPr="00322410">
              <w:rPr>
                <w:rFonts w:cs="Arial"/>
                <w:sz w:val="22"/>
                <w:szCs w:val="22"/>
              </w:rPr>
              <w:t>Agreement for post-ERPA monitoring. If the BSP implementation is already advanced, both parties may agree to close the ERPA</w:t>
            </w:r>
            <w:r w:rsidRPr="00322410" w:rsidR="000761D3">
              <w:rPr>
                <w:rFonts w:cs="Arial"/>
                <w:sz w:val="22"/>
                <w:szCs w:val="22"/>
              </w:rPr>
              <w:t>,</w:t>
            </w:r>
            <w:r w:rsidRPr="00322410" w:rsidR="00EE4B8E">
              <w:rPr>
                <w:rFonts w:cs="Arial"/>
                <w:sz w:val="22"/>
                <w:szCs w:val="22"/>
              </w:rPr>
              <w:t xml:space="preserve"> with the project entity </w:t>
            </w:r>
            <w:r w:rsidRPr="00322410" w:rsidR="007B660A">
              <w:rPr>
                <w:rFonts w:cs="Arial"/>
                <w:sz w:val="22"/>
                <w:szCs w:val="22"/>
              </w:rPr>
              <w:t xml:space="preserve">submitting a commitment letter to the World Bank to confirm they will continue implementing and monitoring the BSP. </w:t>
            </w:r>
            <w:r w:rsidRPr="00322410" w:rsidR="004645C9">
              <w:rPr>
                <w:rFonts w:cs="Arial"/>
                <w:sz w:val="22"/>
                <w:szCs w:val="22"/>
              </w:rPr>
              <w:t>This is the case with Vietnam, where the country has advanced significantly with BSP implementation and has agreed to provide the necessary reports.</w:t>
            </w:r>
          </w:p>
        </w:tc>
      </w:tr>
      <w:tr w:rsidRPr="00322410" w:rsidR="00982020" w:rsidTr="0053CEBA" w14:paraId="3820EBA0" w14:textId="77777777">
        <w:trPr>
          <w:trHeight w:val="300"/>
        </w:trPr>
        <w:tc>
          <w:tcPr>
            <w:tcW w:w="445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cPr>
          <w:p w:rsidRPr="00322410" w:rsidR="00982020" w:rsidP="00982020" w:rsidRDefault="00982020" w14:paraId="74D69367" w14:textId="77777777">
            <w:pPr>
              <w:jc w:val="both"/>
              <w:rPr>
                <w:rFonts w:cs="Arial"/>
                <w:b/>
                <w:bCs/>
                <w:sz w:val="22"/>
                <w:szCs w:val="22"/>
              </w:rPr>
            </w:pPr>
            <w:r w:rsidRPr="00322410">
              <w:rPr>
                <w:rFonts w:cs="Arial"/>
                <w:b/>
                <w:bCs/>
                <w:sz w:val="22"/>
                <w:szCs w:val="22"/>
              </w:rPr>
              <w:t>Recommendation 5:  </w:t>
            </w:r>
          </w:p>
          <w:p w:rsidRPr="00322410" w:rsidR="00982020" w:rsidP="709DE660" w:rsidRDefault="00982020" w14:paraId="258DDB7C" w14:textId="71DB7911">
            <w:pPr>
              <w:jc w:val="both"/>
              <w:rPr>
                <w:rFonts w:cs="Arial"/>
                <w:sz w:val="22"/>
                <w:szCs w:val="22"/>
              </w:rPr>
            </w:pPr>
            <w:r w:rsidRPr="00322410">
              <w:rPr>
                <w:rFonts w:cs="Arial"/>
                <w:b/>
                <w:bCs/>
                <w:sz w:val="22"/>
                <w:szCs w:val="22"/>
              </w:rPr>
              <w:t xml:space="preserve">Evaluation: </w:t>
            </w:r>
            <w:r w:rsidRPr="00322410">
              <w:rPr>
                <w:rFonts w:cs="Arial"/>
                <w:sz w:val="22"/>
                <w:szCs w:val="22"/>
              </w:rPr>
              <w:t>World Bank and Contributors to continue to ensure outcomes from the FY23 Evaluation are effectively embedded into the FCPF Programme's operations, particularly in the acceleration of milestone achievement and the delivery of benefits to beneficiaries and partners, and that lessons are shared and transferred to other initiatives, such as SCALE, over the next Fiscal Year. </w:t>
            </w:r>
          </w:p>
        </w:tc>
        <w:tc>
          <w:tcPr>
            <w:tcW w:w="468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cPr>
          <w:p w:rsidRPr="00322410" w:rsidR="00982020" w:rsidP="5A7C557C" w:rsidRDefault="00295673" w14:paraId="6C343EED" w14:textId="17695B07">
            <w:pPr>
              <w:jc w:val="both"/>
              <w:rPr>
                <w:rFonts w:cs="Arial"/>
                <w:sz w:val="22"/>
                <w:szCs w:val="22"/>
              </w:rPr>
            </w:pPr>
            <w:r w:rsidRPr="00322410">
              <w:rPr>
                <w:rFonts w:cs="Arial"/>
                <w:sz w:val="22"/>
                <w:szCs w:val="22"/>
              </w:rPr>
              <w:t>A</w:t>
            </w:r>
            <w:r w:rsidRPr="00322410" w:rsidR="782D27B9">
              <w:rPr>
                <w:rFonts w:cs="Arial"/>
                <w:sz w:val="22"/>
                <w:szCs w:val="22"/>
              </w:rPr>
              <w:t>chieved</w:t>
            </w:r>
          </w:p>
          <w:p w:rsidRPr="00322410" w:rsidR="00982020" w:rsidP="5A7C557C" w:rsidRDefault="00982020" w14:paraId="214ECB56" w14:textId="5ACDFAD8">
            <w:pPr>
              <w:jc w:val="both"/>
              <w:rPr>
                <w:rFonts w:cs="Arial"/>
                <w:sz w:val="22"/>
                <w:szCs w:val="22"/>
              </w:rPr>
            </w:pPr>
          </w:p>
          <w:p w:rsidRPr="00322410" w:rsidR="00982020" w:rsidP="1EAC0B35" w:rsidRDefault="782D27B9" w14:paraId="12B33E6D" w14:textId="5FA599BE">
            <w:pPr>
              <w:jc w:val="both"/>
              <w:rPr>
                <w:rFonts w:cs="Arial"/>
                <w:sz w:val="22"/>
                <w:szCs w:val="22"/>
              </w:rPr>
            </w:pPr>
            <w:r w:rsidRPr="00322410">
              <w:rPr>
                <w:rFonts w:cs="Arial"/>
                <w:sz w:val="22"/>
                <w:szCs w:val="22"/>
              </w:rPr>
              <w:t>The World Bank has taken several actions to embed outcomes from the FY23 Evaluation</w:t>
            </w:r>
            <w:r w:rsidRPr="00322410" w:rsidR="25377B1B">
              <w:rPr>
                <w:rFonts w:cs="Arial"/>
                <w:sz w:val="22"/>
                <w:szCs w:val="22"/>
              </w:rPr>
              <w:t xml:space="preserve"> into current and future programming.</w:t>
            </w:r>
            <w:r w:rsidRPr="00322410" w:rsidR="00CF0DB2">
              <w:rPr>
                <w:rFonts w:cs="Arial"/>
                <w:sz w:val="22"/>
                <w:szCs w:val="22"/>
              </w:rPr>
              <w:t xml:space="preserve"> This includes outcomes related to:</w:t>
            </w:r>
          </w:p>
          <w:p w:rsidRPr="00322410" w:rsidR="00982020" w:rsidP="00F8289A" w:rsidRDefault="00CF0DB2" w14:paraId="4B8C0854" w14:textId="0A8F3A6F">
            <w:pPr>
              <w:pStyle w:val="ListParagraph"/>
              <w:numPr>
                <w:ilvl w:val="0"/>
                <w:numId w:val="13"/>
              </w:numPr>
              <w:jc w:val="both"/>
              <w:rPr>
                <w:rFonts w:cs="Arial"/>
                <w:sz w:val="22"/>
                <w:szCs w:val="22"/>
              </w:rPr>
            </w:pPr>
            <w:r w:rsidRPr="00322410">
              <w:rPr>
                <w:rFonts w:cs="Arial"/>
                <w:sz w:val="22"/>
                <w:szCs w:val="22"/>
              </w:rPr>
              <w:t xml:space="preserve">Addressing the financing </w:t>
            </w:r>
            <w:proofErr w:type="gramStart"/>
            <w:r w:rsidRPr="00322410">
              <w:rPr>
                <w:rFonts w:cs="Arial"/>
                <w:sz w:val="22"/>
                <w:szCs w:val="22"/>
              </w:rPr>
              <w:t>gap;</w:t>
            </w:r>
            <w:proofErr w:type="gramEnd"/>
          </w:p>
          <w:p w:rsidRPr="00322410" w:rsidR="00982020" w:rsidP="00F8289A" w:rsidRDefault="5C21EF94" w14:paraId="603BAA30" w14:textId="3959BABC">
            <w:pPr>
              <w:pStyle w:val="ListParagraph"/>
              <w:numPr>
                <w:ilvl w:val="0"/>
                <w:numId w:val="13"/>
              </w:numPr>
              <w:jc w:val="both"/>
              <w:rPr>
                <w:rFonts w:cs="Arial"/>
                <w:sz w:val="22"/>
                <w:szCs w:val="22"/>
              </w:rPr>
            </w:pPr>
            <w:r w:rsidRPr="00322410">
              <w:rPr>
                <w:rFonts w:cs="Arial"/>
                <w:sz w:val="22"/>
                <w:szCs w:val="22"/>
              </w:rPr>
              <w:t xml:space="preserve">Strengthening the engagement of participating countries and non-state </w:t>
            </w:r>
            <w:proofErr w:type="gramStart"/>
            <w:r w:rsidRPr="00322410">
              <w:rPr>
                <w:rFonts w:cs="Arial"/>
                <w:sz w:val="22"/>
                <w:szCs w:val="22"/>
              </w:rPr>
              <w:t>actors;</w:t>
            </w:r>
            <w:proofErr w:type="gramEnd"/>
          </w:p>
          <w:p w:rsidRPr="00322410" w:rsidR="5C21EF94" w:rsidP="00F8289A" w:rsidRDefault="5C21EF94" w14:paraId="77A01005" w14:textId="024FE784">
            <w:pPr>
              <w:pStyle w:val="ListParagraph"/>
              <w:numPr>
                <w:ilvl w:val="0"/>
                <w:numId w:val="13"/>
              </w:numPr>
              <w:jc w:val="both"/>
              <w:rPr>
                <w:rFonts w:cs="Arial"/>
                <w:sz w:val="22"/>
                <w:szCs w:val="22"/>
              </w:rPr>
            </w:pPr>
            <w:r w:rsidRPr="00322410">
              <w:rPr>
                <w:rFonts w:cs="Arial"/>
                <w:sz w:val="22"/>
                <w:szCs w:val="22"/>
              </w:rPr>
              <w:t xml:space="preserve">Responding to the needs of HFLD </w:t>
            </w:r>
            <w:proofErr w:type="gramStart"/>
            <w:r w:rsidRPr="00322410">
              <w:rPr>
                <w:rFonts w:cs="Arial"/>
                <w:sz w:val="22"/>
                <w:szCs w:val="22"/>
              </w:rPr>
              <w:t>countries;</w:t>
            </w:r>
            <w:proofErr w:type="gramEnd"/>
          </w:p>
          <w:p w:rsidRPr="00322410" w:rsidR="5C21EF94" w:rsidP="00F8289A" w:rsidRDefault="5C21EF94" w14:paraId="4D55FFE8" w14:textId="492FBBB1">
            <w:pPr>
              <w:pStyle w:val="ListParagraph"/>
              <w:numPr>
                <w:ilvl w:val="0"/>
                <w:numId w:val="13"/>
              </w:numPr>
              <w:jc w:val="both"/>
              <w:rPr>
                <w:rFonts w:cs="Arial"/>
                <w:sz w:val="22"/>
                <w:szCs w:val="22"/>
              </w:rPr>
            </w:pPr>
            <w:r w:rsidRPr="00322410">
              <w:rPr>
                <w:rFonts w:cs="Arial"/>
                <w:sz w:val="22"/>
                <w:szCs w:val="22"/>
              </w:rPr>
              <w:t xml:space="preserve">Applying Theory of Change tools, particularly concerning country-level </w:t>
            </w:r>
            <w:proofErr w:type="gramStart"/>
            <w:r w:rsidRPr="00322410">
              <w:rPr>
                <w:rFonts w:cs="Arial"/>
                <w:sz w:val="22"/>
                <w:szCs w:val="22"/>
              </w:rPr>
              <w:t>programming;</w:t>
            </w:r>
            <w:proofErr w:type="gramEnd"/>
          </w:p>
          <w:p w:rsidRPr="00322410" w:rsidR="5C21EF94" w:rsidP="00F8289A" w:rsidRDefault="5C21EF94" w14:paraId="2B4B4025" w14:textId="5A03DD57">
            <w:pPr>
              <w:pStyle w:val="ListParagraph"/>
              <w:numPr>
                <w:ilvl w:val="0"/>
                <w:numId w:val="13"/>
              </w:numPr>
              <w:jc w:val="both"/>
              <w:rPr>
                <w:rFonts w:cs="Arial"/>
                <w:sz w:val="22"/>
                <w:szCs w:val="22"/>
              </w:rPr>
            </w:pPr>
            <w:r w:rsidRPr="00322410">
              <w:rPr>
                <w:rFonts w:cs="Arial"/>
                <w:sz w:val="22"/>
                <w:szCs w:val="22"/>
              </w:rPr>
              <w:t xml:space="preserve">Effective capacity </w:t>
            </w:r>
            <w:proofErr w:type="gramStart"/>
            <w:r w:rsidRPr="00322410">
              <w:rPr>
                <w:rFonts w:cs="Arial"/>
                <w:sz w:val="22"/>
                <w:szCs w:val="22"/>
              </w:rPr>
              <w:t>development;</w:t>
            </w:r>
            <w:proofErr w:type="gramEnd"/>
          </w:p>
          <w:p w:rsidRPr="00322410" w:rsidR="5C21EF94" w:rsidP="00F8289A" w:rsidRDefault="5C21EF94" w14:paraId="620FFF21" w14:textId="52174631">
            <w:pPr>
              <w:pStyle w:val="ListParagraph"/>
              <w:numPr>
                <w:ilvl w:val="0"/>
                <w:numId w:val="13"/>
              </w:numPr>
              <w:jc w:val="both"/>
              <w:rPr>
                <w:rFonts w:cs="Arial"/>
                <w:sz w:val="22"/>
                <w:szCs w:val="22"/>
              </w:rPr>
            </w:pPr>
            <w:r w:rsidRPr="00322410">
              <w:rPr>
                <w:rFonts w:cs="Arial"/>
                <w:sz w:val="22"/>
                <w:szCs w:val="22"/>
              </w:rPr>
              <w:t xml:space="preserve">Gender </w:t>
            </w:r>
            <w:proofErr w:type="gramStart"/>
            <w:r w:rsidRPr="00322410">
              <w:rPr>
                <w:rFonts w:cs="Arial"/>
                <w:sz w:val="22"/>
                <w:szCs w:val="22"/>
              </w:rPr>
              <w:t>mainstreaming;</w:t>
            </w:r>
            <w:proofErr w:type="gramEnd"/>
          </w:p>
          <w:p w:rsidRPr="00322410" w:rsidR="5C21EF94" w:rsidP="00F8289A" w:rsidRDefault="5C21EF94" w14:paraId="218E6D9F" w14:textId="35D2AF20">
            <w:pPr>
              <w:pStyle w:val="ListParagraph"/>
              <w:numPr>
                <w:ilvl w:val="0"/>
                <w:numId w:val="13"/>
              </w:numPr>
              <w:jc w:val="both"/>
              <w:rPr>
                <w:rFonts w:cs="Arial"/>
                <w:sz w:val="22"/>
                <w:szCs w:val="22"/>
              </w:rPr>
            </w:pPr>
            <w:r w:rsidRPr="00322410">
              <w:rPr>
                <w:rFonts w:cs="Arial"/>
                <w:sz w:val="22"/>
                <w:szCs w:val="22"/>
              </w:rPr>
              <w:t xml:space="preserve">Strengthening private sector </w:t>
            </w:r>
            <w:proofErr w:type="gramStart"/>
            <w:r w:rsidRPr="00322410">
              <w:rPr>
                <w:rFonts w:cs="Arial"/>
                <w:sz w:val="22"/>
                <w:szCs w:val="22"/>
              </w:rPr>
              <w:t>engagement;</w:t>
            </w:r>
            <w:proofErr w:type="gramEnd"/>
          </w:p>
          <w:p w:rsidRPr="00322410" w:rsidR="5B4A06B8" w:rsidP="00F8289A" w:rsidRDefault="5C21EF94" w14:paraId="2DCD58BE" w14:textId="46B3D3B5">
            <w:pPr>
              <w:pStyle w:val="ListParagraph"/>
              <w:numPr>
                <w:ilvl w:val="0"/>
                <w:numId w:val="13"/>
              </w:numPr>
              <w:jc w:val="both"/>
              <w:rPr>
                <w:rFonts w:cs="Arial"/>
                <w:sz w:val="22"/>
                <w:szCs w:val="22"/>
              </w:rPr>
            </w:pPr>
            <w:r w:rsidRPr="00322410">
              <w:rPr>
                <w:rFonts w:cs="Arial"/>
                <w:sz w:val="22"/>
                <w:szCs w:val="22"/>
              </w:rPr>
              <w:t xml:space="preserve">Benefit </w:t>
            </w:r>
            <w:proofErr w:type="gramStart"/>
            <w:r w:rsidRPr="00322410">
              <w:rPr>
                <w:rFonts w:cs="Arial"/>
                <w:sz w:val="22"/>
                <w:szCs w:val="22"/>
              </w:rPr>
              <w:t>sharing;</w:t>
            </w:r>
            <w:proofErr w:type="gramEnd"/>
          </w:p>
          <w:p w:rsidRPr="00322410" w:rsidR="5C21EF94" w:rsidP="00F8289A" w:rsidRDefault="5C21EF94" w14:paraId="09B96378" w14:textId="58004EDE">
            <w:pPr>
              <w:pStyle w:val="ListParagraph"/>
              <w:numPr>
                <w:ilvl w:val="0"/>
                <w:numId w:val="13"/>
              </w:numPr>
              <w:jc w:val="both"/>
              <w:rPr>
                <w:rFonts w:cs="Arial"/>
                <w:sz w:val="22"/>
                <w:szCs w:val="22"/>
              </w:rPr>
            </w:pPr>
            <w:r w:rsidRPr="00322410">
              <w:rPr>
                <w:rFonts w:cs="Arial"/>
                <w:sz w:val="22"/>
                <w:szCs w:val="22"/>
              </w:rPr>
              <w:t>Supporting non-carbon benefits.</w:t>
            </w:r>
          </w:p>
          <w:p w:rsidRPr="00322410" w:rsidR="00982020" w:rsidP="08313436" w:rsidRDefault="7880FA5A" w14:paraId="4E29E41C" w14:textId="2F99DA14">
            <w:pPr>
              <w:jc w:val="both"/>
              <w:rPr>
                <w:rFonts w:cs="Arial"/>
                <w:sz w:val="22"/>
                <w:szCs w:val="22"/>
              </w:rPr>
            </w:pPr>
            <w:r w:rsidRPr="00322410">
              <w:rPr>
                <w:rFonts w:cs="Arial"/>
                <w:sz w:val="22"/>
                <w:szCs w:val="22"/>
              </w:rPr>
              <w:t xml:space="preserve">For </w:t>
            </w:r>
            <w:r w:rsidRPr="00322410" w:rsidR="768AE77D">
              <w:rPr>
                <w:rFonts w:cs="Arial"/>
                <w:sz w:val="22"/>
                <w:szCs w:val="22"/>
              </w:rPr>
              <w:t>f</w:t>
            </w:r>
            <w:r w:rsidRPr="00322410">
              <w:rPr>
                <w:rFonts w:cs="Arial"/>
                <w:sz w:val="22"/>
                <w:szCs w:val="22"/>
              </w:rPr>
              <w:t>urther detail, see</w:t>
            </w:r>
            <w:r w:rsidRPr="00322410" w:rsidR="25377B1B">
              <w:rPr>
                <w:rFonts w:cs="Arial"/>
                <w:sz w:val="22"/>
                <w:szCs w:val="22"/>
              </w:rPr>
              <w:t xml:space="preserve"> </w:t>
            </w:r>
            <w:r w:rsidRPr="00322410" w:rsidR="3086793D">
              <w:rPr>
                <w:rFonts w:cs="Arial"/>
                <w:sz w:val="22"/>
                <w:szCs w:val="22"/>
              </w:rPr>
              <w:t>“</w:t>
            </w:r>
            <w:r w:rsidRPr="00322410" w:rsidR="1775CE8A">
              <w:rPr>
                <w:rFonts w:cs="Arial"/>
                <w:sz w:val="22"/>
                <w:szCs w:val="22"/>
              </w:rPr>
              <w:t>Section D: Programme performance not captured by outputs</w:t>
            </w:r>
            <w:r w:rsidRPr="00322410" w:rsidR="66CAE001">
              <w:rPr>
                <w:rFonts w:cs="Arial"/>
                <w:sz w:val="22"/>
                <w:szCs w:val="22"/>
              </w:rPr>
              <w:t>”.</w:t>
            </w:r>
          </w:p>
        </w:tc>
      </w:tr>
      <w:tr w:rsidRPr="00322410" w:rsidR="00982020" w:rsidTr="0053CEBA" w14:paraId="3C6F432C" w14:textId="77777777">
        <w:trPr>
          <w:trHeight w:val="300"/>
        </w:trPr>
        <w:tc>
          <w:tcPr>
            <w:tcW w:w="4452" w:type="dxa"/>
            <w:tcBorders>
              <w:top w:val="single" w:color="000000" w:themeColor="text1" w:sz="2" w:space="0"/>
            </w:tcBorders>
            <w:tcMar/>
          </w:tcPr>
          <w:p w:rsidRPr="00322410" w:rsidR="00982020" w:rsidP="00982020" w:rsidRDefault="00982020" w14:paraId="61BC29C7" w14:textId="77777777">
            <w:pPr>
              <w:jc w:val="both"/>
              <w:rPr>
                <w:rFonts w:cs="Arial"/>
                <w:b/>
                <w:bCs/>
                <w:sz w:val="22"/>
                <w:szCs w:val="22"/>
              </w:rPr>
            </w:pPr>
            <w:r w:rsidRPr="00322410">
              <w:rPr>
                <w:rFonts w:cs="Arial"/>
                <w:b/>
                <w:bCs/>
                <w:sz w:val="22"/>
                <w:szCs w:val="22"/>
              </w:rPr>
              <w:t>Recommendation 6:  </w:t>
            </w:r>
          </w:p>
          <w:p w:rsidRPr="00322410" w:rsidR="00982020" w:rsidP="709DE660" w:rsidRDefault="00982020" w14:paraId="4F9EFCC8" w14:textId="1E4D66C8">
            <w:pPr>
              <w:jc w:val="both"/>
              <w:rPr>
                <w:rFonts w:cs="Arial"/>
                <w:sz w:val="22"/>
                <w:szCs w:val="22"/>
              </w:rPr>
            </w:pPr>
            <w:r w:rsidRPr="00322410">
              <w:rPr>
                <w:rFonts w:cs="Arial"/>
                <w:b/>
                <w:bCs/>
                <w:sz w:val="22"/>
                <w:szCs w:val="22"/>
              </w:rPr>
              <w:t xml:space="preserve">Programme Management: </w:t>
            </w:r>
            <w:r w:rsidRPr="00322410">
              <w:rPr>
                <w:rFonts w:cs="Arial"/>
                <w:sz w:val="22"/>
                <w:szCs w:val="22"/>
              </w:rPr>
              <w:t>UK DESNZ to work with the World Bank to ensure that the Annual Review is completed within the 3 months of the reporting period coming to an end to ensure that recommendations made are timely and useful.</w:t>
            </w:r>
            <w:r w:rsidRPr="00322410">
              <w:rPr>
                <w:rFonts w:cs="Arial"/>
                <w:b/>
                <w:bCs/>
                <w:sz w:val="22"/>
                <w:szCs w:val="22"/>
              </w:rPr>
              <w:t> </w:t>
            </w:r>
          </w:p>
        </w:tc>
        <w:tc>
          <w:tcPr>
            <w:tcW w:w="4680" w:type="dxa"/>
            <w:tcBorders>
              <w:top w:val="single" w:color="000000" w:themeColor="text1" w:sz="2" w:space="0"/>
            </w:tcBorders>
            <w:tcMar/>
          </w:tcPr>
          <w:p w:rsidRPr="00322410" w:rsidR="00982020" w:rsidP="1319CBFF" w:rsidRDefault="379692AD" w14:paraId="7F9148AA" w14:textId="0E917B32">
            <w:pPr>
              <w:jc w:val="both"/>
              <w:rPr>
                <w:rFonts w:eastAsia="Arial" w:cs="Arial"/>
                <w:i/>
                <w:iCs/>
                <w:color w:val="000000" w:themeColor="text1"/>
                <w:sz w:val="22"/>
                <w:szCs w:val="22"/>
              </w:rPr>
            </w:pPr>
            <w:r w:rsidRPr="00322410">
              <w:rPr>
                <w:rFonts w:eastAsia="Arial" w:cs="Arial"/>
                <w:i/>
                <w:iCs/>
                <w:color w:val="000000" w:themeColor="text1"/>
                <w:sz w:val="22"/>
                <w:szCs w:val="22"/>
              </w:rPr>
              <w:t>Not achieved</w:t>
            </w:r>
          </w:p>
          <w:p w:rsidRPr="00322410" w:rsidR="00982020" w:rsidP="1319CBFF" w:rsidRDefault="00982020" w14:paraId="573E3CB6" w14:textId="38BC9F11">
            <w:pPr>
              <w:jc w:val="both"/>
              <w:rPr>
                <w:rFonts w:eastAsia="Arial" w:cs="Arial"/>
                <w:color w:val="000000" w:themeColor="text1"/>
                <w:sz w:val="22"/>
                <w:szCs w:val="22"/>
              </w:rPr>
            </w:pPr>
          </w:p>
          <w:p w:rsidRPr="00322410" w:rsidR="00982020" w:rsidP="1319CBFF" w:rsidRDefault="00927CA9" w14:paraId="21545C8D" w14:textId="6DA4F5F4">
            <w:pPr>
              <w:jc w:val="both"/>
              <w:rPr>
                <w:rFonts w:eastAsia="Arial" w:cs="Arial"/>
                <w:color w:val="000000" w:themeColor="text1"/>
                <w:sz w:val="22"/>
                <w:szCs w:val="22"/>
              </w:rPr>
            </w:pPr>
            <w:r w:rsidRPr="00322410">
              <w:rPr>
                <w:rFonts w:eastAsia="Arial" w:cs="Arial"/>
                <w:color w:val="000000" w:themeColor="text1"/>
                <w:sz w:val="22"/>
                <w:szCs w:val="22"/>
              </w:rPr>
              <w:t xml:space="preserve"> The agreement between the World Bank and contributors is for the FCPF Annual Report to be published by 31</w:t>
            </w:r>
            <w:r w:rsidRPr="00322410">
              <w:rPr>
                <w:rFonts w:eastAsia="Arial" w:cs="Arial"/>
                <w:color w:val="000000" w:themeColor="text1"/>
                <w:sz w:val="22"/>
                <w:szCs w:val="22"/>
                <w:vertAlign w:val="superscript"/>
              </w:rPr>
              <w:t>st</w:t>
            </w:r>
            <w:r w:rsidRPr="00322410">
              <w:rPr>
                <w:rFonts w:eastAsia="Arial" w:cs="Arial"/>
                <w:color w:val="000000" w:themeColor="text1"/>
                <w:sz w:val="22"/>
                <w:szCs w:val="22"/>
              </w:rPr>
              <w:t xml:space="preserve"> October each year.</w:t>
            </w:r>
            <w:r w:rsidRPr="00322410" w:rsidR="00584F62">
              <w:rPr>
                <w:rFonts w:eastAsia="Arial" w:cs="Arial"/>
                <w:color w:val="000000" w:themeColor="text1"/>
                <w:sz w:val="22"/>
                <w:szCs w:val="22"/>
              </w:rPr>
              <w:t xml:space="preserve"> </w:t>
            </w:r>
            <w:r w:rsidRPr="00322410" w:rsidR="009B773C">
              <w:rPr>
                <w:rFonts w:eastAsia="Arial" w:cs="Arial"/>
                <w:color w:val="000000" w:themeColor="text1"/>
                <w:sz w:val="22"/>
                <w:szCs w:val="22"/>
              </w:rPr>
              <w:t xml:space="preserve">We are discussing with the World Bank if the draft results framework can be shared with the UK earlier than this. This has been taken forward in Recommendation </w:t>
            </w:r>
            <w:r w:rsidRPr="00322410" w:rsidR="0D253F10">
              <w:rPr>
                <w:rFonts w:eastAsia="Arial" w:cs="Arial"/>
                <w:color w:val="000000" w:themeColor="text1"/>
                <w:sz w:val="22"/>
                <w:szCs w:val="22"/>
              </w:rPr>
              <w:t>3</w:t>
            </w:r>
            <w:r w:rsidRPr="00322410" w:rsidR="009B773C">
              <w:rPr>
                <w:rFonts w:eastAsia="Arial" w:cs="Arial"/>
                <w:color w:val="000000" w:themeColor="text1"/>
                <w:sz w:val="22"/>
                <w:szCs w:val="22"/>
              </w:rPr>
              <w:t>.</w:t>
            </w:r>
          </w:p>
        </w:tc>
      </w:tr>
      <w:tr w:rsidRPr="00322410" w:rsidR="00914FC3" w:rsidTr="0053CEBA" w14:paraId="40A87D2C" w14:textId="77777777">
        <w:trPr>
          <w:trHeight w:val="300"/>
        </w:trPr>
        <w:tc>
          <w:tcPr>
            <w:tcW w:w="4452" w:type="dxa"/>
            <w:tcMar/>
          </w:tcPr>
          <w:p w:rsidRPr="00322410" w:rsidR="00914FC3" w:rsidP="00914FC3" w:rsidRDefault="00914FC3" w14:paraId="7BA861BE" w14:textId="77777777">
            <w:pPr>
              <w:jc w:val="both"/>
              <w:rPr>
                <w:rFonts w:cs="Arial"/>
                <w:b/>
                <w:bCs/>
                <w:sz w:val="22"/>
                <w:szCs w:val="22"/>
              </w:rPr>
            </w:pPr>
            <w:r w:rsidRPr="00322410">
              <w:rPr>
                <w:rFonts w:cs="Arial"/>
                <w:b/>
                <w:bCs/>
                <w:sz w:val="22"/>
                <w:szCs w:val="22"/>
              </w:rPr>
              <w:t>Recommendation 7:  </w:t>
            </w:r>
          </w:p>
          <w:p w:rsidRPr="00322410" w:rsidR="00914FC3" w:rsidP="709DE660" w:rsidRDefault="00914FC3" w14:paraId="0D5BF9BE" w14:textId="3E148BB4">
            <w:pPr>
              <w:jc w:val="both"/>
              <w:rPr>
                <w:rFonts w:cs="Arial"/>
                <w:sz w:val="22"/>
                <w:szCs w:val="22"/>
              </w:rPr>
            </w:pPr>
            <w:r w:rsidRPr="00322410">
              <w:rPr>
                <w:rFonts w:cs="Arial"/>
                <w:b/>
                <w:bCs/>
                <w:sz w:val="22"/>
                <w:szCs w:val="22"/>
              </w:rPr>
              <w:t xml:space="preserve">Measure participant countries where FCPF has influenced REDD+ country participants’ national approaches to sustainable forest resource management, </w:t>
            </w:r>
            <w:r w:rsidRPr="00322410">
              <w:rPr>
                <w:rFonts w:cs="Arial"/>
                <w:sz w:val="22"/>
                <w:szCs w:val="22"/>
              </w:rPr>
              <w:t>to review effectiveness of how the FCPF has influenced national approaches, specific governance questions, and a comparison of countries with broader and limited representation of FCPF influence.</w:t>
            </w:r>
            <w:r w:rsidRPr="00322410">
              <w:rPr>
                <w:rFonts w:cs="Arial"/>
                <w:b/>
                <w:bCs/>
                <w:sz w:val="22"/>
                <w:szCs w:val="22"/>
              </w:rPr>
              <w:t> </w:t>
            </w:r>
          </w:p>
        </w:tc>
        <w:tc>
          <w:tcPr>
            <w:tcW w:w="4680" w:type="dxa"/>
            <w:tcMar/>
          </w:tcPr>
          <w:p w:rsidRPr="00322410" w:rsidR="00F90F83" w:rsidP="71815B01" w:rsidRDefault="00F90F83" w14:paraId="6790EE37" w14:textId="6A587217">
            <w:pPr>
              <w:jc w:val="both"/>
              <w:rPr>
                <w:rFonts w:cs="Arial"/>
                <w:i/>
                <w:iCs/>
                <w:sz w:val="22"/>
                <w:szCs w:val="22"/>
              </w:rPr>
            </w:pPr>
            <w:r w:rsidRPr="00322410">
              <w:rPr>
                <w:rFonts w:cs="Arial"/>
                <w:i/>
                <w:iCs/>
                <w:sz w:val="22"/>
                <w:szCs w:val="22"/>
              </w:rPr>
              <w:t>Not achieved</w:t>
            </w:r>
          </w:p>
          <w:p w:rsidRPr="00322410" w:rsidR="00F90F83" w:rsidP="71815B01" w:rsidRDefault="00F90F83" w14:paraId="38DA202F" w14:textId="77777777">
            <w:pPr>
              <w:jc w:val="both"/>
              <w:rPr>
                <w:rFonts w:cs="Arial"/>
                <w:sz w:val="22"/>
                <w:szCs w:val="22"/>
              </w:rPr>
            </w:pPr>
          </w:p>
          <w:p w:rsidRPr="00322410" w:rsidR="00914FC3" w:rsidP="004D5FD5" w:rsidRDefault="00F90F83" w14:paraId="1C88A180" w14:textId="5B516286">
            <w:pPr>
              <w:jc w:val="both"/>
              <w:rPr>
                <w:rFonts w:cs="Arial"/>
                <w:sz w:val="22"/>
                <w:szCs w:val="22"/>
              </w:rPr>
            </w:pPr>
            <w:r w:rsidRPr="00322410">
              <w:rPr>
                <w:rFonts w:cs="Arial"/>
                <w:sz w:val="22"/>
                <w:szCs w:val="22"/>
              </w:rPr>
              <w:t xml:space="preserve">Programme-wide evaluations will only provide qualitative </w:t>
            </w:r>
            <w:r w:rsidRPr="00322410" w:rsidR="00684884">
              <w:rPr>
                <w:rFonts w:cs="Arial"/>
                <w:sz w:val="22"/>
                <w:szCs w:val="22"/>
              </w:rPr>
              <w:t>evidence against this indicator. Therefore, we recommend revising this indicator so that it is in line with the World Bank indicator: “Extent to which the FCPF has influenced REDD+ Country Participants' national approaches to sustainable forest resource management (including among women, women's groups, IPs, CSOs, local communities)”</w:t>
            </w:r>
            <w:r w:rsidRPr="00322410" w:rsidR="00FA51AF">
              <w:rPr>
                <w:rFonts w:cs="Arial"/>
                <w:sz w:val="22"/>
                <w:szCs w:val="22"/>
              </w:rPr>
              <w:t xml:space="preserve"> (Recommendation </w:t>
            </w:r>
            <w:r w:rsidRPr="00322410" w:rsidR="2D1D1EE0">
              <w:rPr>
                <w:rFonts w:cs="Arial"/>
                <w:sz w:val="22"/>
                <w:szCs w:val="22"/>
              </w:rPr>
              <w:t>1b</w:t>
            </w:r>
            <w:r w:rsidRPr="00322410" w:rsidR="00FA51AF">
              <w:rPr>
                <w:rFonts w:cs="Arial"/>
                <w:sz w:val="22"/>
                <w:szCs w:val="22"/>
              </w:rPr>
              <w:t>)</w:t>
            </w:r>
            <w:r w:rsidRPr="00322410" w:rsidR="001C40AA">
              <w:rPr>
                <w:rFonts w:cs="Arial"/>
                <w:sz w:val="22"/>
                <w:szCs w:val="22"/>
              </w:rPr>
              <w:t xml:space="preserve">. </w:t>
            </w:r>
            <w:r w:rsidRPr="00322410" w:rsidR="4F47811B">
              <w:rPr>
                <w:rFonts w:cs="Arial"/>
                <w:sz w:val="22"/>
                <w:szCs w:val="22"/>
              </w:rPr>
              <w:t xml:space="preserve">This will allow us to report on </w:t>
            </w:r>
            <w:r w:rsidRPr="00322410" w:rsidR="00CA74A9">
              <w:rPr>
                <w:rFonts w:cs="Arial"/>
                <w:sz w:val="22"/>
                <w:szCs w:val="22"/>
              </w:rPr>
              <w:t xml:space="preserve">the </w:t>
            </w:r>
            <w:r w:rsidRPr="00322410" w:rsidR="4F47811B">
              <w:rPr>
                <w:rFonts w:cs="Arial"/>
                <w:sz w:val="22"/>
                <w:szCs w:val="22"/>
              </w:rPr>
              <w:t>qualitative evidence</w:t>
            </w:r>
            <w:r w:rsidRPr="00322410" w:rsidR="00CA74A9">
              <w:rPr>
                <w:rFonts w:cs="Arial"/>
                <w:sz w:val="22"/>
                <w:szCs w:val="22"/>
              </w:rPr>
              <w:t xml:space="preserve"> gathered in programme-wide evaluations.</w:t>
            </w:r>
          </w:p>
        </w:tc>
      </w:tr>
    </w:tbl>
    <w:p w:rsidRPr="00322410" w:rsidR="002C20C4" w:rsidP="004D5FD5" w:rsidRDefault="002C20C4" w14:paraId="32BD3FB6" w14:textId="77777777">
      <w:pPr>
        <w:jc w:val="both"/>
        <w:rPr>
          <w:rStyle w:val="Heading2Char"/>
        </w:rPr>
      </w:pPr>
    </w:p>
    <w:p w:rsidRPr="00322410" w:rsidR="003D222C" w:rsidP="6C96D7A6" w:rsidRDefault="003D222C" w14:paraId="788BE7E1" w14:textId="13FC39D0">
      <w:pPr>
        <w:jc w:val="both"/>
        <w:rPr>
          <w:rStyle w:val="Heading2Char"/>
        </w:rPr>
      </w:pPr>
      <w:bookmarkStart w:name="_Toc219130980" w:id="18"/>
      <w:r w:rsidRPr="00322410">
        <w:rPr>
          <w:rStyle w:val="Heading2Char"/>
        </w:rPr>
        <w:t>Major lessons and recommendations for the year ahead</w:t>
      </w:r>
      <w:bookmarkEnd w:id="18"/>
    </w:p>
    <w:p w:rsidRPr="00322410" w:rsidR="003D222C" w:rsidP="004D5FD5" w:rsidRDefault="003D222C" w14:paraId="2A4B8A97" w14:textId="77777777">
      <w:pPr>
        <w:tabs>
          <w:tab w:val="left" w:pos="6915"/>
          <w:tab w:val="left" w:pos="9495"/>
        </w:tabs>
        <w:jc w:val="both"/>
        <w:rPr>
          <w:rFonts w:cs="Arial"/>
          <w:sz w:val="22"/>
          <w:szCs w:val="22"/>
        </w:rPr>
      </w:pPr>
    </w:p>
    <w:p w:rsidRPr="00322410" w:rsidR="00D0302B" w:rsidP="004D5FD5" w:rsidRDefault="2DFF57C5" w14:paraId="773A77CC" w14:textId="43071301">
      <w:pPr>
        <w:jc w:val="both"/>
        <w:rPr>
          <w:rFonts w:cs="Arial"/>
          <w:sz w:val="22"/>
          <w:szCs w:val="22"/>
        </w:rPr>
      </w:pPr>
      <w:r w:rsidRPr="00322410">
        <w:rPr>
          <w:rFonts w:cs="Arial"/>
          <w:sz w:val="22"/>
          <w:szCs w:val="22"/>
        </w:rPr>
        <w:t xml:space="preserve">A key lesson from RP25 relates to </w:t>
      </w:r>
      <w:r w:rsidRPr="00322410" w:rsidR="3D996A9A">
        <w:rPr>
          <w:rFonts w:cs="Arial"/>
          <w:sz w:val="22"/>
          <w:szCs w:val="22"/>
        </w:rPr>
        <w:t xml:space="preserve">delays to validation and verification processes. All FCPF programmes are subject to validation and verification by an independent accredited third party, known as a validation and verification body (VVB). The objective of this process is to ensure the </w:t>
      </w:r>
      <w:r w:rsidRPr="00322410" w:rsidR="00FF0C84">
        <w:rPr>
          <w:rFonts w:cs="Arial"/>
          <w:sz w:val="22"/>
          <w:szCs w:val="22"/>
        </w:rPr>
        <w:t>ER monitoring reports are accurate, thus allowing ER payments to be made to countries. Often, these processes take significantly longer than expected</w:t>
      </w:r>
      <w:r w:rsidRPr="00322410" w:rsidR="70F81587">
        <w:rPr>
          <w:rFonts w:cs="Arial"/>
          <w:sz w:val="22"/>
          <w:szCs w:val="22"/>
        </w:rPr>
        <w:t xml:space="preserve"> and can be complex in nature.</w:t>
      </w:r>
      <w:r w:rsidRPr="00322410" w:rsidR="00EE6189">
        <w:rPr>
          <w:rFonts w:cs="Arial"/>
          <w:sz w:val="22"/>
          <w:szCs w:val="22"/>
        </w:rPr>
        <w:t xml:space="preserve"> The</w:t>
      </w:r>
      <w:r w:rsidRPr="00322410" w:rsidR="002D4CD9">
        <w:rPr>
          <w:rFonts w:cs="Arial"/>
          <w:sz w:val="22"/>
          <w:szCs w:val="22"/>
        </w:rPr>
        <w:t xml:space="preserve"> relatively small number, and inexperience of the VVBs is also a factor that exacerbates delays.</w:t>
      </w:r>
      <w:r w:rsidRPr="00322410" w:rsidR="70F81587">
        <w:rPr>
          <w:rFonts w:cs="Arial"/>
          <w:sz w:val="22"/>
          <w:szCs w:val="22"/>
        </w:rPr>
        <w:t xml:space="preserve"> This </w:t>
      </w:r>
      <w:r w:rsidRPr="00322410" w:rsidR="70FDC112">
        <w:rPr>
          <w:rFonts w:cs="Arial"/>
          <w:sz w:val="22"/>
          <w:szCs w:val="22"/>
        </w:rPr>
        <w:t>can put an additional burden on the teams implementing ER programmes and can mean t</w:t>
      </w:r>
      <w:r w:rsidRPr="00322410" w:rsidR="00FF0C84">
        <w:rPr>
          <w:rFonts w:cs="Arial"/>
          <w:sz w:val="22"/>
          <w:szCs w:val="22"/>
        </w:rPr>
        <w:t>hat there is a long period between cou</w:t>
      </w:r>
      <w:r w:rsidRPr="00322410" w:rsidR="6FBE8695">
        <w:rPr>
          <w:rFonts w:cs="Arial"/>
          <w:sz w:val="22"/>
          <w:szCs w:val="22"/>
        </w:rPr>
        <w:t>ntrie</w:t>
      </w:r>
      <w:r w:rsidRPr="00322410" w:rsidR="50205B77">
        <w:rPr>
          <w:rFonts w:cs="Arial"/>
          <w:sz w:val="22"/>
          <w:szCs w:val="22"/>
        </w:rPr>
        <w:t xml:space="preserve">s </w:t>
      </w:r>
      <w:r w:rsidRPr="00322410" w:rsidR="6FBE8695">
        <w:rPr>
          <w:rFonts w:cs="Arial"/>
          <w:sz w:val="22"/>
          <w:szCs w:val="22"/>
        </w:rPr>
        <w:t xml:space="preserve">submitting their ER monitoring reports and receiving payments. </w:t>
      </w:r>
      <w:r w:rsidRPr="00322410" w:rsidR="73EBB32C">
        <w:rPr>
          <w:rFonts w:cs="Arial"/>
          <w:sz w:val="22"/>
          <w:szCs w:val="22"/>
        </w:rPr>
        <w:t>These delays therefore have a knock-on effect on key progress indicators, such as the distribution of FCPF payments and the implementation of benefit-sharing plans.</w:t>
      </w:r>
    </w:p>
    <w:p w:rsidRPr="00322410" w:rsidR="539893D1" w:rsidP="539893D1" w:rsidRDefault="539893D1" w14:paraId="1E40EEE2" w14:textId="6CA72973">
      <w:pPr>
        <w:jc w:val="both"/>
        <w:rPr>
          <w:rFonts w:cs="Arial"/>
          <w:sz w:val="22"/>
          <w:szCs w:val="22"/>
        </w:rPr>
      </w:pPr>
    </w:p>
    <w:p w:rsidRPr="00322410" w:rsidR="73EBB32C" w:rsidP="539893D1" w:rsidRDefault="73EBB32C" w14:paraId="56EE7887" w14:textId="4DD52B2D">
      <w:pPr>
        <w:jc w:val="both"/>
        <w:rPr>
          <w:rFonts w:cs="Arial"/>
          <w:sz w:val="22"/>
          <w:szCs w:val="22"/>
        </w:rPr>
      </w:pPr>
      <w:r w:rsidRPr="00322410">
        <w:rPr>
          <w:rFonts w:cs="Arial"/>
          <w:sz w:val="22"/>
          <w:szCs w:val="22"/>
        </w:rPr>
        <w:t xml:space="preserve">Another lesson from the </w:t>
      </w:r>
      <w:r w:rsidRPr="00322410" w:rsidR="596CB212">
        <w:rPr>
          <w:rFonts w:cs="Arial"/>
          <w:sz w:val="22"/>
          <w:szCs w:val="22"/>
        </w:rPr>
        <w:t>last year has been the importance of marketing FCPF credits to third-party buyers. As referenced in Section A, in RP25 Costa Rica became t</w:t>
      </w:r>
      <w:r w:rsidRPr="00322410" w:rsidR="204D266E">
        <w:rPr>
          <w:rFonts w:cs="Arial"/>
          <w:sz w:val="22"/>
          <w:szCs w:val="22"/>
        </w:rPr>
        <w:t>he first FCPF c</w:t>
      </w:r>
      <w:r w:rsidRPr="00322410" w:rsidR="783CF158">
        <w:rPr>
          <w:rFonts w:cs="Arial"/>
          <w:sz w:val="22"/>
          <w:szCs w:val="22"/>
        </w:rPr>
        <w:t>ountry</w:t>
      </w:r>
      <w:r w:rsidRPr="00322410" w:rsidR="204D266E">
        <w:rPr>
          <w:rFonts w:cs="Arial"/>
          <w:sz w:val="22"/>
          <w:szCs w:val="22"/>
        </w:rPr>
        <w:t xml:space="preserve"> to sell its credits to a buyer outside of the FCPF. </w:t>
      </w:r>
      <w:r w:rsidRPr="00322410" w:rsidR="00E963E4">
        <w:rPr>
          <w:rFonts w:cs="Arial"/>
          <w:sz w:val="22"/>
          <w:szCs w:val="22"/>
        </w:rPr>
        <w:t xml:space="preserve">This conclusively demonstrates that there is a market for FCPF credits to third-party buyers – indeed other agreements to transact have </w:t>
      </w:r>
      <w:r w:rsidRPr="00322410" w:rsidR="00BB55B7">
        <w:rPr>
          <w:rFonts w:cs="Arial"/>
          <w:sz w:val="22"/>
          <w:szCs w:val="22"/>
        </w:rPr>
        <w:t xml:space="preserve">occurred since the end of this annual review reporting period. </w:t>
      </w:r>
      <w:r w:rsidRPr="00322410" w:rsidR="204D266E">
        <w:rPr>
          <w:rFonts w:cs="Arial"/>
          <w:sz w:val="22"/>
          <w:szCs w:val="22"/>
        </w:rPr>
        <w:t xml:space="preserve">As this </w:t>
      </w:r>
      <w:r w:rsidRPr="00322410" w:rsidR="59A30481">
        <w:rPr>
          <w:rFonts w:cs="Arial"/>
          <w:sz w:val="22"/>
          <w:szCs w:val="22"/>
        </w:rPr>
        <w:t>provides the opportunity for countries to monetise their ERs at a higher price than the FCPF price, the World Bank and contributors should continue to support countries in their efforts to market their credits</w:t>
      </w:r>
      <w:r w:rsidRPr="00322410" w:rsidR="000D0989">
        <w:rPr>
          <w:rFonts w:cs="Arial"/>
          <w:sz w:val="22"/>
          <w:szCs w:val="22"/>
        </w:rPr>
        <w:t xml:space="preserve"> </w:t>
      </w:r>
      <w:r w:rsidRPr="00322410" w:rsidR="00BB55B7">
        <w:rPr>
          <w:rFonts w:cs="Arial"/>
          <w:sz w:val="22"/>
          <w:szCs w:val="22"/>
        </w:rPr>
        <w:t>and make it as easy as possible for them to do so</w:t>
      </w:r>
      <w:r w:rsidRPr="00322410" w:rsidR="59A30481">
        <w:rPr>
          <w:rFonts w:cs="Arial"/>
          <w:sz w:val="22"/>
          <w:szCs w:val="22"/>
        </w:rPr>
        <w:t>.</w:t>
      </w:r>
      <w:r w:rsidRPr="00322410" w:rsidR="00BB55B7">
        <w:rPr>
          <w:rFonts w:cs="Arial"/>
          <w:sz w:val="22"/>
          <w:szCs w:val="22"/>
        </w:rPr>
        <w:t xml:space="preserve"> The World Bank should continue to make efforts to fami</w:t>
      </w:r>
      <w:r w:rsidRPr="00322410" w:rsidR="009B3C6B">
        <w:rPr>
          <w:rFonts w:cs="Arial"/>
          <w:sz w:val="22"/>
          <w:szCs w:val="22"/>
        </w:rPr>
        <w:t>liarise potential buyers with FCPF credits and their merits.</w:t>
      </w:r>
      <w:r w:rsidRPr="00322410" w:rsidR="581041A4">
        <w:rPr>
          <w:rFonts w:cs="Arial"/>
          <w:sz w:val="22"/>
          <w:szCs w:val="22"/>
        </w:rPr>
        <w:t xml:space="preserve"> </w:t>
      </w:r>
    </w:p>
    <w:p w:rsidRPr="00322410" w:rsidR="1E82D73A" w:rsidP="1E82D73A" w:rsidRDefault="1E82D73A" w14:paraId="54E48C91" w14:textId="1ADD0018">
      <w:pPr>
        <w:jc w:val="both"/>
        <w:rPr>
          <w:rFonts w:cs="Arial"/>
          <w:sz w:val="22"/>
          <w:szCs w:val="22"/>
        </w:rPr>
      </w:pPr>
    </w:p>
    <w:p w:rsidRPr="00322410" w:rsidR="225922F2" w:rsidP="23C79CEA" w:rsidRDefault="3318FF77" w14:paraId="4C2E1BC9" w14:textId="70B733E1">
      <w:pPr>
        <w:jc w:val="both"/>
        <w:rPr>
          <w:rFonts w:eastAsia="Arial" w:cs="Arial"/>
          <w:color w:val="000000" w:themeColor="text1"/>
          <w:sz w:val="22"/>
          <w:szCs w:val="22"/>
        </w:rPr>
      </w:pPr>
      <w:r w:rsidRPr="23C79CEA">
        <w:rPr>
          <w:rFonts w:eastAsia="Arial" w:cs="Arial"/>
          <w:color w:val="000000" w:themeColor="text1"/>
          <w:sz w:val="22"/>
          <w:szCs w:val="22"/>
        </w:rPr>
        <w:t>R</w:t>
      </w:r>
      <w:r w:rsidRPr="23C79CEA" w:rsidR="33ACCE47">
        <w:rPr>
          <w:rFonts w:eastAsia="Arial" w:cs="Arial"/>
          <w:color w:val="000000" w:themeColor="text1"/>
          <w:sz w:val="22"/>
          <w:szCs w:val="22"/>
        </w:rPr>
        <w:t>elate</w:t>
      </w:r>
      <w:r w:rsidRPr="23C79CEA">
        <w:rPr>
          <w:rFonts w:eastAsia="Arial" w:cs="Arial"/>
          <w:color w:val="000000" w:themeColor="text1"/>
          <w:sz w:val="22"/>
          <w:szCs w:val="22"/>
        </w:rPr>
        <w:t>d</w:t>
      </w:r>
      <w:r w:rsidRPr="23C79CEA" w:rsidR="009B3C6B">
        <w:rPr>
          <w:rFonts w:eastAsia="Arial" w:cs="Arial"/>
          <w:color w:val="000000" w:themeColor="text1"/>
          <w:sz w:val="22"/>
          <w:szCs w:val="22"/>
        </w:rPr>
        <w:t xml:space="preserve"> to this is </w:t>
      </w:r>
      <w:r w:rsidRPr="23C79CEA" w:rsidR="39DF9E1E">
        <w:rPr>
          <w:rFonts w:eastAsia="Arial" w:cs="Arial"/>
          <w:color w:val="000000" w:themeColor="text1"/>
          <w:sz w:val="22"/>
          <w:szCs w:val="22"/>
        </w:rPr>
        <w:t>the</w:t>
      </w:r>
      <w:r w:rsidRPr="23C79CEA" w:rsidR="009B3C6B">
        <w:rPr>
          <w:rFonts w:eastAsia="Arial" w:cs="Arial"/>
          <w:color w:val="000000" w:themeColor="text1"/>
          <w:sz w:val="22"/>
          <w:szCs w:val="22"/>
        </w:rPr>
        <w:t xml:space="preserve"> importance of</w:t>
      </w:r>
      <w:r w:rsidRPr="23C79CEA" w:rsidR="33ACCE47">
        <w:rPr>
          <w:rFonts w:eastAsia="Arial" w:cs="Arial"/>
          <w:color w:val="000000" w:themeColor="text1"/>
          <w:sz w:val="22"/>
          <w:szCs w:val="22"/>
        </w:rPr>
        <w:t xml:space="preserve"> </w:t>
      </w:r>
      <w:r w:rsidRPr="23C79CEA" w:rsidR="225922F2">
        <w:rPr>
          <w:rFonts w:eastAsia="Arial" w:cs="Arial"/>
          <w:color w:val="000000" w:themeColor="text1"/>
          <w:sz w:val="22"/>
          <w:szCs w:val="22"/>
        </w:rPr>
        <w:t>the FCPF</w:t>
      </w:r>
      <w:r w:rsidRPr="23C79CEA" w:rsidR="009B3C6B">
        <w:rPr>
          <w:rFonts w:eastAsia="Arial" w:cs="Arial"/>
          <w:color w:val="000000" w:themeColor="text1"/>
          <w:sz w:val="22"/>
          <w:szCs w:val="22"/>
        </w:rPr>
        <w:t xml:space="preserve"> </w:t>
      </w:r>
      <w:r w:rsidRPr="23C79CEA" w:rsidR="33ACCE47">
        <w:rPr>
          <w:rFonts w:eastAsia="Arial" w:cs="Arial"/>
          <w:color w:val="000000" w:themeColor="text1"/>
          <w:sz w:val="22"/>
          <w:szCs w:val="22"/>
        </w:rPr>
        <w:t>receiv</w:t>
      </w:r>
      <w:r w:rsidRPr="23C79CEA">
        <w:rPr>
          <w:rFonts w:eastAsia="Arial" w:cs="Arial"/>
          <w:color w:val="000000" w:themeColor="text1"/>
          <w:sz w:val="22"/>
          <w:szCs w:val="22"/>
        </w:rPr>
        <w:t>ing</w:t>
      </w:r>
      <w:r w:rsidRPr="23C79CEA" w:rsidR="225922F2">
        <w:rPr>
          <w:rFonts w:eastAsia="Arial" w:cs="Arial"/>
          <w:color w:val="000000" w:themeColor="text1"/>
          <w:sz w:val="22"/>
          <w:szCs w:val="22"/>
        </w:rPr>
        <w:t xml:space="preserve"> full approval for eligibility under the Carbon Offsetting and Reduction Scheme for International Aviation (CORSIA) compliance phase 1. It was expected that a final decision by the International Civil Aviation Organization (ICAO) would be made in 2025. However,</w:t>
      </w:r>
      <w:r w:rsidRPr="23C79CEA" w:rsidR="009B3C6B">
        <w:rPr>
          <w:rFonts w:eastAsia="Arial" w:cs="Arial"/>
          <w:color w:val="000000" w:themeColor="text1"/>
          <w:sz w:val="22"/>
          <w:szCs w:val="22"/>
        </w:rPr>
        <w:t xml:space="preserve"> whilst other REDD+ standards were </w:t>
      </w:r>
      <w:r w:rsidRPr="23C79CEA" w:rsidR="004D4B75">
        <w:rPr>
          <w:rFonts w:eastAsia="Arial" w:cs="Arial"/>
          <w:color w:val="000000" w:themeColor="text1"/>
          <w:sz w:val="22"/>
          <w:szCs w:val="22"/>
        </w:rPr>
        <w:t>approved, ICAO</w:t>
      </w:r>
      <w:r w:rsidRPr="23C79CEA" w:rsidR="225922F2">
        <w:rPr>
          <w:rFonts w:eastAsia="Arial" w:cs="Arial"/>
          <w:color w:val="000000" w:themeColor="text1"/>
          <w:sz w:val="22"/>
          <w:szCs w:val="22"/>
        </w:rPr>
        <w:t xml:space="preserve"> has delayed </w:t>
      </w:r>
      <w:r w:rsidRPr="23C79CEA" w:rsidR="33ACCE47">
        <w:rPr>
          <w:rFonts w:eastAsia="Arial" w:cs="Arial"/>
          <w:color w:val="000000" w:themeColor="text1"/>
          <w:sz w:val="22"/>
          <w:szCs w:val="22"/>
        </w:rPr>
        <w:t>th</w:t>
      </w:r>
      <w:r w:rsidRPr="23C79CEA">
        <w:rPr>
          <w:rFonts w:eastAsia="Arial" w:cs="Arial"/>
          <w:color w:val="000000" w:themeColor="text1"/>
          <w:sz w:val="22"/>
          <w:szCs w:val="22"/>
        </w:rPr>
        <w:t>e</w:t>
      </w:r>
      <w:r w:rsidRPr="23C79CEA" w:rsidR="225922F2">
        <w:rPr>
          <w:rFonts w:eastAsia="Arial" w:cs="Arial"/>
          <w:color w:val="000000" w:themeColor="text1"/>
          <w:sz w:val="22"/>
          <w:szCs w:val="22"/>
        </w:rPr>
        <w:t xml:space="preserve"> decision</w:t>
      </w:r>
      <w:r w:rsidRPr="23C79CEA" w:rsidR="009B3C6B">
        <w:rPr>
          <w:rFonts w:eastAsia="Arial" w:cs="Arial"/>
          <w:color w:val="000000" w:themeColor="text1"/>
          <w:sz w:val="22"/>
          <w:szCs w:val="22"/>
        </w:rPr>
        <w:t xml:space="preserve"> on FCPF</w:t>
      </w:r>
      <w:r w:rsidRPr="23C79CEA" w:rsidR="225922F2">
        <w:rPr>
          <w:rFonts w:eastAsia="Arial" w:cs="Arial"/>
          <w:color w:val="000000" w:themeColor="text1"/>
          <w:sz w:val="22"/>
          <w:szCs w:val="22"/>
        </w:rPr>
        <w:t xml:space="preserve"> until March 2026. It is disappointing that CORSIA approval has not yet been secured, as doing so would increase demand for FCPF credits, unlock higher prices and potentially leverage significant additional finance for forest countries. Recommendation </w:t>
      </w:r>
      <w:r w:rsidRPr="23C79CEA" w:rsidR="198790D5">
        <w:rPr>
          <w:rFonts w:eastAsia="Arial" w:cs="Arial"/>
          <w:color w:val="000000" w:themeColor="text1"/>
          <w:sz w:val="22"/>
          <w:szCs w:val="22"/>
        </w:rPr>
        <w:t>5</w:t>
      </w:r>
      <w:r w:rsidRPr="23C79CEA" w:rsidR="225922F2">
        <w:rPr>
          <w:rFonts w:eastAsia="Arial" w:cs="Arial"/>
          <w:color w:val="000000" w:themeColor="text1"/>
          <w:sz w:val="22"/>
          <w:szCs w:val="22"/>
        </w:rPr>
        <w:t xml:space="preserve"> calls upon the World Bank and contributors to create and discuss an action plan to ensure CORSIA approval is secured in RP26.</w:t>
      </w:r>
    </w:p>
    <w:p w:rsidRPr="00322410" w:rsidR="1E82D73A" w:rsidP="1E82D73A" w:rsidRDefault="1E82D73A" w14:paraId="00F2AAB2" w14:textId="73F9AFF2">
      <w:pPr>
        <w:jc w:val="both"/>
        <w:rPr>
          <w:rFonts w:cs="Arial"/>
          <w:sz w:val="22"/>
          <w:szCs w:val="22"/>
        </w:rPr>
      </w:pPr>
    </w:p>
    <w:p w:rsidRPr="00322410" w:rsidR="7A2753F0" w:rsidP="11441B16" w:rsidRDefault="7A2753F0" w14:paraId="44F36F02" w14:textId="35D2FDF6">
      <w:pPr>
        <w:jc w:val="both"/>
        <w:rPr>
          <w:rFonts w:cs="Arial"/>
          <w:sz w:val="22"/>
          <w:szCs w:val="22"/>
        </w:rPr>
      </w:pPr>
    </w:p>
    <w:tbl>
      <w:tblPr>
        <w:tblStyle w:val="TableGrid"/>
        <w:tblW w:w="0" w:type="auto"/>
        <w:tblLook w:val="04A0" w:firstRow="1" w:lastRow="0" w:firstColumn="1" w:lastColumn="0" w:noHBand="0" w:noVBand="1"/>
        <w:tblPrChange w:author="" w:id="1965288447">
          <w:tblPr/>
        </w:tblPrChange>
      </w:tblPr>
      <w:tblGrid>
        <w:gridCol w:w="4617"/>
        <w:gridCol w:w="4399"/>
        <w:tblGridChange w:id="840058963">
          <w:tblGrid>
            <w:gridCol w:w="4617"/>
            <w:gridCol w:w="4399"/>
          </w:tblGrid>
        </w:tblGridChange>
      </w:tblGrid>
      <w:tr w:rsidRPr="00322410" w:rsidR="00D0302B" w:rsidTr="0FED6FB9" w14:paraId="4B25CB90" w14:textId="77777777">
        <w:trPr>
          <w:trHeight w:val="300"/>
        </w:trPr>
        <w:tc>
          <w:tcPr>
            <w:tcW w:w="4617" w:type="dxa"/>
            <w:shd w:val="clear" w:color="auto" w:fill="DEEAF6" w:themeFill="accent5" w:themeFillTint="33"/>
            <w:tcMar/>
          </w:tcPr>
          <w:p w:rsidRPr="00322410" w:rsidR="00D0302B" w:rsidP="004D5FD5" w:rsidRDefault="00D0302B" w14:paraId="321EF4D2" w14:textId="77777777">
            <w:pPr>
              <w:jc w:val="both"/>
              <w:rPr>
                <w:rFonts w:cs="Arial"/>
                <w:b/>
                <w:sz w:val="22"/>
                <w:szCs w:val="22"/>
              </w:rPr>
            </w:pPr>
            <w:r w:rsidRPr="00322410">
              <w:rPr>
                <w:rFonts w:cs="Arial"/>
                <w:b/>
                <w:sz w:val="22"/>
                <w:szCs w:val="22"/>
              </w:rPr>
              <w:t>Recommendation</w:t>
            </w:r>
          </w:p>
        </w:tc>
        <w:tc>
          <w:tcPr>
            <w:tcW w:w="4399" w:type="dxa"/>
            <w:shd w:val="clear" w:color="auto" w:fill="DEEAF6" w:themeFill="accent5" w:themeFillTint="33"/>
            <w:tcMar/>
          </w:tcPr>
          <w:p w:rsidRPr="00322410" w:rsidR="00D0302B" w:rsidP="004D5FD5" w:rsidRDefault="00D0302B" w14:paraId="68A2DDD9" w14:textId="3FAD9E3D">
            <w:pPr>
              <w:jc w:val="both"/>
              <w:rPr>
                <w:rFonts w:cs="Arial"/>
                <w:b/>
                <w:sz w:val="22"/>
                <w:szCs w:val="22"/>
              </w:rPr>
            </w:pPr>
            <w:r w:rsidRPr="00322410">
              <w:rPr>
                <w:rFonts w:cs="Arial"/>
                <w:b/>
                <w:sz w:val="22"/>
                <w:szCs w:val="22"/>
              </w:rPr>
              <w:t>Deadline</w:t>
            </w:r>
          </w:p>
        </w:tc>
      </w:tr>
      <w:tr w:rsidRPr="00322410" w:rsidR="00D0302B" w:rsidTr="0FED6FB9" w14:paraId="2775F316" w14:textId="77777777">
        <w:trPr>
          <w:trHeight w:val="300"/>
        </w:trPr>
        <w:tc>
          <w:tcPr>
            <w:tcW w:w="4617" w:type="dxa"/>
            <w:tcMar/>
          </w:tcPr>
          <w:p w:rsidRPr="00322410" w:rsidR="00D0302B" w:rsidP="24FEB5EA" w:rsidRDefault="12A5F64A" w14:paraId="7BE555FE" w14:textId="0BB341C6">
            <w:pPr>
              <w:rPr>
                <w:rFonts w:cs="Arial"/>
                <w:sz w:val="22"/>
                <w:szCs w:val="22"/>
              </w:rPr>
            </w:pPr>
            <w:r w:rsidRPr="00322410">
              <w:rPr>
                <w:rFonts w:cs="Arial"/>
                <w:sz w:val="22"/>
                <w:szCs w:val="22"/>
              </w:rPr>
              <w:t xml:space="preserve">Recommendation 1: DESNZ </w:t>
            </w:r>
            <w:r w:rsidRPr="00322410" w:rsidR="1A02A495">
              <w:rPr>
                <w:rFonts w:cs="Arial"/>
                <w:sz w:val="22"/>
                <w:szCs w:val="22"/>
              </w:rPr>
              <w:t xml:space="preserve">and World Bank </w:t>
            </w:r>
            <w:r w:rsidRPr="00322410">
              <w:rPr>
                <w:rFonts w:cs="Arial"/>
                <w:sz w:val="22"/>
                <w:szCs w:val="22"/>
              </w:rPr>
              <w:t xml:space="preserve">to update </w:t>
            </w:r>
            <w:r w:rsidRPr="00322410" w:rsidR="56AFEEBE">
              <w:rPr>
                <w:rFonts w:cs="Arial"/>
                <w:sz w:val="22"/>
                <w:szCs w:val="22"/>
              </w:rPr>
              <w:t>their logframes:</w:t>
            </w:r>
          </w:p>
          <w:p w:rsidRPr="00322410" w:rsidR="5C6D26D1" w:rsidP="5C6D26D1" w:rsidRDefault="1CFD7C66" w14:paraId="2CF859B8" w14:textId="22C33523">
            <w:pPr>
              <w:pStyle w:val="ListParagraph"/>
              <w:numPr>
                <w:ilvl w:val="0"/>
                <w:numId w:val="10"/>
              </w:numPr>
              <w:rPr>
                <w:sz w:val="22"/>
                <w:szCs w:val="22"/>
              </w:rPr>
            </w:pPr>
            <w:r w:rsidRPr="00322410">
              <w:rPr>
                <w:sz w:val="22"/>
                <w:szCs w:val="22"/>
              </w:rPr>
              <w:t xml:space="preserve">DESNZ to review impact and outcome indicators to ensure they reflect </w:t>
            </w:r>
            <w:r w:rsidRPr="00322410" w:rsidR="3A86DA76">
              <w:rPr>
                <w:sz w:val="22"/>
                <w:szCs w:val="22"/>
              </w:rPr>
              <w:t>the impact statement and wider outcomes.</w:t>
            </w:r>
          </w:p>
          <w:p w:rsidRPr="00322410" w:rsidR="7C736EED" w:rsidP="691F59A2" w:rsidRDefault="7C736EED" w14:paraId="265D143A" w14:textId="0CC1BF55">
            <w:pPr>
              <w:pStyle w:val="ListParagraph"/>
              <w:numPr>
                <w:ilvl w:val="0"/>
                <w:numId w:val="10"/>
              </w:numPr>
              <w:rPr>
                <w:sz w:val="22"/>
                <w:szCs w:val="22"/>
              </w:rPr>
            </w:pPr>
            <w:r w:rsidRPr="00322410">
              <w:rPr>
                <w:sz w:val="22"/>
                <w:szCs w:val="22"/>
              </w:rPr>
              <w:t xml:space="preserve">DESNZ to </w:t>
            </w:r>
            <w:r w:rsidRPr="00322410" w:rsidR="00736E3B">
              <w:rPr>
                <w:sz w:val="22"/>
                <w:szCs w:val="22"/>
              </w:rPr>
              <w:t>consider bringing the wording of outcome indicators 1.1, 1.2 and 1.4 in line with the corresponding World Bank indicators to ensure that indicators and reported results are aligned.</w:t>
            </w:r>
          </w:p>
          <w:p w:rsidRPr="00322410" w:rsidR="25E09B19" w:rsidP="1CD98E35" w:rsidRDefault="25E09B19" w14:paraId="62F0BE27" w14:textId="5A2EB6A9">
            <w:pPr>
              <w:pStyle w:val="ListParagraph"/>
              <w:numPr>
                <w:ilvl w:val="0"/>
                <w:numId w:val="10"/>
              </w:numPr>
            </w:pPr>
            <w:r w:rsidRPr="00322410">
              <w:rPr>
                <w:rFonts w:cs="Arial"/>
                <w:sz w:val="22"/>
                <w:szCs w:val="22"/>
              </w:rPr>
              <w:t>DESNZ to update output indicator 1.1, “</w:t>
            </w:r>
            <w:r w:rsidRPr="00322410" w:rsidR="4C459BF5">
              <w:rPr>
                <w:rFonts w:cs="Arial"/>
                <w:sz w:val="22"/>
                <w:szCs w:val="22"/>
              </w:rPr>
              <w:t xml:space="preserve">a) </w:t>
            </w:r>
            <w:proofErr w:type="gramStart"/>
            <w:r w:rsidRPr="00322410">
              <w:rPr>
                <w:rFonts w:cs="Arial"/>
                <w:sz w:val="22"/>
                <w:szCs w:val="22"/>
              </w:rPr>
              <w:t>Amount</w:t>
            </w:r>
            <w:proofErr w:type="gramEnd"/>
            <w:r w:rsidRPr="00322410">
              <w:rPr>
                <w:rFonts w:cs="Arial"/>
                <w:sz w:val="22"/>
                <w:szCs w:val="22"/>
              </w:rPr>
              <w:t xml:space="preserve"> of disbursements for ER payments</w:t>
            </w:r>
            <w:r w:rsidRPr="00322410" w:rsidR="3E613C35">
              <w:rPr>
                <w:rFonts w:cs="Arial"/>
                <w:sz w:val="22"/>
                <w:szCs w:val="22"/>
              </w:rPr>
              <w:t xml:space="preserve"> and b)</w:t>
            </w:r>
            <w:r w:rsidRPr="00322410">
              <w:rPr>
                <w:rFonts w:cs="Arial"/>
                <w:sz w:val="22"/>
                <w:szCs w:val="22"/>
              </w:rPr>
              <w:t xml:space="preserve"> a</w:t>
            </w:r>
            <w:r w:rsidRPr="00322410">
              <w:rPr>
                <w:sz w:val="22"/>
                <w:szCs w:val="22"/>
              </w:rPr>
              <w:t>ctual ERs purchased by CF as % of originally committed ERs”</w:t>
            </w:r>
            <w:r w:rsidRPr="00322410" w:rsidR="5B86EE5B">
              <w:rPr>
                <w:sz w:val="22"/>
                <w:szCs w:val="22"/>
              </w:rPr>
              <w:t>,</w:t>
            </w:r>
            <w:r w:rsidRPr="00322410">
              <w:rPr>
                <w:sz w:val="22"/>
                <w:szCs w:val="22"/>
              </w:rPr>
              <w:t xml:space="preserve"> to “</w:t>
            </w:r>
            <w:r w:rsidRPr="00322410" w:rsidR="0312C3E4">
              <w:rPr>
                <w:sz w:val="22"/>
                <w:szCs w:val="22"/>
              </w:rPr>
              <w:t>Volume of ERs monetised, disaggregated by payer types (e.g. CFPs, sovereign countries, non-profit, private sector)."</w:t>
            </w:r>
          </w:p>
          <w:p w:rsidRPr="00322410" w:rsidR="33FD475E" w:rsidP="00F8289A" w:rsidRDefault="33FD475E" w14:paraId="6C9EAE5D" w14:textId="059728B5">
            <w:pPr>
              <w:pStyle w:val="ListParagraph"/>
              <w:numPr>
                <w:ilvl w:val="0"/>
                <w:numId w:val="10"/>
              </w:numPr>
              <w:rPr>
                <w:rFonts w:cs="Arial"/>
                <w:sz w:val="22"/>
                <w:szCs w:val="22"/>
              </w:rPr>
            </w:pPr>
            <w:r w:rsidRPr="00322410">
              <w:rPr>
                <w:rFonts w:cs="Arial"/>
                <w:sz w:val="22"/>
                <w:szCs w:val="22"/>
              </w:rPr>
              <w:t>DESNZ and World Bank to discuss how to measure third-party purchases of ERs under output indicator 1.1.</w:t>
            </w:r>
          </w:p>
          <w:p w:rsidRPr="00322410" w:rsidR="00BD75CA" w:rsidP="00F8289A" w:rsidRDefault="00BD75CA" w14:paraId="1106302A" w14:textId="22B483CE">
            <w:pPr>
              <w:pStyle w:val="ListParagraph"/>
              <w:numPr>
                <w:ilvl w:val="0"/>
                <w:numId w:val="10"/>
              </w:numPr>
              <w:rPr>
                <w:rFonts w:cs="Arial"/>
                <w:sz w:val="22"/>
                <w:szCs w:val="22"/>
              </w:rPr>
            </w:pPr>
            <w:r w:rsidRPr="00322410">
              <w:rPr>
                <w:rFonts w:cs="Arial"/>
                <w:sz w:val="22"/>
                <w:szCs w:val="22"/>
              </w:rPr>
              <w:t xml:space="preserve">DESNZ and World Bank to discuss updating the </w:t>
            </w:r>
            <w:r w:rsidRPr="00322410" w:rsidR="00CD156F">
              <w:rPr>
                <w:rFonts w:cs="Arial"/>
                <w:sz w:val="22"/>
                <w:szCs w:val="22"/>
              </w:rPr>
              <w:t xml:space="preserve">milestones for output indicator 1.2, “Efficient implementation of ER programmes”, </w:t>
            </w:r>
            <w:proofErr w:type="gramStart"/>
            <w:r w:rsidRPr="00322410" w:rsidR="00CD156F">
              <w:rPr>
                <w:rFonts w:cs="Arial"/>
                <w:sz w:val="22"/>
                <w:szCs w:val="22"/>
              </w:rPr>
              <w:t>due to the fact that</w:t>
            </w:r>
            <w:proofErr w:type="gramEnd"/>
            <w:r w:rsidRPr="00322410" w:rsidR="00CD156F">
              <w:rPr>
                <w:rFonts w:cs="Arial"/>
                <w:sz w:val="22"/>
                <w:szCs w:val="22"/>
              </w:rPr>
              <w:t xml:space="preserve"> some countries </w:t>
            </w:r>
            <w:r w:rsidRPr="00322410" w:rsidR="00797025">
              <w:rPr>
                <w:rFonts w:cs="Arial"/>
                <w:sz w:val="22"/>
                <w:szCs w:val="22"/>
              </w:rPr>
              <w:t>are merging reporting periods.</w:t>
            </w:r>
          </w:p>
          <w:p w:rsidRPr="00322410" w:rsidR="070E27F0" w:rsidP="070E27F0" w:rsidRDefault="5A1DA993" w14:paraId="6AD948C1" w14:textId="01A916E4">
            <w:pPr>
              <w:pStyle w:val="ListParagraph"/>
              <w:numPr>
                <w:ilvl w:val="0"/>
                <w:numId w:val="10"/>
              </w:numPr>
              <w:rPr>
                <w:rFonts w:cs="Arial"/>
                <w:sz w:val="22"/>
                <w:szCs w:val="22"/>
              </w:rPr>
            </w:pPr>
            <w:r w:rsidRPr="00322410">
              <w:rPr>
                <w:rFonts w:cs="Arial"/>
                <w:sz w:val="22"/>
                <w:szCs w:val="22"/>
              </w:rPr>
              <w:t>DESNZ and World Bank to review the evidence source for output indicator 1.2 so that monitoring reports that have been validated and verified, but not necessarily published, can be included in the result.</w:t>
            </w:r>
          </w:p>
          <w:p w:rsidRPr="00322410" w:rsidR="5A1DA993" w:rsidP="1CAC9153" w:rsidRDefault="5A1DA993" w14:paraId="10335A8C" w14:textId="1C2BEB5F">
            <w:pPr>
              <w:pStyle w:val="ListParagraph"/>
              <w:numPr>
                <w:ilvl w:val="0"/>
                <w:numId w:val="10"/>
              </w:numPr>
              <w:rPr>
                <w:rFonts w:cs="Arial"/>
                <w:sz w:val="22"/>
                <w:szCs w:val="22"/>
              </w:rPr>
            </w:pPr>
            <w:r w:rsidRPr="00322410">
              <w:rPr>
                <w:rFonts w:cs="Arial"/>
                <w:sz w:val="22"/>
                <w:szCs w:val="22"/>
              </w:rPr>
              <w:t>DESNZ to revise the methodology for output indicators 2.1 and 3.1 so that they can be reported on annually.</w:t>
            </w:r>
          </w:p>
          <w:p w:rsidRPr="00322410" w:rsidR="00D0302B" w:rsidP="00F8289A" w:rsidRDefault="56AFEEBE" w14:paraId="01D3225B" w14:textId="359CC593">
            <w:pPr>
              <w:pStyle w:val="ListParagraph"/>
              <w:numPr>
                <w:ilvl w:val="0"/>
                <w:numId w:val="10"/>
              </w:numPr>
              <w:rPr>
                <w:rFonts w:cs="Arial"/>
                <w:sz w:val="22"/>
                <w:szCs w:val="22"/>
              </w:rPr>
            </w:pPr>
            <w:r w:rsidRPr="00322410">
              <w:rPr>
                <w:rFonts w:cs="Arial"/>
                <w:sz w:val="22"/>
                <w:szCs w:val="22"/>
              </w:rPr>
              <w:t>DESNZ to c</w:t>
            </w:r>
            <w:r w:rsidRPr="00322410" w:rsidR="3F00BC70">
              <w:rPr>
                <w:rFonts w:cs="Arial"/>
                <w:sz w:val="22"/>
                <w:szCs w:val="22"/>
              </w:rPr>
              <w:t>alculate interim milestones for output indicator 2.2, “Percentage of carbon benefits paid from CF programmes shared with beneficiaries (disaggregated by gender, CSOs, IPs, LCs).</w:t>
            </w:r>
          </w:p>
          <w:p w:rsidRPr="00322410" w:rsidR="00D0302B" w:rsidP="00F8289A" w:rsidRDefault="35452D98" w14:paraId="03FF2537" w14:textId="5AF84C55">
            <w:pPr>
              <w:pStyle w:val="ListParagraph"/>
              <w:numPr>
                <w:ilvl w:val="0"/>
                <w:numId w:val="10"/>
              </w:numPr>
              <w:rPr>
                <w:rFonts w:cs="Arial"/>
                <w:sz w:val="22"/>
                <w:szCs w:val="22"/>
              </w:rPr>
            </w:pPr>
            <w:r w:rsidRPr="00322410">
              <w:rPr>
                <w:rFonts w:cs="Arial"/>
                <w:sz w:val="22"/>
                <w:szCs w:val="22"/>
              </w:rPr>
              <w:t xml:space="preserve">World Bank to </w:t>
            </w:r>
            <w:r w:rsidRPr="00322410" w:rsidR="03F7B908">
              <w:rPr>
                <w:rFonts w:cs="Arial"/>
                <w:sz w:val="22"/>
                <w:szCs w:val="22"/>
              </w:rPr>
              <w:t>consider</w:t>
            </w:r>
            <w:r w:rsidRPr="00322410">
              <w:rPr>
                <w:rFonts w:cs="Arial"/>
                <w:sz w:val="22"/>
                <w:szCs w:val="22"/>
              </w:rPr>
              <w:t xml:space="preserve"> revising output indicator 4.3b, “Number of non-FCPF programmes and countries that have adopted elements of the FCPF Methodological Framework within their own REDD+ processes”</w:t>
            </w:r>
            <w:r w:rsidRPr="00322410" w:rsidR="5E4DE700">
              <w:rPr>
                <w:rFonts w:cs="Arial"/>
                <w:sz w:val="22"/>
                <w:szCs w:val="22"/>
              </w:rPr>
              <w:t>, as evaluations so far have only provided qualitative evidence.</w:t>
            </w:r>
          </w:p>
        </w:tc>
        <w:tc>
          <w:tcPr>
            <w:tcW w:w="4399" w:type="dxa"/>
            <w:tcMar/>
          </w:tcPr>
          <w:p w:rsidRPr="00322410" w:rsidR="00D0302B" w:rsidP="58EE6181" w:rsidRDefault="3DB8C58D" w14:paraId="6E43508C" w14:textId="5303166C">
            <w:pPr>
              <w:rPr>
                <w:rFonts w:cs="Arial"/>
                <w:sz w:val="22"/>
                <w:szCs w:val="22"/>
              </w:rPr>
            </w:pPr>
            <w:r w:rsidRPr="00322410">
              <w:rPr>
                <w:rFonts w:cs="Arial"/>
                <w:sz w:val="22"/>
                <w:szCs w:val="22"/>
              </w:rPr>
              <w:t>28 February</w:t>
            </w:r>
            <w:r w:rsidRPr="00322410" w:rsidR="63E7D9D7">
              <w:rPr>
                <w:rFonts w:cs="Arial"/>
                <w:sz w:val="22"/>
                <w:szCs w:val="22"/>
              </w:rPr>
              <w:t xml:space="preserve"> 2026</w:t>
            </w:r>
          </w:p>
        </w:tc>
      </w:tr>
      <w:tr w:rsidRPr="00322410" w:rsidR="00D0302B" w:rsidTr="0FED6FB9" w14:paraId="50A30B87" w14:textId="77777777">
        <w:trPr>
          <w:trHeight w:val="300"/>
        </w:trPr>
        <w:tc>
          <w:tcPr>
            <w:tcW w:w="4617" w:type="dxa"/>
            <w:tcMar/>
          </w:tcPr>
          <w:p w:rsidRPr="00322410" w:rsidR="00D0302B" w:rsidP="6E839E87" w:rsidRDefault="1E4066CE" w14:paraId="44098FC0" w14:textId="22BE76AF">
            <w:pPr>
              <w:rPr>
                <w:rFonts w:eastAsia="Arial" w:cs="Arial"/>
                <w:color w:val="000000" w:themeColor="text1"/>
                <w:sz w:val="22"/>
                <w:szCs w:val="22"/>
              </w:rPr>
            </w:pPr>
            <w:r w:rsidRPr="2C0DF5FE" w:rsidR="1E4066CE">
              <w:rPr>
                <w:rFonts w:eastAsia="Arial" w:cs="Arial"/>
                <w:color w:val="000000" w:themeColor="text1" w:themeTint="FF" w:themeShade="FF"/>
                <w:sz w:val="22"/>
                <w:szCs w:val="22"/>
              </w:rPr>
              <w:t xml:space="preserve">Recommendation 2: World Bank to </w:t>
            </w:r>
            <w:r w:rsidRPr="2C0DF5FE" w:rsidR="42303339">
              <w:rPr>
                <w:rFonts w:eastAsia="Arial" w:cs="Arial"/>
                <w:color w:val="000000" w:themeColor="text1" w:themeTint="FF" w:themeShade="FF"/>
                <w:sz w:val="22"/>
                <w:szCs w:val="22"/>
              </w:rPr>
              <w:t>develop and implement an action plan for post-ERPA monitoring of all benefit-sharing plans.</w:t>
            </w:r>
          </w:p>
        </w:tc>
        <w:tc>
          <w:tcPr>
            <w:tcW w:w="4399" w:type="dxa"/>
            <w:tcMar/>
          </w:tcPr>
          <w:p w:rsidRPr="00322410" w:rsidR="00D0302B" w:rsidP="5EDC3156" w:rsidRDefault="7F8D941C" w14:paraId="3DDC89E6" w14:textId="42027AA9">
            <w:pPr>
              <w:rPr>
                <w:rFonts w:cs="Arial"/>
                <w:sz w:val="22"/>
                <w:szCs w:val="22"/>
              </w:rPr>
            </w:pPr>
            <w:r w:rsidRPr="00322410">
              <w:rPr>
                <w:rFonts w:cs="Arial"/>
                <w:sz w:val="22"/>
                <w:szCs w:val="22"/>
              </w:rPr>
              <w:t>30 June 2026</w:t>
            </w:r>
          </w:p>
        </w:tc>
      </w:tr>
      <w:tr w:rsidRPr="00322410" w:rsidR="00475DDA" w:rsidTr="0FED6FB9" w14:paraId="343D0381" w14:textId="77777777">
        <w:trPr>
          <w:trHeight w:val="300"/>
        </w:trPr>
        <w:tc>
          <w:tcPr>
            <w:tcW w:w="4617" w:type="dxa"/>
            <w:tcMar/>
          </w:tcPr>
          <w:p w:rsidRPr="00322410" w:rsidR="00475DDA" w:rsidP="0A209A12" w:rsidRDefault="00475DDA" w14:paraId="57EB75E8" w14:textId="054707A9">
            <w:pPr>
              <w:rPr>
                <w:rFonts w:cs="Arial"/>
                <w:sz w:val="22"/>
                <w:szCs w:val="22"/>
              </w:rPr>
            </w:pPr>
            <w:r w:rsidRPr="2896A8AF">
              <w:rPr>
                <w:rFonts w:cs="Arial"/>
                <w:sz w:val="22"/>
                <w:szCs w:val="22"/>
              </w:rPr>
              <w:t xml:space="preserve">Recommendation </w:t>
            </w:r>
            <w:r w:rsidRPr="2896A8AF" w:rsidR="00EB1B05">
              <w:rPr>
                <w:rFonts w:cs="Arial"/>
                <w:sz w:val="22"/>
                <w:szCs w:val="22"/>
              </w:rPr>
              <w:t>3</w:t>
            </w:r>
            <w:r w:rsidRPr="2896A8AF">
              <w:rPr>
                <w:rFonts w:cs="Arial"/>
                <w:sz w:val="22"/>
                <w:szCs w:val="22"/>
              </w:rPr>
              <w:t xml:space="preserve">: World Bank and contributors to discuss the </w:t>
            </w:r>
            <w:r w:rsidRPr="2896A8AF" w:rsidR="63B3CE26">
              <w:rPr>
                <w:rFonts w:cs="Arial"/>
                <w:sz w:val="22"/>
                <w:szCs w:val="22"/>
              </w:rPr>
              <w:t xml:space="preserve">World Bank sharing the </w:t>
            </w:r>
            <w:r w:rsidRPr="2896A8AF">
              <w:rPr>
                <w:rFonts w:cs="Arial"/>
                <w:sz w:val="22"/>
                <w:szCs w:val="22"/>
              </w:rPr>
              <w:t>draft results framework</w:t>
            </w:r>
            <w:r w:rsidRPr="2896A8AF" w:rsidR="6A7C4F0A">
              <w:rPr>
                <w:rFonts w:cs="Arial"/>
                <w:sz w:val="22"/>
                <w:szCs w:val="22"/>
              </w:rPr>
              <w:t xml:space="preserve"> </w:t>
            </w:r>
            <w:r w:rsidRPr="2896A8AF">
              <w:rPr>
                <w:rFonts w:cs="Arial"/>
                <w:sz w:val="22"/>
                <w:szCs w:val="22"/>
              </w:rPr>
              <w:t>with the UK in advance of the Annual Report deadline for UK reporting purposes.</w:t>
            </w:r>
          </w:p>
        </w:tc>
        <w:tc>
          <w:tcPr>
            <w:tcW w:w="4399" w:type="dxa"/>
            <w:tcMar/>
          </w:tcPr>
          <w:p w:rsidRPr="00322410" w:rsidR="00475DDA" w:rsidP="0A209A12" w:rsidRDefault="00475DDA" w14:paraId="7F171992" w14:textId="166E8419">
            <w:pPr>
              <w:rPr>
                <w:rFonts w:cs="Arial"/>
                <w:sz w:val="22"/>
                <w:szCs w:val="22"/>
              </w:rPr>
            </w:pPr>
            <w:r w:rsidRPr="00322410">
              <w:rPr>
                <w:rFonts w:cs="Arial"/>
                <w:sz w:val="22"/>
                <w:szCs w:val="22"/>
              </w:rPr>
              <w:t>30 June 2026</w:t>
            </w:r>
          </w:p>
        </w:tc>
      </w:tr>
      <w:tr w:rsidRPr="00322410" w:rsidR="4B9554B7" w:rsidTr="0FED6FB9" w14:paraId="6BF0B8D2" w14:textId="77777777">
        <w:trPr>
          <w:trHeight w:val="300"/>
        </w:trPr>
        <w:tc>
          <w:tcPr>
            <w:tcW w:w="4617" w:type="dxa"/>
            <w:tcMar/>
          </w:tcPr>
          <w:p w:rsidRPr="00322410" w:rsidR="5EE1A2F8" w:rsidP="4CFBC3D1" w:rsidRDefault="5EE1A2F8" w14:paraId="197057BF" w14:textId="145338DD">
            <w:pPr>
              <w:rPr>
                <w:rFonts w:eastAsia="Arial" w:cs="Arial"/>
                <w:sz w:val="22"/>
                <w:szCs w:val="22"/>
              </w:rPr>
            </w:pPr>
            <w:r w:rsidRPr="00322410">
              <w:rPr>
                <w:rFonts w:cs="Arial"/>
                <w:sz w:val="22"/>
                <w:szCs w:val="22"/>
              </w:rPr>
              <w:t xml:space="preserve">Recommendation </w:t>
            </w:r>
            <w:r w:rsidRPr="00322410" w:rsidR="1B546934">
              <w:rPr>
                <w:rFonts w:cs="Arial"/>
                <w:sz w:val="22"/>
                <w:szCs w:val="22"/>
              </w:rPr>
              <w:t>4</w:t>
            </w:r>
            <w:r w:rsidRPr="00322410">
              <w:rPr>
                <w:rFonts w:cs="Arial"/>
                <w:sz w:val="22"/>
                <w:szCs w:val="22"/>
              </w:rPr>
              <w:t xml:space="preserve">: World Bank to hold a dedicated session with contributors to discuss </w:t>
            </w:r>
            <w:r w:rsidRPr="00322410" w:rsidR="039C50B4">
              <w:rPr>
                <w:rFonts w:eastAsia="Arial" w:cs="Arial"/>
                <w:color w:val="000000" w:themeColor="text1"/>
                <w:sz w:val="22"/>
                <w:szCs w:val="22"/>
              </w:rPr>
              <w:t>key topics such as delays to validation and verification processes, challenges with the implementation of benefit-sharing plans and the potential uses of uncommitted fund</w:t>
            </w:r>
            <w:r w:rsidRPr="00322410">
              <w:rPr>
                <w:rFonts w:cs="Arial"/>
                <w:sz w:val="22"/>
                <w:szCs w:val="22"/>
              </w:rPr>
              <w:t>s.</w:t>
            </w:r>
          </w:p>
        </w:tc>
        <w:tc>
          <w:tcPr>
            <w:tcW w:w="4399" w:type="dxa"/>
            <w:tcMar/>
          </w:tcPr>
          <w:p w:rsidRPr="00322410" w:rsidR="4B9554B7" w:rsidP="45860DB8" w:rsidRDefault="5EE1A2F8" w14:paraId="6510FE36" w14:textId="59228245">
            <w:pPr>
              <w:rPr>
                <w:rFonts w:cs="Arial"/>
                <w:sz w:val="22"/>
                <w:szCs w:val="22"/>
              </w:rPr>
            </w:pPr>
            <w:r w:rsidRPr="00322410">
              <w:rPr>
                <w:rFonts w:cs="Arial"/>
                <w:sz w:val="22"/>
                <w:szCs w:val="22"/>
              </w:rPr>
              <w:t>30 Jun</w:t>
            </w:r>
            <w:r w:rsidRPr="00322410" w:rsidR="2ECBAFA1">
              <w:rPr>
                <w:rFonts w:cs="Arial"/>
                <w:sz w:val="22"/>
                <w:szCs w:val="22"/>
              </w:rPr>
              <w:t>e</w:t>
            </w:r>
            <w:r w:rsidRPr="00322410">
              <w:rPr>
                <w:rFonts w:cs="Arial"/>
                <w:sz w:val="22"/>
                <w:szCs w:val="22"/>
              </w:rPr>
              <w:t xml:space="preserve"> 2026</w:t>
            </w:r>
          </w:p>
        </w:tc>
      </w:tr>
      <w:tr w:rsidRPr="00322410" w:rsidR="60367C2E" w:rsidTr="0FED6FB9" w14:paraId="5E3B0EB0" w14:textId="77777777">
        <w:trPr>
          <w:trHeight w:val="300"/>
        </w:trPr>
        <w:tc>
          <w:tcPr>
            <w:tcW w:w="4617" w:type="dxa"/>
            <w:tcMar/>
          </w:tcPr>
          <w:p w:rsidRPr="00322410" w:rsidR="60367C2E" w:rsidP="60367C2E" w:rsidRDefault="60367C2E" w14:paraId="05E7D739" w14:textId="6E3D0E32">
            <w:pPr>
              <w:rPr>
                <w:rFonts w:eastAsia="Arial" w:cs="Arial"/>
                <w:color w:val="000000" w:themeColor="text1"/>
                <w:sz w:val="22"/>
                <w:szCs w:val="22"/>
              </w:rPr>
            </w:pPr>
            <w:r w:rsidRPr="00322410">
              <w:rPr>
                <w:rFonts w:eastAsia="Arial" w:cs="Arial"/>
                <w:color w:val="000000" w:themeColor="text1"/>
                <w:sz w:val="22"/>
                <w:szCs w:val="22"/>
              </w:rPr>
              <w:t xml:space="preserve">Recommendation </w:t>
            </w:r>
            <w:r w:rsidRPr="00322410" w:rsidR="63F97F62">
              <w:rPr>
                <w:rFonts w:eastAsia="Arial" w:cs="Arial"/>
                <w:color w:val="000000" w:themeColor="text1"/>
                <w:sz w:val="22"/>
                <w:szCs w:val="22"/>
              </w:rPr>
              <w:t>5</w:t>
            </w:r>
            <w:r w:rsidRPr="00322410">
              <w:rPr>
                <w:rFonts w:eastAsia="Arial" w:cs="Arial"/>
                <w:color w:val="000000" w:themeColor="text1"/>
                <w:sz w:val="22"/>
                <w:szCs w:val="22"/>
              </w:rPr>
              <w:t>: World Bank and contributors to implement an action plan to ensure full CORSIA phase 1 eligibility is secured.</w:t>
            </w:r>
          </w:p>
        </w:tc>
        <w:tc>
          <w:tcPr>
            <w:tcW w:w="4399" w:type="dxa"/>
            <w:tcMar/>
          </w:tcPr>
          <w:p w:rsidRPr="00322410" w:rsidR="60367C2E" w:rsidP="60367C2E" w:rsidRDefault="60367C2E" w14:paraId="55AFB575" w14:textId="19E220D3">
            <w:pPr>
              <w:rPr>
                <w:rFonts w:eastAsia="Arial" w:cs="Arial"/>
                <w:color w:val="000000" w:themeColor="text1"/>
                <w:sz w:val="22"/>
                <w:szCs w:val="22"/>
              </w:rPr>
            </w:pPr>
            <w:r w:rsidRPr="00322410">
              <w:rPr>
                <w:rFonts w:eastAsia="Arial" w:cs="Arial"/>
                <w:color w:val="000000" w:themeColor="text1"/>
                <w:sz w:val="22"/>
                <w:szCs w:val="22"/>
              </w:rPr>
              <w:t>31 March 2025</w:t>
            </w:r>
          </w:p>
        </w:tc>
      </w:tr>
      <w:tr w:rsidRPr="00322410" w:rsidR="4A320B81" w:rsidTr="0FED6FB9" w14:paraId="16EF8932" w14:textId="77777777">
        <w:trPr>
          <w:trHeight w:val="300"/>
        </w:trPr>
        <w:tc>
          <w:tcPr>
            <w:tcW w:w="4617" w:type="dxa"/>
            <w:tcMar/>
          </w:tcPr>
          <w:p w:rsidRPr="00322410" w:rsidR="3288AF84" w:rsidP="4A320B81" w:rsidRDefault="3288AF84" w14:paraId="75FA8AC0" w14:textId="64ED2FF5">
            <w:pPr>
              <w:rPr>
                <w:rFonts w:eastAsia="Arial" w:cs="Arial"/>
                <w:color w:val="000000" w:themeColor="text1"/>
                <w:sz w:val="22"/>
                <w:szCs w:val="22"/>
              </w:rPr>
            </w:pPr>
            <w:r w:rsidRPr="00322410">
              <w:rPr>
                <w:rFonts w:eastAsia="Arial" w:cs="Arial"/>
                <w:color w:val="000000" w:themeColor="text1"/>
                <w:sz w:val="22"/>
                <w:szCs w:val="22"/>
              </w:rPr>
              <w:t xml:space="preserve">Recommendation </w:t>
            </w:r>
            <w:r w:rsidRPr="00322410" w:rsidR="6F267D20">
              <w:rPr>
                <w:rFonts w:eastAsia="Arial" w:cs="Arial"/>
                <w:color w:val="000000" w:themeColor="text1"/>
                <w:sz w:val="22"/>
                <w:szCs w:val="22"/>
              </w:rPr>
              <w:t>6</w:t>
            </w:r>
            <w:r w:rsidRPr="00322410">
              <w:rPr>
                <w:rFonts w:eastAsia="Arial" w:cs="Arial"/>
                <w:color w:val="000000" w:themeColor="text1"/>
                <w:sz w:val="22"/>
                <w:szCs w:val="22"/>
              </w:rPr>
              <w:t>: World Bank to continue work to engage potential third-party buyers of FCPF credits.</w:t>
            </w:r>
          </w:p>
        </w:tc>
        <w:tc>
          <w:tcPr>
            <w:tcW w:w="4399" w:type="dxa"/>
            <w:tcMar/>
          </w:tcPr>
          <w:p w:rsidRPr="00322410" w:rsidR="4A320B81" w:rsidP="4A320B81" w:rsidRDefault="3288AF84" w14:paraId="2F864E68" w14:textId="1CE431A0">
            <w:pPr>
              <w:rPr>
                <w:rFonts w:eastAsia="Arial" w:cs="Arial"/>
                <w:color w:val="000000" w:themeColor="text1"/>
                <w:sz w:val="22"/>
                <w:szCs w:val="22"/>
              </w:rPr>
            </w:pPr>
            <w:r w:rsidRPr="00322410">
              <w:rPr>
                <w:rFonts w:eastAsia="Arial" w:cs="Arial"/>
                <w:color w:val="000000" w:themeColor="text1"/>
                <w:sz w:val="22"/>
                <w:szCs w:val="22"/>
              </w:rPr>
              <w:t>30 June 2026</w:t>
            </w:r>
          </w:p>
        </w:tc>
      </w:tr>
      <w:tr w:rsidRPr="00322410" w:rsidR="44EFF279" w:rsidTr="0FED6FB9" w14:paraId="723E7051" w14:textId="77777777">
        <w:trPr>
          <w:trHeight w:val="300"/>
        </w:trPr>
        <w:tc>
          <w:tcPr>
            <w:tcW w:w="4617" w:type="dxa"/>
            <w:tcMar/>
          </w:tcPr>
          <w:p w:rsidRPr="00322410" w:rsidR="5B4E2A00" w:rsidP="44EFF279" w:rsidRDefault="28D95343" w14:paraId="5CFA20F7" w14:textId="7764CC35">
            <w:pPr>
              <w:rPr>
                <w:rFonts w:eastAsia="Arial" w:cs="Arial"/>
                <w:color w:val="000000" w:themeColor="text1"/>
                <w:sz w:val="22"/>
                <w:szCs w:val="22"/>
              </w:rPr>
            </w:pPr>
            <w:r w:rsidRPr="00322410">
              <w:rPr>
                <w:rFonts w:eastAsia="Arial" w:cs="Arial"/>
                <w:color w:val="000000" w:themeColor="text1"/>
                <w:sz w:val="22"/>
                <w:szCs w:val="22"/>
              </w:rPr>
              <w:t xml:space="preserve">Recommendation </w:t>
            </w:r>
            <w:r w:rsidRPr="00322410" w:rsidR="1EC3E28E">
              <w:rPr>
                <w:rFonts w:eastAsia="Arial" w:cs="Arial"/>
                <w:color w:val="000000" w:themeColor="text1"/>
                <w:sz w:val="22"/>
                <w:szCs w:val="22"/>
              </w:rPr>
              <w:t>7</w:t>
            </w:r>
            <w:r w:rsidRPr="00322410">
              <w:rPr>
                <w:rFonts w:eastAsia="Arial" w:cs="Arial"/>
                <w:color w:val="000000" w:themeColor="text1"/>
                <w:sz w:val="22"/>
                <w:szCs w:val="22"/>
              </w:rPr>
              <w:t xml:space="preserve">: World Bank to provide information on </w:t>
            </w:r>
            <w:r w:rsidRPr="00322410" w:rsidR="152193F2">
              <w:rPr>
                <w:rFonts w:eastAsia="Arial" w:cs="Arial"/>
                <w:color w:val="000000" w:themeColor="text1"/>
                <w:sz w:val="22"/>
                <w:szCs w:val="22"/>
              </w:rPr>
              <w:t>expected total ER payments and underspend at end of programme. UK to consider how to manage anticipated unspent funds.</w:t>
            </w:r>
          </w:p>
        </w:tc>
        <w:tc>
          <w:tcPr>
            <w:tcW w:w="4399" w:type="dxa"/>
            <w:tcMar/>
          </w:tcPr>
          <w:p w:rsidRPr="00322410" w:rsidR="44EFF279" w:rsidP="44EFF279" w:rsidRDefault="5C326456" w14:paraId="29084CFB" w14:textId="22C4E25A">
            <w:pPr>
              <w:rPr>
                <w:rFonts w:eastAsia="Arial" w:cs="Arial"/>
                <w:color w:val="000000" w:themeColor="text1"/>
                <w:sz w:val="22"/>
                <w:szCs w:val="22"/>
              </w:rPr>
            </w:pPr>
            <w:r w:rsidRPr="00322410">
              <w:rPr>
                <w:rFonts w:eastAsia="Arial" w:cs="Arial"/>
                <w:color w:val="000000" w:themeColor="text1"/>
                <w:sz w:val="22"/>
                <w:szCs w:val="22"/>
              </w:rPr>
              <w:t>30 June 2026</w:t>
            </w:r>
          </w:p>
        </w:tc>
      </w:tr>
    </w:tbl>
    <w:p w:rsidRPr="00322410" w:rsidR="00CB2873" w:rsidP="004D5FD5" w:rsidRDefault="00CB2873" w14:paraId="7F17C967" w14:textId="3FE98CBF">
      <w:pPr>
        <w:jc w:val="both"/>
      </w:pPr>
    </w:p>
    <w:p w:rsidRPr="00322410" w:rsidR="19565543" w:rsidRDefault="19565543" w14:paraId="0CD3603D" w14:textId="0E181A25">
      <w:r w:rsidRPr="00322410">
        <w:br w:type="page"/>
      </w:r>
    </w:p>
    <w:tbl>
      <w:tblPr>
        <w:tblStyle w:val="TableGrid"/>
        <w:tblW w:w="0" w:type="auto"/>
        <w:tblLook w:val="04A0" w:firstRow="1" w:lastRow="0" w:firstColumn="1" w:lastColumn="0" w:noHBand="0" w:noVBand="1"/>
      </w:tblPr>
      <w:tblGrid>
        <w:gridCol w:w="9016"/>
      </w:tblGrid>
      <w:tr w:rsidRPr="00322410" w:rsidR="00CB2873" w:rsidTr="6C96D7A6" w14:paraId="3D63871C" w14:textId="77777777">
        <w:tc>
          <w:tcPr>
            <w:tcW w:w="9016" w:type="dxa"/>
            <w:shd w:val="clear" w:color="auto" w:fill="DEEAF6" w:themeFill="accent5" w:themeFillTint="33"/>
          </w:tcPr>
          <w:p w:rsidRPr="00322410" w:rsidR="00CB2873" w:rsidP="004D5FD5" w:rsidRDefault="00CB2873" w14:paraId="3A432808" w14:textId="5F9A365F">
            <w:pPr>
              <w:jc w:val="both"/>
            </w:pPr>
            <w:bookmarkStart w:name="_Toc219130981" w:id="39"/>
            <w:bookmarkStart w:name="_Hlk110858960" w:id="40"/>
            <w:r w:rsidRPr="00322410">
              <w:rPr>
                <w:rStyle w:val="Heading1Char"/>
                <w:rFonts w:ascii="Arial" w:hAnsi="Arial" w:cs="Arial"/>
                <w:b/>
                <w:bCs/>
                <w:color w:val="auto"/>
              </w:rPr>
              <w:t xml:space="preserve">Section B: Theory of </w:t>
            </w:r>
            <w:r w:rsidRPr="00322410" w:rsidR="20262009">
              <w:rPr>
                <w:rStyle w:val="Heading1Char"/>
                <w:rFonts w:ascii="Arial" w:hAnsi="Arial" w:cs="Arial"/>
                <w:b/>
                <w:bCs/>
                <w:color w:val="auto"/>
              </w:rPr>
              <w:t>c</w:t>
            </w:r>
            <w:r w:rsidRPr="00322410">
              <w:rPr>
                <w:rStyle w:val="Heading1Char"/>
                <w:rFonts w:ascii="Arial" w:hAnsi="Arial" w:cs="Arial"/>
                <w:b/>
                <w:bCs/>
                <w:color w:val="auto"/>
              </w:rPr>
              <w:t>hange and progress towards outcomes</w:t>
            </w:r>
            <w:bookmarkEnd w:id="39"/>
            <w:r w:rsidRPr="00322410">
              <w:t xml:space="preserve"> </w:t>
            </w:r>
          </w:p>
        </w:tc>
      </w:tr>
      <w:bookmarkEnd w:id="40"/>
    </w:tbl>
    <w:p w:rsidRPr="00322410" w:rsidR="00CB2873" w:rsidP="004D5FD5" w:rsidRDefault="00CB2873" w14:paraId="799AF0D2" w14:textId="77777777">
      <w:pPr>
        <w:jc w:val="both"/>
      </w:pPr>
    </w:p>
    <w:p w:rsidRPr="00322410" w:rsidR="003D222C" w:rsidP="004D5FD5" w:rsidRDefault="00AA718D" w14:paraId="25478844" w14:textId="48399832">
      <w:pPr>
        <w:jc w:val="both"/>
      </w:pPr>
      <w:bookmarkStart w:name="_Toc219130982" w:id="41"/>
      <w:r w:rsidRPr="00322410">
        <w:rPr>
          <w:rStyle w:val="Heading2Char"/>
        </w:rPr>
        <w:t>Summary of the</w:t>
      </w:r>
      <w:r w:rsidRPr="00322410" w:rsidR="007D6095">
        <w:rPr>
          <w:rStyle w:val="Heading2Char"/>
        </w:rPr>
        <w:t xml:space="preserve"> </w:t>
      </w:r>
      <w:r w:rsidRPr="00322410" w:rsidR="003D222C">
        <w:rPr>
          <w:rStyle w:val="Heading2Char"/>
        </w:rPr>
        <w:t>programme’s theory of change, including any changes to outcome and impact indicators from the original business case</w:t>
      </w:r>
      <w:bookmarkEnd w:id="41"/>
      <w:r w:rsidRPr="00322410" w:rsidR="003D222C">
        <w:t xml:space="preserve"> </w:t>
      </w:r>
    </w:p>
    <w:p w:rsidRPr="00322410" w:rsidR="003D222C" w:rsidP="004D5FD5" w:rsidRDefault="003D222C" w14:paraId="44435565" w14:textId="77777777">
      <w:pPr>
        <w:jc w:val="both"/>
        <w:rPr>
          <w:rFonts w:cs="Arial"/>
          <w:b/>
          <w:sz w:val="22"/>
          <w:szCs w:val="22"/>
        </w:rPr>
      </w:pPr>
    </w:p>
    <w:p w:rsidRPr="00322410" w:rsidR="00A64701" w:rsidP="28430F59" w:rsidRDefault="00EE2D0E" w14:paraId="503AFED6" w14:textId="77777777">
      <w:pPr>
        <w:jc w:val="both"/>
        <w:rPr>
          <w:rFonts w:cs="Arial"/>
          <w:sz w:val="22"/>
          <w:szCs w:val="22"/>
        </w:rPr>
      </w:pPr>
      <w:r w:rsidRPr="00322410">
        <w:rPr>
          <w:rFonts w:cs="Arial"/>
          <w:sz w:val="22"/>
          <w:szCs w:val="22"/>
        </w:rPr>
        <w:t>The FCPF Carbon Fund’s intended overarching impact is to contribute to a transformational reduction in global deforestation rates and sustained or enhanced biodiversity and livelihoods for forest dependent individuals and communities.</w:t>
      </w:r>
    </w:p>
    <w:p w:rsidRPr="00322410" w:rsidR="00A64701" w:rsidP="28430F59" w:rsidRDefault="00A64701" w14:paraId="354A5A7D" w14:textId="77777777">
      <w:pPr>
        <w:jc w:val="both"/>
        <w:rPr>
          <w:rFonts w:cs="Arial"/>
          <w:sz w:val="22"/>
          <w:szCs w:val="22"/>
        </w:rPr>
      </w:pPr>
    </w:p>
    <w:p w:rsidRPr="00322410" w:rsidR="00CE2821" w:rsidP="00A960B6" w:rsidRDefault="00EE2D0E" w14:paraId="228CF935" w14:textId="024F3FAC">
      <w:pPr>
        <w:pStyle w:val="NoSpacing"/>
        <w:rPr>
          <w:sz w:val="22"/>
          <w:szCs w:val="22"/>
        </w:rPr>
      </w:pPr>
      <w:r w:rsidRPr="00322410">
        <w:rPr>
          <w:sz w:val="22"/>
          <w:szCs w:val="22"/>
        </w:rPr>
        <w:t>The intended outcome</w:t>
      </w:r>
      <w:r w:rsidRPr="00322410" w:rsidR="00CE2821">
        <w:rPr>
          <w:sz w:val="22"/>
          <w:szCs w:val="22"/>
        </w:rPr>
        <w:t>s relate to:</w:t>
      </w:r>
    </w:p>
    <w:p w:rsidRPr="00322410" w:rsidR="28430F59" w:rsidP="00F8289A" w:rsidRDefault="00CE2821" w14:paraId="6E7A33C9" w14:textId="74E092EA">
      <w:pPr>
        <w:pStyle w:val="NoSpacing"/>
        <w:numPr>
          <w:ilvl w:val="0"/>
          <w:numId w:val="16"/>
        </w:numPr>
        <w:rPr>
          <w:sz w:val="22"/>
          <w:szCs w:val="22"/>
        </w:rPr>
      </w:pPr>
      <w:r w:rsidRPr="00322410">
        <w:rPr>
          <w:sz w:val="22"/>
          <w:szCs w:val="22"/>
        </w:rPr>
        <w:t>L</w:t>
      </w:r>
      <w:r w:rsidRPr="00322410" w:rsidR="00EE2D0E">
        <w:rPr>
          <w:sz w:val="22"/>
          <w:szCs w:val="22"/>
        </w:rPr>
        <w:t xml:space="preserve">arge-scale, results-based payments and ER mechanisms being effectively </w:t>
      </w:r>
      <w:proofErr w:type="gramStart"/>
      <w:r w:rsidRPr="00322410" w:rsidR="00EE2D0E">
        <w:rPr>
          <w:sz w:val="22"/>
          <w:szCs w:val="22"/>
        </w:rPr>
        <w:t>demonstrated</w:t>
      </w:r>
      <w:r w:rsidRPr="00322410" w:rsidR="00A64701">
        <w:rPr>
          <w:sz w:val="22"/>
          <w:szCs w:val="22"/>
        </w:rPr>
        <w:t>;</w:t>
      </w:r>
      <w:proofErr w:type="gramEnd"/>
    </w:p>
    <w:p w:rsidRPr="00322410" w:rsidR="00CE2821" w:rsidP="00F8289A" w:rsidRDefault="00A64701" w14:paraId="4F348D06" w14:textId="198756E3">
      <w:pPr>
        <w:pStyle w:val="NoSpacing"/>
        <w:numPr>
          <w:ilvl w:val="0"/>
          <w:numId w:val="16"/>
        </w:numPr>
        <w:rPr>
          <w:sz w:val="22"/>
          <w:szCs w:val="22"/>
        </w:rPr>
      </w:pPr>
      <w:r w:rsidRPr="00322410">
        <w:rPr>
          <w:sz w:val="22"/>
          <w:szCs w:val="22"/>
        </w:rPr>
        <w:t xml:space="preserve">The FCPF Carbon Fund incentivising the development and delivery of REDD+ ER </w:t>
      </w:r>
      <w:proofErr w:type="gramStart"/>
      <w:r w:rsidRPr="00322410">
        <w:rPr>
          <w:sz w:val="22"/>
          <w:szCs w:val="22"/>
        </w:rPr>
        <w:t>programmes;</w:t>
      </w:r>
      <w:proofErr w:type="gramEnd"/>
    </w:p>
    <w:p w:rsidRPr="00322410" w:rsidR="00A64701" w:rsidP="00F8289A" w:rsidRDefault="00A64701" w14:paraId="29784C72" w14:textId="688B12BD">
      <w:pPr>
        <w:pStyle w:val="NoSpacing"/>
        <w:numPr>
          <w:ilvl w:val="0"/>
          <w:numId w:val="16"/>
        </w:numPr>
        <w:rPr>
          <w:sz w:val="22"/>
          <w:szCs w:val="22"/>
        </w:rPr>
      </w:pPr>
      <w:r w:rsidRPr="00322410">
        <w:rPr>
          <w:sz w:val="22"/>
          <w:szCs w:val="22"/>
        </w:rPr>
        <w:t>Participant countries strengthening delivery of programming aimed at sustaining or enhancing livelihoods of local communities and conserving biodiversity;</w:t>
      </w:r>
      <w:r w:rsidRPr="00322410" w:rsidR="00AD01D3">
        <w:rPr>
          <w:sz w:val="22"/>
          <w:szCs w:val="22"/>
        </w:rPr>
        <w:t xml:space="preserve"> and</w:t>
      </w:r>
    </w:p>
    <w:p w:rsidRPr="00322410" w:rsidR="00A64701" w:rsidP="00F8289A" w:rsidRDefault="00A64701" w14:paraId="0EF22FAD" w14:textId="2D46D48C">
      <w:pPr>
        <w:pStyle w:val="NoSpacing"/>
        <w:numPr>
          <w:ilvl w:val="0"/>
          <w:numId w:val="16"/>
        </w:numPr>
        <w:rPr>
          <w:sz w:val="22"/>
          <w:szCs w:val="22"/>
        </w:rPr>
      </w:pPr>
      <w:r w:rsidRPr="00322410">
        <w:rPr>
          <w:sz w:val="22"/>
          <w:szCs w:val="22"/>
        </w:rPr>
        <w:t>Enhanced learning from FCPF on the global implementation of REDD+.</w:t>
      </w:r>
    </w:p>
    <w:p w:rsidRPr="00322410" w:rsidR="00A960B6" w:rsidP="00A960B6" w:rsidRDefault="00A960B6" w14:paraId="4AAE3859" w14:textId="77777777">
      <w:pPr>
        <w:pStyle w:val="NoSpacing"/>
        <w:rPr>
          <w:sz w:val="22"/>
          <w:szCs w:val="22"/>
        </w:rPr>
      </w:pPr>
    </w:p>
    <w:p w:rsidRPr="00322410" w:rsidR="00A960B6" w:rsidP="00A960B6" w:rsidRDefault="00A960B6" w14:paraId="5FD05D8D" w14:textId="2DB8220A">
      <w:pPr>
        <w:pStyle w:val="NoSpacing"/>
        <w:rPr>
          <w:sz w:val="22"/>
          <w:szCs w:val="22"/>
        </w:rPr>
      </w:pPr>
      <w:r w:rsidRPr="00322410">
        <w:rPr>
          <w:sz w:val="22"/>
          <w:szCs w:val="22"/>
        </w:rPr>
        <w:t>Outputs relate to:</w:t>
      </w:r>
    </w:p>
    <w:p w:rsidRPr="00322410" w:rsidR="00A960B6" w:rsidP="00F8289A" w:rsidRDefault="00A960B6" w14:paraId="43B6CBF5" w14:textId="52E4D5F4">
      <w:pPr>
        <w:pStyle w:val="NoSpacing"/>
        <w:numPr>
          <w:ilvl w:val="0"/>
          <w:numId w:val="17"/>
        </w:numPr>
        <w:rPr>
          <w:sz w:val="22"/>
          <w:szCs w:val="22"/>
        </w:rPr>
      </w:pPr>
      <w:r w:rsidRPr="00322410">
        <w:rPr>
          <w:sz w:val="22"/>
          <w:szCs w:val="22"/>
        </w:rPr>
        <w:t>Plann</w:t>
      </w:r>
      <w:r w:rsidRPr="00322410" w:rsidR="00AD01D3">
        <w:rPr>
          <w:sz w:val="22"/>
          <w:szCs w:val="22"/>
        </w:rPr>
        <w:t xml:space="preserve">ing and progressing high-quality ER </w:t>
      </w:r>
      <w:proofErr w:type="gramStart"/>
      <w:r w:rsidRPr="00322410" w:rsidR="00AD01D3">
        <w:rPr>
          <w:sz w:val="22"/>
          <w:szCs w:val="22"/>
        </w:rPr>
        <w:t>programmes;</w:t>
      </w:r>
      <w:proofErr w:type="gramEnd"/>
    </w:p>
    <w:p w:rsidRPr="00322410" w:rsidR="00AD01D3" w:rsidP="00F8289A" w:rsidRDefault="00AD01D3" w14:paraId="43258615" w14:textId="4866334A">
      <w:pPr>
        <w:pStyle w:val="NoSpacing"/>
        <w:numPr>
          <w:ilvl w:val="0"/>
          <w:numId w:val="17"/>
        </w:numPr>
        <w:rPr>
          <w:sz w:val="22"/>
          <w:szCs w:val="22"/>
        </w:rPr>
      </w:pPr>
      <w:r w:rsidRPr="00322410">
        <w:rPr>
          <w:sz w:val="22"/>
          <w:szCs w:val="22"/>
        </w:rPr>
        <w:t xml:space="preserve">The successful implementation of ways to sustain and enhance </w:t>
      </w:r>
      <w:proofErr w:type="gramStart"/>
      <w:r w:rsidRPr="00322410">
        <w:rPr>
          <w:sz w:val="22"/>
          <w:szCs w:val="22"/>
        </w:rPr>
        <w:t>livelihoods;</w:t>
      </w:r>
      <w:proofErr w:type="gramEnd"/>
    </w:p>
    <w:p w:rsidRPr="00322410" w:rsidR="00AD01D3" w:rsidP="00F8289A" w:rsidRDefault="00AD01D3" w14:paraId="2AD12349" w14:textId="1D41CA27">
      <w:pPr>
        <w:pStyle w:val="NoSpacing"/>
        <w:numPr>
          <w:ilvl w:val="0"/>
          <w:numId w:val="17"/>
        </w:numPr>
        <w:rPr>
          <w:sz w:val="22"/>
          <w:szCs w:val="22"/>
        </w:rPr>
      </w:pPr>
      <w:r w:rsidRPr="00322410">
        <w:rPr>
          <w:sz w:val="22"/>
          <w:szCs w:val="22"/>
        </w:rPr>
        <w:t>Enhanced capacity and conservation of biodiversity</w:t>
      </w:r>
      <w:r w:rsidRPr="00322410" w:rsidR="009A2BE8">
        <w:rPr>
          <w:sz w:val="22"/>
          <w:szCs w:val="22"/>
        </w:rPr>
        <w:t>; and</w:t>
      </w:r>
    </w:p>
    <w:p w:rsidRPr="00322410" w:rsidR="00AD01D3" w:rsidP="00F8289A" w:rsidRDefault="009A2BE8" w14:paraId="4BB53F7D" w14:textId="1EFD541E">
      <w:pPr>
        <w:pStyle w:val="NoSpacing"/>
        <w:numPr>
          <w:ilvl w:val="0"/>
          <w:numId w:val="17"/>
        </w:numPr>
        <w:rPr>
          <w:sz w:val="22"/>
          <w:szCs w:val="22"/>
        </w:rPr>
      </w:pPr>
      <w:r w:rsidRPr="00322410">
        <w:rPr>
          <w:sz w:val="22"/>
          <w:szCs w:val="22"/>
        </w:rPr>
        <w:t>The knowledge gained and applied in the development of the FCPF and implementation of these ER programmes.</w:t>
      </w:r>
    </w:p>
    <w:p w:rsidRPr="00322410" w:rsidR="009A2BE8" w:rsidP="009A2BE8" w:rsidRDefault="009A2BE8" w14:paraId="06C82602" w14:textId="42060555">
      <w:pPr>
        <w:pStyle w:val="NoSpacing"/>
        <w:rPr>
          <w:sz w:val="22"/>
          <w:szCs w:val="22"/>
        </w:rPr>
      </w:pPr>
    </w:p>
    <w:p w:rsidRPr="00322410" w:rsidR="3AE7CC97" w:rsidP="2E61E88B" w:rsidRDefault="3AE7CC97" w14:paraId="400B54E2" w14:textId="49D4A25A">
      <w:pPr>
        <w:jc w:val="both"/>
        <w:rPr>
          <w:rFonts w:cs="Arial"/>
          <w:sz w:val="22"/>
          <w:szCs w:val="22"/>
        </w:rPr>
      </w:pPr>
      <w:r w:rsidRPr="00322410">
        <w:rPr>
          <w:rFonts w:cs="Arial"/>
          <w:sz w:val="22"/>
          <w:szCs w:val="22"/>
        </w:rPr>
        <w:t xml:space="preserve">In this reporting period, </w:t>
      </w:r>
      <w:r w:rsidRPr="00322410" w:rsidR="1CAC2C46">
        <w:rPr>
          <w:rFonts w:cs="Arial"/>
          <w:sz w:val="22"/>
          <w:szCs w:val="22"/>
        </w:rPr>
        <w:t>no</w:t>
      </w:r>
      <w:r w:rsidRPr="00322410">
        <w:rPr>
          <w:rFonts w:cs="Arial"/>
          <w:sz w:val="22"/>
          <w:szCs w:val="22"/>
        </w:rPr>
        <w:t xml:space="preserve"> changes were made to the FCPF’s outcome and impact indicators.</w:t>
      </w:r>
    </w:p>
    <w:p w:rsidRPr="00322410" w:rsidR="00EE2D0E" w:rsidP="28430F59" w:rsidRDefault="00EE2D0E" w14:paraId="17C095BF" w14:textId="341191A6">
      <w:pPr>
        <w:jc w:val="both"/>
        <w:rPr>
          <w:rFonts w:cs="Arial"/>
          <w:sz w:val="22"/>
          <w:szCs w:val="22"/>
        </w:rPr>
      </w:pPr>
    </w:p>
    <w:p w:rsidRPr="00322410" w:rsidR="003D222C" w:rsidP="527A8EFF" w:rsidRDefault="007D6095" w14:paraId="6744E67C" w14:textId="597B6E56">
      <w:pPr>
        <w:jc w:val="both"/>
        <w:rPr>
          <w:rFonts w:cs="Arial"/>
          <w:sz w:val="22"/>
          <w:szCs w:val="22"/>
        </w:rPr>
      </w:pPr>
      <w:bookmarkStart w:name="_Toc219130983" w:id="42"/>
      <w:r w:rsidRPr="00322410">
        <w:rPr>
          <w:rStyle w:val="Heading2Char"/>
        </w:rPr>
        <w:t>Progress against</w:t>
      </w:r>
      <w:r w:rsidRPr="00322410" w:rsidR="003D222C">
        <w:rPr>
          <w:rStyle w:val="Heading2Char"/>
        </w:rPr>
        <w:t xml:space="preserve"> the expected outcomes and </w:t>
      </w:r>
      <w:r w:rsidRPr="00322410">
        <w:rPr>
          <w:rStyle w:val="Heading2Char"/>
        </w:rPr>
        <w:t>impact, and</w:t>
      </w:r>
      <w:r w:rsidRPr="00322410" w:rsidR="003D222C">
        <w:rPr>
          <w:rStyle w:val="Heading2Char"/>
        </w:rPr>
        <w:t xml:space="preserve"> action</w:t>
      </w:r>
      <w:r w:rsidRPr="00322410">
        <w:rPr>
          <w:rStyle w:val="Heading2Char"/>
        </w:rPr>
        <w:t>s</w:t>
      </w:r>
      <w:r w:rsidRPr="00322410" w:rsidR="003D222C">
        <w:rPr>
          <w:rStyle w:val="Heading2Char"/>
        </w:rPr>
        <w:t xml:space="preserve"> planned </w:t>
      </w:r>
      <w:r w:rsidRPr="00322410" w:rsidR="002D09A5">
        <w:rPr>
          <w:rStyle w:val="Heading2Char"/>
        </w:rPr>
        <w:t>for</w:t>
      </w:r>
      <w:r w:rsidRPr="00322410" w:rsidR="003D222C">
        <w:rPr>
          <w:rStyle w:val="Heading2Char"/>
        </w:rPr>
        <w:t xml:space="preserve"> the year ahead</w:t>
      </w:r>
      <w:bookmarkEnd w:id="42"/>
    </w:p>
    <w:p w:rsidRPr="00322410" w:rsidR="003D222C" w:rsidP="4EF998D4" w:rsidRDefault="003D222C" w14:paraId="594B159C" w14:textId="13A031BB">
      <w:pPr>
        <w:jc w:val="both"/>
        <w:rPr>
          <w:rFonts w:cs="Arial"/>
          <w:b/>
          <w:bCs/>
          <w:sz w:val="22"/>
          <w:szCs w:val="22"/>
        </w:rPr>
      </w:pPr>
    </w:p>
    <w:p w:rsidRPr="00322410" w:rsidR="16F0FD5B" w:rsidP="3EEBDE8D" w:rsidRDefault="16F0FD5B" w14:paraId="67C5F14D" w14:textId="3EA31D58">
      <w:pPr>
        <w:jc w:val="both"/>
        <w:rPr>
          <w:rFonts w:eastAsia="Arial" w:cs="Arial"/>
          <w:sz w:val="22"/>
          <w:szCs w:val="22"/>
        </w:rPr>
      </w:pPr>
      <w:r w:rsidRPr="2C0DF5FE" w:rsidR="16F0FD5B">
        <w:rPr>
          <w:rFonts w:eastAsia="Arial" w:cs="Arial"/>
          <w:color w:val="000000" w:themeColor="text1" w:themeTint="FF" w:themeShade="FF"/>
          <w:sz w:val="22"/>
          <w:szCs w:val="22"/>
        </w:rPr>
        <w:t>The Carbon Fund’s impact is tracked through the indicator, “Extent to which FCPF is likely to lead to transformational change</w:t>
      </w:r>
      <w:r w:rsidRPr="2C0DF5FE" w:rsidR="16F0FD5B">
        <w:rPr>
          <w:rFonts w:eastAsia="Arial" w:cs="Arial"/>
          <w:color w:val="000000" w:themeColor="text1" w:themeTint="FF" w:themeShade="FF"/>
          <w:sz w:val="22"/>
          <w:szCs w:val="22"/>
        </w:rPr>
        <w:t>”,</w:t>
      </w:r>
      <w:r w:rsidRPr="2C0DF5FE" w:rsidR="16F0FD5B">
        <w:rPr>
          <w:rFonts w:eastAsia="Arial" w:cs="Arial"/>
          <w:color w:val="000000" w:themeColor="text1" w:themeTint="FF" w:themeShade="FF"/>
          <w:sz w:val="22"/>
          <w:szCs w:val="22"/>
        </w:rPr>
        <w:t xml:space="preserve"> which corresponds to the UK International Climate Finance (ICF) KPI 15. This indicator is measured based on the assumption that the FCPF will have a greater impact if it can be “transformational” by, for example, incentivising others to act on climate change or fostering local political will and ownership. As this indicator is measured as part of the ICF Results Collection process, which takes place in April each year, the most recent result available is for RP24, where the FCPF scored a 4 (with 5 being the highest score). </w:t>
      </w:r>
      <w:r w:rsidRPr="2C0DF5FE" w:rsidR="16F0FD5B">
        <w:rPr>
          <w:rFonts w:eastAsia="Arial" w:cs="Arial"/>
          <w:color w:val="000000" w:themeColor="text1" w:themeTint="FF" w:themeShade="FF"/>
          <w:sz w:val="22"/>
          <w:szCs w:val="22"/>
        </w:rPr>
        <w:t>This means that there is partial evidence that suggests transformational change is likely. This shows positive progress towards the EOP target of 5.</w:t>
      </w:r>
    </w:p>
    <w:p w:rsidR="2D2474FC" w:rsidP="2D2474FC" w:rsidRDefault="2D2474FC" w14:paraId="68B0AFCB" w14:textId="1F1DDEB6">
      <w:pPr>
        <w:jc w:val="both"/>
        <w:rPr>
          <w:rFonts w:eastAsia="Arial" w:cs="Arial"/>
          <w:color w:val="000000" w:themeColor="text1"/>
          <w:sz w:val="22"/>
          <w:szCs w:val="22"/>
        </w:rPr>
      </w:pPr>
    </w:p>
    <w:p w:rsidR="4017E16D" w:rsidP="2D2474FC" w:rsidRDefault="4017E16D" w14:paraId="4C561B96" w14:textId="0085F566">
      <w:pPr>
        <w:jc w:val="both"/>
        <w:rPr>
          <w:rFonts w:eastAsia="Arial" w:cs="Arial"/>
          <w:sz w:val="22"/>
          <w:szCs w:val="22"/>
        </w:rPr>
      </w:pPr>
      <w:r w:rsidRPr="2D2474FC">
        <w:rPr>
          <w:rFonts w:eastAsia="Arial" w:cs="Arial"/>
          <w:color w:val="000000" w:themeColor="text1"/>
          <w:sz w:val="22"/>
          <w:szCs w:val="22"/>
        </w:rPr>
        <w:t xml:space="preserve">It is also tracked through the indicators, “Forest area conserved or restored” and “net change in GHG emissions”. As </w:t>
      </w:r>
      <w:proofErr w:type="gramStart"/>
      <w:r w:rsidRPr="2D2474FC">
        <w:rPr>
          <w:rFonts w:eastAsia="Arial" w:cs="Arial"/>
          <w:color w:val="000000" w:themeColor="text1"/>
          <w:sz w:val="22"/>
          <w:szCs w:val="22"/>
        </w:rPr>
        <w:t>both of these</w:t>
      </w:r>
      <w:proofErr w:type="gramEnd"/>
      <w:r w:rsidRPr="2D2474FC">
        <w:rPr>
          <w:rFonts w:eastAsia="Arial" w:cs="Arial"/>
          <w:color w:val="000000" w:themeColor="text1"/>
          <w:sz w:val="22"/>
          <w:szCs w:val="22"/>
        </w:rPr>
        <w:t xml:space="preserve"> indicators would be more appropriate as outcomes, it has been recommended that the impact and outcome indictors are revised in advance of the next Annual Review (Recommendation 1a).</w:t>
      </w:r>
    </w:p>
    <w:p w:rsidRPr="00322410" w:rsidR="3EEBDE8D" w:rsidP="3EEBDE8D" w:rsidRDefault="3EEBDE8D" w14:paraId="21B288DD" w14:textId="1ACE4100">
      <w:pPr>
        <w:jc w:val="both"/>
        <w:rPr>
          <w:rFonts w:cs="Arial"/>
          <w:sz w:val="22"/>
          <w:szCs w:val="22"/>
        </w:rPr>
      </w:pPr>
    </w:p>
    <w:p w:rsidRPr="00322410" w:rsidR="003D222C" w:rsidP="004D5FD5" w:rsidRDefault="2DEDC20D" w14:paraId="20DA03C6" w14:textId="400CB1CE">
      <w:pPr>
        <w:jc w:val="both"/>
        <w:rPr>
          <w:rFonts w:cs="Arial"/>
          <w:sz w:val="22"/>
          <w:szCs w:val="22"/>
        </w:rPr>
      </w:pPr>
      <w:r w:rsidRPr="00322410">
        <w:rPr>
          <w:rFonts w:cs="Arial"/>
          <w:sz w:val="22"/>
          <w:szCs w:val="22"/>
        </w:rPr>
        <w:t xml:space="preserve">The Carbon Fund’s ultimate success will be measured in terms of its stepwise progress against its intended outcome statement: “The FCPF Carbon Fund has strengthened governance, built institutional capacity and mobilised investment for sustainable forest management </w:t>
      </w:r>
      <w:r w:rsidRPr="00322410" w:rsidR="5356DC1F">
        <w:rPr>
          <w:rFonts w:cs="Arial"/>
          <w:sz w:val="22"/>
          <w:szCs w:val="22"/>
        </w:rPr>
        <w:t>in participant countries, to equitably support Reduced Emissions from Deforestation and forest Degradation (REDD+), and has contributed to the creation of global standards for REDD+</w:t>
      </w:r>
      <w:r w:rsidRPr="00322410" w:rsidR="03405668">
        <w:rPr>
          <w:rFonts w:cs="Arial"/>
          <w:sz w:val="22"/>
          <w:szCs w:val="22"/>
        </w:rPr>
        <w:t>”</w:t>
      </w:r>
      <w:r w:rsidRPr="00322410" w:rsidR="5356DC1F">
        <w:rPr>
          <w:rFonts w:cs="Arial"/>
          <w:sz w:val="22"/>
          <w:szCs w:val="22"/>
        </w:rPr>
        <w:t>.</w:t>
      </w:r>
    </w:p>
    <w:p w:rsidRPr="00322410" w:rsidR="0C5B635B" w:rsidP="0C5B635B" w:rsidRDefault="0C5B635B" w14:paraId="7586C6A9" w14:textId="2549FFFD">
      <w:pPr>
        <w:jc w:val="both"/>
        <w:rPr>
          <w:rFonts w:cs="Arial"/>
          <w:sz w:val="22"/>
          <w:szCs w:val="22"/>
        </w:rPr>
      </w:pPr>
    </w:p>
    <w:p w:rsidRPr="00322410" w:rsidR="31969215" w:rsidP="0C5B635B" w:rsidRDefault="03DD0AEA" w14:paraId="385B4542" w14:textId="256D7A5E">
      <w:pPr>
        <w:jc w:val="both"/>
        <w:rPr>
          <w:rFonts w:cs="Arial"/>
          <w:sz w:val="22"/>
          <w:szCs w:val="22"/>
        </w:rPr>
      </w:pPr>
      <w:r w:rsidRPr="00322410">
        <w:rPr>
          <w:rFonts w:cs="Arial"/>
          <w:sz w:val="22"/>
          <w:szCs w:val="22"/>
        </w:rPr>
        <w:t xml:space="preserve">Overall, the FCPF is performing well against its outcomes. </w:t>
      </w:r>
      <w:r w:rsidRPr="00322410" w:rsidR="4C97717A">
        <w:rPr>
          <w:rFonts w:cs="Arial"/>
          <w:sz w:val="22"/>
          <w:szCs w:val="22"/>
        </w:rPr>
        <w:t>Considerations on the progress of individual outcome-level indicators are provided below.</w:t>
      </w:r>
    </w:p>
    <w:p w:rsidRPr="00322410" w:rsidR="755B4014" w:rsidP="755B4014" w:rsidRDefault="755B4014" w14:paraId="49C5E0B5" w14:textId="1904F245">
      <w:pPr>
        <w:jc w:val="both"/>
        <w:rPr>
          <w:rFonts w:cs="Arial"/>
          <w:sz w:val="22"/>
          <w:szCs w:val="22"/>
        </w:rPr>
      </w:pPr>
    </w:p>
    <w:p w:rsidRPr="00322410" w:rsidR="4C97717A" w:rsidP="5441C960" w:rsidRDefault="4C97717A" w14:paraId="5AF9C067" w14:textId="2B43F76E">
      <w:pPr>
        <w:jc w:val="both"/>
        <w:rPr>
          <w:rFonts w:cs="Arial"/>
          <w:b w:val="1"/>
          <w:bCs w:val="1"/>
          <w:sz w:val="22"/>
          <w:szCs w:val="22"/>
        </w:rPr>
      </w:pPr>
      <w:r w:rsidRPr="2C0DF5FE" w:rsidR="4C97717A">
        <w:rPr>
          <w:rFonts w:cs="Arial"/>
          <w:b w:val="1"/>
          <w:bCs w:val="1"/>
          <w:sz w:val="22"/>
          <w:szCs w:val="22"/>
        </w:rPr>
        <w:t xml:space="preserve">Outcome indicator 1.1: </w:t>
      </w:r>
      <w:r w:rsidRPr="2C0DF5FE" w:rsidR="2B9F2172">
        <w:rPr>
          <w:rFonts w:cs="Arial"/>
          <w:b w:val="1"/>
          <w:bCs w:val="1"/>
          <w:sz w:val="22"/>
          <w:szCs w:val="22"/>
        </w:rPr>
        <w:t>Number of participant countries where</w:t>
      </w:r>
      <w:r w:rsidRPr="2C0DF5FE" w:rsidR="4C97717A">
        <w:rPr>
          <w:rFonts w:cs="Arial"/>
          <w:b w:val="1"/>
          <w:bCs w:val="1"/>
          <w:sz w:val="22"/>
          <w:szCs w:val="22"/>
        </w:rPr>
        <w:t xml:space="preserve"> learning, evidence and knowledge products generated through the FCPF has influenced other REDD+ programmes and practice.</w:t>
      </w:r>
    </w:p>
    <w:p w:rsidRPr="00322410" w:rsidR="1C769D71" w:rsidP="1C769D71" w:rsidRDefault="1C769D71" w14:paraId="0F3670B3" w14:textId="341FBCB2">
      <w:pPr>
        <w:jc w:val="both"/>
        <w:rPr>
          <w:rFonts w:cs="Arial"/>
          <w:sz w:val="22"/>
          <w:szCs w:val="22"/>
        </w:rPr>
      </w:pPr>
    </w:p>
    <w:p w:rsidRPr="00322410" w:rsidR="199319A7" w:rsidP="62793D6F" w:rsidRDefault="30614BD9" w14:paraId="7A6938C0" w14:textId="7DB476F5">
      <w:pPr>
        <w:jc w:val="both"/>
        <w:rPr>
          <w:rFonts w:cs="Arial"/>
          <w:sz w:val="22"/>
          <w:szCs w:val="22"/>
        </w:rPr>
      </w:pPr>
      <w:r w:rsidRPr="00322410">
        <w:rPr>
          <w:rFonts w:cs="Arial"/>
          <w:sz w:val="22"/>
          <w:szCs w:val="22"/>
        </w:rPr>
        <w:t xml:space="preserve">The </w:t>
      </w:r>
      <w:r w:rsidRPr="00322410" w:rsidR="41C3AFF3">
        <w:rPr>
          <w:rFonts w:cs="Arial"/>
          <w:sz w:val="22"/>
          <w:szCs w:val="22"/>
        </w:rPr>
        <w:t xml:space="preserve">third programme evaluation of the FCPF, published in June 2024, </w:t>
      </w:r>
      <w:r w:rsidRPr="00322410">
        <w:rPr>
          <w:rFonts w:cs="Arial"/>
          <w:sz w:val="22"/>
          <w:szCs w:val="22"/>
        </w:rPr>
        <w:t>provided qualitative, but not quantitative, evidence against this outcome. It is therefore recomm</w:t>
      </w:r>
      <w:r w:rsidRPr="00322410" w:rsidR="30A23732">
        <w:rPr>
          <w:rFonts w:cs="Arial"/>
          <w:sz w:val="22"/>
          <w:szCs w:val="22"/>
        </w:rPr>
        <w:t>ended that this outcome is revised to be a qualitative indicator before the next Annual Review (</w:t>
      </w:r>
      <w:r w:rsidRPr="00322410" w:rsidR="0FF6BC0E">
        <w:rPr>
          <w:rFonts w:cs="Arial"/>
          <w:sz w:val="22"/>
          <w:szCs w:val="22"/>
        </w:rPr>
        <w:t xml:space="preserve">Recommendation </w:t>
      </w:r>
      <w:r w:rsidRPr="00322410" w:rsidR="0B585810">
        <w:rPr>
          <w:rFonts w:cs="Arial"/>
          <w:sz w:val="22"/>
          <w:szCs w:val="22"/>
        </w:rPr>
        <w:t>1b</w:t>
      </w:r>
      <w:r w:rsidRPr="00322410" w:rsidR="0FF6BC0E">
        <w:rPr>
          <w:rFonts w:cs="Arial"/>
          <w:sz w:val="22"/>
          <w:szCs w:val="22"/>
        </w:rPr>
        <w:t>).</w:t>
      </w:r>
    </w:p>
    <w:p w:rsidRPr="00322410" w:rsidR="199319A7" w:rsidP="62793D6F" w:rsidRDefault="199319A7" w14:paraId="2C13D13B" w14:textId="300D2483">
      <w:pPr>
        <w:jc w:val="both"/>
        <w:rPr>
          <w:rFonts w:cs="Arial"/>
          <w:sz w:val="22"/>
          <w:szCs w:val="22"/>
        </w:rPr>
      </w:pPr>
    </w:p>
    <w:p w:rsidRPr="00322410" w:rsidR="199319A7" w:rsidP="415B842B" w:rsidRDefault="41C3AFF3" w14:paraId="05EE070E" w14:textId="687F081A">
      <w:pPr>
        <w:jc w:val="both"/>
        <w:rPr>
          <w:rFonts w:cs="Arial"/>
          <w:sz w:val="22"/>
          <w:szCs w:val="22"/>
        </w:rPr>
      </w:pPr>
      <w:r w:rsidRPr="00322410">
        <w:rPr>
          <w:rFonts w:cs="Arial"/>
          <w:sz w:val="22"/>
          <w:szCs w:val="22"/>
        </w:rPr>
        <w:t xml:space="preserve">Evidence from the evaluation of the FCPF suggests that knowledge and communication products generated by the FCPF have communicated lessons, experiences, tools and methods to a wide global audience and present a public good of clear added value. Communication and knowledge products, together with social network pages, podcasts and the FCPF website, have targeted a wide and rapidly increasing worldwide audience. The use of FCPF guidance documents and learning materials by other REDD+ projects has been reported to be significant. </w:t>
      </w:r>
    </w:p>
    <w:p w:rsidRPr="00322410" w:rsidR="199319A7" w:rsidP="415B842B" w:rsidRDefault="199319A7" w14:paraId="4E59E42B" w14:textId="3A109FBD">
      <w:pPr>
        <w:jc w:val="both"/>
        <w:rPr>
          <w:rFonts w:cs="Arial"/>
          <w:sz w:val="22"/>
          <w:szCs w:val="22"/>
        </w:rPr>
      </w:pPr>
    </w:p>
    <w:p w:rsidRPr="00322410" w:rsidR="199319A7" w:rsidP="1A576921" w:rsidRDefault="28119D82" w14:paraId="3D4B8342" w14:textId="0CD4285F">
      <w:pPr>
        <w:jc w:val="both"/>
        <w:rPr>
          <w:rFonts w:cs="Arial"/>
          <w:sz w:val="22"/>
          <w:szCs w:val="22"/>
        </w:rPr>
      </w:pPr>
      <w:r w:rsidRPr="00322410">
        <w:rPr>
          <w:rFonts w:cs="Arial"/>
          <w:sz w:val="22"/>
          <w:szCs w:val="22"/>
        </w:rPr>
        <w:t>Indeed, one of the key findings of the evaluation was th</w:t>
      </w:r>
      <w:r w:rsidRPr="00322410" w:rsidR="47F26206">
        <w:rPr>
          <w:rFonts w:cs="Arial"/>
          <w:sz w:val="22"/>
          <w:szCs w:val="22"/>
        </w:rPr>
        <w:t>at</w:t>
      </w:r>
      <w:r w:rsidRPr="00322410">
        <w:rPr>
          <w:rFonts w:cs="Arial"/>
          <w:sz w:val="22"/>
          <w:szCs w:val="22"/>
        </w:rPr>
        <w:t xml:space="preserve"> “Country stakeholders have made extensive use of FCPF kn</w:t>
      </w:r>
      <w:r w:rsidRPr="00322410" w:rsidR="6213E212">
        <w:rPr>
          <w:rFonts w:cs="Arial"/>
          <w:sz w:val="22"/>
          <w:szCs w:val="22"/>
        </w:rPr>
        <w:t xml:space="preserve">owledge, communications and learning products on REDD+ and ERPAs and find their applicability in line with their information requirements. The FCPF has been very effective in </w:t>
      </w:r>
      <w:proofErr w:type="gramStart"/>
      <w:r w:rsidRPr="00322410" w:rsidR="6213E212">
        <w:rPr>
          <w:rFonts w:cs="Arial"/>
          <w:sz w:val="22"/>
          <w:szCs w:val="22"/>
        </w:rPr>
        <w:t>opening up</w:t>
      </w:r>
      <w:proofErr w:type="gramEnd"/>
      <w:r w:rsidRPr="00322410" w:rsidR="6213E212">
        <w:rPr>
          <w:rFonts w:cs="Arial"/>
          <w:sz w:val="22"/>
          <w:szCs w:val="22"/>
        </w:rPr>
        <w:t xml:space="preserve"> a space for dialogue on REDD+ as well as producing and dis</w:t>
      </w:r>
      <w:r w:rsidRPr="00322410" w:rsidR="24D11565">
        <w:rPr>
          <w:rFonts w:cs="Arial"/>
          <w:sz w:val="22"/>
          <w:szCs w:val="22"/>
        </w:rPr>
        <w:t>s</w:t>
      </w:r>
      <w:r w:rsidRPr="00322410" w:rsidR="6213E212">
        <w:rPr>
          <w:rFonts w:cs="Arial"/>
          <w:sz w:val="22"/>
          <w:szCs w:val="22"/>
        </w:rPr>
        <w:t>eminating knowledge and learning products that are ext</w:t>
      </w:r>
      <w:r w:rsidRPr="00322410" w:rsidR="632A1AC9">
        <w:rPr>
          <w:rFonts w:cs="Arial"/>
          <w:sz w:val="22"/>
          <w:szCs w:val="22"/>
        </w:rPr>
        <w:t>ensively used by country stakeholders”. It is clear</w:t>
      </w:r>
      <w:r w:rsidRPr="00322410" w:rsidR="4E7B3644">
        <w:rPr>
          <w:rFonts w:cs="Arial"/>
          <w:sz w:val="22"/>
          <w:szCs w:val="22"/>
        </w:rPr>
        <w:t xml:space="preserve">, therefore, that </w:t>
      </w:r>
      <w:r w:rsidRPr="00322410" w:rsidR="284CCF52">
        <w:rPr>
          <w:rFonts w:cs="Arial"/>
          <w:sz w:val="22"/>
          <w:szCs w:val="22"/>
        </w:rPr>
        <w:t xml:space="preserve">the learning and knowledge produced by the FCPF </w:t>
      </w:r>
      <w:r w:rsidRPr="00322410" w:rsidR="18406881">
        <w:rPr>
          <w:rFonts w:cs="Arial"/>
          <w:sz w:val="22"/>
          <w:szCs w:val="22"/>
        </w:rPr>
        <w:t>has had a strong influence on stakeholders in the REDD+ community.</w:t>
      </w:r>
    </w:p>
    <w:p w:rsidRPr="00322410" w:rsidR="1A576921" w:rsidP="1A576921" w:rsidRDefault="1A576921" w14:paraId="1B971A80" w14:textId="64F2E7E6">
      <w:pPr>
        <w:jc w:val="both"/>
        <w:rPr>
          <w:rFonts w:cs="Arial"/>
          <w:sz w:val="22"/>
          <w:szCs w:val="22"/>
        </w:rPr>
      </w:pPr>
    </w:p>
    <w:p w:rsidRPr="00322410" w:rsidR="18406881" w:rsidP="1A576921" w:rsidRDefault="18406881" w14:paraId="5B87C2A4" w14:textId="052A5282">
      <w:pPr>
        <w:jc w:val="both"/>
        <w:rPr>
          <w:rFonts w:cs="Arial"/>
          <w:sz w:val="22"/>
          <w:szCs w:val="22"/>
        </w:rPr>
      </w:pPr>
      <w:r w:rsidRPr="00322410">
        <w:rPr>
          <w:rFonts w:cs="Arial"/>
          <w:sz w:val="22"/>
          <w:szCs w:val="22"/>
        </w:rPr>
        <w:t>Another key finding from the evaluation is that “FCPF knowledge, communication and learning products on REDD+ and ERPAs are widely recognised as adding value to the global REDD+ community of practice. There is growing evidence that it has influenced the implementation of other non-FCPF support</w:t>
      </w:r>
      <w:r w:rsidRPr="00322410" w:rsidR="49063C7D">
        <w:rPr>
          <w:rFonts w:cs="Arial"/>
          <w:sz w:val="22"/>
          <w:szCs w:val="22"/>
        </w:rPr>
        <w:t>ed</w:t>
      </w:r>
      <w:r w:rsidRPr="00322410">
        <w:rPr>
          <w:rFonts w:cs="Arial"/>
          <w:sz w:val="22"/>
          <w:szCs w:val="22"/>
        </w:rPr>
        <w:t xml:space="preserve"> REDD+ initiatives”. Th</w:t>
      </w:r>
      <w:r w:rsidRPr="00322410" w:rsidR="5E304FCF">
        <w:rPr>
          <w:rFonts w:cs="Arial"/>
          <w:sz w:val="22"/>
          <w:szCs w:val="22"/>
        </w:rPr>
        <w:t>ese findings suggest that the FCPF has had a transformational impact by influencing REDD+ practice outside of the programme itself.</w:t>
      </w:r>
    </w:p>
    <w:p w:rsidRPr="00322410" w:rsidR="199319A7" w:rsidP="28143431" w:rsidRDefault="199319A7" w14:paraId="0AD82AD1" w14:textId="2C1FD0B1">
      <w:pPr>
        <w:jc w:val="both"/>
        <w:rPr>
          <w:rFonts w:cs="Arial"/>
          <w:sz w:val="22"/>
          <w:szCs w:val="22"/>
        </w:rPr>
      </w:pPr>
    </w:p>
    <w:p w:rsidRPr="00322410" w:rsidR="6027A0FB" w:rsidP="6027A0FB" w:rsidRDefault="187E1D7A" w14:paraId="5E1BD1C4" w14:textId="2A626309">
      <w:pPr>
        <w:jc w:val="both"/>
        <w:rPr>
          <w:rFonts w:cs="Arial"/>
          <w:sz w:val="22"/>
          <w:szCs w:val="22"/>
        </w:rPr>
      </w:pPr>
      <w:r w:rsidRPr="2C0DF5FE" w:rsidR="187E1D7A">
        <w:rPr>
          <w:rFonts w:cs="Arial"/>
          <w:sz w:val="22"/>
          <w:szCs w:val="22"/>
        </w:rPr>
        <w:t xml:space="preserve">It should be noted that this evaluation covered FCPF operations up to 15 August 2023, </w:t>
      </w:r>
      <w:r w:rsidRPr="2C0DF5FE" w:rsidR="187E1D7A">
        <w:rPr>
          <w:rFonts w:cs="Arial"/>
          <w:sz w:val="22"/>
          <w:szCs w:val="22"/>
        </w:rPr>
        <w:t>whereas</w:t>
      </w:r>
      <w:r w:rsidRPr="2C0DF5FE" w:rsidR="187E1D7A">
        <w:rPr>
          <w:rFonts w:cs="Arial"/>
          <w:sz w:val="22"/>
          <w:szCs w:val="22"/>
        </w:rPr>
        <w:t xml:space="preserve"> the period under review here is July 2024 to June 2025. It is important that the </w:t>
      </w:r>
      <w:r w:rsidRPr="2C0DF5FE" w:rsidR="61CB8B4B">
        <w:rPr>
          <w:rFonts w:cs="Arial"/>
          <w:sz w:val="22"/>
          <w:szCs w:val="22"/>
        </w:rPr>
        <w:t>end-of-programme</w:t>
      </w:r>
      <w:r w:rsidRPr="2C0DF5FE" w:rsidR="630F8E6C">
        <w:rPr>
          <w:rFonts w:cs="Arial"/>
          <w:sz w:val="22"/>
          <w:szCs w:val="22"/>
        </w:rPr>
        <w:t xml:space="preserve"> </w:t>
      </w:r>
      <w:r w:rsidRPr="2C0DF5FE" w:rsidR="187E1D7A">
        <w:rPr>
          <w:rFonts w:cs="Arial"/>
          <w:sz w:val="22"/>
          <w:szCs w:val="22"/>
        </w:rPr>
        <w:t xml:space="preserve">evaluation </w:t>
      </w:r>
      <w:r w:rsidRPr="2C0DF5FE" w:rsidR="128DC6E6">
        <w:rPr>
          <w:rFonts w:cs="Arial"/>
          <w:sz w:val="22"/>
          <w:szCs w:val="22"/>
        </w:rPr>
        <w:t>in 2028</w:t>
      </w:r>
      <w:r w:rsidRPr="2C0DF5FE" w:rsidR="187E1D7A">
        <w:rPr>
          <w:rFonts w:cs="Arial"/>
          <w:sz w:val="22"/>
          <w:szCs w:val="22"/>
        </w:rPr>
        <w:t xml:space="preserve"> </w:t>
      </w:r>
      <w:r w:rsidRPr="2C0DF5FE" w:rsidR="0D12069A">
        <w:rPr>
          <w:rFonts w:cs="Arial"/>
          <w:sz w:val="22"/>
          <w:szCs w:val="22"/>
        </w:rPr>
        <w:t>explores this area.</w:t>
      </w:r>
    </w:p>
    <w:p w:rsidRPr="00322410" w:rsidR="7FBC929B" w:rsidP="7FBC929B" w:rsidRDefault="7FBC929B" w14:paraId="6E233E66" w14:textId="15D0A66F">
      <w:pPr>
        <w:jc w:val="both"/>
        <w:rPr>
          <w:rFonts w:cs="Arial"/>
          <w:sz w:val="22"/>
          <w:szCs w:val="22"/>
        </w:rPr>
      </w:pPr>
    </w:p>
    <w:p w:rsidRPr="00322410" w:rsidR="0D12069A" w:rsidP="5EC9032C" w:rsidRDefault="0D12069A" w14:paraId="52A2168C" w14:textId="482AF9C5">
      <w:pPr>
        <w:jc w:val="both"/>
        <w:rPr>
          <w:rFonts w:cs="Arial"/>
          <w:b/>
          <w:sz w:val="22"/>
          <w:szCs w:val="22"/>
        </w:rPr>
      </w:pPr>
      <w:r w:rsidRPr="00322410">
        <w:rPr>
          <w:rFonts w:cs="Arial"/>
          <w:b/>
          <w:bCs/>
          <w:sz w:val="22"/>
          <w:szCs w:val="22"/>
        </w:rPr>
        <w:t xml:space="preserve">Outcome indicator 1.2: </w:t>
      </w:r>
      <w:r w:rsidRPr="00322410" w:rsidR="50389775">
        <w:rPr>
          <w:rFonts w:cs="Arial"/>
          <w:b/>
          <w:bCs/>
          <w:sz w:val="22"/>
          <w:szCs w:val="22"/>
        </w:rPr>
        <w:t>Number of participant countries where</w:t>
      </w:r>
      <w:r w:rsidRPr="00322410">
        <w:rPr>
          <w:rFonts w:cs="Arial"/>
          <w:b/>
          <w:bCs/>
          <w:sz w:val="22"/>
          <w:szCs w:val="22"/>
        </w:rPr>
        <w:t xml:space="preserve"> the FCPF has influenced REDD+ Country Participants’ national approaches to sustainable forest resource management (including among women, women’s groups, IPs, CSOs and local communities).</w:t>
      </w:r>
    </w:p>
    <w:p w:rsidRPr="00322410" w:rsidR="6027A0FB" w:rsidP="6027A0FB" w:rsidRDefault="6027A0FB" w14:paraId="4B07E57F" w14:textId="08854C5D">
      <w:pPr>
        <w:jc w:val="both"/>
        <w:rPr>
          <w:rFonts w:cs="Arial"/>
          <w:sz w:val="22"/>
          <w:szCs w:val="22"/>
        </w:rPr>
      </w:pPr>
    </w:p>
    <w:p w:rsidRPr="00322410" w:rsidR="3C6E5222" w:rsidP="31D11A8C" w:rsidRDefault="3C6E5222" w14:paraId="0E9C8396" w14:textId="763C5881">
      <w:pPr>
        <w:jc w:val="both"/>
        <w:rPr>
          <w:rFonts w:cs="Arial"/>
          <w:sz w:val="22"/>
          <w:szCs w:val="22"/>
        </w:rPr>
      </w:pPr>
      <w:r w:rsidRPr="00322410">
        <w:rPr>
          <w:rFonts w:cs="Arial"/>
          <w:sz w:val="22"/>
          <w:szCs w:val="22"/>
        </w:rPr>
        <w:t xml:space="preserve">As is the case with the previous indicator, the FCPF evaluations have only provided qualitative evidence here. It is therefore recommended that this outcome is revised to be a qualitative indicator before the next Annual Review (Recommendation </w:t>
      </w:r>
      <w:r w:rsidRPr="00322410" w:rsidR="5EDA1F5D">
        <w:rPr>
          <w:rFonts w:cs="Arial"/>
          <w:sz w:val="22"/>
          <w:szCs w:val="22"/>
        </w:rPr>
        <w:t>1b</w:t>
      </w:r>
      <w:r w:rsidRPr="00322410">
        <w:rPr>
          <w:rFonts w:cs="Arial"/>
          <w:sz w:val="22"/>
          <w:szCs w:val="22"/>
        </w:rPr>
        <w:t>).</w:t>
      </w:r>
    </w:p>
    <w:p w:rsidRPr="00322410" w:rsidR="31D11A8C" w:rsidP="31D11A8C" w:rsidRDefault="31D11A8C" w14:paraId="02E734D2" w14:textId="498180C0">
      <w:pPr>
        <w:jc w:val="both"/>
        <w:rPr>
          <w:rFonts w:cs="Arial"/>
          <w:sz w:val="22"/>
          <w:szCs w:val="22"/>
        </w:rPr>
      </w:pPr>
    </w:p>
    <w:p w:rsidRPr="00322410" w:rsidR="6027A0FB" w:rsidP="6027A0FB" w:rsidRDefault="05F9B648" w14:paraId="1FADD807" w14:textId="19937229">
      <w:pPr>
        <w:jc w:val="both"/>
        <w:rPr>
          <w:rFonts w:eastAsia="Arial" w:cs="Arial"/>
          <w:sz w:val="22"/>
          <w:szCs w:val="22"/>
        </w:rPr>
      </w:pPr>
      <w:r w:rsidRPr="2D2474FC">
        <w:rPr>
          <w:rFonts w:eastAsia="Arial" w:cs="Arial"/>
          <w:sz w:val="22"/>
          <w:szCs w:val="22"/>
        </w:rPr>
        <w:t xml:space="preserve">The third FCPF evaluation found that in all countries where </w:t>
      </w:r>
      <w:r w:rsidRPr="2D2474FC" w:rsidR="0532709E">
        <w:rPr>
          <w:rFonts w:eastAsia="Arial" w:cs="Arial"/>
          <w:sz w:val="22"/>
          <w:szCs w:val="22"/>
        </w:rPr>
        <w:t xml:space="preserve">the </w:t>
      </w:r>
      <w:r w:rsidRPr="2D2474FC">
        <w:rPr>
          <w:rFonts w:eastAsia="Arial" w:cs="Arial"/>
          <w:sz w:val="22"/>
          <w:szCs w:val="22"/>
        </w:rPr>
        <w:t xml:space="preserve">FCPF has provided support, legal reforms have been introduced to enable and advance REDD+. </w:t>
      </w:r>
      <w:r w:rsidRPr="2D2474FC" w:rsidR="248761ED">
        <w:rPr>
          <w:rFonts w:eastAsia="Arial" w:cs="Arial"/>
          <w:sz w:val="22"/>
          <w:szCs w:val="22"/>
        </w:rPr>
        <w:t xml:space="preserve">These reforms have been “in support of the establishment of a legal and institutional framework for REDD+, strengthening forest management and combatting illegal deforestation and reforms to establish a regulatory framework for carbon finance”. </w:t>
      </w:r>
      <w:r w:rsidRPr="2D2474FC" w:rsidR="63194F9C">
        <w:rPr>
          <w:rFonts w:eastAsia="Arial" w:cs="Arial"/>
          <w:sz w:val="22"/>
          <w:szCs w:val="22"/>
        </w:rPr>
        <w:t>The evaluation found evidence that the FCPF contributed to many of these policies and has been instrumental in establishing models</w:t>
      </w:r>
      <w:r w:rsidRPr="2D2474FC" w:rsidR="520651E3">
        <w:rPr>
          <w:rFonts w:eastAsia="Arial" w:cs="Arial"/>
          <w:sz w:val="22"/>
          <w:szCs w:val="22"/>
        </w:rPr>
        <w:t xml:space="preserve">, </w:t>
      </w:r>
      <w:r w:rsidRPr="2D2474FC" w:rsidR="63194F9C">
        <w:rPr>
          <w:rFonts w:eastAsia="Arial" w:cs="Arial"/>
          <w:sz w:val="22"/>
          <w:szCs w:val="22"/>
        </w:rPr>
        <w:t>approaches, tools and processes with which to make this national level transition.</w:t>
      </w:r>
    </w:p>
    <w:p w:rsidRPr="00322410" w:rsidR="13DA9B4E" w:rsidP="13DA9B4E" w:rsidRDefault="13DA9B4E" w14:paraId="75AEA33A" w14:textId="476FA70F">
      <w:pPr>
        <w:jc w:val="both"/>
        <w:rPr>
          <w:rFonts w:eastAsia="Arial" w:cs="Arial"/>
          <w:sz w:val="22"/>
          <w:szCs w:val="22"/>
        </w:rPr>
      </w:pPr>
    </w:p>
    <w:p w:rsidRPr="00322410" w:rsidR="07FE8F05" w:rsidP="13DA9B4E" w:rsidRDefault="07FE8F05" w14:paraId="075DCD1F" w14:textId="31F69010">
      <w:pPr>
        <w:jc w:val="both"/>
        <w:rPr>
          <w:rFonts w:eastAsia="Arial" w:cs="Arial"/>
          <w:sz w:val="22"/>
          <w:szCs w:val="22"/>
        </w:rPr>
      </w:pPr>
      <w:r w:rsidRPr="00322410">
        <w:rPr>
          <w:rFonts w:eastAsia="Arial" w:cs="Arial"/>
          <w:sz w:val="22"/>
          <w:szCs w:val="22"/>
        </w:rPr>
        <w:t xml:space="preserve">The evaluation also found that there is initial evidence of behaviour change </w:t>
      </w:r>
      <w:proofErr w:type="gramStart"/>
      <w:r w:rsidRPr="00322410">
        <w:rPr>
          <w:rFonts w:eastAsia="Arial" w:cs="Arial"/>
          <w:sz w:val="22"/>
          <w:szCs w:val="22"/>
        </w:rPr>
        <w:t>with regard to</w:t>
      </w:r>
      <w:proofErr w:type="gramEnd"/>
      <w:r w:rsidRPr="00322410">
        <w:rPr>
          <w:rFonts w:eastAsia="Arial" w:cs="Arial"/>
          <w:sz w:val="22"/>
          <w:szCs w:val="22"/>
        </w:rPr>
        <w:t xml:space="preserve"> the improved management of forests. This is being manifested in different ways in different countries but includes strengthened protection and conservation of high-biodiversity forests and sustainable forest management practices by </w:t>
      </w:r>
      <w:r w:rsidRPr="00322410" w:rsidR="495C0BDC">
        <w:rPr>
          <w:rFonts w:eastAsia="Arial" w:cs="Arial"/>
          <w:sz w:val="22"/>
          <w:szCs w:val="22"/>
        </w:rPr>
        <w:t>businesses, communities and households.</w:t>
      </w:r>
    </w:p>
    <w:p w:rsidRPr="00322410" w:rsidR="199319A7" w:rsidP="38899991" w:rsidRDefault="199319A7" w14:paraId="44ABB9DA" w14:textId="40D4D15A">
      <w:pPr>
        <w:jc w:val="both"/>
        <w:rPr>
          <w:rFonts w:eastAsia="Arial" w:cs="Arial"/>
          <w:sz w:val="22"/>
          <w:szCs w:val="22"/>
        </w:rPr>
      </w:pPr>
    </w:p>
    <w:p w:rsidRPr="00322410" w:rsidR="199319A7" w:rsidP="38899991" w:rsidRDefault="495C0BDC" w14:paraId="36CD0CB3" w14:textId="30903890">
      <w:pPr>
        <w:jc w:val="both"/>
        <w:rPr>
          <w:rFonts w:eastAsia="Arial" w:cs="Arial"/>
          <w:sz w:val="22"/>
          <w:szCs w:val="22"/>
        </w:rPr>
      </w:pPr>
      <w:r w:rsidRPr="00322410">
        <w:rPr>
          <w:rFonts w:eastAsia="Arial" w:cs="Arial"/>
          <w:sz w:val="22"/>
          <w:szCs w:val="22"/>
        </w:rPr>
        <w:t>As with the previous outcome, this outcome should be explored in the next programme evaluation. It would be beneficial for the next evaluation to include disaggregated ev</w:t>
      </w:r>
      <w:r w:rsidRPr="00322410" w:rsidR="4F2F947B">
        <w:rPr>
          <w:rFonts w:eastAsia="Arial" w:cs="Arial"/>
          <w:sz w:val="22"/>
          <w:szCs w:val="22"/>
        </w:rPr>
        <w:t>idence to see the influence</w:t>
      </w:r>
      <w:r w:rsidRPr="00322410" w:rsidR="4B936D63">
        <w:rPr>
          <w:rFonts w:eastAsia="Arial" w:cs="Arial"/>
          <w:sz w:val="22"/>
          <w:szCs w:val="22"/>
        </w:rPr>
        <w:t xml:space="preserve"> of</w:t>
      </w:r>
      <w:r w:rsidRPr="00322410" w:rsidR="4F2F947B">
        <w:rPr>
          <w:rFonts w:eastAsia="Arial" w:cs="Arial"/>
          <w:sz w:val="22"/>
          <w:szCs w:val="22"/>
        </w:rPr>
        <w:t xml:space="preserve"> the FCPF on approaches to sustainable forest resource management among women, women’s groups, IPs, CSOs and local communities.</w:t>
      </w:r>
    </w:p>
    <w:p w:rsidRPr="00322410" w:rsidR="149F098E" w:rsidP="149F098E" w:rsidRDefault="149F098E" w14:paraId="5313D2C1" w14:textId="355CA1FF">
      <w:pPr>
        <w:jc w:val="both"/>
        <w:rPr>
          <w:rFonts w:eastAsia="Arial" w:cs="Arial"/>
          <w:sz w:val="22"/>
          <w:szCs w:val="22"/>
        </w:rPr>
      </w:pPr>
    </w:p>
    <w:p w:rsidRPr="00322410" w:rsidR="4F2F947B" w:rsidP="149F098E" w:rsidRDefault="4F2F947B" w14:paraId="631692ED" w14:textId="046C3C1C">
      <w:pPr>
        <w:jc w:val="both"/>
        <w:rPr>
          <w:rFonts w:eastAsia="Arial" w:cs="Arial"/>
          <w:b/>
          <w:bCs/>
          <w:sz w:val="22"/>
          <w:szCs w:val="22"/>
        </w:rPr>
      </w:pPr>
      <w:r w:rsidRPr="00322410">
        <w:rPr>
          <w:rFonts w:eastAsia="Arial" w:cs="Arial"/>
          <w:b/>
          <w:bCs/>
          <w:sz w:val="22"/>
          <w:szCs w:val="22"/>
        </w:rPr>
        <w:t>Outcome indicator 1.3: Net change in greenhouse gas (GHG) emissions (tCO2e) - tonnes of GHG emissions reduced or avoided from CF programmes.</w:t>
      </w:r>
    </w:p>
    <w:p w:rsidRPr="00322410" w:rsidR="6BCEE780" w:rsidP="6BCEE780" w:rsidRDefault="6BCEE780" w14:paraId="4290D566" w14:textId="15F0B5E0">
      <w:pPr>
        <w:jc w:val="both"/>
        <w:rPr>
          <w:rFonts w:cs="Arial"/>
          <w:sz w:val="22"/>
          <w:szCs w:val="22"/>
        </w:rPr>
      </w:pPr>
    </w:p>
    <w:p w:rsidRPr="00322410" w:rsidR="3C0D890E" w:rsidP="5D760851" w:rsidRDefault="32121F63" w14:paraId="3B8CECEE" w14:textId="6F38D64E">
      <w:pPr>
        <w:jc w:val="both"/>
        <w:rPr>
          <w:rFonts w:cs="Arial"/>
          <w:sz w:val="22"/>
          <w:szCs w:val="22"/>
        </w:rPr>
      </w:pPr>
      <w:r w:rsidRPr="00322410">
        <w:rPr>
          <w:rFonts w:cs="Arial"/>
          <w:sz w:val="22"/>
          <w:szCs w:val="22"/>
        </w:rPr>
        <w:t xml:space="preserve">This outcome is central to the overall </w:t>
      </w:r>
      <w:r w:rsidRPr="00322410" w:rsidR="7D817D00">
        <w:rPr>
          <w:rFonts w:cs="Arial"/>
          <w:sz w:val="22"/>
          <w:szCs w:val="22"/>
        </w:rPr>
        <w:t xml:space="preserve">objective of the FCPF, as it tracks the extent to which the programme has reduced emissions from deforestation and degradation. Up to the end of RP25, Carbon Fund programmes </w:t>
      </w:r>
      <w:r w:rsidRPr="00322410" w:rsidR="2D60914A">
        <w:rPr>
          <w:rFonts w:cs="Arial"/>
          <w:sz w:val="22"/>
          <w:szCs w:val="22"/>
        </w:rPr>
        <w:t xml:space="preserve">reduced or avoided 123.7 million tonnes of emissions, which </w:t>
      </w:r>
      <w:r w:rsidRPr="00322410" w:rsidR="5159BB1F">
        <w:rPr>
          <w:rFonts w:cs="Arial"/>
          <w:sz w:val="22"/>
          <w:szCs w:val="22"/>
        </w:rPr>
        <w:t xml:space="preserve">moderately </w:t>
      </w:r>
      <w:r w:rsidRPr="00322410" w:rsidR="2D60914A">
        <w:rPr>
          <w:rFonts w:cs="Arial"/>
          <w:sz w:val="22"/>
          <w:szCs w:val="22"/>
        </w:rPr>
        <w:t>exceeded the target of 121.63 million. Moreover, it represents a</w:t>
      </w:r>
      <w:r w:rsidRPr="00322410" w:rsidR="2E46CB63">
        <w:rPr>
          <w:rFonts w:cs="Arial"/>
          <w:sz w:val="22"/>
          <w:szCs w:val="22"/>
        </w:rPr>
        <w:t>n</w:t>
      </w:r>
      <w:r w:rsidRPr="00322410" w:rsidR="2D60914A">
        <w:rPr>
          <w:rFonts w:cs="Arial"/>
          <w:sz w:val="22"/>
          <w:szCs w:val="22"/>
        </w:rPr>
        <w:t xml:space="preserve"> increase </w:t>
      </w:r>
      <w:r w:rsidRPr="00322410" w:rsidR="4A2C4EE0">
        <w:rPr>
          <w:rFonts w:cs="Arial"/>
          <w:sz w:val="22"/>
          <w:szCs w:val="22"/>
        </w:rPr>
        <w:t>from the previous year’s result of 105.5 million ERs. T</w:t>
      </w:r>
      <w:r w:rsidRPr="00322410" w:rsidR="6DD99CC7">
        <w:rPr>
          <w:rFonts w:cs="Arial"/>
          <w:sz w:val="22"/>
          <w:szCs w:val="22"/>
        </w:rPr>
        <w:t xml:space="preserve">he RP25 result includes ERs generated beyond </w:t>
      </w:r>
      <w:r w:rsidRPr="00322410" w:rsidR="10D2575E">
        <w:rPr>
          <w:rFonts w:cs="Arial"/>
          <w:sz w:val="22"/>
          <w:szCs w:val="22"/>
        </w:rPr>
        <w:t>those contracted in ERPA</w:t>
      </w:r>
      <w:r w:rsidRPr="00322410" w:rsidR="6DD99CC7">
        <w:rPr>
          <w:rFonts w:cs="Arial"/>
          <w:sz w:val="22"/>
          <w:szCs w:val="22"/>
        </w:rPr>
        <w:t xml:space="preserve">s and provides positive quantitative evidence of progress towards the </w:t>
      </w:r>
      <w:r w:rsidRPr="00322410" w:rsidR="01393A63">
        <w:rPr>
          <w:rFonts w:cs="Arial"/>
          <w:sz w:val="22"/>
          <w:szCs w:val="22"/>
        </w:rPr>
        <w:t>end-of-programme target of 170 million ERs.</w:t>
      </w:r>
    </w:p>
    <w:p w:rsidRPr="00322410" w:rsidR="7750666B" w:rsidP="7750666B" w:rsidRDefault="7750666B" w14:paraId="4DA4472F" w14:textId="056629CD">
      <w:pPr>
        <w:jc w:val="both"/>
        <w:rPr>
          <w:rFonts w:cs="Arial"/>
          <w:sz w:val="22"/>
          <w:szCs w:val="22"/>
        </w:rPr>
      </w:pPr>
    </w:p>
    <w:p w:rsidRPr="00322410" w:rsidR="58926875" w:rsidP="37571927" w:rsidRDefault="1C48F5AF" w14:paraId="44935160" w14:textId="1C980940">
      <w:pPr>
        <w:jc w:val="both"/>
        <w:rPr>
          <w:rFonts w:cs="Arial"/>
          <w:b/>
          <w:bCs/>
          <w:sz w:val="22"/>
          <w:szCs w:val="22"/>
        </w:rPr>
      </w:pPr>
      <w:r w:rsidRPr="00322410">
        <w:rPr>
          <w:rFonts w:cs="Arial"/>
          <w:b/>
          <w:bCs/>
          <w:sz w:val="22"/>
          <w:szCs w:val="22"/>
        </w:rPr>
        <w:t xml:space="preserve">Outcome indicator 1.4: </w:t>
      </w:r>
      <w:r w:rsidRPr="00322410" w:rsidR="6813EC01">
        <w:rPr>
          <w:rFonts w:cs="Arial"/>
          <w:b/>
          <w:bCs/>
          <w:sz w:val="22"/>
          <w:szCs w:val="22"/>
        </w:rPr>
        <w:t xml:space="preserve">Volume of finance mobilised for climate change purposes </w:t>
      </w:r>
      <w:proofErr w:type="gramStart"/>
      <w:r w:rsidRPr="00322410" w:rsidR="6813EC01">
        <w:rPr>
          <w:rFonts w:cs="Arial"/>
          <w:b/>
          <w:bCs/>
          <w:sz w:val="22"/>
          <w:szCs w:val="22"/>
        </w:rPr>
        <w:t>as a result of</w:t>
      </w:r>
      <w:proofErr w:type="gramEnd"/>
      <w:r w:rsidRPr="00322410" w:rsidR="6813EC01">
        <w:rPr>
          <w:rFonts w:cs="Arial"/>
          <w:b/>
          <w:bCs/>
          <w:sz w:val="22"/>
          <w:szCs w:val="22"/>
        </w:rPr>
        <w:t xml:space="preserve"> ICF funding (disaggregated by non-ODA public finance and private finance)</w:t>
      </w:r>
    </w:p>
    <w:p w:rsidRPr="00322410" w:rsidR="46B5756B" w:rsidP="46B5756B" w:rsidRDefault="46B5756B" w14:paraId="5B5232F0" w14:textId="648A7406">
      <w:pPr>
        <w:jc w:val="both"/>
        <w:rPr>
          <w:rFonts w:cs="Arial"/>
          <w:b/>
          <w:sz w:val="22"/>
          <w:szCs w:val="22"/>
        </w:rPr>
      </w:pPr>
    </w:p>
    <w:p w:rsidRPr="00322410" w:rsidR="58926875" w:rsidP="1981136D" w:rsidRDefault="23A139AC" w14:paraId="1E26760A" w14:textId="028A7D49">
      <w:pPr>
        <w:jc w:val="both"/>
        <w:rPr>
          <w:rFonts w:cs="Arial"/>
          <w:sz w:val="22"/>
          <w:szCs w:val="22"/>
        </w:rPr>
      </w:pPr>
      <w:r w:rsidRPr="00322410" w:rsidR="23A139AC">
        <w:rPr>
          <w:rFonts w:cs="Arial"/>
          <w:sz w:val="22"/>
          <w:szCs w:val="22"/>
        </w:rPr>
        <w:t>By the end of RP25, the FCPF had mobilised a total of $</w:t>
      </w:r>
      <w:r w:rsidRPr="00322410" w:rsidR="4769C4E2">
        <w:rPr>
          <w:rFonts w:cs="Arial"/>
          <w:sz w:val="22"/>
          <w:szCs w:val="22"/>
        </w:rPr>
        <w:t xml:space="preserve">859 </w:t>
      </w:r>
      <w:r w:rsidRPr="00322410" w:rsidR="23A139AC">
        <w:rPr>
          <w:rFonts w:cs="Arial"/>
          <w:sz w:val="22"/>
          <w:szCs w:val="22"/>
        </w:rPr>
        <w:t>million to support delivery of ER programmes</w:t>
      </w:r>
      <w:r w:rsidRPr="00322410" w:rsidR="3748B50D">
        <w:rPr>
          <w:rFonts w:cs="Arial"/>
          <w:sz w:val="22"/>
          <w:szCs w:val="22"/>
        </w:rPr>
        <w:t xml:space="preserve">, of which </w:t>
      </w:r>
      <w:r w:rsidRPr="00322410" w:rsidR="15898CD9">
        <w:rPr>
          <w:rFonts w:cs="Arial"/>
          <w:sz w:val="22"/>
          <w:szCs w:val="22"/>
        </w:rPr>
        <w:t>9</w:t>
      </w:r>
      <w:r w:rsidRPr="00322410" w:rsidR="65797BFB">
        <w:rPr>
          <w:rFonts w:cs="Arial"/>
          <w:sz w:val="22"/>
          <w:szCs w:val="22"/>
        </w:rPr>
        <w:t>6</w:t>
      </w:r>
      <w:r w:rsidRPr="00322410" w:rsidR="3748B50D">
        <w:rPr>
          <w:rFonts w:cs="Arial"/>
          <w:sz w:val="22"/>
          <w:szCs w:val="22"/>
        </w:rPr>
        <w:t xml:space="preserve">% </w:t>
      </w:r>
      <w:r w:rsidRPr="00322410" w:rsidR="358F4DE0">
        <w:rPr>
          <w:rFonts w:cs="Arial"/>
          <w:sz w:val="22"/>
          <w:szCs w:val="22"/>
        </w:rPr>
        <w:t>was</w:t>
      </w:r>
      <w:r w:rsidRPr="00322410" w:rsidR="3748B50D">
        <w:rPr>
          <w:rFonts w:cs="Arial"/>
          <w:sz w:val="22"/>
          <w:szCs w:val="22"/>
        </w:rPr>
        <w:t xml:space="preserve"> public, </w:t>
      </w:r>
      <w:r w:rsidRPr="00322410" w:rsidR="41C113C5">
        <w:rPr>
          <w:rFonts w:cs="Arial"/>
          <w:sz w:val="22"/>
          <w:szCs w:val="22"/>
        </w:rPr>
        <w:t>4</w:t>
      </w:r>
      <w:r w:rsidRPr="00322410" w:rsidR="3748B50D">
        <w:rPr>
          <w:rFonts w:cs="Arial"/>
          <w:sz w:val="22"/>
          <w:szCs w:val="22"/>
        </w:rPr>
        <w:t xml:space="preserve">% private, </w:t>
      </w:r>
      <w:r w:rsidRPr="00322410" w:rsidR="2809FB76">
        <w:rPr>
          <w:rFonts w:cs="Arial"/>
          <w:sz w:val="22"/>
          <w:szCs w:val="22"/>
        </w:rPr>
        <w:t>41</w:t>
      </w:r>
      <w:r w:rsidRPr="00322410" w:rsidR="3748B50D">
        <w:rPr>
          <w:rFonts w:cs="Arial"/>
          <w:sz w:val="22"/>
          <w:szCs w:val="22"/>
        </w:rPr>
        <w:t xml:space="preserve">% ER programmes</w:t>
      </w:r>
      <w:r w:rsidRPr="00322410" w:rsidR="3748B50D">
        <w:rPr>
          <w:rFonts w:cs="Arial"/>
          <w:sz w:val="22"/>
          <w:szCs w:val="22"/>
        </w:rPr>
        <w:t xml:space="preserve">, </w:t>
      </w:r>
      <w:r w:rsidRPr="00322410" w:rsidR="0595153A">
        <w:rPr>
          <w:rFonts w:cs="Arial"/>
          <w:sz w:val="22"/>
          <w:szCs w:val="22"/>
        </w:rPr>
        <w:t>30</w:t>
      </w:r>
      <w:r w:rsidRPr="00322410" w:rsidR="3748B50D">
        <w:rPr>
          <w:rFonts w:cs="Arial"/>
          <w:sz w:val="22"/>
          <w:szCs w:val="22"/>
        </w:rPr>
        <w:t xml:space="preserve">% grants, </w:t>
      </w:r>
      <w:r w:rsidRPr="00322410" w:rsidR="11E2F6A0">
        <w:rPr>
          <w:rFonts w:cs="Arial"/>
          <w:sz w:val="22"/>
          <w:szCs w:val="22"/>
        </w:rPr>
        <w:t>6</w:t>
      </w:r>
      <w:r w:rsidRPr="00322410" w:rsidR="3748B50D">
        <w:rPr>
          <w:rFonts w:cs="Arial"/>
          <w:sz w:val="22"/>
          <w:szCs w:val="22"/>
        </w:rPr>
        <w:t>% loans and 0.</w:t>
      </w:r>
      <w:r w:rsidRPr="00322410" w:rsidR="58926875">
        <w:rPr>
          <w:rStyle w:val="FootnoteReference"/>
          <w:rFonts w:cs="Arial"/>
          <w:sz w:val="22"/>
          <w:szCs w:val="22"/>
        </w:rPr>
        <w:footnoteReference w:id="5"/>
      </w:r>
      <w:r w:rsidRPr="00322410" w:rsidR="3748B50D">
        <w:rPr>
          <w:rFonts w:cs="Arial"/>
          <w:sz w:val="22"/>
          <w:szCs w:val="22"/>
        </w:rPr>
        <w:t xml:space="preserve">% equity.</w:t>
      </w:r>
      <w:r w:rsidRPr="2C0DF5FE" w:rsidR="58926875">
        <w:rPr/>
        <w:t xml:space="preserve">￼</w:t>
      </w:r>
      <w:r w:rsidRPr="00322410" w:rsidR="3748B50D">
        <w:rPr>
          <w:rFonts w:cs="Arial"/>
          <w:sz w:val="22"/>
          <w:szCs w:val="22"/>
        </w:rPr>
        <w:t xml:space="preserve"> This </w:t>
      </w:r>
      <w:r w:rsidRPr="00322410" w:rsidR="7CA5975D">
        <w:rPr>
          <w:rFonts w:cs="Arial"/>
          <w:sz w:val="22"/>
          <w:szCs w:val="22"/>
        </w:rPr>
        <w:t xml:space="preserve">greatly </w:t>
      </w:r>
      <w:r w:rsidRPr="00322410" w:rsidR="3748B50D">
        <w:rPr>
          <w:rFonts w:cs="Arial"/>
          <w:sz w:val="22"/>
          <w:szCs w:val="22"/>
        </w:rPr>
        <w:t xml:space="preserve">exceeds </w:t>
      </w:r>
      <w:r w:rsidRPr="00322410" w:rsidR="2CB0A93C">
        <w:rPr>
          <w:rFonts w:cs="Arial"/>
          <w:sz w:val="22"/>
          <w:szCs w:val="22"/>
        </w:rPr>
        <w:t xml:space="preserve">both the </w:t>
      </w:r>
      <w:r w:rsidRPr="2C0DF5FE" w:rsidR="3748B50D">
        <w:rPr>
          <w:rFonts w:cs="Arial"/>
          <w:sz w:val="22"/>
          <w:szCs w:val="22"/>
        </w:rPr>
        <w:t xml:space="preserve">RP25 </w:t>
      </w:r>
      <w:r w:rsidRPr="2C0DF5FE" w:rsidR="46BB4595">
        <w:rPr>
          <w:rFonts w:cs="Arial"/>
          <w:sz w:val="22"/>
          <w:szCs w:val="22"/>
        </w:rPr>
        <w:t xml:space="preserve">milestone of $592.25 million </w:t>
      </w:r>
      <w:r w:rsidRPr="2C0DF5FE" w:rsidR="00C024B2">
        <w:rPr>
          <w:rFonts w:cs="Arial"/>
          <w:sz w:val="22"/>
          <w:szCs w:val="22"/>
        </w:rPr>
        <w:t>and the</w:t>
      </w:r>
      <w:r w:rsidRPr="2C0DF5FE" w:rsidR="46BB4595">
        <w:rPr>
          <w:rFonts w:cs="Arial"/>
          <w:sz w:val="22"/>
          <w:szCs w:val="22"/>
        </w:rPr>
        <w:t xml:space="preserve"> end-of-programme target of $680 million.</w:t>
      </w:r>
    </w:p>
    <w:p w:rsidRPr="00322410" w:rsidR="7450B0AD" w:rsidP="7450B0AD" w:rsidRDefault="7450B0AD" w14:paraId="4E1E17C0" w14:textId="18EDA6EF">
      <w:pPr>
        <w:jc w:val="both"/>
        <w:rPr>
          <w:rFonts w:cs="Arial"/>
          <w:sz w:val="22"/>
          <w:szCs w:val="22"/>
        </w:rPr>
      </w:pPr>
    </w:p>
    <w:p w:rsidRPr="00322410" w:rsidR="151269F6" w:rsidP="151269F6" w:rsidRDefault="799AE3BF" w14:paraId="76447A52" w14:textId="3A6DB15D">
      <w:pPr>
        <w:jc w:val="both"/>
        <w:rPr>
          <w:rFonts w:cs="Arial"/>
          <w:sz w:val="22"/>
          <w:szCs w:val="22"/>
        </w:rPr>
      </w:pPr>
      <w:r w:rsidRPr="00322410">
        <w:rPr>
          <w:rFonts w:cs="Arial"/>
          <w:sz w:val="22"/>
          <w:szCs w:val="22"/>
        </w:rPr>
        <w:t>Looking forward</w:t>
      </w:r>
      <w:r w:rsidRPr="00322410" w:rsidR="01AFA416">
        <w:rPr>
          <w:rFonts w:cs="Arial"/>
          <w:sz w:val="22"/>
          <w:szCs w:val="22"/>
        </w:rPr>
        <w:t xml:space="preserve">, we can expect the proportion of private finance mobilised to increase </w:t>
      </w:r>
      <w:r w:rsidRPr="00322410" w:rsidR="677DD3EA">
        <w:rPr>
          <w:rFonts w:cs="Arial"/>
          <w:sz w:val="22"/>
          <w:szCs w:val="22"/>
        </w:rPr>
        <w:t>as more FCPF countries sell excess ERs to third-party buyers. In RP25, Costa Rica sold 100,000 excess ERs to a LEAF Coalition me</w:t>
      </w:r>
      <w:r w:rsidRPr="00322410" w:rsidR="6C4217BC">
        <w:rPr>
          <w:rFonts w:cs="Arial"/>
          <w:sz w:val="22"/>
          <w:szCs w:val="22"/>
        </w:rPr>
        <w:t xml:space="preserve">mber. Several other countries are considering </w:t>
      </w:r>
      <w:r w:rsidRPr="00322410" w:rsidR="0B8ACC6B">
        <w:rPr>
          <w:rFonts w:cs="Arial"/>
          <w:sz w:val="22"/>
          <w:szCs w:val="22"/>
        </w:rPr>
        <w:t xml:space="preserve">marketing their FCPF credits </w:t>
      </w:r>
      <w:proofErr w:type="gramStart"/>
      <w:r w:rsidRPr="00322410" w:rsidR="0B8ACC6B">
        <w:rPr>
          <w:rFonts w:cs="Arial"/>
          <w:sz w:val="22"/>
          <w:szCs w:val="22"/>
        </w:rPr>
        <w:t>in order to</w:t>
      </w:r>
      <w:proofErr w:type="gramEnd"/>
      <w:r w:rsidRPr="00322410" w:rsidR="0B8ACC6B">
        <w:rPr>
          <w:rFonts w:cs="Arial"/>
          <w:sz w:val="22"/>
          <w:szCs w:val="22"/>
        </w:rPr>
        <w:t xml:space="preserve"> leverage additional finance.</w:t>
      </w:r>
    </w:p>
    <w:p w:rsidRPr="00322410" w:rsidR="4EF998D4" w:rsidP="5DFEE85E" w:rsidRDefault="4EF998D4" w14:paraId="6ED53DC5" w14:textId="1E3BD20D">
      <w:pPr>
        <w:jc w:val="both"/>
        <w:rPr>
          <w:rFonts w:cs="Arial"/>
          <w:sz w:val="22"/>
          <w:szCs w:val="22"/>
        </w:rPr>
      </w:pPr>
    </w:p>
    <w:p w:rsidRPr="00322410" w:rsidR="003D222C" w:rsidP="6C96D7A6" w:rsidRDefault="00B34EB5" w14:paraId="40D01C03" w14:textId="759459C9">
      <w:pPr>
        <w:contextualSpacing/>
        <w:jc w:val="both"/>
        <w:rPr>
          <w:rFonts w:cs="Arial"/>
          <w:sz w:val="22"/>
          <w:szCs w:val="22"/>
        </w:rPr>
      </w:pPr>
      <w:bookmarkStart w:name="_Toc219130984" w:id="52"/>
      <w:r w:rsidRPr="00322410">
        <w:rPr>
          <w:rStyle w:val="Heading2Char"/>
        </w:rPr>
        <w:t>L</w:t>
      </w:r>
      <w:r w:rsidRPr="00322410" w:rsidR="003D222C">
        <w:rPr>
          <w:rStyle w:val="Heading2Char"/>
        </w:rPr>
        <w:t>ogframe</w:t>
      </w:r>
      <w:r w:rsidRPr="00322410">
        <w:rPr>
          <w:rStyle w:val="Heading2Char"/>
        </w:rPr>
        <w:t xml:space="preserve"> </w:t>
      </w:r>
      <w:r w:rsidRPr="00322410" w:rsidR="003D222C">
        <w:rPr>
          <w:rStyle w:val="Heading2Char"/>
        </w:rPr>
        <w:t>update</w:t>
      </w:r>
      <w:r w:rsidRPr="00322410">
        <w:rPr>
          <w:rStyle w:val="Heading2Char"/>
        </w:rPr>
        <w:t>s</w:t>
      </w:r>
      <w:r w:rsidRPr="00322410" w:rsidR="003D222C">
        <w:rPr>
          <w:rStyle w:val="Heading2Char"/>
        </w:rPr>
        <w:t xml:space="preserve"> since the last review</w:t>
      </w:r>
      <w:bookmarkEnd w:id="52"/>
      <w:r w:rsidRPr="00322410" w:rsidR="00F013F9">
        <w:rPr>
          <w:rFonts w:cs="Arial"/>
          <w:b/>
          <w:bCs/>
          <w:sz w:val="22"/>
          <w:szCs w:val="22"/>
        </w:rPr>
        <w:t xml:space="preserve"> </w:t>
      </w:r>
    </w:p>
    <w:p w:rsidRPr="00322410" w:rsidR="2B4BEF4C" w:rsidP="6D4CE2E1" w:rsidRDefault="2B4BEF4C" w14:paraId="10987F8E" w14:textId="0608B362">
      <w:pPr>
        <w:jc w:val="both"/>
        <w:rPr>
          <w:rFonts w:cs="Arial"/>
          <w:i/>
          <w:iCs/>
          <w:sz w:val="22"/>
          <w:szCs w:val="22"/>
        </w:rPr>
      </w:pPr>
    </w:p>
    <w:p w:rsidRPr="00322410" w:rsidR="445D8955" w:rsidP="6EC1C2C6" w:rsidRDefault="2D81AF71" w14:paraId="43A74033" w14:textId="5FE70ECE">
      <w:pPr>
        <w:jc w:val="both"/>
        <w:rPr>
          <w:rFonts w:cs="Arial"/>
          <w:sz w:val="22"/>
          <w:szCs w:val="22"/>
        </w:rPr>
      </w:pPr>
      <w:r w:rsidRPr="00322410">
        <w:rPr>
          <w:rFonts w:cs="Arial"/>
          <w:sz w:val="22"/>
          <w:szCs w:val="22"/>
        </w:rPr>
        <w:t>Several changes were made to the logframe in RP25</w:t>
      </w:r>
      <w:r w:rsidRPr="00322410" w:rsidR="63B00C39">
        <w:rPr>
          <w:rFonts w:cs="Arial"/>
          <w:sz w:val="22"/>
          <w:szCs w:val="22"/>
        </w:rPr>
        <w:t>:</w:t>
      </w:r>
    </w:p>
    <w:p w:rsidRPr="00322410" w:rsidR="445D8955" w:rsidP="6EC1C2C6" w:rsidRDefault="2D81AF71" w14:paraId="2BA0205C" w14:textId="1B03F8F2">
      <w:pPr>
        <w:pStyle w:val="ListParagraph"/>
        <w:numPr>
          <w:ilvl w:val="0"/>
          <w:numId w:val="23"/>
        </w:numPr>
        <w:jc w:val="both"/>
        <w:rPr>
          <w:rFonts w:cs="Arial"/>
          <w:sz w:val="22"/>
          <w:szCs w:val="22"/>
        </w:rPr>
      </w:pPr>
      <w:r w:rsidRPr="00322410">
        <w:rPr>
          <w:rFonts w:cs="Arial"/>
          <w:sz w:val="22"/>
          <w:szCs w:val="22"/>
        </w:rPr>
        <w:t xml:space="preserve">All indicators were extended to 2028 to reflect the programme extension. End-of-programme and interim milestones were updated accordingly.  </w:t>
      </w:r>
    </w:p>
    <w:p w:rsidRPr="00322410" w:rsidR="445D8955" w:rsidP="6EC1C2C6" w:rsidRDefault="445D8955" w14:paraId="0AF45AFB" w14:textId="1FFDCE92">
      <w:pPr>
        <w:pStyle w:val="ListParagraph"/>
        <w:numPr>
          <w:ilvl w:val="0"/>
          <w:numId w:val="23"/>
        </w:numPr>
        <w:jc w:val="both"/>
        <w:rPr>
          <w:rFonts w:cs="Arial"/>
          <w:sz w:val="22"/>
          <w:szCs w:val="22"/>
        </w:rPr>
      </w:pPr>
      <w:r w:rsidRPr="00322410">
        <w:rPr>
          <w:rFonts w:cs="Arial"/>
          <w:sz w:val="22"/>
          <w:szCs w:val="22"/>
        </w:rPr>
        <w:t>Output indicator 1.2, “Number of participant countries that have fulfilled conditions of effectiveness and are monitoring ERs”, was closed as a</w:t>
      </w:r>
      <w:r w:rsidRPr="00322410" w:rsidR="09295164">
        <w:rPr>
          <w:rFonts w:cs="Arial"/>
          <w:sz w:val="22"/>
          <w:szCs w:val="22"/>
        </w:rPr>
        <w:t>ll countries achieved this in RP23.</w:t>
      </w:r>
    </w:p>
    <w:p w:rsidRPr="00322410" w:rsidR="19780F3B" w:rsidP="6EC1C2C6" w:rsidRDefault="19780F3B" w14:paraId="0BA3050E" w14:textId="2358A343">
      <w:pPr>
        <w:pStyle w:val="ListParagraph"/>
        <w:numPr>
          <w:ilvl w:val="0"/>
          <w:numId w:val="23"/>
        </w:numPr>
        <w:jc w:val="both"/>
        <w:rPr>
          <w:rFonts w:cs="Arial"/>
          <w:sz w:val="22"/>
          <w:szCs w:val="22"/>
        </w:rPr>
      </w:pPr>
      <w:r w:rsidRPr="00322410">
        <w:rPr>
          <w:rFonts w:cs="Arial"/>
          <w:sz w:val="22"/>
          <w:szCs w:val="22"/>
        </w:rPr>
        <w:t xml:space="preserve">Output indicator 2.2, “Percentage of monetary benefits from CF programmes shared with beneficiaries”, was revised in line with the World Bank’s revision. It is now: “% of carbon benefits paid from CF programmes shared with beneficiaries (disaggregated by gender, CSOs, IPs, Local Communities”. This change was made to ensure both monetary and non-monetary benefits were captured. The EOP target has been updated in line with the World Bank target. As this is a new indicator, there are no previous achieved results to be used as a baseline to calculate interim milestones. Therefore, </w:t>
      </w:r>
      <w:r w:rsidRPr="00322410" w:rsidR="66036726">
        <w:rPr>
          <w:rFonts w:cs="Arial"/>
          <w:sz w:val="22"/>
          <w:szCs w:val="22"/>
        </w:rPr>
        <w:t>R</w:t>
      </w:r>
      <w:r w:rsidRPr="00322410">
        <w:rPr>
          <w:rFonts w:cs="Arial"/>
          <w:sz w:val="22"/>
          <w:szCs w:val="22"/>
        </w:rPr>
        <w:t>ecommendation 1</w:t>
      </w:r>
      <w:r w:rsidRPr="00322410" w:rsidR="516E9BE9">
        <w:rPr>
          <w:rFonts w:cs="Arial"/>
          <w:sz w:val="22"/>
          <w:szCs w:val="22"/>
        </w:rPr>
        <w:t>h</w:t>
      </w:r>
      <w:r w:rsidRPr="00322410">
        <w:rPr>
          <w:rFonts w:cs="Arial"/>
          <w:sz w:val="22"/>
          <w:szCs w:val="22"/>
        </w:rPr>
        <w:t xml:space="preserve"> recommends that in RP26, interim milestones are calculated using the RP25 achieved result and the EOP target.</w:t>
      </w:r>
    </w:p>
    <w:p w:rsidRPr="00322410" w:rsidR="19780F3B" w:rsidP="6EC1C2C6" w:rsidRDefault="004B188B" w14:paraId="57DC4E4C" w14:textId="6A17308E">
      <w:pPr>
        <w:pStyle w:val="ListParagraph"/>
        <w:numPr>
          <w:ilvl w:val="0"/>
          <w:numId w:val="23"/>
        </w:numPr>
        <w:jc w:val="both"/>
        <w:rPr>
          <w:rFonts w:cs="Arial"/>
          <w:sz w:val="22"/>
          <w:szCs w:val="22"/>
        </w:rPr>
      </w:pPr>
      <w:r w:rsidRPr="00322410">
        <w:rPr>
          <w:rFonts w:cs="Arial"/>
          <w:sz w:val="22"/>
          <w:szCs w:val="22"/>
        </w:rPr>
        <w:t>For output indicator 2.4, “Number of Carbon Fund programmes that test ways to sustain and enhance livelihoods”, from RP25 DESNZ will report only on the 15 countries currently in the pipeline. Previously, we reported on all 18 countries originally in the FCPF Carbon Fund pipeline. The DESNZ EOP target was revised accordingly.</w:t>
      </w:r>
    </w:p>
    <w:p w:rsidRPr="00322410" w:rsidR="004B188B" w:rsidP="6EC1C2C6" w:rsidRDefault="004B188B" w14:paraId="449D36C9" w14:textId="144B6CF1">
      <w:pPr>
        <w:pStyle w:val="ListParagraph"/>
        <w:numPr>
          <w:ilvl w:val="0"/>
          <w:numId w:val="23"/>
        </w:numPr>
        <w:jc w:val="both"/>
        <w:rPr>
          <w:rFonts w:cs="Arial"/>
          <w:sz w:val="22"/>
          <w:szCs w:val="22"/>
        </w:rPr>
      </w:pPr>
      <w:r w:rsidRPr="00322410">
        <w:rPr>
          <w:rFonts w:cs="Arial"/>
          <w:sz w:val="22"/>
          <w:szCs w:val="22"/>
        </w:rPr>
        <w:t>For output indicator</w:t>
      </w:r>
      <w:r w:rsidRPr="00322410" w:rsidR="00D408DD">
        <w:rPr>
          <w:rFonts w:cs="Arial"/>
          <w:sz w:val="22"/>
          <w:szCs w:val="22"/>
        </w:rPr>
        <w:t xml:space="preserve"> 2.5, “Number of Carbon Fund programmes that test ways to conserve biodiversity”, from RP25 DESNZ will report only on the 15 countries currently in the pipeline. Previously, we reported on all 18 countries originally in the FCPF Carbon Fund pipeline. The DESNZ EOP target was revised accordingly.</w:t>
      </w:r>
    </w:p>
    <w:p w:rsidRPr="00322410" w:rsidR="63BD594B" w:rsidP="63BD594B" w:rsidRDefault="00D408DD" w14:paraId="58F2785A" w14:textId="39FEF371">
      <w:pPr>
        <w:pStyle w:val="ListParagraph"/>
        <w:numPr>
          <w:ilvl w:val="0"/>
          <w:numId w:val="23"/>
        </w:numPr>
        <w:jc w:val="both"/>
        <w:rPr>
          <w:rFonts w:cs="Arial"/>
          <w:sz w:val="22"/>
          <w:szCs w:val="22"/>
        </w:rPr>
      </w:pPr>
      <w:r w:rsidRPr="00322410">
        <w:rPr>
          <w:rFonts w:cs="Arial"/>
          <w:sz w:val="22"/>
          <w:szCs w:val="22"/>
        </w:rPr>
        <w:t xml:space="preserve">For output indicator 3.2, “Number of (a) FCPF-supported South-South learning activities and/or events connecting FCPF countries and (b) participants in such activities”, the World Bank revised the </w:t>
      </w:r>
      <w:r w:rsidRPr="00322410" w:rsidR="007A4478">
        <w:rPr>
          <w:rFonts w:cs="Arial"/>
          <w:sz w:val="22"/>
          <w:szCs w:val="22"/>
        </w:rPr>
        <w:t>EOP target as it had already been achieved. The DESNZ EOP target and interim milestones were updated accordingly.</w:t>
      </w:r>
    </w:p>
    <w:p w:rsidRPr="00322410" w:rsidR="00CB2873" w:rsidP="004D5FD5" w:rsidRDefault="00CB2873" w14:paraId="63CDC9F3" w14:textId="2B9368BF">
      <w:pPr>
        <w:jc w:val="both"/>
        <w:rPr>
          <w:rFonts w:cs="Arial"/>
          <w:sz w:val="22"/>
          <w:szCs w:val="22"/>
          <w:lang w:val="en" w:eastAsia="en-GB"/>
        </w:rPr>
      </w:pPr>
    </w:p>
    <w:p w:rsidRPr="00322410" w:rsidR="007A4478" w:rsidRDefault="007A4478" w14:paraId="45F4D33B" w14:textId="77777777">
      <w:r w:rsidRPr="00322410">
        <w:br w:type="page"/>
      </w:r>
    </w:p>
    <w:tbl>
      <w:tblPr>
        <w:tblStyle w:val="TableGrid"/>
        <w:tblW w:w="0" w:type="auto"/>
        <w:tblLook w:val="04A0" w:firstRow="1" w:lastRow="0" w:firstColumn="1" w:lastColumn="0" w:noHBand="0" w:noVBand="1"/>
      </w:tblPr>
      <w:tblGrid>
        <w:gridCol w:w="9016"/>
      </w:tblGrid>
      <w:tr w:rsidRPr="00322410" w:rsidR="00CB2873" w:rsidTr="2C0DF5FE" w14:paraId="13F66B93" w14:textId="77777777">
        <w:tc>
          <w:tcPr>
            <w:tcW w:w="9016" w:type="dxa"/>
            <w:shd w:val="clear" w:color="auto" w:fill="DEEAF6" w:themeFill="accent5" w:themeFillTint="33"/>
            <w:tcMar/>
          </w:tcPr>
          <w:p w:rsidRPr="00322410" w:rsidR="00CB2873" w:rsidP="6C96D7A6" w:rsidRDefault="19565543" w14:paraId="3D58D529" w14:textId="3429E2F6">
            <w:pPr>
              <w:jc w:val="both"/>
              <w:rPr>
                <w:rStyle w:val="Heading1Char"/>
                <w:rFonts w:ascii="Arial" w:hAnsi="Arial" w:cs="Arial"/>
                <w:b w:val="1"/>
                <w:bCs w:val="1"/>
                <w:color w:val="auto"/>
              </w:rPr>
            </w:pPr>
            <w:r>
              <w:br w:type="page"/>
            </w:r>
            <w:r w:rsidRPr="2C0DF5FE" w:rsidR="00CB2873">
              <w:rPr>
                <w:rStyle w:val="Heading1Char"/>
                <w:rFonts w:ascii="Arial" w:hAnsi="Arial" w:cs="Arial"/>
                <w:b w:val="1"/>
                <w:bCs w:val="1"/>
                <w:color w:val="auto"/>
              </w:rPr>
              <w:t xml:space="preserve">Section C: Output </w:t>
            </w:r>
            <w:r w:rsidRPr="2C0DF5FE" w:rsidR="266E49DB">
              <w:rPr>
                <w:rStyle w:val="Heading1Char"/>
                <w:rFonts w:ascii="Arial" w:hAnsi="Arial" w:cs="Arial"/>
                <w:b w:val="1"/>
                <w:bCs w:val="1"/>
                <w:color w:val="auto"/>
              </w:rPr>
              <w:t>s</w:t>
            </w:r>
            <w:r w:rsidRPr="2C0DF5FE" w:rsidR="00CB2873">
              <w:rPr>
                <w:rStyle w:val="Heading1Char"/>
                <w:rFonts w:ascii="Arial" w:hAnsi="Arial" w:cs="Arial"/>
                <w:b w:val="1"/>
                <w:bCs w:val="1"/>
                <w:color w:val="auto"/>
              </w:rPr>
              <w:t>coring</w:t>
            </w:r>
          </w:p>
        </w:tc>
      </w:tr>
    </w:tbl>
    <w:p w:rsidRPr="00322410" w:rsidR="003D222C" w:rsidP="004D5FD5" w:rsidRDefault="003D222C" w14:paraId="169A4749" w14:textId="7DC459E8">
      <w:pPr>
        <w:jc w:val="both"/>
        <w:rPr>
          <w:rFonts w:cs="Arial"/>
          <w:sz w:val="22"/>
          <w:szCs w:val="22"/>
          <w:lang w:val="en" w:eastAsia="en-GB"/>
        </w:rPr>
      </w:pPr>
    </w:p>
    <w:p w:rsidRPr="00322410" w:rsidR="00953846" w:rsidP="004D5FD5" w:rsidRDefault="00953846" w14:paraId="452661DA" w14:textId="27A75D96">
      <w:pPr>
        <w:pStyle w:val="Heading2"/>
        <w:jc w:val="both"/>
        <w:rPr>
          <w:sz w:val="24"/>
          <w:szCs w:val="24"/>
        </w:rPr>
      </w:pPr>
      <w:bookmarkStart w:name="_Toc219130985" w:id="54"/>
      <w:r w:rsidRPr="00322410">
        <w:t xml:space="preserve">Output 1: </w:t>
      </w:r>
      <w:r w:rsidRPr="00322410" w:rsidR="443426B9">
        <w:t>Emission Reductions Programmes planned and implemented/progressing through the Carbon Fund process.</w:t>
      </w:r>
      <w:bookmarkEnd w:id="54"/>
    </w:p>
    <w:p w:rsidRPr="00322410" w:rsidR="00C22C27" w:rsidP="004D5FD5" w:rsidRDefault="00C22C27" w14:paraId="055FDF8F" w14:textId="77777777">
      <w:pPr>
        <w:jc w:val="both"/>
        <w:rPr>
          <w:rFonts w:cs="Arial"/>
          <w:sz w:val="22"/>
          <w:szCs w:val="22"/>
        </w:rPr>
      </w:pPr>
    </w:p>
    <w:tbl>
      <w:tblPr>
        <w:tblStyle w:val="TableGrid"/>
        <w:tblW w:w="9072" w:type="dxa"/>
        <w:tblInd w:w="-5" w:type="dxa"/>
        <w:tblLook w:val="04A0" w:firstRow="1" w:lastRow="0" w:firstColumn="1" w:lastColumn="0" w:noHBand="0" w:noVBand="1"/>
      </w:tblPr>
      <w:tblGrid>
        <w:gridCol w:w="1566"/>
        <w:gridCol w:w="390"/>
        <w:gridCol w:w="1163"/>
        <w:gridCol w:w="2977"/>
        <w:gridCol w:w="2976"/>
      </w:tblGrid>
      <w:tr w:rsidRPr="00322410" w:rsidR="003D222C" w:rsidTr="3244F41E" w14:paraId="2102EB17" w14:textId="77777777">
        <w:trPr>
          <w:trHeight w:val="489"/>
        </w:trPr>
        <w:tc>
          <w:tcPr>
            <w:tcW w:w="1566"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22410" w:rsidR="003D222C" w:rsidP="004D5FD5" w:rsidRDefault="003D222C" w14:paraId="1A85D6B2" w14:textId="77777777">
            <w:pPr>
              <w:jc w:val="both"/>
              <w:rPr>
                <w:rFonts w:cs="Arial"/>
                <w:b/>
                <w:bCs/>
                <w:sz w:val="22"/>
                <w:szCs w:val="22"/>
              </w:rPr>
            </w:pPr>
            <w:r w:rsidRPr="00322410">
              <w:rPr>
                <w:rFonts w:cs="Arial"/>
                <w:b/>
                <w:bCs/>
                <w:sz w:val="22"/>
                <w:szCs w:val="22"/>
              </w:rPr>
              <w:t xml:space="preserve">Output Title </w:t>
            </w:r>
          </w:p>
        </w:tc>
        <w:tc>
          <w:tcPr>
            <w:tcW w:w="7506" w:type="dxa"/>
            <w:gridSpan w:val="4"/>
            <w:tcBorders>
              <w:top w:val="single" w:color="auto" w:sz="4" w:space="0"/>
              <w:left w:val="single" w:color="auto" w:sz="4" w:space="0"/>
              <w:bottom w:val="single" w:color="auto" w:sz="4" w:space="0"/>
              <w:right w:val="single" w:color="auto" w:sz="4" w:space="0"/>
            </w:tcBorders>
            <w:shd w:val="clear" w:color="auto" w:fill="FFFFFF" w:themeFill="background1"/>
          </w:tcPr>
          <w:p w:rsidRPr="00322410" w:rsidR="003D222C" w:rsidP="6E9BD22A" w:rsidRDefault="79609DAD" w14:paraId="1B8A3AEA" w14:textId="05BD2EBE">
            <w:pPr>
              <w:jc w:val="both"/>
              <w:rPr>
                <w:rFonts w:cs="Arial"/>
                <w:sz w:val="22"/>
                <w:szCs w:val="22"/>
              </w:rPr>
            </w:pPr>
            <w:r w:rsidRPr="00322410">
              <w:rPr>
                <w:rFonts w:cs="Arial"/>
                <w:sz w:val="22"/>
                <w:szCs w:val="22"/>
              </w:rPr>
              <w:t>Emission Reductions Programmes planned and implemented/progressing through the Carbon Fund process.</w:t>
            </w:r>
          </w:p>
        </w:tc>
      </w:tr>
      <w:tr w:rsidRPr="00322410" w:rsidR="003D222C" w:rsidTr="3244F41E" w14:paraId="0CA17513" w14:textId="77777777">
        <w:trPr>
          <w:trHeight w:val="347"/>
        </w:trPr>
        <w:tc>
          <w:tcPr>
            <w:tcW w:w="1956"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22410" w:rsidR="003D222C" w:rsidP="004D5FD5" w:rsidRDefault="003D222C" w14:paraId="0801A128" w14:textId="77777777">
            <w:pPr>
              <w:jc w:val="both"/>
              <w:rPr>
                <w:rFonts w:cs="Arial"/>
                <w:bCs/>
                <w:sz w:val="22"/>
                <w:szCs w:val="22"/>
              </w:rPr>
            </w:pPr>
            <w:r w:rsidRPr="00322410">
              <w:rPr>
                <w:rFonts w:cs="Arial"/>
                <w:bCs/>
                <w:sz w:val="22"/>
                <w:szCs w:val="22"/>
              </w:rPr>
              <w:t xml:space="preserve">Output number: </w:t>
            </w:r>
          </w:p>
        </w:tc>
        <w:tc>
          <w:tcPr>
            <w:tcW w:w="1163" w:type="dxa"/>
            <w:tcBorders>
              <w:top w:val="single" w:color="auto" w:sz="4" w:space="0"/>
              <w:left w:val="single" w:color="auto" w:sz="4" w:space="0"/>
              <w:bottom w:val="single" w:color="auto" w:sz="4" w:space="0"/>
              <w:right w:val="single" w:color="auto" w:sz="4" w:space="0"/>
            </w:tcBorders>
          </w:tcPr>
          <w:p w:rsidRPr="00322410" w:rsidR="003D222C" w:rsidP="004D5FD5" w:rsidRDefault="02F702AA" w14:paraId="4190402A" w14:textId="196A99F4">
            <w:pPr>
              <w:jc w:val="both"/>
              <w:rPr>
                <w:rFonts w:cs="Arial"/>
                <w:sz w:val="22"/>
                <w:szCs w:val="22"/>
              </w:rPr>
            </w:pPr>
            <w:r w:rsidRPr="00322410">
              <w:rPr>
                <w:rFonts w:cs="Arial"/>
                <w:sz w:val="22"/>
                <w:szCs w:val="22"/>
              </w:rPr>
              <w:t>1</w:t>
            </w:r>
          </w:p>
        </w:tc>
        <w:tc>
          <w:tcPr>
            <w:tcW w:w="2977"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22410" w:rsidR="003D222C" w:rsidP="004D5FD5" w:rsidRDefault="003D222C" w14:paraId="55FA73C8" w14:textId="77777777">
            <w:pPr>
              <w:jc w:val="both"/>
              <w:rPr>
                <w:rFonts w:cs="Arial"/>
                <w:sz w:val="22"/>
                <w:szCs w:val="22"/>
              </w:rPr>
            </w:pPr>
            <w:r w:rsidRPr="00322410">
              <w:rPr>
                <w:rFonts w:cs="Arial"/>
                <w:bCs/>
                <w:sz w:val="22"/>
                <w:szCs w:val="22"/>
              </w:rPr>
              <w:t xml:space="preserve">Output Score: </w:t>
            </w:r>
          </w:p>
        </w:tc>
        <w:tc>
          <w:tcPr>
            <w:tcW w:w="2976" w:type="dxa"/>
            <w:tcBorders>
              <w:top w:val="single" w:color="auto" w:sz="4" w:space="0"/>
              <w:left w:val="single" w:color="auto" w:sz="4" w:space="0"/>
              <w:bottom w:val="single" w:color="auto" w:sz="4" w:space="0"/>
              <w:right w:val="single" w:color="auto" w:sz="4" w:space="0"/>
            </w:tcBorders>
          </w:tcPr>
          <w:p w:rsidRPr="00322410" w:rsidR="003D222C" w:rsidP="5E3E3C8A" w:rsidRDefault="53F82BE4" w14:paraId="0438A869" w14:textId="6229B55F">
            <w:pPr>
              <w:jc w:val="both"/>
              <w:rPr>
                <w:rFonts w:cs="Arial"/>
                <w:b/>
                <w:bCs/>
                <w:sz w:val="22"/>
                <w:szCs w:val="22"/>
              </w:rPr>
            </w:pPr>
            <w:r w:rsidRPr="00322410">
              <w:rPr>
                <w:rFonts w:cs="Arial"/>
                <w:b/>
                <w:bCs/>
                <w:sz w:val="22"/>
                <w:szCs w:val="22"/>
              </w:rPr>
              <w:t>B</w:t>
            </w:r>
          </w:p>
        </w:tc>
      </w:tr>
      <w:tr w:rsidRPr="00322410" w:rsidR="003D222C" w:rsidTr="3244F41E" w14:paraId="322D9463" w14:textId="77777777">
        <w:trPr>
          <w:trHeight w:val="345"/>
        </w:trPr>
        <w:tc>
          <w:tcPr>
            <w:tcW w:w="1956"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22410" w:rsidR="003D222C" w:rsidP="004D5FD5" w:rsidRDefault="003D222C" w14:paraId="291524D5" w14:textId="77777777">
            <w:pPr>
              <w:jc w:val="both"/>
              <w:rPr>
                <w:rFonts w:cs="Arial"/>
                <w:sz w:val="22"/>
                <w:szCs w:val="22"/>
              </w:rPr>
            </w:pPr>
            <w:r w:rsidRPr="00322410">
              <w:rPr>
                <w:rFonts w:cs="Arial"/>
                <w:bCs/>
                <w:sz w:val="22"/>
                <w:szCs w:val="22"/>
              </w:rPr>
              <w:t xml:space="preserve">Impact weighting (%):  </w:t>
            </w:r>
          </w:p>
        </w:tc>
        <w:tc>
          <w:tcPr>
            <w:tcW w:w="1163" w:type="dxa"/>
            <w:tcBorders>
              <w:top w:val="single" w:color="auto" w:sz="4" w:space="0"/>
              <w:left w:val="single" w:color="auto" w:sz="4" w:space="0"/>
              <w:bottom w:val="single" w:color="auto" w:sz="4" w:space="0"/>
              <w:right w:val="single" w:color="auto" w:sz="4" w:space="0"/>
            </w:tcBorders>
            <w:hideMark/>
          </w:tcPr>
          <w:p w:rsidRPr="00322410" w:rsidR="003D222C" w:rsidP="05F1399C" w:rsidRDefault="0C8B80E3" w14:paraId="2B32CB6F" w14:textId="4FD9ADCD">
            <w:pPr>
              <w:jc w:val="both"/>
              <w:rPr>
                <w:rFonts w:cs="Arial"/>
                <w:sz w:val="22"/>
                <w:szCs w:val="22"/>
              </w:rPr>
            </w:pPr>
            <w:r w:rsidRPr="00322410">
              <w:rPr>
                <w:rFonts w:cs="Arial"/>
                <w:sz w:val="22"/>
                <w:szCs w:val="22"/>
              </w:rPr>
              <w:t>40</w:t>
            </w:r>
          </w:p>
        </w:tc>
        <w:tc>
          <w:tcPr>
            <w:tcW w:w="2977"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22410" w:rsidR="003D222C" w:rsidP="004D5FD5" w:rsidRDefault="003D222C" w14:paraId="56B322CF" w14:textId="77777777">
            <w:pPr>
              <w:jc w:val="both"/>
              <w:rPr>
                <w:rFonts w:cs="Arial"/>
                <w:bCs/>
                <w:sz w:val="22"/>
                <w:szCs w:val="22"/>
              </w:rPr>
            </w:pPr>
            <w:r w:rsidRPr="00322410">
              <w:rPr>
                <w:rFonts w:cs="Arial"/>
                <w:bCs/>
                <w:sz w:val="22"/>
                <w:szCs w:val="22"/>
              </w:rPr>
              <w:t xml:space="preserve">Weighting revised since last </w:t>
            </w:r>
            <w:proofErr w:type="gramStart"/>
            <w:r w:rsidRPr="00322410">
              <w:rPr>
                <w:rFonts w:cs="Arial"/>
                <w:bCs/>
                <w:sz w:val="22"/>
                <w:szCs w:val="22"/>
              </w:rPr>
              <w:t>AR?</w:t>
            </w:r>
            <w:proofErr w:type="gramEnd"/>
            <w:r w:rsidRPr="00322410">
              <w:rPr>
                <w:rFonts w:cs="Arial"/>
                <w:bCs/>
                <w:sz w:val="22"/>
                <w:szCs w:val="22"/>
              </w:rPr>
              <w:t xml:space="preserve"> </w:t>
            </w:r>
          </w:p>
        </w:tc>
        <w:tc>
          <w:tcPr>
            <w:tcW w:w="2976" w:type="dxa"/>
            <w:tcBorders>
              <w:top w:val="single" w:color="auto" w:sz="4" w:space="0"/>
              <w:left w:val="single" w:color="auto" w:sz="4" w:space="0"/>
              <w:bottom w:val="single" w:color="auto" w:sz="4" w:space="0"/>
              <w:right w:val="single" w:color="auto" w:sz="4" w:space="0"/>
            </w:tcBorders>
          </w:tcPr>
          <w:p w:rsidRPr="00322410" w:rsidR="003D222C" w:rsidP="05F1399C" w:rsidRDefault="102BCD88" w14:paraId="314B55F6" w14:textId="3B6C2E7B">
            <w:pPr>
              <w:jc w:val="both"/>
              <w:rPr>
                <w:rFonts w:cs="Arial"/>
                <w:sz w:val="22"/>
                <w:szCs w:val="22"/>
              </w:rPr>
            </w:pPr>
            <w:r w:rsidRPr="00322410">
              <w:rPr>
                <w:rFonts w:cs="Arial"/>
                <w:sz w:val="22"/>
                <w:szCs w:val="22"/>
              </w:rPr>
              <w:t>No</w:t>
            </w:r>
          </w:p>
        </w:tc>
      </w:tr>
      <w:tr w:rsidRPr="00322410" w:rsidR="003D222C" w:rsidTr="3244F41E" w14:paraId="49FF75D8" w14:textId="77777777">
        <w:trPr>
          <w:trHeight w:val="345"/>
        </w:trPr>
        <w:tc>
          <w:tcPr>
            <w:tcW w:w="1956"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322410" w:rsidR="003D222C" w:rsidP="004D5FD5" w:rsidRDefault="003D222C" w14:paraId="19A26186" w14:textId="5C0E02AC">
            <w:pPr>
              <w:jc w:val="both"/>
              <w:rPr>
                <w:rFonts w:cs="Arial"/>
                <w:bCs/>
                <w:sz w:val="22"/>
                <w:szCs w:val="22"/>
              </w:rPr>
            </w:pPr>
            <w:r w:rsidRPr="00322410">
              <w:rPr>
                <w:rFonts w:cs="Arial"/>
                <w:bCs/>
                <w:sz w:val="22"/>
                <w:szCs w:val="22"/>
              </w:rPr>
              <w:t>Risk rating</w:t>
            </w:r>
            <w:r w:rsidRPr="00322410" w:rsidR="00DB3B57">
              <w:rPr>
                <w:rFonts w:cs="Arial"/>
                <w:bCs/>
                <w:sz w:val="22"/>
                <w:szCs w:val="22"/>
              </w:rPr>
              <w:t>:</w:t>
            </w:r>
          </w:p>
        </w:tc>
        <w:tc>
          <w:tcPr>
            <w:tcW w:w="1163" w:type="dxa"/>
            <w:tcBorders>
              <w:top w:val="single" w:color="auto" w:sz="4" w:space="0"/>
              <w:left w:val="single" w:color="auto" w:sz="4" w:space="0"/>
              <w:bottom w:val="single" w:color="auto" w:sz="4" w:space="0"/>
              <w:right w:val="single" w:color="auto" w:sz="4" w:space="0"/>
            </w:tcBorders>
          </w:tcPr>
          <w:p w:rsidRPr="00322410" w:rsidR="003D222C" w:rsidP="3FAF61DC" w:rsidRDefault="1627453B" w14:paraId="05841711" w14:textId="790A3C76">
            <w:pPr>
              <w:jc w:val="both"/>
              <w:rPr>
                <w:rFonts w:cs="Arial"/>
                <w:sz w:val="22"/>
                <w:szCs w:val="22"/>
              </w:rPr>
            </w:pPr>
            <w:r w:rsidRPr="00322410">
              <w:rPr>
                <w:rFonts w:cs="Arial"/>
                <w:sz w:val="22"/>
                <w:szCs w:val="22"/>
              </w:rPr>
              <w:t>Moderate</w:t>
            </w:r>
          </w:p>
        </w:tc>
        <w:tc>
          <w:tcPr>
            <w:tcW w:w="2977"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322410" w:rsidR="003D222C" w:rsidP="004D5FD5" w:rsidRDefault="003D222C" w14:paraId="3775A24C" w14:textId="77777777">
            <w:pPr>
              <w:jc w:val="both"/>
              <w:rPr>
                <w:rFonts w:cs="Arial"/>
                <w:bCs/>
                <w:sz w:val="22"/>
                <w:szCs w:val="22"/>
              </w:rPr>
            </w:pPr>
            <w:r w:rsidRPr="00322410">
              <w:rPr>
                <w:rFonts w:cs="Arial"/>
                <w:bCs/>
                <w:sz w:val="22"/>
                <w:szCs w:val="22"/>
              </w:rPr>
              <w:t>Risk revised since last AR?</w:t>
            </w:r>
          </w:p>
        </w:tc>
        <w:tc>
          <w:tcPr>
            <w:tcW w:w="2976" w:type="dxa"/>
            <w:tcBorders>
              <w:top w:val="single" w:color="auto" w:sz="4" w:space="0"/>
              <w:left w:val="single" w:color="auto" w:sz="4" w:space="0"/>
              <w:bottom w:val="single" w:color="auto" w:sz="4" w:space="0"/>
              <w:right w:val="single" w:color="auto" w:sz="4" w:space="0"/>
            </w:tcBorders>
          </w:tcPr>
          <w:p w:rsidRPr="00322410" w:rsidR="003D222C" w:rsidP="05F1399C" w:rsidRDefault="37E130D7" w14:paraId="36DFFD26" w14:textId="6FF3BA69">
            <w:pPr>
              <w:jc w:val="both"/>
              <w:rPr>
                <w:rFonts w:cs="Arial"/>
                <w:sz w:val="22"/>
                <w:szCs w:val="22"/>
              </w:rPr>
            </w:pPr>
            <w:r w:rsidRPr="00322410">
              <w:rPr>
                <w:rFonts w:cs="Arial"/>
                <w:sz w:val="22"/>
                <w:szCs w:val="22"/>
              </w:rPr>
              <w:t>No</w:t>
            </w:r>
          </w:p>
        </w:tc>
      </w:tr>
    </w:tbl>
    <w:p w:rsidRPr="00322410" w:rsidR="003D222C" w:rsidP="004D5FD5" w:rsidRDefault="003D222C" w14:paraId="6858AD8B" w14:textId="77777777">
      <w:pPr>
        <w:jc w:val="both"/>
        <w:rPr>
          <w:rFonts w:cs="Arial"/>
          <w:b/>
          <w:sz w:val="22"/>
          <w:szCs w:val="22"/>
        </w:rPr>
      </w:pPr>
    </w:p>
    <w:tbl>
      <w:tblPr>
        <w:tblStyle w:val="TableGrid"/>
        <w:tblpPr w:leftFromText="180" w:rightFromText="180" w:vertAnchor="text" w:horzAnchor="page" w:tblpX="1462" w:tblpY="-10"/>
        <w:tblOverlap w:val="never"/>
        <w:tblW w:w="9067" w:type="dxa"/>
        <w:tblLook w:val="04A0" w:firstRow="1" w:lastRow="0" w:firstColumn="1" w:lastColumn="0" w:noHBand="0" w:noVBand="1"/>
      </w:tblPr>
      <w:tblGrid>
        <w:gridCol w:w="2595"/>
        <w:gridCol w:w="2205"/>
        <w:gridCol w:w="4267"/>
      </w:tblGrid>
      <w:tr w:rsidRPr="00322410" w:rsidR="003D222C" w:rsidTr="2C0DF5FE" w14:paraId="2C0E4C57" w14:textId="77777777">
        <w:trPr>
          <w:trHeight w:val="273"/>
        </w:trPr>
        <w:tc>
          <w:tcPr>
            <w:tcW w:w="2595" w:type="dxa"/>
            <w:tcBorders>
              <w:top w:val="single" w:color="auto" w:sz="4" w:space="0"/>
              <w:left w:val="single" w:color="auto" w:sz="4" w:space="0"/>
              <w:bottom w:val="single" w:color="auto" w:sz="4" w:space="0"/>
              <w:right w:val="single" w:color="auto" w:sz="4" w:space="0"/>
            </w:tcBorders>
            <w:shd w:val="clear" w:color="auto" w:fill="DEEAF6" w:themeFill="accent5" w:themeFillTint="33"/>
            <w:tcMar/>
            <w:hideMark/>
          </w:tcPr>
          <w:p w:rsidRPr="00322410" w:rsidR="003D222C" w:rsidP="66E436B5" w:rsidRDefault="003D222C" w14:paraId="2D0691AD" w14:textId="77777777">
            <w:pPr>
              <w:jc w:val="both"/>
              <w:rPr>
                <w:rFonts w:cs="Arial"/>
                <w:b/>
                <w:bCs/>
                <w:sz w:val="20"/>
                <w:szCs w:val="20"/>
              </w:rPr>
            </w:pPr>
            <w:r w:rsidRPr="00322410">
              <w:rPr>
                <w:rFonts w:cs="Arial"/>
                <w:b/>
                <w:bCs/>
                <w:sz w:val="20"/>
                <w:szCs w:val="20"/>
              </w:rPr>
              <w:t>Indicator(s)</w:t>
            </w:r>
          </w:p>
        </w:tc>
        <w:tc>
          <w:tcPr>
            <w:tcW w:w="2205" w:type="dxa"/>
            <w:tcBorders>
              <w:top w:val="single" w:color="auto" w:sz="4" w:space="0"/>
              <w:left w:val="single" w:color="auto" w:sz="4" w:space="0"/>
              <w:bottom w:val="single" w:color="auto" w:sz="4" w:space="0"/>
              <w:right w:val="single" w:color="auto" w:sz="4" w:space="0"/>
            </w:tcBorders>
            <w:shd w:val="clear" w:color="auto" w:fill="DEEAF6" w:themeFill="accent5" w:themeFillTint="33"/>
            <w:tcMar/>
            <w:hideMark/>
          </w:tcPr>
          <w:p w:rsidRPr="00322410" w:rsidR="003D222C" w:rsidP="66E436B5" w:rsidRDefault="003D222C" w14:paraId="700F6E10" w14:textId="77777777">
            <w:pPr>
              <w:jc w:val="both"/>
              <w:rPr>
                <w:rFonts w:cs="Arial"/>
                <w:b/>
                <w:bCs/>
                <w:sz w:val="20"/>
                <w:szCs w:val="20"/>
              </w:rPr>
            </w:pPr>
            <w:r w:rsidRPr="00322410">
              <w:rPr>
                <w:rFonts w:cs="Arial"/>
                <w:b/>
                <w:bCs/>
                <w:sz w:val="20"/>
                <w:szCs w:val="20"/>
              </w:rPr>
              <w:t>Milestone(s) for this review</w:t>
            </w:r>
          </w:p>
        </w:tc>
        <w:tc>
          <w:tcPr>
            <w:tcW w:w="4267" w:type="dxa"/>
            <w:tcBorders>
              <w:top w:val="single" w:color="auto" w:sz="4" w:space="0"/>
              <w:left w:val="single" w:color="auto" w:sz="4" w:space="0"/>
              <w:bottom w:val="single" w:color="auto" w:sz="4" w:space="0"/>
              <w:right w:val="single" w:color="auto" w:sz="4" w:space="0"/>
            </w:tcBorders>
            <w:shd w:val="clear" w:color="auto" w:fill="DEEAF6" w:themeFill="accent5" w:themeFillTint="33"/>
            <w:tcMar/>
            <w:hideMark/>
          </w:tcPr>
          <w:p w:rsidRPr="00322410" w:rsidR="003D222C" w:rsidP="66E436B5" w:rsidRDefault="003D222C" w14:paraId="1AFE6250" w14:textId="77777777">
            <w:pPr>
              <w:jc w:val="both"/>
              <w:rPr>
                <w:rFonts w:cs="Arial"/>
                <w:b/>
                <w:bCs/>
                <w:sz w:val="20"/>
                <w:szCs w:val="20"/>
              </w:rPr>
            </w:pPr>
            <w:r w:rsidRPr="00322410">
              <w:rPr>
                <w:rFonts w:cs="Arial"/>
                <w:b/>
                <w:bCs/>
                <w:sz w:val="20"/>
                <w:szCs w:val="20"/>
              </w:rPr>
              <w:t xml:space="preserve">Progress </w:t>
            </w:r>
          </w:p>
        </w:tc>
      </w:tr>
      <w:tr w:rsidRPr="00322410" w:rsidR="003D222C" w:rsidTr="2C0DF5FE" w14:paraId="4F7F057D" w14:textId="77777777">
        <w:tc>
          <w:tcPr>
            <w:tcW w:w="2595" w:type="dxa"/>
            <w:tcBorders>
              <w:top w:val="single" w:color="auto" w:sz="4" w:space="0"/>
              <w:left w:val="single" w:color="auto" w:sz="4" w:space="0"/>
              <w:bottom w:val="single" w:color="auto" w:sz="4" w:space="0"/>
              <w:right w:val="single" w:color="auto" w:sz="4" w:space="0"/>
            </w:tcBorders>
            <w:tcMar/>
          </w:tcPr>
          <w:p w:rsidRPr="00322410" w:rsidR="76EEDA73" w:rsidP="14DFE6AB" w:rsidRDefault="76EEDA73" w14:paraId="7B6430D3" w14:textId="311DD8C2">
            <w:pPr>
              <w:rPr>
                <w:rFonts w:cs="Arial"/>
                <w:sz w:val="20"/>
                <w:szCs w:val="20"/>
              </w:rPr>
            </w:pPr>
            <w:r w:rsidRPr="00322410">
              <w:rPr>
                <w:rFonts w:cs="Arial"/>
                <w:sz w:val="20"/>
                <w:szCs w:val="20"/>
              </w:rPr>
              <w:t>1.</w:t>
            </w:r>
            <w:r w:rsidRPr="00322410" w:rsidR="42339631">
              <w:rPr>
                <w:rFonts w:cs="Arial"/>
                <w:sz w:val="20"/>
                <w:szCs w:val="20"/>
              </w:rPr>
              <w:t>1</w:t>
            </w:r>
          </w:p>
          <w:p w:rsidRPr="00322410" w:rsidR="14DFE6AB" w:rsidP="14DFE6AB" w:rsidRDefault="14DFE6AB" w14:paraId="1B1B1538" w14:textId="54152E37">
            <w:pPr>
              <w:rPr>
                <w:rFonts w:cs="Arial"/>
                <w:sz w:val="20"/>
                <w:szCs w:val="20"/>
              </w:rPr>
            </w:pPr>
          </w:p>
          <w:p w:rsidRPr="00322410" w:rsidR="003D222C" w:rsidP="66E436B5" w:rsidRDefault="76EEDA73" w14:paraId="1D881AFA" w14:textId="31F1DE5D">
            <w:pPr>
              <w:rPr>
                <w:rFonts w:cs="Arial"/>
                <w:sz w:val="20"/>
                <w:szCs w:val="20"/>
              </w:rPr>
            </w:pPr>
            <w:r w:rsidRPr="00322410">
              <w:rPr>
                <w:rFonts w:cs="Arial"/>
                <w:sz w:val="20"/>
                <w:szCs w:val="20"/>
              </w:rPr>
              <w:t xml:space="preserve">a) </w:t>
            </w:r>
            <w:proofErr w:type="gramStart"/>
            <w:r w:rsidRPr="00322410">
              <w:rPr>
                <w:rFonts w:cs="Arial"/>
                <w:sz w:val="20"/>
                <w:szCs w:val="20"/>
              </w:rPr>
              <w:t>Amount</w:t>
            </w:r>
            <w:proofErr w:type="gramEnd"/>
            <w:r w:rsidRPr="00322410">
              <w:rPr>
                <w:rFonts w:cs="Arial"/>
                <w:sz w:val="20"/>
                <w:szCs w:val="20"/>
              </w:rPr>
              <w:t xml:space="preserve"> of disbursements for ER payments ($, cumulative)</w:t>
            </w:r>
          </w:p>
          <w:p w:rsidRPr="00322410" w:rsidR="14DFE6AB" w:rsidP="14DFE6AB" w:rsidRDefault="14DFE6AB" w14:paraId="03884E54" w14:textId="58846CB2">
            <w:pPr>
              <w:rPr>
                <w:rFonts w:cs="Arial"/>
                <w:sz w:val="20"/>
                <w:szCs w:val="20"/>
              </w:rPr>
            </w:pPr>
          </w:p>
          <w:p w:rsidRPr="00322410" w:rsidR="003D222C" w:rsidP="66E436B5" w:rsidRDefault="709B8BE2" w14:paraId="3B935EB4" w14:textId="129B6E6E">
            <w:pPr>
              <w:rPr>
                <w:rFonts w:cs="Arial"/>
                <w:sz w:val="20"/>
                <w:szCs w:val="20"/>
              </w:rPr>
            </w:pPr>
            <w:r w:rsidRPr="00322410">
              <w:rPr>
                <w:rFonts w:cs="Arial"/>
                <w:sz w:val="20"/>
                <w:szCs w:val="20"/>
              </w:rPr>
              <w:t>b) Actual ERs purchased by CF as of originally committed ERs (as per ERPA) - percentage progress</w:t>
            </w:r>
          </w:p>
        </w:tc>
        <w:tc>
          <w:tcPr>
            <w:tcW w:w="2205" w:type="dxa"/>
            <w:tcBorders>
              <w:top w:val="single" w:color="auto" w:sz="4" w:space="0"/>
              <w:left w:val="single" w:color="auto" w:sz="4" w:space="0"/>
              <w:bottom w:val="single" w:color="auto" w:sz="4" w:space="0"/>
              <w:right w:val="single" w:color="auto" w:sz="4" w:space="0"/>
            </w:tcBorders>
            <w:tcMar/>
          </w:tcPr>
          <w:p w:rsidRPr="00322410" w:rsidR="003D222C" w:rsidP="4ACAF60A" w:rsidRDefault="4ACAF60A" w14:paraId="4764CAE5" w14:textId="77E030D5">
            <w:pPr>
              <w:rPr>
                <w:rFonts w:cs="Arial"/>
                <w:sz w:val="20"/>
                <w:szCs w:val="20"/>
              </w:rPr>
            </w:pPr>
            <w:r w:rsidRPr="00322410">
              <w:rPr>
                <w:rFonts w:cs="Arial"/>
                <w:sz w:val="20"/>
                <w:szCs w:val="20"/>
              </w:rPr>
              <w:t xml:space="preserve">a) </w:t>
            </w:r>
            <w:r w:rsidRPr="00322410" w:rsidR="4EB33453">
              <w:rPr>
                <w:rFonts w:cs="Arial"/>
                <w:sz w:val="20"/>
                <w:szCs w:val="20"/>
              </w:rPr>
              <w:t>$</w:t>
            </w:r>
            <w:r w:rsidRPr="00322410" w:rsidR="7A491099">
              <w:rPr>
                <w:rFonts w:cs="Arial"/>
                <w:sz w:val="20"/>
                <w:szCs w:val="20"/>
              </w:rPr>
              <w:t>271.3</w:t>
            </w:r>
            <w:r w:rsidRPr="00322410" w:rsidR="1C5A75A9">
              <w:rPr>
                <w:rFonts w:cs="Arial"/>
                <w:sz w:val="20"/>
                <w:szCs w:val="20"/>
              </w:rPr>
              <w:t>m</w:t>
            </w:r>
          </w:p>
          <w:p w:rsidRPr="00322410" w:rsidR="003D222C" w:rsidP="4ACAF60A" w:rsidRDefault="4ACAF60A" w14:paraId="1FA4E29B" w14:textId="6DB1A6CE">
            <w:pPr>
              <w:rPr>
                <w:rFonts w:cs="Arial"/>
                <w:sz w:val="20"/>
                <w:szCs w:val="20"/>
              </w:rPr>
            </w:pPr>
            <w:r w:rsidRPr="00322410">
              <w:rPr>
                <w:rFonts w:cs="Arial"/>
                <w:sz w:val="20"/>
                <w:szCs w:val="20"/>
              </w:rPr>
              <w:t xml:space="preserve">b) </w:t>
            </w:r>
            <w:r w:rsidRPr="00322410" w:rsidR="55D46C02">
              <w:rPr>
                <w:rFonts w:cs="Arial"/>
                <w:sz w:val="20"/>
                <w:szCs w:val="20"/>
              </w:rPr>
              <w:t>22%</w:t>
            </w:r>
          </w:p>
        </w:tc>
        <w:tc>
          <w:tcPr>
            <w:tcW w:w="4267" w:type="dxa"/>
            <w:tcBorders>
              <w:top w:val="single" w:color="auto" w:sz="4" w:space="0"/>
              <w:left w:val="single" w:color="auto" w:sz="4" w:space="0"/>
              <w:bottom w:val="single" w:color="auto" w:sz="4" w:space="0"/>
              <w:right w:val="single" w:color="auto" w:sz="4" w:space="0"/>
            </w:tcBorders>
            <w:tcMar/>
          </w:tcPr>
          <w:p w:rsidRPr="00322410" w:rsidR="003D222C" w:rsidP="55C5EB9A" w:rsidRDefault="4ACAF60A" w14:paraId="7082E165" w14:textId="6096AE07">
            <w:pPr>
              <w:contextualSpacing/>
              <w:rPr>
                <w:rFonts w:cs="Arial"/>
                <w:b/>
                <w:bCs/>
                <w:sz w:val="20"/>
                <w:szCs w:val="20"/>
              </w:rPr>
            </w:pPr>
            <w:r w:rsidRPr="00322410">
              <w:rPr>
                <w:rFonts w:cs="Arial"/>
                <w:sz w:val="20"/>
                <w:szCs w:val="20"/>
              </w:rPr>
              <w:t xml:space="preserve">a) </w:t>
            </w:r>
            <w:r w:rsidRPr="00322410" w:rsidR="3D584385">
              <w:rPr>
                <w:rFonts w:cs="Arial"/>
                <w:sz w:val="20"/>
                <w:szCs w:val="20"/>
              </w:rPr>
              <w:t>$</w:t>
            </w:r>
            <w:r w:rsidRPr="00322410" w:rsidR="77B1B513">
              <w:rPr>
                <w:rFonts w:cs="Arial"/>
                <w:sz w:val="20"/>
                <w:szCs w:val="20"/>
              </w:rPr>
              <w:t>235.45m</w:t>
            </w:r>
            <w:r w:rsidRPr="00322410" w:rsidR="4B83FAE5">
              <w:rPr>
                <w:rFonts w:cs="Arial"/>
                <w:sz w:val="20"/>
                <w:szCs w:val="20"/>
              </w:rPr>
              <w:t xml:space="preserve"> </w:t>
            </w:r>
            <w:r w:rsidRPr="00322410" w:rsidR="4B83FAE5">
              <w:rPr>
                <w:rFonts w:cs="Arial"/>
                <w:b/>
                <w:bCs/>
                <w:sz w:val="20"/>
                <w:szCs w:val="20"/>
              </w:rPr>
              <w:t>Moderately did not meet expectation</w:t>
            </w:r>
          </w:p>
          <w:p w:rsidRPr="00322410" w:rsidR="003D222C" w:rsidP="2C0DF5FE" w:rsidRDefault="77B1B513" w14:paraId="6B9B54B5" w14:textId="536D7F85">
            <w:pPr>
              <w:spacing/>
              <w:contextualSpacing w:val="1"/>
              <w:rPr>
                <w:rFonts w:cs="Arial"/>
                <w:b w:val="1"/>
                <w:bCs w:val="1"/>
                <w:sz w:val="20"/>
                <w:szCs w:val="20"/>
              </w:rPr>
            </w:pPr>
            <w:r w:rsidRPr="2C0DF5FE" w:rsidR="77B1B513">
              <w:rPr>
                <w:rFonts w:cs="Arial"/>
                <w:sz w:val="20"/>
                <w:szCs w:val="20"/>
              </w:rPr>
              <w:t>b) 30%</w:t>
            </w:r>
            <w:r w:rsidRPr="2C0DF5FE" w:rsidR="31B2ECF3">
              <w:rPr>
                <w:rFonts w:cs="Arial"/>
                <w:sz w:val="20"/>
                <w:szCs w:val="20"/>
              </w:rPr>
              <w:t xml:space="preserve"> </w:t>
            </w:r>
            <w:r w:rsidRPr="2C0DF5FE" w:rsidR="31B2ECF3">
              <w:rPr>
                <w:rFonts w:cs="Arial"/>
                <w:b w:val="1"/>
                <w:bCs w:val="1"/>
                <w:sz w:val="20"/>
                <w:szCs w:val="20"/>
              </w:rPr>
              <w:t xml:space="preserve">Moderately </w:t>
            </w:r>
            <w:r w:rsidRPr="2C0DF5FE" w:rsidR="31B2ECF3">
              <w:rPr>
                <w:rFonts w:cs="Arial"/>
                <w:b w:val="1"/>
                <w:bCs w:val="1"/>
                <w:sz w:val="20"/>
                <w:szCs w:val="20"/>
              </w:rPr>
              <w:t>exceeded expectation</w:t>
            </w:r>
          </w:p>
          <w:p w:rsidRPr="00322410" w:rsidR="003D222C" w:rsidP="064FA54F" w:rsidRDefault="003D222C" w14:paraId="0A8BBEFD" w14:textId="4E7D2308">
            <w:pPr>
              <w:contextualSpacing/>
              <w:rPr>
                <w:rFonts w:cs="Arial"/>
                <w:b/>
                <w:bCs/>
                <w:sz w:val="20"/>
                <w:szCs w:val="20"/>
              </w:rPr>
            </w:pPr>
          </w:p>
          <w:p w:rsidRPr="00322410" w:rsidR="003D222C" w:rsidP="37C1AAA0" w:rsidRDefault="63755E8F" w14:paraId="1DF15CBA" w14:textId="558243E3">
            <w:pPr>
              <w:contextualSpacing/>
              <w:rPr>
                <w:rFonts w:cs="Arial"/>
                <w:b/>
                <w:bCs/>
                <w:sz w:val="20"/>
                <w:szCs w:val="20"/>
              </w:rPr>
            </w:pPr>
            <w:r w:rsidRPr="00322410">
              <w:rPr>
                <w:rFonts w:cs="Arial"/>
                <w:b/>
                <w:bCs/>
                <w:sz w:val="20"/>
                <w:szCs w:val="20"/>
              </w:rPr>
              <w:t>Overall: Met expectation</w:t>
            </w:r>
          </w:p>
        </w:tc>
      </w:tr>
      <w:tr w:rsidRPr="00322410" w:rsidR="00691842" w:rsidTr="2C0DF5FE" w14:paraId="5FC9728D" w14:textId="77777777">
        <w:tc>
          <w:tcPr>
            <w:tcW w:w="2595" w:type="dxa"/>
            <w:tcBorders>
              <w:top w:val="single" w:color="auto" w:sz="4" w:space="0"/>
              <w:left w:val="single" w:color="auto" w:sz="4" w:space="0"/>
              <w:bottom w:val="single" w:color="auto" w:sz="4" w:space="0"/>
              <w:right w:val="single" w:color="auto" w:sz="4" w:space="0"/>
            </w:tcBorders>
            <w:tcMar/>
          </w:tcPr>
          <w:p w:rsidRPr="00322410" w:rsidR="00691842" w:rsidP="71815B01" w:rsidRDefault="77B1B513" w14:paraId="47B0265E" w14:textId="0E4334F7">
            <w:pPr>
              <w:rPr>
                <w:rFonts w:cs="Arial"/>
                <w:sz w:val="20"/>
                <w:szCs w:val="20"/>
              </w:rPr>
            </w:pPr>
            <w:r w:rsidRPr="00322410">
              <w:rPr>
                <w:rFonts w:cs="Arial"/>
                <w:sz w:val="20"/>
                <w:szCs w:val="20"/>
              </w:rPr>
              <w:t>1.2 Effi</w:t>
            </w:r>
            <w:r w:rsidRPr="00322410" w:rsidR="0BA17550">
              <w:rPr>
                <w:rFonts w:cs="Arial"/>
                <w:sz w:val="20"/>
                <w:szCs w:val="20"/>
              </w:rPr>
              <w:t>c</w:t>
            </w:r>
            <w:r w:rsidRPr="00322410">
              <w:rPr>
                <w:rFonts w:cs="Arial"/>
                <w:sz w:val="20"/>
                <w:szCs w:val="20"/>
              </w:rPr>
              <w:t>ient implementation of ER programmes</w:t>
            </w:r>
          </w:p>
          <w:p w:rsidRPr="00322410" w:rsidR="00691842" w:rsidP="428C7E11" w:rsidRDefault="00691842" w14:paraId="0DF1F302" w14:textId="11FF5B15">
            <w:pPr>
              <w:rPr>
                <w:rFonts w:cs="Arial"/>
                <w:sz w:val="20"/>
                <w:szCs w:val="20"/>
              </w:rPr>
            </w:pPr>
          </w:p>
          <w:p w:rsidRPr="00322410" w:rsidR="00691842" w:rsidP="3408F0F9" w:rsidRDefault="428C7E11" w14:paraId="2D74A05C" w14:textId="7725EE99">
            <w:pPr>
              <w:rPr>
                <w:rFonts w:cs="Arial"/>
                <w:sz w:val="20"/>
                <w:szCs w:val="20"/>
              </w:rPr>
            </w:pPr>
            <w:r w:rsidRPr="00322410">
              <w:rPr>
                <w:rFonts w:cs="Arial"/>
                <w:sz w:val="20"/>
                <w:szCs w:val="20"/>
              </w:rPr>
              <w:t xml:space="preserve">a) </w:t>
            </w:r>
            <w:r w:rsidRPr="00322410" w:rsidR="6F89C2B3">
              <w:rPr>
                <w:rFonts w:cs="Arial"/>
                <w:sz w:val="20"/>
                <w:szCs w:val="20"/>
              </w:rPr>
              <w:t>Number of monitoring reports submitted (cumulative)</w:t>
            </w:r>
          </w:p>
          <w:p w:rsidRPr="00322410" w:rsidR="00691842" w:rsidP="3408F0F9" w:rsidRDefault="00691842" w14:paraId="4F3D1957" w14:textId="18AE9D3B">
            <w:pPr>
              <w:rPr>
                <w:rFonts w:cs="Arial"/>
                <w:sz w:val="20"/>
                <w:szCs w:val="20"/>
              </w:rPr>
            </w:pPr>
          </w:p>
          <w:p w:rsidRPr="00322410" w:rsidR="00691842" w:rsidP="3408F0F9" w:rsidRDefault="3408F0F9" w14:paraId="7962695B" w14:textId="4D796B61">
            <w:pPr>
              <w:rPr>
                <w:rFonts w:cs="Arial"/>
                <w:sz w:val="20"/>
                <w:szCs w:val="20"/>
              </w:rPr>
            </w:pPr>
            <w:r w:rsidRPr="00322410">
              <w:rPr>
                <w:rFonts w:cs="Arial"/>
                <w:sz w:val="20"/>
                <w:szCs w:val="20"/>
              </w:rPr>
              <w:t xml:space="preserve">b) </w:t>
            </w:r>
            <w:r w:rsidRPr="00322410" w:rsidR="144886F8">
              <w:rPr>
                <w:rFonts w:cs="Arial"/>
                <w:sz w:val="20"/>
                <w:szCs w:val="20"/>
              </w:rPr>
              <w:t>Number of monitoring reports successfully verified/validated (cumulative)</w:t>
            </w:r>
          </w:p>
        </w:tc>
        <w:tc>
          <w:tcPr>
            <w:tcW w:w="2205" w:type="dxa"/>
            <w:tcBorders>
              <w:top w:val="single" w:color="auto" w:sz="4" w:space="0"/>
              <w:left w:val="single" w:color="auto" w:sz="4" w:space="0"/>
              <w:bottom w:val="single" w:color="auto" w:sz="4" w:space="0"/>
              <w:right w:val="single" w:color="auto" w:sz="4" w:space="0"/>
            </w:tcBorders>
            <w:tcMar/>
          </w:tcPr>
          <w:p w:rsidRPr="00322410" w:rsidR="00691842" w:rsidP="3408F0F9" w:rsidRDefault="3408F0F9" w14:paraId="4158CA79" w14:textId="66A16255">
            <w:pPr>
              <w:rPr>
                <w:rFonts w:cs="Arial"/>
                <w:sz w:val="20"/>
                <w:szCs w:val="20"/>
              </w:rPr>
            </w:pPr>
            <w:r w:rsidRPr="00322410">
              <w:rPr>
                <w:rFonts w:cs="Arial"/>
                <w:sz w:val="20"/>
                <w:szCs w:val="20"/>
              </w:rPr>
              <w:t xml:space="preserve">a) </w:t>
            </w:r>
            <w:r w:rsidRPr="00322410" w:rsidR="7992C0A8">
              <w:rPr>
                <w:rFonts w:cs="Arial"/>
                <w:sz w:val="20"/>
                <w:szCs w:val="20"/>
              </w:rPr>
              <w:t>31</w:t>
            </w:r>
          </w:p>
          <w:p w:rsidRPr="00322410" w:rsidR="00691842" w:rsidP="3408F0F9" w:rsidRDefault="7992C0A8" w14:paraId="4F70BD3F" w14:textId="1B8DE5E0">
            <w:pPr>
              <w:rPr>
                <w:rFonts w:cs="Arial"/>
                <w:sz w:val="20"/>
                <w:szCs w:val="20"/>
              </w:rPr>
            </w:pPr>
            <w:r w:rsidRPr="00322410">
              <w:rPr>
                <w:rFonts w:cs="Arial"/>
                <w:sz w:val="20"/>
                <w:szCs w:val="20"/>
              </w:rPr>
              <w:t>b) 27</w:t>
            </w:r>
          </w:p>
        </w:tc>
        <w:tc>
          <w:tcPr>
            <w:tcW w:w="4267" w:type="dxa"/>
            <w:tcBorders>
              <w:top w:val="single" w:color="auto" w:sz="4" w:space="0"/>
              <w:left w:val="single" w:color="auto" w:sz="4" w:space="0"/>
              <w:bottom w:val="single" w:color="auto" w:sz="4" w:space="0"/>
              <w:right w:val="single" w:color="auto" w:sz="4" w:space="0"/>
            </w:tcBorders>
            <w:tcMar/>
          </w:tcPr>
          <w:p w:rsidRPr="00322410" w:rsidR="00691842" w:rsidP="2BF310E1" w:rsidRDefault="3408F0F9" w14:paraId="0121CC10" w14:textId="46778495">
            <w:pPr>
              <w:contextualSpacing/>
              <w:rPr>
                <w:rFonts w:cs="Arial"/>
                <w:b/>
                <w:bCs/>
                <w:sz w:val="20"/>
                <w:szCs w:val="20"/>
              </w:rPr>
            </w:pPr>
            <w:r w:rsidRPr="00322410">
              <w:rPr>
                <w:rFonts w:cs="Arial"/>
                <w:sz w:val="20"/>
                <w:szCs w:val="20"/>
              </w:rPr>
              <w:t xml:space="preserve">a) </w:t>
            </w:r>
            <w:r w:rsidRPr="00322410" w:rsidR="72049BD4">
              <w:rPr>
                <w:rFonts w:cs="Arial"/>
                <w:sz w:val="20"/>
                <w:szCs w:val="20"/>
              </w:rPr>
              <w:t>2</w:t>
            </w:r>
            <w:r w:rsidRPr="00322410" w:rsidR="677F4B5B">
              <w:rPr>
                <w:rFonts w:cs="Arial"/>
                <w:sz w:val="20"/>
                <w:szCs w:val="20"/>
              </w:rPr>
              <w:t>2</w:t>
            </w:r>
            <w:r w:rsidRPr="00322410" w:rsidR="72049BD4">
              <w:rPr>
                <w:rFonts w:cs="Arial"/>
                <w:sz w:val="20"/>
                <w:szCs w:val="20"/>
              </w:rPr>
              <w:t xml:space="preserve"> (15 first MRs, 6 second MRs, 1 third MR)</w:t>
            </w:r>
            <w:r w:rsidRPr="00322410" w:rsidR="5E59CACF">
              <w:rPr>
                <w:rFonts w:cs="Arial"/>
                <w:sz w:val="20"/>
                <w:szCs w:val="20"/>
              </w:rPr>
              <w:t xml:space="preserve"> </w:t>
            </w:r>
            <w:r w:rsidRPr="00322410" w:rsidR="5E59CACF">
              <w:rPr>
                <w:rFonts w:cs="Arial"/>
                <w:b/>
                <w:bCs/>
                <w:sz w:val="20"/>
                <w:szCs w:val="20"/>
              </w:rPr>
              <w:t>Moderately did not meet expectation</w:t>
            </w:r>
          </w:p>
          <w:p w:rsidRPr="00322410" w:rsidR="00691842" w:rsidP="2C0DF5FE" w:rsidRDefault="4537FAD9" w14:paraId="3318F706" w14:textId="0A59874B">
            <w:pPr>
              <w:spacing/>
              <w:contextualSpacing w:val="1"/>
              <w:rPr>
                <w:rFonts w:cs="Arial"/>
                <w:b w:val="1"/>
                <w:bCs w:val="1"/>
                <w:sz w:val="20"/>
                <w:szCs w:val="20"/>
              </w:rPr>
            </w:pPr>
            <w:r w:rsidRPr="2C0DF5FE" w:rsidR="4537FAD9">
              <w:rPr>
                <w:rFonts w:cs="Arial"/>
                <w:sz w:val="20"/>
                <w:szCs w:val="20"/>
              </w:rPr>
              <w:t>b) 1</w:t>
            </w:r>
            <w:r w:rsidRPr="2C0DF5FE" w:rsidR="00F77A7A">
              <w:rPr>
                <w:rFonts w:cs="Arial"/>
                <w:sz w:val="20"/>
                <w:szCs w:val="20"/>
              </w:rPr>
              <w:t>5</w:t>
            </w:r>
            <w:r w:rsidRPr="2C0DF5FE" w:rsidR="161D353C">
              <w:rPr>
                <w:rFonts w:cs="Arial"/>
                <w:sz w:val="20"/>
                <w:szCs w:val="20"/>
              </w:rPr>
              <w:t xml:space="preserve"> </w:t>
            </w:r>
            <w:r w:rsidRPr="2C0DF5FE" w:rsidR="0030284D">
              <w:rPr>
                <w:rFonts w:cs="Arial"/>
                <w:b w:val="1"/>
                <w:bCs w:val="1"/>
                <w:sz w:val="20"/>
                <w:szCs w:val="20"/>
              </w:rPr>
              <w:t>Significantly</w:t>
            </w:r>
            <w:r w:rsidRPr="2C0DF5FE" w:rsidR="2448A53B">
              <w:rPr>
                <w:rFonts w:cs="Arial"/>
                <w:b w:val="1"/>
                <w:bCs w:val="1"/>
                <w:sz w:val="20"/>
                <w:szCs w:val="20"/>
              </w:rPr>
              <w:t xml:space="preserve"> </w:t>
            </w:r>
            <w:r w:rsidRPr="2C0DF5FE" w:rsidR="161D353C">
              <w:rPr>
                <w:rFonts w:cs="Arial"/>
                <w:b w:val="1"/>
                <w:bCs w:val="1"/>
                <w:sz w:val="20"/>
                <w:szCs w:val="20"/>
              </w:rPr>
              <w:t>did not meet expectation</w:t>
            </w:r>
          </w:p>
        </w:tc>
      </w:tr>
    </w:tbl>
    <w:p w:rsidRPr="00322410" w:rsidR="67A5654F" w:rsidP="67A5654F" w:rsidRDefault="67A5654F" w14:paraId="73C07DE6" w14:textId="00E48225">
      <w:pPr>
        <w:jc w:val="both"/>
        <w:rPr>
          <w:b/>
          <w:bCs/>
          <w:i/>
          <w:iCs/>
          <w:sz w:val="28"/>
          <w:szCs w:val="28"/>
        </w:rPr>
      </w:pPr>
    </w:p>
    <w:p w:rsidRPr="00322410" w:rsidR="003D222C" w:rsidP="7E5EF543" w:rsidRDefault="00C02966" w14:paraId="08AB1D93" w14:textId="250CA79A">
      <w:pPr>
        <w:jc w:val="both"/>
        <w:rPr>
          <w:rFonts w:cs="Arial"/>
          <w:i/>
          <w:iCs/>
          <w:sz w:val="22"/>
          <w:szCs w:val="22"/>
        </w:rPr>
      </w:pPr>
      <w:r w:rsidRPr="00322410">
        <w:rPr>
          <w:b/>
          <w:bCs/>
          <w:i/>
          <w:iCs/>
          <w:sz w:val="28"/>
          <w:szCs w:val="28"/>
        </w:rPr>
        <w:t>O</w:t>
      </w:r>
      <w:r w:rsidRPr="00322410" w:rsidR="003D222C">
        <w:rPr>
          <w:b/>
          <w:bCs/>
          <w:i/>
          <w:iCs/>
          <w:sz w:val="28"/>
          <w:szCs w:val="28"/>
        </w:rPr>
        <w:t>utput</w:t>
      </w:r>
      <w:r w:rsidRPr="00322410">
        <w:rPr>
          <w:b/>
          <w:bCs/>
          <w:i/>
          <w:iCs/>
          <w:sz w:val="28"/>
          <w:szCs w:val="28"/>
        </w:rPr>
        <w:t xml:space="preserve"> summary</w:t>
      </w:r>
      <w:r w:rsidRPr="00322410" w:rsidR="003D222C">
        <w:rPr>
          <w:b/>
          <w:bCs/>
          <w:i/>
          <w:iCs/>
          <w:sz w:val="28"/>
          <w:szCs w:val="28"/>
        </w:rPr>
        <w:t xml:space="preserve"> and supporting narrative for the score</w:t>
      </w:r>
      <w:r w:rsidRPr="00322410" w:rsidR="003D222C">
        <w:rPr>
          <w:rFonts w:cs="Arial"/>
          <w:b/>
          <w:bCs/>
          <w:i/>
          <w:iCs/>
          <w:sz w:val="22"/>
          <w:szCs w:val="22"/>
        </w:rPr>
        <w:t xml:space="preserve"> </w:t>
      </w:r>
    </w:p>
    <w:p w:rsidRPr="00322410" w:rsidR="003D222C" w:rsidP="7E5EF543" w:rsidRDefault="003D222C" w14:paraId="279A4EAB" w14:textId="40C99EC7">
      <w:pPr>
        <w:jc w:val="both"/>
        <w:rPr>
          <w:rFonts w:cs="Arial"/>
          <w:sz w:val="22"/>
          <w:szCs w:val="22"/>
        </w:rPr>
      </w:pPr>
    </w:p>
    <w:p w:rsidRPr="00322410" w:rsidR="07067E20" w:rsidP="05E40E61" w:rsidRDefault="5BCBD999" w14:paraId="63396D6C" w14:textId="34813BA0">
      <w:pPr>
        <w:jc w:val="both"/>
        <w:rPr>
          <w:rFonts w:cs="Arial"/>
          <w:sz w:val="22"/>
          <w:szCs w:val="22"/>
        </w:rPr>
      </w:pPr>
      <w:r w:rsidRPr="22C334A2">
        <w:rPr>
          <w:rFonts w:cs="Arial"/>
          <w:sz w:val="22"/>
          <w:szCs w:val="22"/>
        </w:rPr>
        <w:t xml:space="preserve">Output 1 assesses the planning and implementation of emission reductions programmes. For RP25, </w:t>
      </w:r>
      <w:r w:rsidRPr="22C334A2" w:rsidR="50BC4545">
        <w:rPr>
          <w:rFonts w:cs="Arial"/>
          <w:sz w:val="22"/>
          <w:szCs w:val="22"/>
        </w:rPr>
        <w:t>o</w:t>
      </w:r>
      <w:r w:rsidRPr="22C334A2">
        <w:rPr>
          <w:rFonts w:cs="Arial"/>
          <w:sz w:val="22"/>
          <w:szCs w:val="22"/>
        </w:rPr>
        <w:t xml:space="preserve">utput 1 has scored a </w:t>
      </w:r>
      <w:r w:rsidRPr="22C334A2" w:rsidR="06274F26">
        <w:rPr>
          <w:rFonts w:cs="Arial"/>
          <w:sz w:val="22"/>
          <w:szCs w:val="22"/>
        </w:rPr>
        <w:t>B</w:t>
      </w:r>
      <w:r w:rsidRPr="22C334A2">
        <w:rPr>
          <w:rFonts w:cs="Arial"/>
          <w:sz w:val="22"/>
          <w:szCs w:val="22"/>
        </w:rPr>
        <w:t>, meaning that</w:t>
      </w:r>
      <w:r w:rsidRPr="22C334A2" w:rsidR="181A2668">
        <w:rPr>
          <w:rFonts w:cs="Arial"/>
          <w:sz w:val="22"/>
          <w:szCs w:val="22"/>
        </w:rPr>
        <w:t>,</w:t>
      </w:r>
      <w:r w:rsidRPr="22C334A2">
        <w:rPr>
          <w:rFonts w:cs="Arial"/>
          <w:sz w:val="22"/>
          <w:szCs w:val="22"/>
        </w:rPr>
        <w:t xml:space="preserve"> </w:t>
      </w:r>
      <w:r w:rsidRPr="22C334A2" w:rsidR="06AC41AB">
        <w:rPr>
          <w:rFonts w:cs="Arial"/>
          <w:sz w:val="22"/>
          <w:szCs w:val="22"/>
        </w:rPr>
        <w:t>overall</w:t>
      </w:r>
      <w:r w:rsidRPr="22C334A2" w:rsidR="2B971B98">
        <w:rPr>
          <w:rFonts w:cs="Arial"/>
          <w:sz w:val="22"/>
          <w:szCs w:val="22"/>
        </w:rPr>
        <w:t>,</w:t>
      </w:r>
      <w:r w:rsidRPr="22C334A2" w:rsidR="06AC41AB">
        <w:rPr>
          <w:rFonts w:cs="Arial"/>
          <w:sz w:val="22"/>
          <w:szCs w:val="22"/>
        </w:rPr>
        <w:t xml:space="preserve"> </w:t>
      </w:r>
      <w:r w:rsidRPr="22C334A2">
        <w:rPr>
          <w:rFonts w:cs="Arial"/>
          <w:sz w:val="22"/>
          <w:szCs w:val="22"/>
        </w:rPr>
        <w:t xml:space="preserve">results have </w:t>
      </w:r>
      <w:r w:rsidRPr="22C334A2" w:rsidR="4C349FCE">
        <w:rPr>
          <w:rFonts w:cs="Arial"/>
          <w:sz w:val="22"/>
          <w:szCs w:val="22"/>
        </w:rPr>
        <w:t>moderately not met expectations</w:t>
      </w:r>
      <w:r w:rsidRPr="22C334A2">
        <w:rPr>
          <w:rFonts w:cs="Arial"/>
          <w:sz w:val="22"/>
          <w:szCs w:val="22"/>
        </w:rPr>
        <w:t>.</w:t>
      </w:r>
    </w:p>
    <w:p w:rsidRPr="00322410" w:rsidR="3E4BDDFF" w:rsidP="3E4BDDFF" w:rsidRDefault="3E4BDDFF" w14:paraId="06A085F1" w14:textId="53EE4147">
      <w:pPr>
        <w:jc w:val="both"/>
        <w:rPr>
          <w:rFonts w:cs="Arial"/>
          <w:sz w:val="22"/>
          <w:szCs w:val="22"/>
        </w:rPr>
      </w:pPr>
    </w:p>
    <w:p w:rsidRPr="00322410" w:rsidR="3E4BDDFF" w:rsidP="3A4E2F8C" w:rsidRDefault="0E876CC9" w14:paraId="29B4CA82" w14:textId="5ACEAC73">
      <w:pPr>
        <w:jc w:val="both"/>
        <w:rPr>
          <w:rFonts w:eastAsia="Arial" w:cs="Arial"/>
          <w:sz w:val="22"/>
          <w:szCs w:val="22"/>
        </w:rPr>
      </w:pPr>
      <w:r w:rsidRPr="22C334A2">
        <w:rPr>
          <w:rFonts w:cs="Arial"/>
          <w:sz w:val="22"/>
          <w:szCs w:val="22"/>
        </w:rPr>
        <w:t xml:space="preserve">Under </w:t>
      </w:r>
      <w:r w:rsidRPr="22C334A2" w:rsidR="0B09850B">
        <w:rPr>
          <w:rFonts w:cs="Arial"/>
          <w:sz w:val="22"/>
          <w:szCs w:val="22"/>
        </w:rPr>
        <w:t>o</w:t>
      </w:r>
      <w:r w:rsidRPr="22C334A2">
        <w:rPr>
          <w:rFonts w:cs="Arial"/>
          <w:sz w:val="22"/>
          <w:szCs w:val="22"/>
        </w:rPr>
        <w:t xml:space="preserve">utput </w:t>
      </w:r>
      <w:r w:rsidRPr="22C334A2" w:rsidR="7F847F4D">
        <w:rPr>
          <w:rFonts w:cs="Arial"/>
          <w:sz w:val="22"/>
          <w:szCs w:val="22"/>
        </w:rPr>
        <w:t>i</w:t>
      </w:r>
      <w:r w:rsidRPr="22C334A2">
        <w:rPr>
          <w:rFonts w:cs="Arial"/>
          <w:sz w:val="22"/>
          <w:szCs w:val="22"/>
        </w:rPr>
        <w:t xml:space="preserve">ndicator 1.1, the volume of disbursements for ER payments fell slightly below expectations, with an achieved result of </w:t>
      </w:r>
      <w:r w:rsidRPr="22C334A2" w:rsidR="657B5E12">
        <w:rPr>
          <w:rFonts w:cs="Arial"/>
          <w:sz w:val="22"/>
          <w:szCs w:val="22"/>
        </w:rPr>
        <w:t xml:space="preserve">$235.45 million compared to a milestone of $271.3 million. Although the target was not met, progress has been made over the past year. </w:t>
      </w:r>
      <w:r w:rsidRPr="22C334A2" w:rsidR="7B9F1727">
        <w:rPr>
          <w:rFonts w:cs="Arial"/>
          <w:sz w:val="22"/>
          <w:szCs w:val="22"/>
        </w:rPr>
        <w:t xml:space="preserve">Notably, </w:t>
      </w:r>
      <w:r w:rsidRPr="22C334A2" w:rsidR="061004A0">
        <w:rPr>
          <w:rFonts w:cs="Arial"/>
          <w:sz w:val="22"/>
          <w:szCs w:val="22"/>
        </w:rPr>
        <w:t>in RP25 the</w:t>
      </w:r>
      <w:r w:rsidRPr="22C334A2" w:rsidR="7B9F1727">
        <w:rPr>
          <w:rFonts w:cs="Arial"/>
          <w:sz w:val="22"/>
          <w:szCs w:val="22"/>
        </w:rPr>
        <w:t xml:space="preserve"> </w:t>
      </w:r>
      <w:r w:rsidRPr="22C334A2" w:rsidR="061004A0">
        <w:rPr>
          <w:rFonts w:cs="Arial"/>
          <w:sz w:val="22"/>
          <w:szCs w:val="22"/>
        </w:rPr>
        <w:t xml:space="preserve">Carbon Fund disbursed five additional payments for ERs: Chile ($5.1 million); </w:t>
      </w:r>
      <w:r w:rsidRPr="22C334A2" w:rsidR="28BB6AA9">
        <w:rPr>
          <w:rFonts w:cs="Arial"/>
          <w:sz w:val="22"/>
          <w:szCs w:val="22"/>
        </w:rPr>
        <w:t xml:space="preserve">DRC ($19.5 million); Costa Rica ($17.6 million); </w:t>
      </w:r>
      <w:r w:rsidRPr="22C334A2" w:rsidR="28BB6AA9">
        <w:rPr>
          <w:rFonts w:eastAsia="Arial" w:cs="Arial"/>
          <w:sz w:val="22"/>
          <w:szCs w:val="22"/>
        </w:rPr>
        <w:t>Côte d’Ivoire ($14.7 million); and Lao PDR ($13 million).</w:t>
      </w:r>
      <w:r w:rsidRPr="22C334A2" w:rsidR="57407F5B">
        <w:rPr>
          <w:rFonts w:eastAsia="Arial" w:cs="Arial"/>
          <w:sz w:val="22"/>
          <w:szCs w:val="22"/>
        </w:rPr>
        <w:t xml:space="preserve"> </w:t>
      </w:r>
      <w:r w:rsidRPr="22C334A2" w:rsidR="36127C2B">
        <w:rPr>
          <w:rFonts w:eastAsia="Arial" w:cs="Arial"/>
          <w:sz w:val="22"/>
          <w:szCs w:val="22"/>
        </w:rPr>
        <w:t>It is positive that the volume of disbursements continues to grow steadily, however significant progress will need to be made over the next three years to meet the end-of-programme target of $782.7 million.</w:t>
      </w:r>
    </w:p>
    <w:p w:rsidRPr="00322410" w:rsidR="79CE28D2" w:rsidP="79CE28D2" w:rsidRDefault="79CE28D2" w14:paraId="0B92526F" w14:textId="2ACDADC5">
      <w:pPr>
        <w:jc w:val="both"/>
        <w:rPr>
          <w:rFonts w:eastAsia="Arial" w:cs="Arial"/>
          <w:sz w:val="22"/>
          <w:szCs w:val="22"/>
        </w:rPr>
      </w:pPr>
    </w:p>
    <w:p w:rsidRPr="00322410" w:rsidR="0AC26831" w:rsidP="32A1C27F" w:rsidRDefault="34D0E1AF" w14:paraId="4A832831" w14:textId="0F9BC901">
      <w:pPr>
        <w:jc w:val="both"/>
        <w:rPr>
          <w:rFonts w:eastAsia="Arial" w:cs="Arial"/>
          <w:sz w:val="22"/>
          <w:szCs w:val="22"/>
        </w:rPr>
      </w:pPr>
      <w:r w:rsidRPr="00322410" w:rsidR="34D0E1AF">
        <w:rPr>
          <w:rFonts w:eastAsia="Arial" w:cs="Arial"/>
          <w:sz w:val="22"/>
          <w:szCs w:val="22"/>
        </w:rPr>
        <w:t xml:space="preserve">With regards to the volume of ERs, the Carbon Fund has </w:t>
      </w:r>
      <w:r w:rsidRPr="00322410" w:rsidR="34D0E1AF">
        <w:rPr>
          <w:rFonts w:eastAsia="Arial" w:cs="Arial"/>
          <w:sz w:val="22"/>
          <w:szCs w:val="22"/>
        </w:rPr>
        <w:t xml:space="preserve">purchased</w:t>
      </w:r>
      <w:r w:rsidRPr="00322410" w:rsidR="34D0E1AF">
        <w:rPr>
          <w:rFonts w:eastAsia="Arial" w:cs="Arial"/>
          <w:sz w:val="22"/>
          <w:szCs w:val="22"/>
        </w:rPr>
        <w:t xml:space="preserve"> 30% of originally committed </w:t>
      </w:r>
      <w:r w:rsidRPr="00322410" w:rsidR="0FA400E7">
        <w:rPr>
          <w:rFonts w:eastAsia="Arial" w:cs="Arial"/>
          <w:sz w:val="22"/>
          <w:szCs w:val="22"/>
        </w:rPr>
        <w:t>ERs, which exceeds the RP25 target of 22%.</w:t>
      </w:r>
      <w:r w:rsidRPr="00322410" w:rsidR="5A96EA74">
        <w:rPr>
          <w:rFonts w:eastAsia="Arial" w:cs="Arial"/>
          <w:sz w:val="22"/>
          <w:szCs w:val="22"/>
        </w:rPr>
        <w:t xml:space="preserve"> This </w:t>
      </w:r>
      <w:r w:rsidRPr="00322410" w:rsidR="5A96EA74">
        <w:rPr>
          <w:rFonts w:eastAsia="Arial" w:cs="Arial"/>
          <w:sz w:val="22"/>
          <w:szCs w:val="22"/>
        </w:rPr>
        <w:t xml:space="preserve">represents</w:t>
      </w:r>
      <w:r w:rsidRPr="00322410" w:rsidR="5A96EA74">
        <w:rPr>
          <w:rFonts w:eastAsia="Arial" w:cs="Arial"/>
          <w:sz w:val="22"/>
          <w:szCs w:val="22"/>
        </w:rPr>
        <w:t xml:space="preserve"> positive progress in the implementation of emission reductions programmes.</w:t>
      </w:r>
      <w:r w:rsidRPr="00322410" w:rsidR="0FA400E7">
        <w:rPr>
          <w:rFonts w:eastAsia="Arial" w:cs="Arial"/>
          <w:sz w:val="22"/>
          <w:szCs w:val="22"/>
        </w:rPr>
        <w:t xml:space="preserve"> </w:t>
      </w:r>
      <w:r w:rsidRPr="00322410" w:rsidR="23E16228">
        <w:rPr>
          <w:rFonts w:eastAsia="Arial" w:cs="Arial"/>
          <w:sz w:val="22"/>
          <w:szCs w:val="22"/>
        </w:rPr>
        <w:t xml:space="preserve">There is variation across </w:t>
      </w:r>
      <w:r w:rsidRPr="00322410" w:rsidR="0F0425ED">
        <w:rPr>
          <w:rFonts w:eastAsia="Arial" w:cs="Arial"/>
          <w:sz w:val="22"/>
          <w:szCs w:val="22"/>
        </w:rPr>
        <w:t xml:space="preserve">the programme, with some countries reporting </w:t>
      </w:r>
      <w:r w:rsidRPr="00322410" w:rsidR="0F0425ED">
        <w:rPr>
          <w:rFonts w:eastAsia="Arial" w:cs="Arial"/>
          <w:sz w:val="22"/>
          <w:szCs w:val="22"/>
        </w:rPr>
        <w:t xml:space="preserve">significant progress</w:t>
      </w:r>
      <w:r w:rsidRPr="00322410" w:rsidR="0F0425ED">
        <w:rPr>
          <w:rFonts w:eastAsia="Arial" w:cs="Arial"/>
          <w:sz w:val="22"/>
          <w:szCs w:val="22"/>
        </w:rPr>
        <w:t xml:space="preserve">. </w:t>
      </w:r>
      <w:r w:rsidRPr="00322410" w:rsidR="05E3AFD0">
        <w:rPr>
          <w:rFonts w:eastAsia="Arial" w:cs="Arial"/>
          <w:sz w:val="22"/>
          <w:szCs w:val="22"/>
        </w:rPr>
        <w:t>Côte d'Ivoire</w:t>
      </w:r>
      <w:r w:rsidRPr="00322410" w:rsidR="2A1D3EA3">
        <w:rPr>
          <w:rFonts w:eastAsia="Arial" w:cs="Arial"/>
          <w:sz w:val="22"/>
          <w:szCs w:val="22"/>
        </w:rPr>
        <w:t xml:space="preserve"> and Vietnam</w:t>
      </w:r>
      <w:r w:rsidRPr="00322410" w:rsidR="0F0425ED">
        <w:rPr>
          <w:rFonts w:eastAsia="Arial" w:cs="Arial"/>
          <w:sz w:val="22"/>
          <w:szCs w:val="22"/>
        </w:rPr>
        <w:t>, for example, ha</w:t>
      </w:r>
      <w:r w:rsidRPr="00322410" w:rsidR="7CBFC89B">
        <w:rPr>
          <w:rFonts w:eastAsia="Arial" w:cs="Arial"/>
          <w:sz w:val="22"/>
          <w:szCs w:val="22"/>
        </w:rPr>
        <w:t>ve</w:t>
      </w:r>
      <w:r w:rsidRPr="00322410" w:rsidR="0F0425ED">
        <w:rPr>
          <w:rFonts w:eastAsia="Arial" w:cs="Arial"/>
          <w:sz w:val="22"/>
          <w:szCs w:val="22"/>
        </w:rPr>
        <w:t xml:space="preserve"> received payments for </w:t>
      </w:r>
      <w:r w:rsidRPr="00322410" w:rsidR="5B4CFF44">
        <w:rPr>
          <w:rFonts w:eastAsia="Arial" w:cs="Arial"/>
          <w:sz w:val="22"/>
          <w:szCs w:val="22"/>
        </w:rPr>
        <w:t>their</w:t>
      </w:r>
      <w:r w:rsidRPr="00322410" w:rsidR="0F0425ED">
        <w:rPr>
          <w:rFonts w:eastAsia="Arial" w:cs="Arial"/>
          <w:sz w:val="22"/>
          <w:szCs w:val="22"/>
        </w:rPr>
        <w:t xml:space="preserve"> total contract volume of 10 million ERs</w:t>
      </w:r>
      <w:r w:rsidRPr="00322410" w:rsidR="3E9DB8BC">
        <w:rPr>
          <w:rFonts w:eastAsia="Arial" w:cs="Arial"/>
          <w:sz w:val="22"/>
          <w:szCs w:val="22"/>
        </w:rPr>
        <w:t xml:space="preserve"> and 10</w:t>
      </w:r>
      <w:r w:rsidRPr="00322410" w:rsidR="20B2AA5C">
        <w:rPr>
          <w:rFonts w:eastAsia="Arial" w:cs="Arial"/>
          <w:sz w:val="22"/>
          <w:szCs w:val="22"/>
        </w:rPr>
        <w:t>.3</w:t>
      </w:r>
      <w:r w:rsidRPr="00322410" w:rsidR="3E9DB8BC">
        <w:rPr>
          <w:rFonts w:eastAsia="Arial" w:cs="Arial"/>
          <w:sz w:val="22"/>
          <w:szCs w:val="22"/>
        </w:rPr>
        <w:t xml:space="preserve"> million </w:t>
      </w:r>
      <w:r w:rsidRPr="00322410" w:rsidR="3E9DB8BC">
        <w:rPr>
          <w:rFonts w:eastAsia="Arial" w:cs="Arial"/>
          <w:sz w:val="22"/>
          <w:szCs w:val="22"/>
        </w:rPr>
        <w:t xml:space="preserve">ERs</w:t>
      </w:r>
      <w:r w:rsidRPr="00322410" w:rsidR="3E9DB8BC">
        <w:rPr>
          <w:rFonts w:eastAsia="Arial" w:cs="Arial"/>
          <w:sz w:val="22"/>
          <w:szCs w:val="22"/>
        </w:rPr>
        <w:t xml:space="preserve"> respectively.</w:t>
      </w:r>
      <w:r w:rsidRPr="00322410" w:rsidR="5284D63F">
        <w:rPr>
          <w:rFonts w:eastAsia="Arial" w:cs="Arial"/>
          <w:sz w:val="22"/>
          <w:szCs w:val="22"/>
        </w:rPr>
        <w:t xml:space="preserve"> </w:t>
      </w:r>
      <w:r w:rsidRPr="00322410" w:rsidR="5284D63F">
        <w:rPr>
          <w:rFonts w:eastAsia="Arial" w:cs="Arial"/>
          <w:sz w:val="22"/>
          <w:szCs w:val="22"/>
        </w:rPr>
        <w:t xml:space="preserve">On the other hand, other countries</w:t>
      </w:r>
      <w:r w:rsidRPr="00322410" w:rsidR="31B1E418">
        <w:rPr>
          <w:rFonts w:eastAsia="Arial" w:cs="Arial"/>
          <w:sz w:val="22"/>
          <w:szCs w:val="22"/>
        </w:rPr>
        <w:t xml:space="preserve"> </w:t>
      </w:r>
      <w:r w:rsidRPr="00322410" w:rsidR="5284D63F">
        <w:rPr>
          <w:rFonts w:eastAsia="Arial" w:cs="Arial"/>
          <w:sz w:val="22"/>
          <w:szCs w:val="22"/>
        </w:rPr>
        <w:t xml:space="preserve">are not generating as many ERs as initially expected. </w:t>
      </w:r>
      <w:r w:rsidRPr="00322410" w:rsidR="3C56286A">
        <w:rPr>
          <w:rFonts w:eastAsia="Arial" w:cs="Arial"/>
          <w:sz w:val="22"/>
          <w:szCs w:val="22"/>
        </w:rPr>
        <w:t xml:space="preserve">For example, Mozambique reported a negative performance in its third monitoring period,</w:t>
      </w:r>
      <w:r w:rsidRPr="00322410" w:rsidR="7115584C">
        <w:rPr>
          <w:rFonts w:eastAsia="Arial" w:cs="Arial"/>
          <w:sz w:val="22"/>
          <w:szCs w:val="22"/>
        </w:rPr>
        <w:t xml:space="preserve"> which, pending verification</w:t>
      </w:r>
      <w:r w:rsidRPr="00322410" w:rsidR="4C3A1FD0">
        <w:rPr>
          <w:rFonts w:eastAsia="Arial" w:cs="Arial"/>
          <w:sz w:val="22"/>
          <w:szCs w:val="22"/>
        </w:rPr>
        <w:t xml:space="preserve">, could </w:t>
      </w:r>
      <w:r w:rsidRPr="2C0DF5FE" w:rsidR="3C56286A">
        <w:rPr>
          <w:rFonts w:eastAsia="Arial" w:cs="Arial"/>
          <w:sz w:val="22"/>
          <w:szCs w:val="22"/>
        </w:rPr>
        <w:t xml:space="preserve">result in the reversal of the 1,769,807 FCPF ERs issued in the </w:t>
      </w:r>
      <w:r w:rsidRPr="2C0DF5FE" w:rsidR="3C56286A">
        <w:rPr>
          <w:rFonts w:eastAsia="Arial" w:cs="Arial"/>
          <w:sz w:val="22"/>
          <w:szCs w:val="22"/>
        </w:rPr>
        <w:t>previous</w:t>
      </w:r>
      <w:r w:rsidRPr="2C0DF5FE" w:rsidR="3C56286A">
        <w:rPr>
          <w:rFonts w:eastAsia="Arial" w:cs="Arial"/>
          <w:sz w:val="22"/>
          <w:szCs w:val="22"/>
        </w:rPr>
        <w:t xml:space="preserve"> reporting </w:t>
      </w:r>
      <w:r w:rsidRPr="2C0DF5FE" w:rsidR="5D00AD57">
        <w:rPr>
          <w:rFonts w:eastAsia="Arial" w:cs="Arial"/>
          <w:sz w:val="22"/>
          <w:szCs w:val="22"/>
        </w:rPr>
        <w:t xml:space="preserve">period.</w:t>
      </w:r>
      <w:r w:rsidRPr="00322410" w:rsidR="0AC26831">
        <w:rPr>
          <w:rStyle w:val="FootnoteReference"/>
          <w:rFonts w:eastAsia="Arial" w:cs="Arial"/>
          <w:sz w:val="22"/>
          <w:szCs w:val="22"/>
        </w:rPr>
        <w:footnoteReference w:id="6"/>
      </w:r>
      <w:r w:rsidRPr="00322410" w:rsidR="4E7469B7">
        <w:rPr>
          <w:rFonts w:eastAsia="Arial" w:cs="Arial"/>
          <w:sz w:val="22"/>
          <w:szCs w:val="22"/>
        </w:rPr>
        <w:t xml:space="preserve"> </w:t>
      </w:r>
      <w:r w:rsidRPr="00322410" w:rsidR="11AD72E0">
        <w:rPr>
          <w:rFonts w:eastAsia="Arial" w:cs="Arial"/>
          <w:sz w:val="22"/>
          <w:szCs w:val="22"/>
        </w:rPr>
        <w:t xml:space="preserve">The Mozambique ERPA was then amended to account for this reduction in ERs. Similarly, although outside of the reporting period,</w:t>
      </w:r>
      <w:r w:rsidRPr="00322410" w:rsidR="4DCE989D">
        <w:rPr>
          <w:rFonts w:eastAsia="Arial" w:cs="Arial"/>
          <w:sz w:val="22"/>
          <w:szCs w:val="22"/>
        </w:rPr>
        <w:t xml:space="preserve"> in October 2025 the World Bank request</w:t>
      </w:r>
      <w:r w:rsidRPr="00322410" w:rsidR="3C4B9E9E">
        <w:rPr>
          <w:rFonts w:eastAsia="Arial" w:cs="Arial"/>
          <w:sz w:val="22"/>
          <w:szCs w:val="22"/>
        </w:rPr>
        <w:t xml:space="preserve">ed</w:t>
      </w:r>
      <w:r w:rsidRPr="00322410" w:rsidR="4DCE989D">
        <w:rPr>
          <w:rFonts w:eastAsia="Arial" w:cs="Arial"/>
          <w:sz w:val="22"/>
          <w:szCs w:val="22"/>
        </w:rPr>
        <w:t xml:space="preserve"> contributors’ approval to adjust the Dominican Republic’s ERPA contract volume downwards. </w:t>
      </w:r>
      <w:r w:rsidRPr="00322410" w:rsidR="411BA480">
        <w:rPr>
          <w:rFonts w:eastAsia="Arial" w:cs="Arial"/>
          <w:sz w:val="22"/>
          <w:szCs w:val="22"/>
        </w:rPr>
        <w:t xml:space="preserve">This reflects both the current availability of more robust and </w:t>
      </w:r>
      <w:r w:rsidRPr="00322410" w:rsidR="411BA480">
        <w:rPr>
          <w:rFonts w:eastAsia="Arial" w:cs="Arial"/>
          <w:sz w:val="22"/>
          <w:szCs w:val="22"/>
        </w:rPr>
        <w:t>accurate</w:t>
      </w:r>
      <w:r w:rsidRPr="00322410" w:rsidR="411BA480">
        <w:rPr>
          <w:rFonts w:eastAsia="Arial" w:cs="Arial"/>
          <w:sz w:val="22"/>
          <w:szCs w:val="22"/>
        </w:rPr>
        <w:t xml:space="preserve"> data, as well as the fact that initial assumptions did not fully account for the time </w:t>
      </w:r>
      <w:r w:rsidRPr="00322410" w:rsidR="411BA480">
        <w:rPr>
          <w:rFonts w:eastAsia="Arial" w:cs="Arial"/>
          <w:sz w:val="22"/>
          <w:szCs w:val="22"/>
        </w:rPr>
        <w:t>required</w:t>
      </w:r>
      <w:r w:rsidRPr="00322410" w:rsidR="411BA480">
        <w:rPr>
          <w:rFonts w:eastAsia="Arial" w:cs="Arial"/>
          <w:sz w:val="22"/>
          <w:szCs w:val="22"/>
        </w:rPr>
        <w:t xml:space="preserve"> to </w:t>
      </w:r>
      <w:r w:rsidRPr="00322410" w:rsidR="411BA480">
        <w:rPr>
          <w:rFonts w:eastAsia="Arial" w:cs="Arial"/>
          <w:sz w:val="22"/>
          <w:szCs w:val="22"/>
        </w:rPr>
        <w:t>establish</w:t>
      </w:r>
      <w:r w:rsidRPr="00322410" w:rsidR="411BA480">
        <w:rPr>
          <w:rFonts w:eastAsia="Arial" w:cs="Arial"/>
          <w:sz w:val="22"/>
          <w:szCs w:val="22"/>
        </w:rPr>
        <w:t xml:space="preserve"> robust institutional frameworks, </w:t>
      </w:r>
      <w:r w:rsidRPr="2C0DF5FE" w:rsidR="65A1BCA1">
        <w:rPr>
          <w:rFonts w:eastAsia="Arial" w:cs="Arial"/>
          <w:sz w:val="22"/>
          <w:szCs w:val="22"/>
        </w:rPr>
        <w:t>mobilise finance and build technical capacity across sectors.</w:t>
      </w:r>
    </w:p>
    <w:p w:rsidRPr="00322410" w:rsidR="00574E25" w:rsidP="00574E25" w:rsidRDefault="00574E25" w14:paraId="4C879B9C" w14:textId="24B18885">
      <w:pPr>
        <w:jc w:val="both"/>
        <w:rPr>
          <w:rFonts w:eastAsia="Arial" w:cs="Arial"/>
          <w:sz w:val="22"/>
          <w:szCs w:val="22"/>
        </w:rPr>
      </w:pPr>
    </w:p>
    <w:p w:rsidRPr="00322410" w:rsidR="437284EE" w:rsidP="31A3456F" w:rsidRDefault="3E8978FD" w14:paraId="6134687C" w14:textId="0CBD1ED9">
      <w:pPr>
        <w:jc w:val="both"/>
        <w:rPr>
          <w:rFonts w:eastAsia="Arial" w:cs="Arial"/>
          <w:sz w:val="22"/>
          <w:szCs w:val="22"/>
        </w:rPr>
      </w:pPr>
      <w:r w:rsidRPr="355594B0">
        <w:rPr>
          <w:rFonts w:eastAsia="Arial" w:cs="Arial"/>
          <w:sz w:val="22"/>
          <w:szCs w:val="22"/>
        </w:rPr>
        <w:t xml:space="preserve">Countries </w:t>
      </w:r>
      <w:proofErr w:type="gramStart"/>
      <w:r w:rsidRPr="355594B0">
        <w:rPr>
          <w:rFonts w:eastAsia="Arial" w:cs="Arial"/>
          <w:sz w:val="22"/>
          <w:szCs w:val="22"/>
        </w:rPr>
        <w:t>are able to</w:t>
      </w:r>
      <w:proofErr w:type="gramEnd"/>
      <w:r w:rsidRPr="355594B0">
        <w:rPr>
          <w:rFonts w:eastAsia="Arial" w:cs="Arial"/>
          <w:sz w:val="22"/>
          <w:szCs w:val="22"/>
        </w:rPr>
        <w:t xml:space="preserve"> monetise their excess ERs by marketing them to third-party buyers. </w:t>
      </w:r>
      <w:r w:rsidRPr="355594B0" w:rsidR="437284EE">
        <w:rPr>
          <w:rFonts w:eastAsia="Arial" w:cs="Arial"/>
          <w:sz w:val="22"/>
          <w:szCs w:val="22"/>
        </w:rPr>
        <w:t>It should be noted</w:t>
      </w:r>
      <w:r w:rsidRPr="355594B0" w:rsidR="29AC08F0">
        <w:rPr>
          <w:rFonts w:eastAsia="Arial" w:cs="Arial"/>
          <w:sz w:val="22"/>
          <w:szCs w:val="22"/>
        </w:rPr>
        <w:t>, however,</w:t>
      </w:r>
      <w:r w:rsidRPr="355594B0" w:rsidR="437284EE">
        <w:rPr>
          <w:rFonts w:eastAsia="Arial" w:cs="Arial"/>
          <w:sz w:val="22"/>
          <w:szCs w:val="22"/>
        </w:rPr>
        <w:t xml:space="preserve"> that </w:t>
      </w:r>
      <w:r w:rsidRPr="355594B0" w:rsidR="5DA4AA6C">
        <w:rPr>
          <w:rFonts w:eastAsia="Arial" w:cs="Arial"/>
          <w:sz w:val="22"/>
          <w:szCs w:val="22"/>
        </w:rPr>
        <w:t>o</w:t>
      </w:r>
      <w:r w:rsidRPr="355594B0" w:rsidR="437284EE">
        <w:rPr>
          <w:rFonts w:eastAsia="Arial" w:cs="Arial"/>
          <w:sz w:val="22"/>
          <w:szCs w:val="22"/>
        </w:rPr>
        <w:t xml:space="preserve">utput </w:t>
      </w:r>
      <w:r w:rsidRPr="355594B0" w:rsidR="0B73B5C6">
        <w:rPr>
          <w:rFonts w:eastAsia="Arial" w:cs="Arial"/>
          <w:sz w:val="22"/>
          <w:szCs w:val="22"/>
        </w:rPr>
        <w:t>i</w:t>
      </w:r>
      <w:r w:rsidRPr="355594B0" w:rsidR="437284EE">
        <w:rPr>
          <w:rFonts w:eastAsia="Arial" w:cs="Arial"/>
          <w:sz w:val="22"/>
          <w:szCs w:val="22"/>
        </w:rPr>
        <w:t>ndicator 1.1 does not currently</w:t>
      </w:r>
      <w:r w:rsidRPr="355594B0" w:rsidR="6DC3B983">
        <w:rPr>
          <w:rFonts w:eastAsia="Arial" w:cs="Arial"/>
          <w:sz w:val="22"/>
          <w:szCs w:val="22"/>
        </w:rPr>
        <w:t xml:space="preserve"> account for ERs purchased by third parties.</w:t>
      </w:r>
      <w:r w:rsidRPr="355594B0" w:rsidR="38DEC430">
        <w:rPr>
          <w:rFonts w:eastAsia="Arial" w:cs="Arial"/>
          <w:sz w:val="22"/>
          <w:szCs w:val="22"/>
        </w:rPr>
        <w:t xml:space="preserve"> In RP25, Costa Rica became the first FCPF countr</w:t>
      </w:r>
      <w:r w:rsidRPr="355594B0" w:rsidR="38BF72E5">
        <w:rPr>
          <w:rFonts w:eastAsia="Arial" w:cs="Arial"/>
          <w:sz w:val="22"/>
          <w:szCs w:val="22"/>
        </w:rPr>
        <w:t>y</w:t>
      </w:r>
      <w:r w:rsidRPr="355594B0" w:rsidR="38DEC430">
        <w:rPr>
          <w:rFonts w:eastAsia="Arial" w:cs="Arial"/>
          <w:sz w:val="22"/>
          <w:szCs w:val="22"/>
        </w:rPr>
        <w:t xml:space="preserve"> to transact on the voluntary carbon market after selling 100,000 ERs to a private buyer. We exp</w:t>
      </w:r>
      <w:r w:rsidRPr="355594B0" w:rsidR="426D2B0B">
        <w:rPr>
          <w:rFonts w:eastAsia="Arial" w:cs="Arial"/>
          <w:sz w:val="22"/>
          <w:szCs w:val="22"/>
        </w:rPr>
        <w:t>ect other countries to follow in the coming years, as this allows countries to monetise their exces</w:t>
      </w:r>
      <w:r w:rsidRPr="355594B0" w:rsidR="67331EF2">
        <w:rPr>
          <w:rFonts w:eastAsia="Arial" w:cs="Arial"/>
          <w:sz w:val="22"/>
          <w:szCs w:val="22"/>
        </w:rPr>
        <w:t xml:space="preserve">s ERs, often at a higher price than the FCPF $5/tonne. As this is becoming an increasingly important component of the FCPF, </w:t>
      </w:r>
      <w:r w:rsidRPr="355594B0" w:rsidR="2D5B4C06">
        <w:rPr>
          <w:rFonts w:eastAsia="Arial" w:cs="Arial"/>
          <w:sz w:val="22"/>
          <w:szCs w:val="22"/>
        </w:rPr>
        <w:t>Recommendation 1</w:t>
      </w:r>
      <w:r w:rsidRPr="355594B0" w:rsidR="064BA64D">
        <w:rPr>
          <w:rFonts w:eastAsia="Arial" w:cs="Arial"/>
          <w:sz w:val="22"/>
          <w:szCs w:val="22"/>
        </w:rPr>
        <w:t>d</w:t>
      </w:r>
      <w:r w:rsidRPr="355594B0" w:rsidR="2D5B4C06">
        <w:rPr>
          <w:rFonts w:eastAsia="Arial" w:cs="Arial"/>
          <w:sz w:val="22"/>
          <w:szCs w:val="22"/>
        </w:rPr>
        <w:t xml:space="preserve"> calls for DESNZ and the World Bank to discuss how to measure third-party purchases of ERs under this output.</w:t>
      </w:r>
    </w:p>
    <w:p w:rsidRPr="00322410" w:rsidR="05E40E61" w:rsidP="05E40E61" w:rsidRDefault="05E40E61" w14:paraId="05F71D72" w14:textId="4B7C7AA5">
      <w:pPr>
        <w:jc w:val="both"/>
        <w:rPr>
          <w:rFonts w:cs="Arial"/>
          <w:sz w:val="22"/>
          <w:szCs w:val="22"/>
        </w:rPr>
      </w:pPr>
    </w:p>
    <w:p w:rsidRPr="00322410" w:rsidR="003D222C" w:rsidP="2AD8C9C7" w:rsidRDefault="1AAA28E4" w14:paraId="5812D0A6" w14:textId="71A99AB8">
      <w:pPr>
        <w:jc w:val="both"/>
        <w:rPr>
          <w:rFonts w:cs="Arial"/>
          <w:sz w:val="22"/>
          <w:szCs w:val="22"/>
        </w:rPr>
      </w:pPr>
      <w:r w:rsidRPr="355594B0">
        <w:rPr>
          <w:rFonts w:cs="Arial"/>
          <w:sz w:val="22"/>
          <w:szCs w:val="22"/>
        </w:rPr>
        <w:t xml:space="preserve">Output </w:t>
      </w:r>
      <w:r w:rsidRPr="355594B0" w:rsidR="5AAE8FF2">
        <w:rPr>
          <w:rFonts w:cs="Arial"/>
          <w:sz w:val="22"/>
          <w:szCs w:val="22"/>
        </w:rPr>
        <w:t>i</w:t>
      </w:r>
      <w:r w:rsidRPr="355594B0">
        <w:rPr>
          <w:rFonts w:cs="Arial"/>
          <w:sz w:val="22"/>
          <w:szCs w:val="22"/>
        </w:rPr>
        <w:t xml:space="preserve">ndicator 1.2 provides </w:t>
      </w:r>
      <w:r w:rsidRPr="355594B0" w:rsidR="50A76B8F">
        <w:rPr>
          <w:rFonts w:cs="Arial"/>
          <w:sz w:val="22"/>
          <w:szCs w:val="22"/>
        </w:rPr>
        <w:t xml:space="preserve">evidence on the performance </w:t>
      </w:r>
      <w:r w:rsidRPr="355594B0">
        <w:rPr>
          <w:rFonts w:cs="Arial"/>
          <w:sz w:val="22"/>
          <w:szCs w:val="22"/>
        </w:rPr>
        <w:t>of emission</w:t>
      </w:r>
      <w:r w:rsidRPr="355594B0" w:rsidR="32655F26">
        <w:rPr>
          <w:rFonts w:cs="Arial"/>
          <w:sz w:val="22"/>
          <w:szCs w:val="22"/>
        </w:rPr>
        <w:t xml:space="preserve"> reduction programmes by measuring the number of monitoring reports submitted and validated.</w:t>
      </w:r>
      <w:r w:rsidRPr="355594B0" w:rsidR="0982341D">
        <w:rPr>
          <w:rFonts w:cs="Arial"/>
          <w:sz w:val="22"/>
          <w:szCs w:val="22"/>
        </w:rPr>
        <w:t xml:space="preserve"> In RP25, an additional </w:t>
      </w:r>
      <w:r w:rsidRPr="355594B0" w:rsidR="436D00DC">
        <w:rPr>
          <w:rFonts w:cs="Arial"/>
          <w:sz w:val="22"/>
          <w:szCs w:val="22"/>
        </w:rPr>
        <w:t>three</w:t>
      </w:r>
      <w:r w:rsidRPr="355594B0" w:rsidR="0982341D">
        <w:rPr>
          <w:rFonts w:cs="Arial"/>
          <w:sz w:val="22"/>
          <w:szCs w:val="22"/>
        </w:rPr>
        <w:t xml:space="preserve"> monitoring reports were </w:t>
      </w:r>
      <w:r w:rsidRPr="355594B0" w:rsidR="16028710">
        <w:rPr>
          <w:rFonts w:cs="Arial"/>
          <w:sz w:val="22"/>
          <w:szCs w:val="22"/>
        </w:rPr>
        <w:t>submitted</w:t>
      </w:r>
      <w:r w:rsidRPr="355594B0" w:rsidR="0982341D">
        <w:rPr>
          <w:rFonts w:cs="Arial"/>
          <w:sz w:val="22"/>
          <w:szCs w:val="22"/>
        </w:rPr>
        <w:t xml:space="preserve"> and an additional eight</w:t>
      </w:r>
      <w:r w:rsidRPr="355594B0" w:rsidR="4994107D">
        <w:rPr>
          <w:rFonts w:cs="Arial"/>
          <w:sz w:val="22"/>
          <w:szCs w:val="22"/>
        </w:rPr>
        <w:t xml:space="preserve"> successfully validated, which demonstrates progress. However, results from </w:t>
      </w:r>
      <w:r w:rsidRPr="355594B0" w:rsidR="1A3423A8">
        <w:rPr>
          <w:rFonts w:cs="Arial"/>
          <w:sz w:val="22"/>
          <w:szCs w:val="22"/>
        </w:rPr>
        <w:t>RP25</w:t>
      </w:r>
      <w:r w:rsidRPr="355594B0" w:rsidR="4994107D">
        <w:rPr>
          <w:rFonts w:cs="Arial"/>
          <w:sz w:val="22"/>
          <w:szCs w:val="22"/>
        </w:rPr>
        <w:t xml:space="preserve"> </w:t>
      </w:r>
      <w:r w:rsidRPr="355594B0" w:rsidR="3DF15CF1">
        <w:rPr>
          <w:rFonts w:cs="Arial"/>
          <w:sz w:val="22"/>
          <w:szCs w:val="22"/>
        </w:rPr>
        <w:t>are</w:t>
      </w:r>
      <w:r w:rsidRPr="355594B0" w:rsidR="4994107D">
        <w:rPr>
          <w:rFonts w:cs="Arial"/>
          <w:sz w:val="22"/>
          <w:szCs w:val="22"/>
        </w:rPr>
        <w:t xml:space="preserve"> still below the target, with 2</w:t>
      </w:r>
      <w:r w:rsidRPr="355594B0" w:rsidR="05591C48">
        <w:rPr>
          <w:rFonts w:cs="Arial"/>
          <w:sz w:val="22"/>
          <w:szCs w:val="22"/>
        </w:rPr>
        <w:t>2</w:t>
      </w:r>
      <w:r w:rsidRPr="355594B0" w:rsidR="4994107D">
        <w:rPr>
          <w:rFonts w:cs="Arial"/>
          <w:sz w:val="22"/>
          <w:szCs w:val="22"/>
        </w:rPr>
        <w:t xml:space="preserve"> monitoring reports </w:t>
      </w:r>
      <w:r w:rsidRPr="355594B0" w:rsidR="7C76F94C">
        <w:rPr>
          <w:rFonts w:cs="Arial"/>
          <w:sz w:val="22"/>
          <w:szCs w:val="22"/>
        </w:rPr>
        <w:t xml:space="preserve">submitted </w:t>
      </w:r>
      <w:r w:rsidRPr="355594B0" w:rsidR="4994107D">
        <w:rPr>
          <w:rFonts w:cs="Arial"/>
          <w:sz w:val="22"/>
          <w:szCs w:val="22"/>
        </w:rPr>
        <w:t>and 15 validated</w:t>
      </w:r>
      <w:r w:rsidRPr="355594B0" w:rsidR="5D4BCE9C">
        <w:rPr>
          <w:rFonts w:cs="Arial"/>
          <w:sz w:val="22"/>
          <w:szCs w:val="22"/>
        </w:rPr>
        <w:t xml:space="preserve"> against milestones of 31 and 27 respectively. </w:t>
      </w:r>
      <w:r w:rsidRPr="355594B0" w:rsidR="0B98A3C5">
        <w:rPr>
          <w:rFonts w:cs="Arial"/>
          <w:sz w:val="22"/>
          <w:szCs w:val="22"/>
        </w:rPr>
        <w:t>T</w:t>
      </w:r>
      <w:r w:rsidRPr="355594B0" w:rsidR="1258C397">
        <w:rPr>
          <w:rFonts w:cs="Arial"/>
          <w:sz w:val="22"/>
          <w:szCs w:val="22"/>
        </w:rPr>
        <w:t xml:space="preserve">hird-party validation and verification, which is conducted by validation and verification bodies (VVBs), remains a challenge, because of </w:t>
      </w:r>
      <w:r w:rsidRPr="355594B0" w:rsidR="03015AA6">
        <w:rPr>
          <w:rFonts w:cs="Arial"/>
          <w:sz w:val="22"/>
          <w:szCs w:val="22"/>
        </w:rPr>
        <w:t xml:space="preserve">both </w:t>
      </w:r>
      <w:r w:rsidRPr="355594B0" w:rsidR="1258C397">
        <w:rPr>
          <w:rFonts w:cs="Arial"/>
          <w:sz w:val="22"/>
          <w:szCs w:val="22"/>
        </w:rPr>
        <w:t>the limited availability of these entities</w:t>
      </w:r>
      <w:r w:rsidRPr="355594B0" w:rsidR="2886025B">
        <w:rPr>
          <w:rFonts w:cs="Arial"/>
          <w:sz w:val="22"/>
          <w:szCs w:val="22"/>
        </w:rPr>
        <w:t xml:space="preserve"> and process delays</w:t>
      </w:r>
      <w:r w:rsidRPr="355594B0" w:rsidR="1258C397">
        <w:rPr>
          <w:rFonts w:cs="Arial"/>
          <w:sz w:val="22"/>
          <w:szCs w:val="22"/>
        </w:rPr>
        <w:t>.</w:t>
      </w:r>
      <w:r w:rsidRPr="355594B0" w:rsidR="0C560F7E">
        <w:rPr>
          <w:rFonts w:cs="Arial"/>
          <w:sz w:val="22"/>
          <w:szCs w:val="22"/>
        </w:rPr>
        <w:t xml:space="preserve"> It is important t</w:t>
      </w:r>
      <w:r w:rsidRPr="355594B0" w:rsidR="19FFA8CB">
        <w:rPr>
          <w:rFonts w:cs="Arial"/>
          <w:sz w:val="22"/>
          <w:szCs w:val="22"/>
        </w:rPr>
        <w:t xml:space="preserve">hat the World Bank and contributors consider </w:t>
      </w:r>
      <w:r w:rsidRPr="355594B0" w:rsidR="080E066B">
        <w:rPr>
          <w:rFonts w:cs="Arial"/>
          <w:sz w:val="22"/>
          <w:szCs w:val="22"/>
        </w:rPr>
        <w:t xml:space="preserve">what actions can be taken to reduce these delays going forward. Therefore, </w:t>
      </w:r>
      <w:r w:rsidRPr="355594B0" w:rsidR="0C560F7E">
        <w:rPr>
          <w:rFonts w:cs="Arial"/>
          <w:sz w:val="22"/>
          <w:szCs w:val="22"/>
        </w:rPr>
        <w:t xml:space="preserve">Recommendation </w:t>
      </w:r>
      <w:r w:rsidRPr="355594B0" w:rsidR="2BB8FEBE">
        <w:rPr>
          <w:rFonts w:cs="Arial"/>
          <w:sz w:val="22"/>
          <w:szCs w:val="22"/>
        </w:rPr>
        <w:t>4</w:t>
      </w:r>
      <w:r w:rsidRPr="355594B0" w:rsidR="0C560F7E">
        <w:rPr>
          <w:rFonts w:cs="Arial"/>
          <w:sz w:val="22"/>
          <w:szCs w:val="22"/>
        </w:rPr>
        <w:t xml:space="preserve"> calls for the World Bank to hold a dedicated session with contributors to discuss key topics, including delays to validation and verification processes. </w:t>
      </w:r>
    </w:p>
    <w:p w:rsidRPr="00322410" w:rsidR="2AD8C9C7" w:rsidP="2AD8C9C7" w:rsidRDefault="2AD8C9C7" w14:paraId="7C8E6B56" w14:textId="3E19CF26">
      <w:pPr>
        <w:jc w:val="both"/>
        <w:rPr>
          <w:rFonts w:cs="Arial"/>
          <w:sz w:val="22"/>
          <w:szCs w:val="22"/>
        </w:rPr>
      </w:pPr>
    </w:p>
    <w:p w:rsidRPr="00322410" w:rsidR="003D222C" w:rsidP="0371D9B3" w:rsidRDefault="61E02128" w14:paraId="0412755B" w14:textId="56C691B2">
      <w:pPr>
        <w:jc w:val="both"/>
        <w:rPr>
          <w:rFonts w:cs="Arial"/>
          <w:sz w:val="22"/>
          <w:szCs w:val="22"/>
        </w:rPr>
      </w:pPr>
      <w:r w:rsidRPr="00322410">
        <w:rPr>
          <w:rFonts w:cs="Arial"/>
          <w:sz w:val="22"/>
          <w:szCs w:val="22"/>
        </w:rPr>
        <w:t>A</w:t>
      </w:r>
      <w:r w:rsidRPr="00322410" w:rsidR="1F6DBC07">
        <w:rPr>
          <w:rFonts w:cs="Arial"/>
          <w:sz w:val="22"/>
          <w:szCs w:val="22"/>
        </w:rPr>
        <w:t xml:space="preserve">s shown in the table below, there is variation </w:t>
      </w:r>
      <w:r w:rsidRPr="00322410" w:rsidR="0FDF6651">
        <w:rPr>
          <w:rFonts w:cs="Arial"/>
          <w:sz w:val="22"/>
          <w:szCs w:val="22"/>
        </w:rPr>
        <w:t>across</w:t>
      </w:r>
      <w:r w:rsidRPr="00322410" w:rsidR="1F6DBC07">
        <w:rPr>
          <w:rFonts w:cs="Arial"/>
          <w:sz w:val="22"/>
          <w:szCs w:val="22"/>
        </w:rPr>
        <w:t xml:space="preserve"> countries.</w:t>
      </w:r>
    </w:p>
    <w:p w:rsidRPr="00322410" w:rsidR="003D222C" w:rsidP="0371D9B3" w:rsidRDefault="003D222C" w14:paraId="4EB8DAAE" w14:textId="62BE94E9">
      <w:pPr>
        <w:jc w:val="both"/>
        <w:rPr>
          <w:rFonts w:cs="Arial"/>
          <w:sz w:val="22"/>
          <w:szCs w:val="22"/>
        </w:rPr>
      </w:pPr>
    </w:p>
    <w:tbl>
      <w:tblPr>
        <w:tblStyle w:val="TableGrid"/>
        <w:tblW w:w="7234" w:type="dxa"/>
        <w:tblLayout w:type="fixed"/>
        <w:tblLook w:val="06A0" w:firstRow="1" w:lastRow="0" w:firstColumn="1" w:lastColumn="0" w:noHBand="1" w:noVBand="1"/>
      </w:tblPr>
      <w:tblGrid>
        <w:gridCol w:w="2250"/>
        <w:gridCol w:w="2492"/>
        <w:gridCol w:w="2492"/>
      </w:tblGrid>
      <w:tr w:rsidRPr="00322410" w:rsidR="4188D6EF" w:rsidTr="7236D7C7" w14:paraId="5FE18B14" w14:textId="77777777">
        <w:trPr>
          <w:trHeight w:val="300"/>
        </w:trPr>
        <w:tc>
          <w:tcPr>
            <w:tcW w:w="2250" w:type="dxa"/>
            <w:shd w:val="clear" w:color="auto" w:fill="DEEAF6" w:themeFill="accent5" w:themeFillTint="33"/>
          </w:tcPr>
          <w:p w:rsidRPr="00322410" w:rsidR="4188D6EF" w:rsidP="4B654A79" w:rsidRDefault="4188D6EF" w14:paraId="47C255AA" w14:textId="334BA79C">
            <w:pPr>
              <w:rPr>
                <w:rFonts w:cs="Arial"/>
                <w:b/>
                <w:bCs/>
                <w:sz w:val="20"/>
                <w:szCs w:val="20"/>
              </w:rPr>
            </w:pPr>
          </w:p>
        </w:tc>
        <w:tc>
          <w:tcPr>
            <w:tcW w:w="2492" w:type="dxa"/>
            <w:shd w:val="clear" w:color="auto" w:fill="DEEAF6" w:themeFill="accent5" w:themeFillTint="33"/>
          </w:tcPr>
          <w:p w:rsidRPr="00322410" w:rsidR="4188D6EF" w:rsidP="4B654A79" w:rsidRDefault="702DEBA9" w14:paraId="0DE0F4D2" w14:textId="520F5623">
            <w:pPr>
              <w:rPr>
                <w:rFonts w:cs="Arial"/>
                <w:b/>
                <w:bCs/>
                <w:sz w:val="20"/>
                <w:szCs w:val="20"/>
              </w:rPr>
            </w:pPr>
            <w:r w:rsidRPr="00322410">
              <w:rPr>
                <w:rFonts w:cs="Arial"/>
                <w:b/>
                <w:bCs/>
                <w:sz w:val="20"/>
                <w:szCs w:val="20"/>
              </w:rPr>
              <w:t>Monitoring reports submitted</w:t>
            </w:r>
          </w:p>
        </w:tc>
        <w:tc>
          <w:tcPr>
            <w:tcW w:w="2492" w:type="dxa"/>
            <w:shd w:val="clear" w:color="auto" w:fill="DEEAF6" w:themeFill="accent5" w:themeFillTint="33"/>
          </w:tcPr>
          <w:p w:rsidRPr="00322410" w:rsidR="4188D6EF" w:rsidP="4B654A79" w:rsidRDefault="702DEBA9" w14:paraId="0415B1A8" w14:textId="20608D0D">
            <w:pPr>
              <w:rPr>
                <w:rFonts w:cs="Arial"/>
                <w:b/>
                <w:bCs/>
                <w:sz w:val="20"/>
                <w:szCs w:val="20"/>
              </w:rPr>
            </w:pPr>
            <w:r w:rsidRPr="00322410">
              <w:rPr>
                <w:rFonts w:cs="Arial"/>
                <w:b/>
                <w:bCs/>
                <w:sz w:val="20"/>
                <w:szCs w:val="20"/>
              </w:rPr>
              <w:t>Monitoring reports validated</w:t>
            </w:r>
            <w:r w:rsidRPr="00322410" w:rsidR="11A40E78">
              <w:rPr>
                <w:rFonts w:cs="Arial"/>
                <w:b/>
                <w:bCs/>
                <w:sz w:val="20"/>
                <w:szCs w:val="20"/>
              </w:rPr>
              <w:t xml:space="preserve"> and verified</w:t>
            </w:r>
          </w:p>
        </w:tc>
      </w:tr>
      <w:tr w:rsidRPr="00322410" w:rsidR="4188D6EF" w:rsidTr="7236D7C7" w14:paraId="4BA77EA3" w14:textId="77777777">
        <w:trPr>
          <w:trHeight w:val="300"/>
        </w:trPr>
        <w:tc>
          <w:tcPr>
            <w:tcW w:w="2250" w:type="dxa"/>
          </w:tcPr>
          <w:p w:rsidRPr="00322410" w:rsidR="702DEBA9" w:rsidP="4B654A79" w:rsidRDefault="702DEBA9" w14:paraId="3157B564" w14:textId="7C905ABA">
            <w:pPr>
              <w:rPr>
                <w:rFonts w:cs="Arial"/>
                <w:b/>
                <w:bCs/>
                <w:sz w:val="20"/>
                <w:szCs w:val="20"/>
              </w:rPr>
            </w:pPr>
            <w:r w:rsidRPr="00322410">
              <w:rPr>
                <w:rFonts w:cs="Arial"/>
                <w:b/>
                <w:bCs/>
                <w:sz w:val="20"/>
                <w:szCs w:val="20"/>
              </w:rPr>
              <w:t>Chile</w:t>
            </w:r>
          </w:p>
        </w:tc>
        <w:tc>
          <w:tcPr>
            <w:tcW w:w="2492" w:type="dxa"/>
          </w:tcPr>
          <w:p w:rsidRPr="00322410" w:rsidR="4188D6EF" w:rsidP="16968945" w:rsidRDefault="4E7253DD" w14:paraId="5277F320" w14:textId="08E9C7F5">
            <w:pPr>
              <w:rPr>
                <w:rFonts w:cs="Arial"/>
                <w:sz w:val="20"/>
                <w:szCs w:val="20"/>
              </w:rPr>
            </w:pPr>
            <w:r w:rsidRPr="00322410">
              <w:rPr>
                <w:rFonts w:cs="Arial"/>
                <w:sz w:val="20"/>
                <w:szCs w:val="20"/>
              </w:rPr>
              <w:t>2</w:t>
            </w:r>
          </w:p>
        </w:tc>
        <w:tc>
          <w:tcPr>
            <w:tcW w:w="2492" w:type="dxa"/>
          </w:tcPr>
          <w:p w:rsidRPr="00322410" w:rsidR="4188D6EF" w:rsidP="16968945" w:rsidRDefault="4E7253DD" w14:paraId="43D5CB5D" w14:textId="0462CFF2">
            <w:pPr>
              <w:rPr>
                <w:rFonts w:cs="Arial"/>
                <w:sz w:val="20"/>
                <w:szCs w:val="20"/>
              </w:rPr>
            </w:pPr>
            <w:r w:rsidRPr="00322410">
              <w:rPr>
                <w:rFonts w:cs="Arial"/>
                <w:sz w:val="20"/>
                <w:szCs w:val="20"/>
              </w:rPr>
              <w:t>2</w:t>
            </w:r>
          </w:p>
        </w:tc>
      </w:tr>
      <w:tr w:rsidRPr="00322410" w:rsidR="4188D6EF" w:rsidTr="7236D7C7" w14:paraId="24D49261" w14:textId="77777777">
        <w:trPr>
          <w:trHeight w:val="300"/>
        </w:trPr>
        <w:tc>
          <w:tcPr>
            <w:tcW w:w="2250" w:type="dxa"/>
          </w:tcPr>
          <w:p w:rsidRPr="00322410" w:rsidR="4188D6EF" w:rsidP="4B654A79" w:rsidRDefault="702DEBA9" w14:paraId="757A2110" w14:textId="660F48B2">
            <w:pPr>
              <w:rPr>
                <w:rFonts w:cs="Arial"/>
                <w:b/>
                <w:bCs/>
                <w:sz w:val="20"/>
                <w:szCs w:val="20"/>
              </w:rPr>
            </w:pPr>
            <w:r w:rsidRPr="00322410">
              <w:rPr>
                <w:rFonts w:cs="Arial"/>
                <w:b/>
                <w:bCs/>
                <w:sz w:val="20"/>
                <w:szCs w:val="20"/>
              </w:rPr>
              <w:t>Costa Rica</w:t>
            </w:r>
          </w:p>
        </w:tc>
        <w:tc>
          <w:tcPr>
            <w:tcW w:w="2492" w:type="dxa"/>
          </w:tcPr>
          <w:p w:rsidRPr="00322410" w:rsidR="4188D6EF" w:rsidP="16968945" w:rsidRDefault="3918ABE3" w14:paraId="3F4632BA" w14:textId="7BDACFED">
            <w:pPr>
              <w:rPr>
                <w:rFonts w:cs="Arial"/>
                <w:sz w:val="20"/>
                <w:szCs w:val="20"/>
              </w:rPr>
            </w:pPr>
            <w:r w:rsidRPr="00322410">
              <w:rPr>
                <w:rFonts w:cs="Arial"/>
                <w:sz w:val="20"/>
                <w:szCs w:val="20"/>
              </w:rPr>
              <w:t>2</w:t>
            </w:r>
          </w:p>
        </w:tc>
        <w:tc>
          <w:tcPr>
            <w:tcW w:w="2492" w:type="dxa"/>
          </w:tcPr>
          <w:p w:rsidRPr="00322410" w:rsidR="4188D6EF" w:rsidP="16968945" w:rsidRDefault="3918ABE3" w14:paraId="58A564DC" w14:textId="166A316A">
            <w:pPr>
              <w:rPr>
                <w:rFonts w:cs="Arial"/>
                <w:sz w:val="20"/>
                <w:szCs w:val="20"/>
              </w:rPr>
            </w:pPr>
            <w:r w:rsidRPr="00322410">
              <w:rPr>
                <w:rFonts w:cs="Arial"/>
                <w:sz w:val="20"/>
                <w:szCs w:val="20"/>
              </w:rPr>
              <w:t>2</w:t>
            </w:r>
          </w:p>
        </w:tc>
      </w:tr>
      <w:tr w:rsidRPr="00322410" w:rsidR="4188D6EF" w:rsidTr="7236D7C7" w14:paraId="119C28FE" w14:textId="77777777">
        <w:trPr>
          <w:trHeight w:val="300"/>
        </w:trPr>
        <w:tc>
          <w:tcPr>
            <w:tcW w:w="2250" w:type="dxa"/>
          </w:tcPr>
          <w:p w:rsidRPr="00322410" w:rsidR="4188D6EF" w:rsidP="4B654A79" w:rsidRDefault="702DEBA9" w14:paraId="6BD2068C" w14:textId="6A2A7C78">
            <w:pPr>
              <w:rPr>
                <w:rFonts w:cs="Arial"/>
                <w:b/>
                <w:bCs/>
                <w:sz w:val="20"/>
                <w:szCs w:val="20"/>
              </w:rPr>
            </w:pPr>
            <w:r w:rsidRPr="00322410">
              <w:rPr>
                <w:rFonts w:cs="Arial"/>
                <w:b/>
                <w:bCs/>
                <w:sz w:val="20"/>
                <w:szCs w:val="20"/>
              </w:rPr>
              <w:t>Côte d'Ivoire</w:t>
            </w:r>
          </w:p>
        </w:tc>
        <w:tc>
          <w:tcPr>
            <w:tcW w:w="2492" w:type="dxa"/>
          </w:tcPr>
          <w:p w:rsidRPr="00322410" w:rsidR="4188D6EF" w:rsidP="16968945" w:rsidRDefault="35524AC9" w14:paraId="4597FB83" w14:textId="48B40735">
            <w:pPr>
              <w:rPr>
                <w:rFonts w:cs="Arial"/>
                <w:sz w:val="20"/>
                <w:szCs w:val="20"/>
              </w:rPr>
            </w:pPr>
            <w:r w:rsidRPr="00322410">
              <w:rPr>
                <w:rFonts w:cs="Arial"/>
                <w:sz w:val="20"/>
                <w:szCs w:val="20"/>
              </w:rPr>
              <w:t>2</w:t>
            </w:r>
          </w:p>
        </w:tc>
        <w:tc>
          <w:tcPr>
            <w:tcW w:w="2492" w:type="dxa"/>
          </w:tcPr>
          <w:p w:rsidRPr="00322410" w:rsidR="4188D6EF" w:rsidP="16968945" w:rsidRDefault="35524AC9" w14:paraId="3A334713" w14:textId="1E3923AC">
            <w:pPr>
              <w:rPr>
                <w:rFonts w:cs="Arial"/>
                <w:sz w:val="20"/>
                <w:szCs w:val="20"/>
              </w:rPr>
            </w:pPr>
            <w:r w:rsidRPr="00322410">
              <w:rPr>
                <w:rFonts w:cs="Arial"/>
                <w:sz w:val="20"/>
                <w:szCs w:val="20"/>
              </w:rPr>
              <w:t>2</w:t>
            </w:r>
          </w:p>
        </w:tc>
      </w:tr>
      <w:tr w:rsidRPr="00322410" w:rsidR="4188D6EF" w:rsidTr="7236D7C7" w14:paraId="0976F479" w14:textId="77777777">
        <w:trPr>
          <w:trHeight w:val="300"/>
        </w:trPr>
        <w:tc>
          <w:tcPr>
            <w:tcW w:w="2250" w:type="dxa"/>
          </w:tcPr>
          <w:p w:rsidRPr="00322410" w:rsidR="4188D6EF" w:rsidP="4B654A79" w:rsidRDefault="702DEBA9" w14:paraId="271250EE" w14:textId="79B5CE44">
            <w:pPr>
              <w:rPr>
                <w:rFonts w:cs="Arial"/>
                <w:b/>
                <w:bCs/>
                <w:sz w:val="20"/>
                <w:szCs w:val="20"/>
              </w:rPr>
            </w:pPr>
            <w:r w:rsidRPr="00322410">
              <w:rPr>
                <w:rFonts w:cs="Arial"/>
                <w:b/>
                <w:bCs/>
                <w:sz w:val="20"/>
                <w:szCs w:val="20"/>
              </w:rPr>
              <w:t>DRC</w:t>
            </w:r>
          </w:p>
        </w:tc>
        <w:tc>
          <w:tcPr>
            <w:tcW w:w="2492" w:type="dxa"/>
          </w:tcPr>
          <w:p w:rsidRPr="00322410" w:rsidR="4188D6EF" w:rsidP="16968945" w:rsidRDefault="64CDE432" w14:paraId="0E0DA3F7" w14:textId="3446ACB7">
            <w:pPr>
              <w:rPr>
                <w:rFonts w:cs="Arial"/>
                <w:sz w:val="20"/>
                <w:szCs w:val="20"/>
              </w:rPr>
            </w:pPr>
            <w:r w:rsidRPr="00322410">
              <w:rPr>
                <w:rFonts w:cs="Arial"/>
                <w:sz w:val="20"/>
                <w:szCs w:val="20"/>
              </w:rPr>
              <w:t>1</w:t>
            </w:r>
          </w:p>
        </w:tc>
        <w:tc>
          <w:tcPr>
            <w:tcW w:w="2492" w:type="dxa"/>
          </w:tcPr>
          <w:p w:rsidRPr="00322410" w:rsidR="4188D6EF" w:rsidP="16968945" w:rsidRDefault="64CDE432" w14:paraId="5368EF9C" w14:textId="1AF3AD18">
            <w:pPr>
              <w:rPr>
                <w:rFonts w:cs="Arial"/>
                <w:sz w:val="20"/>
                <w:szCs w:val="20"/>
              </w:rPr>
            </w:pPr>
            <w:r w:rsidRPr="00322410">
              <w:rPr>
                <w:rFonts w:cs="Arial"/>
                <w:sz w:val="20"/>
                <w:szCs w:val="20"/>
              </w:rPr>
              <w:t>1</w:t>
            </w:r>
          </w:p>
        </w:tc>
      </w:tr>
      <w:tr w:rsidRPr="00322410" w:rsidR="4188D6EF" w:rsidTr="7236D7C7" w14:paraId="11089514" w14:textId="77777777">
        <w:trPr>
          <w:trHeight w:val="300"/>
        </w:trPr>
        <w:tc>
          <w:tcPr>
            <w:tcW w:w="2250" w:type="dxa"/>
          </w:tcPr>
          <w:p w:rsidRPr="00322410" w:rsidR="4188D6EF" w:rsidP="4B654A79" w:rsidRDefault="702DEBA9" w14:paraId="079881E8" w14:textId="7BCB346E">
            <w:pPr>
              <w:rPr>
                <w:rFonts w:cs="Arial"/>
                <w:b/>
                <w:bCs/>
                <w:sz w:val="20"/>
                <w:szCs w:val="20"/>
              </w:rPr>
            </w:pPr>
            <w:r w:rsidRPr="00322410">
              <w:rPr>
                <w:rFonts w:cs="Arial"/>
                <w:b/>
                <w:bCs/>
                <w:sz w:val="20"/>
                <w:szCs w:val="20"/>
              </w:rPr>
              <w:t>Dominican Republic</w:t>
            </w:r>
          </w:p>
        </w:tc>
        <w:tc>
          <w:tcPr>
            <w:tcW w:w="2492" w:type="dxa"/>
          </w:tcPr>
          <w:p w:rsidRPr="00322410" w:rsidR="4188D6EF" w:rsidP="16968945" w:rsidRDefault="3134963B" w14:paraId="0554C4C4" w14:textId="3DA4A86F">
            <w:pPr>
              <w:rPr>
                <w:rFonts w:cs="Arial"/>
                <w:sz w:val="20"/>
                <w:szCs w:val="20"/>
              </w:rPr>
            </w:pPr>
            <w:r w:rsidRPr="00322410">
              <w:rPr>
                <w:rFonts w:cs="Arial"/>
                <w:sz w:val="20"/>
                <w:szCs w:val="20"/>
              </w:rPr>
              <w:t>1</w:t>
            </w:r>
          </w:p>
        </w:tc>
        <w:tc>
          <w:tcPr>
            <w:tcW w:w="2492" w:type="dxa"/>
          </w:tcPr>
          <w:p w:rsidRPr="00322410" w:rsidR="4188D6EF" w:rsidP="16968945" w:rsidRDefault="3134963B" w14:paraId="3B7326DF" w14:textId="3223C0BF">
            <w:pPr>
              <w:rPr>
                <w:rFonts w:cs="Arial"/>
                <w:sz w:val="20"/>
                <w:szCs w:val="20"/>
              </w:rPr>
            </w:pPr>
            <w:r w:rsidRPr="00322410">
              <w:rPr>
                <w:rFonts w:cs="Arial"/>
                <w:sz w:val="20"/>
                <w:szCs w:val="20"/>
              </w:rPr>
              <w:t>1</w:t>
            </w:r>
          </w:p>
        </w:tc>
      </w:tr>
      <w:tr w:rsidRPr="00322410" w:rsidR="4188D6EF" w:rsidTr="7236D7C7" w14:paraId="2A40FA65" w14:textId="77777777">
        <w:trPr>
          <w:trHeight w:val="300"/>
        </w:trPr>
        <w:tc>
          <w:tcPr>
            <w:tcW w:w="2250" w:type="dxa"/>
          </w:tcPr>
          <w:p w:rsidRPr="00322410" w:rsidR="4188D6EF" w:rsidP="4B654A79" w:rsidRDefault="702DEBA9" w14:paraId="39F00B0A" w14:textId="44F9FD7C">
            <w:pPr>
              <w:rPr>
                <w:rFonts w:cs="Arial"/>
                <w:b/>
                <w:bCs/>
                <w:sz w:val="20"/>
                <w:szCs w:val="20"/>
              </w:rPr>
            </w:pPr>
            <w:r w:rsidRPr="00322410">
              <w:rPr>
                <w:rFonts w:cs="Arial"/>
                <w:b/>
                <w:bCs/>
                <w:sz w:val="20"/>
                <w:szCs w:val="20"/>
              </w:rPr>
              <w:t>Fiji</w:t>
            </w:r>
          </w:p>
        </w:tc>
        <w:tc>
          <w:tcPr>
            <w:tcW w:w="2492" w:type="dxa"/>
          </w:tcPr>
          <w:p w:rsidRPr="00322410" w:rsidR="4188D6EF" w:rsidP="16968945" w:rsidRDefault="23DA7ECE" w14:paraId="27E1C3CE" w14:textId="6E1E3169">
            <w:pPr>
              <w:rPr>
                <w:rFonts w:cs="Arial"/>
                <w:sz w:val="20"/>
                <w:szCs w:val="20"/>
              </w:rPr>
            </w:pPr>
            <w:r w:rsidRPr="00322410">
              <w:rPr>
                <w:rFonts w:cs="Arial"/>
                <w:sz w:val="20"/>
                <w:szCs w:val="20"/>
              </w:rPr>
              <w:t>1</w:t>
            </w:r>
          </w:p>
        </w:tc>
        <w:tc>
          <w:tcPr>
            <w:tcW w:w="2492" w:type="dxa"/>
          </w:tcPr>
          <w:p w:rsidRPr="00322410" w:rsidR="4188D6EF" w:rsidP="16968945" w:rsidRDefault="23DA7ECE" w14:paraId="6E001BD9" w14:textId="7A21D22C">
            <w:pPr>
              <w:rPr>
                <w:rFonts w:cs="Arial"/>
                <w:sz w:val="20"/>
                <w:szCs w:val="20"/>
              </w:rPr>
            </w:pPr>
            <w:r w:rsidRPr="00322410">
              <w:rPr>
                <w:rFonts w:cs="Arial"/>
                <w:sz w:val="20"/>
                <w:szCs w:val="20"/>
              </w:rPr>
              <w:t>0</w:t>
            </w:r>
          </w:p>
        </w:tc>
      </w:tr>
      <w:tr w:rsidRPr="00322410" w:rsidR="4188D6EF" w:rsidTr="7236D7C7" w14:paraId="3968E904" w14:textId="77777777">
        <w:trPr>
          <w:trHeight w:val="300"/>
        </w:trPr>
        <w:tc>
          <w:tcPr>
            <w:tcW w:w="2250" w:type="dxa"/>
          </w:tcPr>
          <w:p w:rsidRPr="00322410" w:rsidR="4188D6EF" w:rsidP="4B654A79" w:rsidRDefault="702DEBA9" w14:paraId="62B0B16A" w14:textId="5632F939">
            <w:pPr>
              <w:rPr>
                <w:rFonts w:cs="Arial"/>
                <w:b/>
                <w:bCs/>
                <w:sz w:val="20"/>
                <w:szCs w:val="20"/>
              </w:rPr>
            </w:pPr>
            <w:r w:rsidRPr="00322410">
              <w:rPr>
                <w:rFonts w:cs="Arial"/>
                <w:b/>
                <w:bCs/>
                <w:sz w:val="20"/>
                <w:szCs w:val="20"/>
              </w:rPr>
              <w:t>Ghana</w:t>
            </w:r>
          </w:p>
        </w:tc>
        <w:tc>
          <w:tcPr>
            <w:tcW w:w="2492" w:type="dxa"/>
          </w:tcPr>
          <w:p w:rsidRPr="00322410" w:rsidR="4188D6EF" w:rsidP="16968945" w:rsidRDefault="2C9AB142" w14:paraId="23795284" w14:textId="1B803FAE">
            <w:pPr>
              <w:rPr>
                <w:rFonts w:cs="Arial"/>
                <w:sz w:val="20"/>
                <w:szCs w:val="20"/>
              </w:rPr>
            </w:pPr>
            <w:r w:rsidRPr="00322410">
              <w:rPr>
                <w:rFonts w:cs="Arial"/>
                <w:sz w:val="20"/>
                <w:szCs w:val="20"/>
              </w:rPr>
              <w:t>2</w:t>
            </w:r>
          </w:p>
        </w:tc>
        <w:tc>
          <w:tcPr>
            <w:tcW w:w="2492" w:type="dxa"/>
          </w:tcPr>
          <w:p w:rsidRPr="00322410" w:rsidR="4188D6EF" w:rsidP="16968945" w:rsidRDefault="2C9AB142" w14:paraId="00FBDB19" w14:textId="79B31ADB">
            <w:pPr>
              <w:rPr>
                <w:rFonts w:cs="Arial"/>
                <w:sz w:val="20"/>
                <w:szCs w:val="20"/>
              </w:rPr>
            </w:pPr>
            <w:r w:rsidRPr="00322410">
              <w:rPr>
                <w:rFonts w:cs="Arial"/>
                <w:sz w:val="20"/>
                <w:szCs w:val="20"/>
              </w:rPr>
              <w:t>2</w:t>
            </w:r>
          </w:p>
        </w:tc>
      </w:tr>
      <w:tr w:rsidRPr="00322410" w:rsidR="4188D6EF" w:rsidTr="7236D7C7" w14:paraId="0128D868" w14:textId="77777777">
        <w:trPr>
          <w:trHeight w:val="300"/>
        </w:trPr>
        <w:tc>
          <w:tcPr>
            <w:tcW w:w="2250" w:type="dxa"/>
          </w:tcPr>
          <w:p w:rsidRPr="00322410" w:rsidR="4188D6EF" w:rsidP="4B654A79" w:rsidRDefault="702DEBA9" w14:paraId="42441D47" w14:textId="293481E5">
            <w:pPr>
              <w:rPr>
                <w:rFonts w:cs="Arial"/>
                <w:b/>
                <w:bCs/>
                <w:sz w:val="20"/>
                <w:szCs w:val="20"/>
              </w:rPr>
            </w:pPr>
            <w:r w:rsidRPr="00322410">
              <w:rPr>
                <w:rFonts w:cs="Arial"/>
                <w:b/>
                <w:bCs/>
                <w:sz w:val="20"/>
                <w:szCs w:val="20"/>
              </w:rPr>
              <w:t>Guatemala</w:t>
            </w:r>
          </w:p>
        </w:tc>
        <w:tc>
          <w:tcPr>
            <w:tcW w:w="2492" w:type="dxa"/>
          </w:tcPr>
          <w:p w:rsidRPr="00322410" w:rsidR="4188D6EF" w:rsidP="16968945" w:rsidRDefault="1852242A" w14:paraId="44B8A16C" w14:textId="1E47FD40">
            <w:pPr>
              <w:rPr>
                <w:rFonts w:cs="Arial"/>
                <w:sz w:val="20"/>
                <w:szCs w:val="20"/>
              </w:rPr>
            </w:pPr>
            <w:r w:rsidRPr="00322410">
              <w:rPr>
                <w:rFonts w:cs="Arial"/>
                <w:sz w:val="20"/>
                <w:szCs w:val="20"/>
              </w:rPr>
              <w:t>1</w:t>
            </w:r>
          </w:p>
        </w:tc>
        <w:tc>
          <w:tcPr>
            <w:tcW w:w="2492" w:type="dxa"/>
          </w:tcPr>
          <w:p w:rsidRPr="00322410" w:rsidR="4188D6EF" w:rsidP="16968945" w:rsidRDefault="1852242A" w14:paraId="42353E5B" w14:textId="11CF25EF">
            <w:pPr>
              <w:rPr>
                <w:rFonts w:cs="Arial"/>
                <w:sz w:val="20"/>
                <w:szCs w:val="20"/>
              </w:rPr>
            </w:pPr>
            <w:r w:rsidRPr="00322410">
              <w:rPr>
                <w:rFonts w:cs="Arial"/>
                <w:sz w:val="20"/>
                <w:szCs w:val="20"/>
              </w:rPr>
              <w:t>0</w:t>
            </w:r>
          </w:p>
        </w:tc>
      </w:tr>
      <w:tr w:rsidRPr="00322410" w:rsidR="4188D6EF" w:rsidTr="7236D7C7" w14:paraId="160A0E3D" w14:textId="77777777">
        <w:trPr>
          <w:trHeight w:val="300"/>
        </w:trPr>
        <w:tc>
          <w:tcPr>
            <w:tcW w:w="2250" w:type="dxa"/>
          </w:tcPr>
          <w:p w:rsidRPr="00322410" w:rsidR="4188D6EF" w:rsidP="4B654A79" w:rsidRDefault="702DEBA9" w14:paraId="39FD1F89" w14:textId="6DE038A7">
            <w:pPr>
              <w:rPr>
                <w:rFonts w:cs="Arial"/>
                <w:b/>
                <w:bCs/>
                <w:sz w:val="20"/>
                <w:szCs w:val="20"/>
              </w:rPr>
            </w:pPr>
            <w:r w:rsidRPr="00322410">
              <w:rPr>
                <w:rFonts w:cs="Arial"/>
                <w:b/>
                <w:bCs/>
                <w:sz w:val="20"/>
                <w:szCs w:val="20"/>
              </w:rPr>
              <w:t>Indonesia</w:t>
            </w:r>
          </w:p>
        </w:tc>
        <w:tc>
          <w:tcPr>
            <w:tcW w:w="2492" w:type="dxa"/>
          </w:tcPr>
          <w:p w:rsidRPr="00322410" w:rsidR="4188D6EF" w:rsidP="16968945" w:rsidRDefault="624E8664" w14:paraId="43FA662A" w14:textId="5E61088A">
            <w:pPr>
              <w:rPr>
                <w:rFonts w:cs="Arial"/>
                <w:sz w:val="20"/>
                <w:szCs w:val="20"/>
              </w:rPr>
            </w:pPr>
            <w:r w:rsidRPr="00322410">
              <w:rPr>
                <w:rFonts w:cs="Arial"/>
                <w:sz w:val="20"/>
                <w:szCs w:val="20"/>
              </w:rPr>
              <w:t>1</w:t>
            </w:r>
          </w:p>
        </w:tc>
        <w:tc>
          <w:tcPr>
            <w:tcW w:w="2492" w:type="dxa"/>
          </w:tcPr>
          <w:p w:rsidRPr="00322410" w:rsidR="4188D6EF" w:rsidP="16968945" w:rsidRDefault="624E8664" w14:paraId="20750655" w14:textId="496D72EE">
            <w:pPr>
              <w:rPr>
                <w:rFonts w:cs="Arial"/>
                <w:sz w:val="20"/>
                <w:szCs w:val="20"/>
              </w:rPr>
            </w:pPr>
            <w:r w:rsidRPr="00322410">
              <w:rPr>
                <w:rFonts w:cs="Arial"/>
                <w:sz w:val="20"/>
                <w:szCs w:val="20"/>
              </w:rPr>
              <w:t>0</w:t>
            </w:r>
          </w:p>
        </w:tc>
      </w:tr>
      <w:tr w:rsidRPr="00322410" w:rsidR="4188D6EF" w:rsidTr="7236D7C7" w14:paraId="4CD175BA" w14:textId="77777777">
        <w:trPr>
          <w:trHeight w:val="300"/>
        </w:trPr>
        <w:tc>
          <w:tcPr>
            <w:tcW w:w="2250" w:type="dxa"/>
          </w:tcPr>
          <w:p w:rsidRPr="00322410" w:rsidR="4188D6EF" w:rsidP="4B654A79" w:rsidRDefault="702DEBA9" w14:paraId="41CA730D" w14:textId="42296C70">
            <w:pPr>
              <w:rPr>
                <w:rFonts w:cs="Arial"/>
                <w:b/>
                <w:bCs/>
                <w:sz w:val="20"/>
                <w:szCs w:val="20"/>
              </w:rPr>
            </w:pPr>
            <w:r w:rsidRPr="00322410">
              <w:rPr>
                <w:rFonts w:cs="Arial"/>
                <w:b/>
                <w:bCs/>
                <w:sz w:val="20"/>
                <w:szCs w:val="20"/>
              </w:rPr>
              <w:t>Lao PDR</w:t>
            </w:r>
          </w:p>
        </w:tc>
        <w:tc>
          <w:tcPr>
            <w:tcW w:w="2492" w:type="dxa"/>
          </w:tcPr>
          <w:p w:rsidRPr="00322410" w:rsidR="4188D6EF" w:rsidP="16968945" w:rsidRDefault="661753DB" w14:paraId="1ACE950A" w14:textId="7B5EDBBB">
            <w:pPr>
              <w:rPr>
                <w:rFonts w:cs="Arial"/>
                <w:sz w:val="20"/>
                <w:szCs w:val="20"/>
              </w:rPr>
            </w:pPr>
            <w:r w:rsidRPr="00322410">
              <w:rPr>
                <w:rFonts w:cs="Arial"/>
                <w:sz w:val="20"/>
                <w:szCs w:val="20"/>
              </w:rPr>
              <w:t>1</w:t>
            </w:r>
          </w:p>
        </w:tc>
        <w:tc>
          <w:tcPr>
            <w:tcW w:w="2492" w:type="dxa"/>
          </w:tcPr>
          <w:p w:rsidRPr="00322410" w:rsidR="4188D6EF" w:rsidP="16968945" w:rsidRDefault="661753DB" w14:paraId="192BBA8B" w14:textId="5FB1C3C4">
            <w:pPr>
              <w:rPr>
                <w:rFonts w:cs="Arial"/>
                <w:sz w:val="20"/>
                <w:szCs w:val="20"/>
              </w:rPr>
            </w:pPr>
            <w:r w:rsidRPr="00322410">
              <w:rPr>
                <w:rFonts w:cs="Arial"/>
                <w:sz w:val="20"/>
                <w:szCs w:val="20"/>
              </w:rPr>
              <w:t>1</w:t>
            </w:r>
          </w:p>
        </w:tc>
      </w:tr>
      <w:tr w:rsidRPr="00322410" w:rsidR="4188D6EF" w:rsidTr="7236D7C7" w14:paraId="35D3F7D8" w14:textId="77777777">
        <w:trPr>
          <w:trHeight w:val="300"/>
        </w:trPr>
        <w:tc>
          <w:tcPr>
            <w:tcW w:w="2250" w:type="dxa"/>
          </w:tcPr>
          <w:p w:rsidRPr="00322410" w:rsidR="4188D6EF" w:rsidP="4B654A79" w:rsidRDefault="702DEBA9" w14:paraId="084848E1" w14:textId="51F1695E">
            <w:pPr>
              <w:rPr>
                <w:rFonts w:cs="Arial"/>
                <w:b/>
                <w:bCs/>
                <w:sz w:val="20"/>
                <w:szCs w:val="20"/>
              </w:rPr>
            </w:pPr>
            <w:r w:rsidRPr="00322410">
              <w:rPr>
                <w:rFonts w:cs="Arial"/>
                <w:b/>
                <w:bCs/>
                <w:sz w:val="20"/>
                <w:szCs w:val="20"/>
              </w:rPr>
              <w:t>Madagascar</w:t>
            </w:r>
          </w:p>
        </w:tc>
        <w:tc>
          <w:tcPr>
            <w:tcW w:w="2492" w:type="dxa"/>
          </w:tcPr>
          <w:p w:rsidRPr="00322410" w:rsidR="4188D6EF" w:rsidP="16968945" w:rsidRDefault="6DB858B1" w14:paraId="05F66BC9" w14:textId="44AB1EF0">
            <w:pPr>
              <w:rPr>
                <w:rFonts w:cs="Arial"/>
                <w:sz w:val="20"/>
                <w:szCs w:val="20"/>
              </w:rPr>
            </w:pPr>
            <w:r w:rsidRPr="00322410">
              <w:rPr>
                <w:rFonts w:cs="Arial"/>
                <w:sz w:val="20"/>
                <w:szCs w:val="20"/>
              </w:rPr>
              <w:t>2</w:t>
            </w:r>
          </w:p>
        </w:tc>
        <w:tc>
          <w:tcPr>
            <w:tcW w:w="2492" w:type="dxa"/>
          </w:tcPr>
          <w:p w:rsidRPr="00322410" w:rsidR="4188D6EF" w:rsidP="16968945" w:rsidRDefault="6DB858B1" w14:paraId="495F4047" w14:textId="7AE4D91F">
            <w:pPr>
              <w:rPr>
                <w:rFonts w:cs="Arial"/>
                <w:sz w:val="20"/>
                <w:szCs w:val="20"/>
              </w:rPr>
            </w:pPr>
            <w:r w:rsidRPr="00322410">
              <w:rPr>
                <w:rFonts w:cs="Arial"/>
                <w:sz w:val="20"/>
                <w:szCs w:val="20"/>
              </w:rPr>
              <w:t>1</w:t>
            </w:r>
          </w:p>
        </w:tc>
      </w:tr>
      <w:tr w:rsidRPr="00322410" w:rsidR="4188D6EF" w:rsidTr="7236D7C7" w14:paraId="424E46EB" w14:textId="77777777">
        <w:trPr>
          <w:trHeight w:val="300"/>
        </w:trPr>
        <w:tc>
          <w:tcPr>
            <w:tcW w:w="2250" w:type="dxa"/>
          </w:tcPr>
          <w:p w:rsidRPr="00322410" w:rsidR="4188D6EF" w:rsidP="4B654A79" w:rsidRDefault="702DEBA9" w14:paraId="1F5E7FE1" w14:textId="2E4CCEFB">
            <w:pPr>
              <w:rPr>
                <w:rFonts w:cs="Arial"/>
                <w:b/>
                <w:bCs/>
                <w:sz w:val="20"/>
                <w:szCs w:val="20"/>
              </w:rPr>
            </w:pPr>
            <w:r w:rsidRPr="00322410">
              <w:rPr>
                <w:rFonts w:cs="Arial"/>
                <w:b/>
                <w:bCs/>
                <w:sz w:val="20"/>
                <w:szCs w:val="20"/>
              </w:rPr>
              <w:t>Mozambique</w:t>
            </w:r>
          </w:p>
        </w:tc>
        <w:tc>
          <w:tcPr>
            <w:tcW w:w="2492" w:type="dxa"/>
          </w:tcPr>
          <w:p w:rsidRPr="00322410" w:rsidR="4188D6EF" w:rsidP="16968945" w:rsidRDefault="27D51CB7" w14:paraId="24015026" w14:textId="794D6324">
            <w:pPr>
              <w:rPr>
                <w:rFonts w:cs="Arial"/>
                <w:sz w:val="20"/>
                <w:szCs w:val="20"/>
              </w:rPr>
            </w:pPr>
            <w:r w:rsidRPr="00322410">
              <w:rPr>
                <w:rFonts w:cs="Arial"/>
                <w:sz w:val="20"/>
                <w:szCs w:val="20"/>
              </w:rPr>
              <w:t>3</w:t>
            </w:r>
          </w:p>
        </w:tc>
        <w:tc>
          <w:tcPr>
            <w:tcW w:w="2492" w:type="dxa"/>
          </w:tcPr>
          <w:p w:rsidRPr="00322410" w:rsidR="4188D6EF" w:rsidP="16968945" w:rsidRDefault="27D51CB7" w14:paraId="0795D3BA" w14:textId="35C7D3B4">
            <w:pPr>
              <w:rPr>
                <w:rFonts w:cs="Arial"/>
                <w:sz w:val="20"/>
                <w:szCs w:val="20"/>
              </w:rPr>
            </w:pPr>
            <w:r w:rsidRPr="00322410">
              <w:rPr>
                <w:rFonts w:cs="Arial"/>
                <w:sz w:val="20"/>
                <w:szCs w:val="20"/>
              </w:rPr>
              <w:t>2</w:t>
            </w:r>
          </w:p>
        </w:tc>
      </w:tr>
      <w:tr w:rsidRPr="00322410" w:rsidR="4188D6EF" w:rsidTr="7236D7C7" w14:paraId="6DF44225" w14:textId="77777777">
        <w:trPr>
          <w:trHeight w:val="300"/>
        </w:trPr>
        <w:tc>
          <w:tcPr>
            <w:tcW w:w="2250" w:type="dxa"/>
          </w:tcPr>
          <w:p w:rsidRPr="00322410" w:rsidR="4188D6EF" w:rsidP="4B654A79" w:rsidRDefault="702DEBA9" w14:paraId="20228683" w14:textId="26E3B3DA">
            <w:pPr>
              <w:rPr>
                <w:rFonts w:cs="Arial"/>
                <w:b/>
                <w:bCs/>
                <w:sz w:val="20"/>
                <w:szCs w:val="20"/>
              </w:rPr>
            </w:pPr>
            <w:r w:rsidRPr="00322410">
              <w:rPr>
                <w:rFonts w:cs="Arial"/>
                <w:b/>
                <w:bCs/>
                <w:sz w:val="20"/>
                <w:szCs w:val="20"/>
              </w:rPr>
              <w:t>Nepal</w:t>
            </w:r>
          </w:p>
        </w:tc>
        <w:tc>
          <w:tcPr>
            <w:tcW w:w="2492" w:type="dxa"/>
          </w:tcPr>
          <w:p w:rsidRPr="00322410" w:rsidR="4188D6EF" w:rsidP="16968945" w:rsidRDefault="75FE2B4B" w14:paraId="2A4CC722" w14:textId="23AFF97A">
            <w:pPr>
              <w:rPr>
                <w:rFonts w:cs="Arial"/>
                <w:sz w:val="20"/>
                <w:szCs w:val="20"/>
              </w:rPr>
            </w:pPr>
            <w:r w:rsidRPr="00322410">
              <w:rPr>
                <w:rFonts w:cs="Arial"/>
                <w:sz w:val="20"/>
                <w:szCs w:val="20"/>
              </w:rPr>
              <w:t>1</w:t>
            </w:r>
          </w:p>
        </w:tc>
        <w:tc>
          <w:tcPr>
            <w:tcW w:w="2492" w:type="dxa"/>
          </w:tcPr>
          <w:p w:rsidRPr="00322410" w:rsidR="4188D6EF" w:rsidP="16968945" w:rsidRDefault="75FE2B4B" w14:paraId="09ACDBB1" w14:textId="1AA5EEE4">
            <w:pPr>
              <w:rPr>
                <w:rFonts w:cs="Arial"/>
                <w:sz w:val="20"/>
                <w:szCs w:val="20"/>
              </w:rPr>
            </w:pPr>
            <w:r w:rsidRPr="00322410">
              <w:rPr>
                <w:rFonts w:cs="Arial"/>
                <w:sz w:val="20"/>
                <w:szCs w:val="20"/>
              </w:rPr>
              <w:t>0</w:t>
            </w:r>
          </w:p>
        </w:tc>
      </w:tr>
      <w:tr w:rsidRPr="00322410" w:rsidR="1E160A0E" w:rsidTr="7236D7C7" w14:paraId="620AB791" w14:textId="77777777">
        <w:trPr>
          <w:trHeight w:val="300"/>
        </w:trPr>
        <w:tc>
          <w:tcPr>
            <w:tcW w:w="2250" w:type="dxa"/>
          </w:tcPr>
          <w:p w:rsidRPr="00322410" w:rsidR="702DEBA9" w:rsidP="4B654A79" w:rsidRDefault="702DEBA9" w14:paraId="490B1B72" w14:textId="431DCBF6">
            <w:pPr>
              <w:rPr>
                <w:rFonts w:cs="Arial"/>
                <w:b/>
                <w:bCs/>
                <w:sz w:val="20"/>
                <w:szCs w:val="20"/>
              </w:rPr>
            </w:pPr>
            <w:r w:rsidRPr="00322410">
              <w:rPr>
                <w:rFonts w:cs="Arial"/>
                <w:b/>
                <w:bCs/>
                <w:sz w:val="20"/>
                <w:szCs w:val="20"/>
              </w:rPr>
              <w:t>Republic of Congo</w:t>
            </w:r>
          </w:p>
        </w:tc>
        <w:tc>
          <w:tcPr>
            <w:tcW w:w="2492" w:type="dxa"/>
          </w:tcPr>
          <w:p w:rsidRPr="00322410" w:rsidR="1E160A0E" w:rsidP="16968945" w:rsidRDefault="3A9BCB62" w14:paraId="46DF9619" w14:textId="0C3B9CAD">
            <w:pPr>
              <w:rPr>
                <w:rFonts w:cs="Arial"/>
                <w:sz w:val="20"/>
                <w:szCs w:val="20"/>
              </w:rPr>
            </w:pPr>
            <w:r w:rsidRPr="00322410">
              <w:rPr>
                <w:rFonts w:cs="Arial"/>
                <w:sz w:val="20"/>
                <w:szCs w:val="20"/>
              </w:rPr>
              <w:t>1</w:t>
            </w:r>
          </w:p>
        </w:tc>
        <w:tc>
          <w:tcPr>
            <w:tcW w:w="2492" w:type="dxa"/>
          </w:tcPr>
          <w:p w:rsidRPr="00322410" w:rsidR="1E160A0E" w:rsidP="16968945" w:rsidRDefault="3A9BCB62" w14:paraId="2C3151CC" w14:textId="1333245E">
            <w:pPr>
              <w:rPr>
                <w:rFonts w:cs="Arial"/>
                <w:sz w:val="20"/>
                <w:szCs w:val="20"/>
              </w:rPr>
            </w:pPr>
            <w:r w:rsidRPr="00322410">
              <w:rPr>
                <w:rFonts w:cs="Arial"/>
                <w:sz w:val="20"/>
                <w:szCs w:val="20"/>
              </w:rPr>
              <w:t>0</w:t>
            </w:r>
          </w:p>
        </w:tc>
      </w:tr>
      <w:tr w:rsidRPr="00322410" w:rsidR="1E160A0E" w:rsidTr="7236D7C7" w14:paraId="689EE658" w14:textId="77777777">
        <w:trPr>
          <w:trHeight w:val="300"/>
        </w:trPr>
        <w:tc>
          <w:tcPr>
            <w:tcW w:w="2250" w:type="dxa"/>
          </w:tcPr>
          <w:p w:rsidRPr="00322410" w:rsidR="702DEBA9" w:rsidP="4B654A79" w:rsidRDefault="702DEBA9" w14:paraId="59A1D06E" w14:textId="311FE790">
            <w:pPr>
              <w:rPr>
                <w:rFonts w:cs="Arial"/>
                <w:b/>
                <w:bCs/>
                <w:sz w:val="20"/>
                <w:szCs w:val="20"/>
              </w:rPr>
            </w:pPr>
            <w:r w:rsidRPr="00322410">
              <w:rPr>
                <w:rFonts w:cs="Arial"/>
                <w:b/>
                <w:bCs/>
                <w:sz w:val="20"/>
                <w:szCs w:val="20"/>
              </w:rPr>
              <w:t>Vietnam</w:t>
            </w:r>
          </w:p>
        </w:tc>
        <w:tc>
          <w:tcPr>
            <w:tcW w:w="2492" w:type="dxa"/>
          </w:tcPr>
          <w:p w:rsidRPr="00322410" w:rsidR="1E160A0E" w:rsidP="16968945" w:rsidRDefault="725FD824" w14:paraId="3B222CA3" w14:textId="38B6EDAF">
            <w:pPr>
              <w:rPr>
                <w:rFonts w:cs="Arial"/>
                <w:sz w:val="20"/>
                <w:szCs w:val="20"/>
              </w:rPr>
            </w:pPr>
            <w:r w:rsidRPr="00322410">
              <w:rPr>
                <w:rFonts w:cs="Arial"/>
                <w:sz w:val="20"/>
                <w:szCs w:val="20"/>
              </w:rPr>
              <w:t>1</w:t>
            </w:r>
          </w:p>
        </w:tc>
        <w:tc>
          <w:tcPr>
            <w:tcW w:w="2492" w:type="dxa"/>
          </w:tcPr>
          <w:p w:rsidRPr="00322410" w:rsidR="1E160A0E" w:rsidP="16968945" w:rsidRDefault="725FD824" w14:paraId="33C048B1" w14:textId="6AFC008F">
            <w:pPr>
              <w:rPr>
                <w:rFonts w:cs="Arial"/>
                <w:sz w:val="20"/>
                <w:szCs w:val="20"/>
              </w:rPr>
            </w:pPr>
            <w:r w:rsidRPr="00322410">
              <w:rPr>
                <w:rFonts w:cs="Arial"/>
                <w:sz w:val="20"/>
                <w:szCs w:val="20"/>
              </w:rPr>
              <w:t>1</w:t>
            </w:r>
          </w:p>
        </w:tc>
      </w:tr>
    </w:tbl>
    <w:p w:rsidRPr="00322410" w:rsidR="003D222C" w:rsidP="0371D9B3" w:rsidRDefault="003D222C" w14:paraId="0251A4C8" w14:textId="5D88CA1F">
      <w:pPr>
        <w:jc w:val="both"/>
        <w:rPr>
          <w:rFonts w:cs="Arial"/>
          <w:sz w:val="22"/>
          <w:szCs w:val="22"/>
        </w:rPr>
      </w:pPr>
    </w:p>
    <w:p w:rsidRPr="00322410" w:rsidR="003D222C" w:rsidP="0371D9B3" w:rsidRDefault="003D222C" w14:paraId="45AE6586" w14:textId="757AD372">
      <w:pPr>
        <w:jc w:val="both"/>
        <w:rPr>
          <w:rFonts w:cs="Arial"/>
          <w:sz w:val="22"/>
          <w:szCs w:val="22"/>
        </w:rPr>
      </w:pPr>
      <w:r w:rsidRPr="2C0DF5FE" w:rsidR="003D222C">
        <w:rPr>
          <w:rFonts w:cs="Arial"/>
          <w:sz w:val="22"/>
          <w:szCs w:val="22"/>
        </w:rPr>
        <w:t xml:space="preserve"> </w:t>
      </w:r>
    </w:p>
    <w:p w:rsidRPr="00322410" w:rsidR="003D222C" w:rsidP="2C0DF5FE" w:rsidRDefault="00C02966" w14:paraId="4E79AAE8" w14:textId="1B605652">
      <w:pPr>
        <w:jc w:val="both"/>
        <w:rPr>
          <w:rFonts w:cs="Arial"/>
          <w:i w:val="1"/>
          <w:iCs w:val="1"/>
          <w:sz w:val="22"/>
          <w:szCs w:val="22"/>
        </w:rPr>
      </w:pPr>
      <w:r w:rsidRPr="2C0DF5FE" w:rsidR="00C02966">
        <w:rPr>
          <w:b w:val="1"/>
          <w:bCs w:val="1"/>
          <w:i w:val="1"/>
          <w:iCs w:val="1"/>
          <w:sz w:val="28"/>
          <w:szCs w:val="28"/>
        </w:rPr>
        <w:t>C</w:t>
      </w:r>
      <w:r w:rsidRPr="2C0DF5FE" w:rsidR="003D222C">
        <w:rPr>
          <w:b w:val="1"/>
          <w:bCs w:val="1"/>
          <w:i w:val="1"/>
          <w:iCs w:val="1"/>
          <w:sz w:val="28"/>
          <w:szCs w:val="28"/>
        </w:rPr>
        <w:t xml:space="preserve">hanges </w:t>
      </w:r>
      <w:r w:rsidRPr="2C0DF5FE" w:rsidR="5AA7F347">
        <w:rPr>
          <w:b w:val="1"/>
          <w:bCs w:val="1"/>
          <w:i w:val="1"/>
          <w:iCs w:val="1"/>
          <w:sz w:val="28"/>
          <w:szCs w:val="28"/>
        </w:rPr>
        <w:t xml:space="preserve">to </w:t>
      </w:r>
      <w:r w:rsidRPr="2C0DF5FE" w:rsidR="003D222C">
        <w:rPr>
          <w:b w:val="1"/>
          <w:bCs w:val="1"/>
          <w:i w:val="1"/>
          <w:iCs w:val="1"/>
          <w:sz w:val="28"/>
          <w:szCs w:val="28"/>
        </w:rPr>
        <w:t xml:space="preserve">this output, and any planned changes </w:t>
      </w:r>
      <w:r w:rsidRPr="2C0DF5FE" w:rsidR="003D222C">
        <w:rPr>
          <w:b w:val="1"/>
          <w:bCs w:val="1"/>
          <w:i w:val="1"/>
          <w:iCs w:val="1"/>
          <w:sz w:val="28"/>
          <w:szCs w:val="28"/>
        </w:rPr>
        <w:t>as a result of</w:t>
      </w:r>
      <w:r w:rsidRPr="2C0DF5FE" w:rsidR="003D222C">
        <w:rPr>
          <w:b w:val="1"/>
          <w:bCs w:val="1"/>
          <w:i w:val="1"/>
          <w:iCs w:val="1"/>
          <w:sz w:val="28"/>
          <w:szCs w:val="28"/>
        </w:rPr>
        <w:t xml:space="preserve"> this review</w:t>
      </w:r>
      <w:r w:rsidRPr="2C0DF5FE" w:rsidR="003D222C">
        <w:rPr>
          <w:rFonts w:cs="Arial"/>
          <w:b w:val="1"/>
          <w:bCs w:val="1"/>
          <w:i w:val="1"/>
          <w:iCs w:val="1"/>
          <w:sz w:val="22"/>
          <w:szCs w:val="22"/>
        </w:rPr>
        <w:t xml:space="preserve"> </w:t>
      </w:r>
    </w:p>
    <w:p w:rsidRPr="00322410" w:rsidR="003D222C" w:rsidP="004D5FD5" w:rsidRDefault="003D222C" w14:paraId="2C9E6F55" w14:textId="6BBD59A1">
      <w:pPr>
        <w:jc w:val="both"/>
        <w:rPr>
          <w:rFonts w:cs="Arial"/>
          <w:sz w:val="22"/>
          <w:szCs w:val="22"/>
        </w:rPr>
      </w:pPr>
    </w:p>
    <w:p w:rsidRPr="00322410" w:rsidR="003D222C" w:rsidP="17FB5514" w:rsidRDefault="1F5ADB06" w14:paraId="509B437E" w14:textId="390E26A9">
      <w:pPr>
        <w:jc w:val="both"/>
        <w:rPr>
          <w:rFonts w:cs="Arial"/>
          <w:sz w:val="22"/>
          <w:szCs w:val="22"/>
        </w:rPr>
      </w:pPr>
      <w:r w:rsidRPr="00322410">
        <w:rPr>
          <w:rFonts w:cs="Arial"/>
          <w:sz w:val="22"/>
          <w:szCs w:val="22"/>
        </w:rPr>
        <w:t>As detailed in Section B, all open indicators under output 1 were extended to 2028 due to the programme extension</w:t>
      </w:r>
      <w:r w:rsidRPr="00322410" w:rsidR="7F27F38F">
        <w:rPr>
          <w:rFonts w:cs="Arial"/>
          <w:sz w:val="22"/>
          <w:szCs w:val="22"/>
        </w:rPr>
        <w:t>,</w:t>
      </w:r>
      <w:r w:rsidRPr="00322410">
        <w:rPr>
          <w:rFonts w:cs="Arial"/>
          <w:sz w:val="22"/>
          <w:szCs w:val="22"/>
        </w:rPr>
        <w:t xml:space="preserve"> and interim milestones were set for each.</w:t>
      </w:r>
    </w:p>
    <w:p w:rsidRPr="00322410" w:rsidR="003D222C" w:rsidP="17FB5514" w:rsidRDefault="003D222C" w14:paraId="5052797C" w14:textId="7B20C32B">
      <w:pPr>
        <w:jc w:val="both"/>
        <w:rPr>
          <w:rFonts w:cs="Arial"/>
          <w:sz w:val="22"/>
          <w:szCs w:val="22"/>
        </w:rPr>
      </w:pPr>
    </w:p>
    <w:p w:rsidRPr="00322410" w:rsidR="003D222C" w:rsidP="7C53E700" w:rsidRDefault="5169D6B2" w14:paraId="1E6C589D" w14:textId="3616024E">
      <w:pPr>
        <w:jc w:val="both"/>
        <w:rPr>
          <w:rFonts w:cs="Arial"/>
          <w:sz w:val="22"/>
          <w:szCs w:val="22"/>
        </w:rPr>
      </w:pPr>
      <w:r w:rsidRPr="00322410">
        <w:rPr>
          <w:rFonts w:cs="Arial"/>
          <w:sz w:val="22"/>
          <w:szCs w:val="22"/>
        </w:rPr>
        <w:t>The previous o</w:t>
      </w:r>
      <w:r w:rsidRPr="00322410" w:rsidR="1F5ADB06">
        <w:rPr>
          <w:rFonts w:cs="Arial"/>
          <w:sz w:val="22"/>
          <w:szCs w:val="22"/>
        </w:rPr>
        <w:t>utp</w:t>
      </w:r>
      <w:r w:rsidRPr="00322410" w:rsidR="415778C8">
        <w:rPr>
          <w:rFonts w:cs="Arial"/>
          <w:sz w:val="22"/>
          <w:szCs w:val="22"/>
        </w:rPr>
        <w:t>ut indicator 1.2, “Number of Participant countries that have fulfilled conditions of effectiveness and are monitoring ERs”, was closed as all countries have now fulfilled conditions of effectiveness and are monitoring ERs.</w:t>
      </w:r>
    </w:p>
    <w:p w:rsidRPr="00322410" w:rsidR="3992F713" w:rsidP="3992F713" w:rsidRDefault="3992F713" w14:paraId="12E1BA1E" w14:textId="68CCA8C2">
      <w:pPr>
        <w:jc w:val="both"/>
        <w:rPr>
          <w:rFonts w:cs="Arial"/>
          <w:sz w:val="22"/>
          <w:szCs w:val="22"/>
        </w:rPr>
      </w:pPr>
    </w:p>
    <w:p w:rsidRPr="00322410" w:rsidR="4D60E9C9" w:rsidP="5A9170D6" w:rsidRDefault="7CB6C3D7" w14:paraId="371535FA" w14:textId="3F637B0E">
      <w:pPr>
        <w:jc w:val="both"/>
        <w:rPr>
          <w:rFonts w:cs="Arial"/>
          <w:sz w:val="22"/>
          <w:szCs w:val="22"/>
        </w:rPr>
      </w:pPr>
      <w:r w:rsidRPr="01381038">
        <w:rPr>
          <w:rFonts w:cs="Arial"/>
          <w:sz w:val="22"/>
          <w:szCs w:val="22"/>
        </w:rPr>
        <w:t>For RP26, it has been recommended in Recommendation</w:t>
      </w:r>
      <w:r w:rsidRPr="01381038" w:rsidR="29D2B896">
        <w:rPr>
          <w:rFonts w:cs="Arial"/>
          <w:sz w:val="22"/>
          <w:szCs w:val="22"/>
        </w:rPr>
        <w:t xml:space="preserve"> </w:t>
      </w:r>
      <w:r w:rsidRPr="01381038" w:rsidR="3191E37B">
        <w:rPr>
          <w:rFonts w:cs="Arial"/>
          <w:sz w:val="22"/>
          <w:szCs w:val="22"/>
        </w:rPr>
        <w:t>1</w:t>
      </w:r>
      <w:r w:rsidRPr="01381038" w:rsidR="0158E6B7">
        <w:rPr>
          <w:rFonts w:cs="Arial"/>
          <w:sz w:val="22"/>
          <w:szCs w:val="22"/>
        </w:rPr>
        <w:t>c</w:t>
      </w:r>
      <w:r w:rsidRPr="01381038">
        <w:rPr>
          <w:rFonts w:cs="Arial"/>
          <w:sz w:val="22"/>
          <w:szCs w:val="22"/>
        </w:rPr>
        <w:t xml:space="preserve"> that </w:t>
      </w:r>
      <w:r w:rsidRPr="01381038" w:rsidR="2F3B299C">
        <w:rPr>
          <w:rFonts w:cs="Arial"/>
          <w:sz w:val="22"/>
          <w:szCs w:val="22"/>
        </w:rPr>
        <w:t>output indicator 1.1</w:t>
      </w:r>
      <w:r w:rsidRPr="01381038" w:rsidR="202B9EE6">
        <w:rPr>
          <w:rFonts w:cs="Arial"/>
          <w:sz w:val="22"/>
          <w:szCs w:val="22"/>
        </w:rPr>
        <w:t xml:space="preserve"> is revised as follows:</w:t>
      </w:r>
    </w:p>
    <w:p w:rsidRPr="00322410" w:rsidR="7C53E700" w:rsidP="75854EF4" w:rsidRDefault="202B9EE6" w14:paraId="74FBB0B8" w14:textId="1C9EAE04">
      <w:pPr>
        <w:pStyle w:val="ListParagraph"/>
        <w:numPr>
          <w:ilvl w:val="0"/>
          <w:numId w:val="20"/>
        </w:numPr>
        <w:jc w:val="both"/>
        <w:rPr>
          <w:rFonts w:eastAsia="Arial" w:cs="Arial"/>
          <w:sz w:val="22"/>
          <w:szCs w:val="22"/>
        </w:rPr>
      </w:pPr>
      <w:r w:rsidRPr="00322410">
        <w:rPr>
          <w:rFonts w:eastAsia="Arial" w:cs="Arial"/>
          <w:sz w:val="22"/>
          <w:szCs w:val="22"/>
        </w:rPr>
        <w:t>1.1a, “</w:t>
      </w:r>
      <w:proofErr w:type="gramStart"/>
      <w:r w:rsidRPr="00322410">
        <w:rPr>
          <w:rFonts w:eastAsia="Arial" w:cs="Arial"/>
          <w:sz w:val="22"/>
          <w:szCs w:val="22"/>
        </w:rPr>
        <w:t>Amount</w:t>
      </w:r>
      <w:proofErr w:type="gramEnd"/>
      <w:r w:rsidRPr="00322410">
        <w:rPr>
          <w:rFonts w:eastAsia="Arial" w:cs="Arial"/>
          <w:sz w:val="22"/>
          <w:szCs w:val="22"/>
        </w:rPr>
        <w:t xml:space="preserve"> of disbursements for ER payments”, should be removed, as it measures the same result as 1.1b</w:t>
      </w:r>
      <w:r w:rsidRPr="00322410" w:rsidR="7ED07C40">
        <w:rPr>
          <w:rFonts w:eastAsia="Arial" w:cs="Arial"/>
          <w:sz w:val="22"/>
          <w:szCs w:val="22"/>
        </w:rPr>
        <w:t>, but in terms of payment rather than ER volume.</w:t>
      </w:r>
    </w:p>
    <w:p w:rsidRPr="00322410" w:rsidR="7C53E700" w:rsidP="2DB1AD8B" w:rsidRDefault="202B9EE6" w14:paraId="3B7D2C62" w14:textId="337729E6">
      <w:pPr>
        <w:pStyle w:val="ListParagraph"/>
        <w:numPr>
          <w:ilvl w:val="0"/>
          <w:numId w:val="20"/>
        </w:numPr>
        <w:jc w:val="both"/>
        <w:rPr>
          <w:rFonts w:eastAsia="Arial" w:cs="Arial"/>
          <w:sz w:val="22"/>
          <w:szCs w:val="22"/>
        </w:rPr>
      </w:pPr>
      <w:r w:rsidRPr="00322410">
        <w:rPr>
          <w:rFonts w:eastAsia="Arial" w:cs="Arial"/>
          <w:sz w:val="22"/>
          <w:szCs w:val="22"/>
        </w:rPr>
        <w:t xml:space="preserve">Changing </w:t>
      </w:r>
      <w:r w:rsidRPr="00322410" w:rsidR="75581B2D">
        <w:rPr>
          <w:rFonts w:eastAsia="Arial" w:cs="Arial"/>
          <w:sz w:val="22"/>
          <w:szCs w:val="22"/>
        </w:rPr>
        <w:t>1.1b, “Actual ERs purchased by CF as a % of originally committed ERs”, to</w:t>
      </w:r>
      <w:r w:rsidRPr="00322410">
        <w:rPr>
          <w:rFonts w:eastAsia="Arial" w:cs="Arial"/>
          <w:sz w:val="22"/>
          <w:szCs w:val="22"/>
        </w:rPr>
        <w:t xml:space="preserve"> “Volume of ERs monetised, disaggregated by payer types (e.g. CFPs, sovereign countries, non-profit, private sector)</w:t>
      </w:r>
      <w:r w:rsidRPr="00322410" w:rsidR="3776BC1C">
        <w:rPr>
          <w:rFonts w:eastAsia="Arial" w:cs="Arial"/>
          <w:sz w:val="22"/>
          <w:szCs w:val="22"/>
        </w:rPr>
        <w:t>", to provide a more holistic result on the purchase of ERs.</w:t>
      </w:r>
    </w:p>
    <w:p w:rsidRPr="00322410" w:rsidR="71443E8E" w:rsidP="71443E8E" w:rsidRDefault="5B370249" w14:paraId="2057D472" w14:textId="6674AF69">
      <w:pPr>
        <w:jc w:val="both"/>
        <w:rPr>
          <w:rFonts w:cs="Arial"/>
          <w:sz w:val="22"/>
          <w:szCs w:val="22"/>
        </w:rPr>
      </w:pPr>
      <w:r w:rsidRPr="01381038">
        <w:rPr>
          <w:rFonts w:cs="Arial"/>
          <w:sz w:val="22"/>
          <w:szCs w:val="22"/>
        </w:rPr>
        <w:t>Furt</w:t>
      </w:r>
      <w:r w:rsidR="001348C4">
        <w:rPr>
          <w:rFonts w:cs="Arial"/>
          <w:sz w:val="22"/>
          <w:szCs w:val="22"/>
        </w:rPr>
        <w:t>h</w:t>
      </w:r>
      <w:r w:rsidRPr="01381038">
        <w:rPr>
          <w:rFonts w:cs="Arial"/>
          <w:sz w:val="22"/>
          <w:szCs w:val="22"/>
        </w:rPr>
        <w:t>ermore</w:t>
      </w:r>
      <w:r w:rsidRPr="01381038" w:rsidR="2B6E7125">
        <w:rPr>
          <w:rFonts w:cs="Arial"/>
          <w:sz w:val="22"/>
          <w:szCs w:val="22"/>
        </w:rPr>
        <w:t>, R</w:t>
      </w:r>
      <w:r w:rsidRPr="01381038" w:rsidR="4D60E9C9">
        <w:rPr>
          <w:rFonts w:cs="Arial"/>
          <w:sz w:val="22"/>
          <w:szCs w:val="22"/>
        </w:rPr>
        <w:t>ecommendation</w:t>
      </w:r>
      <w:r w:rsidRPr="01381038" w:rsidR="31122175">
        <w:rPr>
          <w:rFonts w:cs="Arial"/>
          <w:sz w:val="22"/>
          <w:szCs w:val="22"/>
        </w:rPr>
        <w:t xml:space="preserve"> </w:t>
      </w:r>
      <w:r w:rsidRPr="01381038" w:rsidR="5F056662">
        <w:rPr>
          <w:rFonts w:cs="Arial"/>
          <w:sz w:val="22"/>
          <w:szCs w:val="22"/>
        </w:rPr>
        <w:t>1</w:t>
      </w:r>
      <w:r w:rsidRPr="01381038" w:rsidR="7DADE071">
        <w:rPr>
          <w:rFonts w:cs="Arial"/>
          <w:sz w:val="22"/>
          <w:szCs w:val="22"/>
        </w:rPr>
        <w:t>d</w:t>
      </w:r>
      <w:r w:rsidRPr="01381038" w:rsidR="4D60E9C9">
        <w:rPr>
          <w:rFonts w:cs="Arial"/>
          <w:sz w:val="22"/>
          <w:szCs w:val="22"/>
        </w:rPr>
        <w:t xml:space="preserve"> </w:t>
      </w:r>
      <w:r w:rsidRPr="01381038" w:rsidR="08673A06">
        <w:rPr>
          <w:rFonts w:cs="Arial"/>
          <w:sz w:val="22"/>
          <w:szCs w:val="22"/>
        </w:rPr>
        <w:t xml:space="preserve">recommends </w:t>
      </w:r>
      <w:r w:rsidRPr="01381038" w:rsidR="4D60E9C9">
        <w:rPr>
          <w:rFonts w:cs="Arial"/>
          <w:sz w:val="22"/>
          <w:szCs w:val="22"/>
        </w:rPr>
        <w:t xml:space="preserve">that </w:t>
      </w:r>
      <w:r w:rsidRPr="01381038" w:rsidR="7CB6C3D7">
        <w:rPr>
          <w:rFonts w:cs="Arial"/>
          <w:sz w:val="22"/>
          <w:szCs w:val="22"/>
        </w:rPr>
        <w:t>DESNZ and the World Bank discuss how to measure third-party purchases of ERs under output indicator 1.1</w:t>
      </w:r>
      <w:r w:rsidRPr="01381038" w:rsidR="4D60E9C9">
        <w:rPr>
          <w:rFonts w:cs="Arial"/>
          <w:sz w:val="22"/>
          <w:szCs w:val="22"/>
        </w:rPr>
        <w:t>.</w:t>
      </w:r>
      <w:r w:rsidRPr="01381038" w:rsidR="7CB6C3D7">
        <w:rPr>
          <w:rFonts w:cs="Arial"/>
          <w:sz w:val="22"/>
          <w:szCs w:val="22"/>
        </w:rPr>
        <w:t xml:space="preserve"> </w:t>
      </w:r>
      <w:r w:rsidRPr="01381038" w:rsidR="5EBC8A61">
        <w:rPr>
          <w:rFonts w:cs="Arial"/>
          <w:sz w:val="22"/>
          <w:szCs w:val="22"/>
        </w:rPr>
        <w:t>This is because this indicator currently only includes ER purchases made by FCPF contributors. As more countries follow in the example of Costa Rica and sell their excess ERs to third-party buyers, it wi</w:t>
      </w:r>
      <w:r w:rsidRPr="01381038" w:rsidR="1B3227E1">
        <w:rPr>
          <w:rFonts w:cs="Arial"/>
          <w:sz w:val="22"/>
          <w:szCs w:val="22"/>
        </w:rPr>
        <w:t>ll be important to ensure that this progress is tracked.</w:t>
      </w:r>
    </w:p>
    <w:p w:rsidRPr="00322410" w:rsidR="0D79A83A" w:rsidP="0D79A83A" w:rsidRDefault="0D79A83A" w14:paraId="7A22F7C1" w14:textId="609FC905">
      <w:pPr>
        <w:jc w:val="both"/>
        <w:rPr>
          <w:rFonts w:cs="Arial"/>
          <w:sz w:val="22"/>
          <w:szCs w:val="22"/>
        </w:rPr>
      </w:pPr>
    </w:p>
    <w:p w:rsidRPr="00322410" w:rsidR="56F6E139" w:rsidP="0D79A83A" w:rsidRDefault="56F6E139" w14:paraId="4AEED214" w14:textId="53A2F61A">
      <w:pPr>
        <w:jc w:val="both"/>
        <w:rPr>
          <w:rFonts w:cs="Arial"/>
          <w:sz w:val="22"/>
          <w:szCs w:val="22"/>
        </w:rPr>
      </w:pPr>
      <w:r w:rsidRPr="01381038">
        <w:rPr>
          <w:rFonts w:cs="Arial"/>
          <w:sz w:val="22"/>
          <w:szCs w:val="22"/>
        </w:rPr>
        <w:t>It is also recommended (R</w:t>
      </w:r>
      <w:r w:rsidRPr="01381038" w:rsidR="73D61C1D">
        <w:rPr>
          <w:rFonts w:cs="Arial"/>
          <w:sz w:val="22"/>
          <w:szCs w:val="22"/>
        </w:rPr>
        <w:t xml:space="preserve">ecommendation 1e) </w:t>
      </w:r>
      <w:r w:rsidRPr="01381038">
        <w:rPr>
          <w:rFonts w:cs="Arial"/>
          <w:sz w:val="22"/>
          <w:szCs w:val="22"/>
        </w:rPr>
        <w:t xml:space="preserve">that DESNZ and the World Bank discuss updating the milestones and EOP target for output indicator 1.2, which measures the number of monitoring reports submitted and verified, </w:t>
      </w:r>
      <w:proofErr w:type="gramStart"/>
      <w:r w:rsidRPr="01381038">
        <w:rPr>
          <w:rFonts w:cs="Arial"/>
          <w:sz w:val="22"/>
          <w:szCs w:val="22"/>
        </w:rPr>
        <w:t>due to the fact that</w:t>
      </w:r>
      <w:proofErr w:type="gramEnd"/>
      <w:r w:rsidRPr="01381038">
        <w:rPr>
          <w:rFonts w:cs="Arial"/>
          <w:sz w:val="22"/>
          <w:szCs w:val="22"/>
        </w:rPr>
        <w:t xml:space="preserve"> some countries are merging reporting period</w:t>
      </w:r>
      <w:r w:rsidRPr="01381038" w:rsidR="2EDDB960">
        <w:rPr>
          <w:rFonts w:cs="Arial"/>
          <w:sz w:val="22"/>
          <w:szCs w:val="22"/>
        </w:rPr>
        <w:t>s</w:t>
      </w:r>
      <w:r w:rsidRPr="01381038">
        <w:rPr>
          <w:rFonts w:cs="Arial"/>
          <w:sz w:val="22"/>
          <w:szCs w:val="22"/>
        </w:rPr>
        <w:t>.</w:t>
      </w:r>
    </w:p>
    <w:p w:rsidRPr="00322410" w:rsidR="13F2195B" w:rsidP="13F2195B" w:rsidRDefault="13F2195B" w14:paraId="1DCF367C" w14:textId="7706A1D7">
      <w:pPr>
        <w:jc w:val="both"/>
        <w:rPr>
          <w:rFonts w:cs="Arial"/>
          <w:sz w:val="22"/>
          <w:szCs w:val="22"/>
        </w:rPr>
      </w:pPr>
    </w:p>
    <w:p w:rsidRPr="00322410" w:rsidR="26CCEAC0" w:rsidP="5B61E021" w:rsidRDefault="26CCEAC0" w14:paraId="5CE0FA27" w14:textId="17DBDED9">
      <w:pPr>
        <w:jc w:val="both"/>
        <w:rPr>
          <w:rFonts w:eastAsia="Arial" w:cs="Arial"/>
          <w:sz w:val="22"/>
          <w:szCs w:val="22"/>
        </w:rPr>
      </w:pPr>
      <w:r w:rsidRPr="00322410">
        <w:rPr>
          <w:rFonts w:cs="Arial"/>
          <w:sz w:val="22"/>
          <w:szCs w:val="22"/>
        </w:rPr>
        <w:t xml:space="preserve">Finally, Recommendation 1f </w:t>
      </w:r>
      <w:r w:rsidRPr="00322410" w:rsidR="0D95B598">
        <w:rPr>
          <w:rFonts w:cs="Arial"/>
          <w:sz w:val="22"/>
          <w:szCs w:val="22"/>
        </w:rPr>
        <w:t xml:space="preserve">recommends that DESNZ and the World Bank review the evidence source for output 1.2. </w:t>
      </w:r>
      <w:r w:rsidRPr="00322410" w:rsidR="0D95B598">
        <w:rPr>
          <w:rFonts w:eastAsia="Arial" w:cs="Arial"/>
          <w:color w:val="000000" w:themeColor="text1"/>
          <w:sz w:val="22"/>
          <w:szCs w:val="22"/>
        </w:rPr>
        <w:t>Currently, this is the World Bank quarterly portfolio reports, which provide the number of monitoring reports concluded and published by 30 June. From RP26 onwards, the World Bank could provide DESNZ with the number of MRs validated and verified by 30 June, but not necessarily with reports concluded and published.</w:t>
      </w:r>
    </w:p>
    <w:p w:rsidRPr="00322410" w:rsidR="33630D93" w:rsidP="33630D93" w:rsidRDefault="33630D93" w14:paraId="48A1D22A" w14:textId="7F52631F">
      <w:pPr>
        <w:jc w:val="both"/>
        <w:rPr>
          <w:rFonts w:cs="Arial"/>
          <w:sz w:val="22"/>
          <w:szCs w:val="22"/>
        </w:rPr>
      </w:pPr>
    </w:p>
    <w:p w:rsidRPr="00322410" w:rsidR="003D222C" w:rsidP="1BF6A0D2" w:rsidRDefault="003D222C" w14:paraId="3AFAD8A8" w14:textId="73F09959">
      <w:pPr>
        <w:jc w:val="both"/>
        <w:rPr>
          <w:rFonts w:cs="Arial"/>
          <w:b/>
          <w:bCs/>
        </w:rPr>
      </w:pPr>
      <w:r w:rsidRPr="00322410">
        <w:rPr>
          <w:b/>
          <w:bCs/>
          <w:i/>
          <w:iCs/>
          <w:sz w:val="28"/>
          <w:szCs w:val="28"/>
        </w:rPr>
        <w:t>Progress on recommendations from the previous AR</w:t>
      </w:r>
      <w:r w:rsidRPr="00322410" w:rsidR="00690170">
        <w:rPr>
          <w:b/>
          <w:bCs/>
          <w:i/>
          <w:iCs/>
          <w:sz w:val="28"/>
          <w:szCs w:val="28"/>
        </w:rPr>
        <w:t xml:space="preserve">, </w:t>
      </w:r>
      <w:r w:rsidRPr="00322410">
        <w:rPr>
          <w:b/>
          <w:bCs/>
          <w:i/>
          <w:iCs/>
          <w:sz w:val="28"/>
          <w:szCs w:val="28"/>
        </w:rPr>
        <w:t>lessons learned this year</w:t>
      </w:r>
      <w:r w:rsidRPr="00322410" w:rsidR="00690170">
        <w:rPr>
          <w:b/>
          <w:bCs/>
          <w:i/>
          <w:iCs/>
          <w:sz w:val="28"/>
          <w:szCs w:val="28"/>
        </w:rPr>
        <w:t>,</w:t>
      </w:r>
      <w:r w:rsidRPr="00322410">
        <w:rPr>
          <w:b/>
          <w:bCs/>
          <w:i/>
          <w:iCs/>
          <w:sz w:val="28"/>
          <w:szCs w:val="28"/>
        </w:rPr>
        <w:t xml:space="preserve"> and recommendations for the year ahead</w:t>
      </w:r>
    </w:p>
    <w:p w:rsidRPr="00322410" w:rsidR="6CBD5AD1" w:rsidP="6CBD5AD1" w:rsidRDefault="6CBD5AD1" w14:paraId="6FA6C9FA" w14:textId="2A48B4B5">
      <w:pPr>
        <w:jc w:val="both"/>
        <w:rPr>
          <w:rFonts w:cs="Arial"/>
          <w:sz w:val="22"/>
          <w:szCs w:val="22"/>
        </w:rPr>
      </w:pPr>
    </w:p>
    <w:p w:rsidRPr="00322410" w:rsidR="60E990EB" w:rsidP="6CBD5AD1" w:rsidRDefault="60E990EB" w14:paraId="35944309" w14:textId="5B739094">
      <w:pPr>
        <w:jc w:val="both"/>
      </w:pPr>
      <w:r w:rsidRPr="00322410">
        <w:rPr>
          <w:rFonts w:cs="Arial"/>
          <w:sz w:val="22"/>
          <w:szCs w:val="22"/>
        </w:rPr>
        <w:t>Of the recommendations from the previous Annual Review, the one relevant to this output recommended that DESNZ revise its logframe to reflect the programme extension until December 2028. As detailed in the previous section, this was actioned.</w:t>
      </w:r>
    </w:p>
    <w:p w:rsidRPr="00322410" w:rsidR="6BCF07D8" w:rsidP="6BCF07D8" w:rsidRDefault="6BCF07D8" w14:paraId="79A18384" w14:textId="270BAB9F">
      <w:pPr>
        <w:jc w:val="both"/>
        <w:rPr>
          <w:rFonts w:cs="Arial"/>
          <w:sz w:val="22"/>
          <w:szCs w:val="22"/>
        </w:rPr>
      </w:pPr>
    </w:p>
    <w:p w:rsidRPr="00322410" w:rsidR="60E990EB" w:rsidP="6BCF07D8" w:rsidRDefault="60E990EB" w14:paraId="6C39F5C1" w14:textId="25663247">
      <w:pPr>
        <w:jc w:val="both"/>
        <w:rPr>
          <w:rFonts w:cs="Arial"/>
          <w:b w:val="1"/>
          <w:bCs w:val="1"/>
          <w:sz w:val="22"/>
          <w:szCs w:val="22"/>
        </w:rPr>
      </w:pPr>
      <w:r w:rsidRPr="2C0DF5FE" w:rsidR="60E990EB">
        <w:rPr>
          <w:rFonts w:cs="Arial"/>
          <w:b w:val="1"/>
          <w:bCs w:val="1"/>
          <w:sz w:val="22"/>
          <w:szCs w:val="22"/>
        </w:rPr>
        <w:t>Recommendations for the year ahead</w:t>
      </w:r>
    </w:p>
    <w:p w:rsidRPr="00322410" w:rsidR="6BCF07D8" w:rsidP="6BCF07D8" w:rsidRDefault="6BCF07D8" w14:paraId="1CD76930" w14:textId="2328276A">
      <w:pPr>
        <w:jc w:val="both"/>
        <w:rPr>
          <w:rFonts w:cs="Arial"/>
          <w:sz w:val="22"/>
          <w:szCs w:val="22"/>
        </w:rPr>
      </w:pPr>
    </w:p>
    <w:p w:rsidRPr="00322410" w:rsidR="6BCF07D8" w:rsidP="17CB164E" w:rsidRDefault="58D5694F" w14:paraId="472B34D2" w14:textId="14A1D56B">
      <w:pPr>
        <w:rPr>
          <w:rFonts w:eastAsia="Arial" w:cs="Arial"/>
          <w:color w:val="000000" w:themeColor="text1"/>
          <w:sz w:val="22"/>
          <w:szCs w:val="22"/>
        </w:rPr>
      </w:pPr>
      <w:r w:rsidRPr="00322410">
        <w:rPr>
          <w:rFonts w:eastAsia="Arial" w:cs="Arial"/>
          <w:color w:val="000000" w:themeColor="text1"/>
          <w:sz w:val="22"/>
          <w:szCs w:val="22"/>
        </w:rPr>
        <w:t>Recommendation 1: DESNZ and World Bank to update their logframes:</w:t>
      </w:r>
    </w:p>
    <w:p w:rsidRPr="00322410" w:rsidR="000F5B24" w:rsidP="000F5B24" w:rsidRDefault="58D5694F" w14:paraId="0C148E20" w14:textId="7CE92A64">
      <w:pPr>
        <w:pStyle w:val="ListParagraph"/>
        <w:numPr>
          <w:ilvl w:val="0"/>
          <w:numId w:val="9"/>
        </w:numPr>
        <w:rPr>
          <w:rFonts w:eastAsia="Arial" w:cs="Arial"/>
          <w:color w:val="000000" w:themeColor="text1"/>
          <w:sz w:val="22"/>
          <w:szCs w:val="22"/>
        </w:rPr>
      </w:pPr>
      <w:r w:rsidRPr="00322410">
        <w:rPr>
          <w:rFonts w:eastAsia="Arial" w:cs="Arial"/>
          <w:color w:val="000000" w:themeColor="text1"/>
          <w:sz w:val="22"/>
          <w:szCs w:val="22"/>
        </w:rPr>
        <w:t xml:space="preserve">DESNZ to update output indicator 1.1, “a) </w:t>
      </w:r>
      <w:proofErr w:type="gramStart"/>
      <w:r w:rsidRPr="00322410">
        <w:rPr>
          <w:rFonts w:eastAsia="Arial" w:cs="Arial"/>
          <w:color w:val="000000" w:themeColor="text1"/>
          <w:sz w:val="22"/>
          <w:szCs w:val="22"/>
        </w:rPr>
        <w:t>Amount</w:t>
      </w:r>
      <w:proofErr w:type="gramEnd"/>
      <w:r w:rsidRPr="00322410">
        <w:rPr>
          <w:rFonts w:eastAsia="Arial" w:cs="Arial"/>
          <w:color w:val="000000" w:themeColor="text1"/>
          <w:sz w:val="22"/>
          <w:szCs w:val="22"/>
        </w:rPr>
        <w:t xml:space="preserve"> of disbursements for ER payments and b) actual ERs purchased by CF as % of originally committed ERs”, to “Volume of ERs monetised, disaggregated by payer types (e.g. CFPs, sovereign countries, non-profit, private sector)."</w:t>
      </w:r>
    </w:p>
    <w:p w:rsidRPr="00322410" w:rsidR="000F5B24" w:rsidP="000F5B24" w:rsidRDefault="58D5694F" w14:paraId="561C8E9B" w14:textId="5735C0DD">
      <w:pPr>
        <w:pStyle w:val="ListParagraph"/>
        <w:numPr>
          <w:ilvl w:val="0"/>
          <w:numId w:val="9"/>
        </w:numPr>
        <w:rPr>
          <w:rFonts w:eastAsia="Arial" w:cs="Arial"/>
          <w:color w:val="000000" w:themeColor="text1"/>
          <w:sz w:val="22"/>
          <w:szCs w:val="22"/>
        </w:rPr>
      </w:pPr>
      <w:r w:rsidRPr="00322410">
        <w:rPr>
          <w:rFonts w:eastAsia="Arial" w:cs="Arial"/>
          <w:color w:val="000000" w:themeColor="text1"/>
          <w:sz w:val="22"/>
          <w:szCs w:val="22"/>
        </w:rPr>
        <w:t>DESNZ and World Bank to discuss how to measure third-party purchases of ERs under output indicator 1.1.</w:t>
      </w:r>
    </w:p>
    <w:p w:rsidRPr="00322410" w:rsidR="000F5B24" w:rsidP="000F5B24" w:rsidRDefault="58D5694F" w14:paraId="721D54A3" w14:textId="2ED5FCC3">
      <w:pPr>
        <w:pStyle w:val="ListParagraph"/>
        <w:numPr>
          <w:ilvl w:val="0"/>
          <w:numId w:val="9"/>
        </w:numPr>
        <w:rPr>
          <w:rFonts w:eastAsia="Arial" w:cs="Arial"/>
          <w:color w:val="000000" w:themeColor="text1"/>
          <w:sz w:val="22"/>
          <w:szCs w:val="22"/>
        </w:rPr>
      </w:pPr>
      <w:r w:rsidRPr="00322410">
        <w:rPr>
          <w:rFonts w:eastAsia="Arial" w:cs="Arial"/>
          <w:color w:val="000000" w:themeColor="text1"/>
          <w:sz w:val="22"/>
          <w:szCs w:val="22"/>
        </w:rPr>
        <w:t xml:space="preserve">DESNZ and World Bank to discuss updating the milestones for output indicator 1.2, “Efficient implementation of ER programmes”, </w:t>
      </w:r>
      <w:proofErr w:type="gramStart"/>
      <w:r w:rsidRPr="00322410">
        <w:rPr>
          <w:rFonts w:eastAsia="Arial" w:cs="Arial"/>
          <w:color w:val="000000" w:themeColor="text1"/>
          <w:sz w:val="22"/>
          <w:szCs w:val="22"/>
        </w:rPr>
        <w:t>due to the fact that</w:t>
      </w:r>
      <w:proofErr w:type="gramEnd"/>
      <w:r w:rsidRPr="00322410">
        <w:rPr>
          <w:rFonts w:eastAsia="Arial" w:cs="Arial"/>
          <w:color w:val="000000" w:themeColor="text1"/>
          <w:sz w:val="22"/>
          <w:szCs w:val="22"/>
        </w:rPr>
        <w:t xml:space="preserve"> some countries are merging reporting periods.</w:t>
      </w:r>
    </w:p>
    <w:p w:rsidRPr="00322410" w:rsidR="6BCF07D8" w:rsidP="000F5B24" w:rsidRDefault="58D5694F" w14:paraId="7E8F89D7" w14:textId="667A83A8">
      <w:pPr>
        <w:pStyle w:val="ListParagraph"/>
        <w:numPr>
          <w:ilvl w:val="0"/>
          <w:numId w:val="9"/>
        </w:numPr>
        <w:rPr>
          <w:rFonts w:eastAsia="Arial" w:cs="Arial"/>
          <w:color w:val="000000" w:themeColor="text1"/>
          <w:sz w:val="22"/>
          <w:szCs w:val="22"/>
        </w:rPr>
      </w:pPr>
      <w:r w:rsidRPr="00322410">
        <w:rPr>
          <w:rFonts w:eastAsia="Arial" w:cs="Arial"/>
          <w:color w:val="000000" w:themeColor="text1"/>
          <w:sz w:val="22"/>
          <w:szCs w:val="22"/>
        </w:rPr>
        <w:t>DESNZ and World Bank to review the evidence source for output indicator 1.2 so that monitoring reports that have been validated and verified, but not necessarily published, can be included in the result.</w:t>
      </w:r>
    </w:p>
    <w:p w:rsidRPr="00322410" w:rsidR="009604B3" w:rsidP="009604B3" w:rsidRDefault="009604B3" w14:paraId="184D06C5" w14:textId="4D19E3F9">
      <w:pPr>
        <w:rPr>
          <w:rFonts w:eastAsia="Arial" w:cs="Arial"/>
          <w:color w:val="000000" w:themeColor="text1"/>
          <w:sz w:val="22"/>
          <w:szCs w:val="22"/>
        </w:rPr>
      </w:pPr>
      <w:r w:rsidRPr="00322410">
        <w:rPr>
          <w:rFonts w:eastAsia="Arial" w:cs="Arial"/>
          <w:color w:val="000000" w:themeColor="text1"/>
          <w:sz w:val="22"/>
          <w:szCs w:val="22"/>
        </w:rPr>
        <w:t>Recommendation 5: World Bank and contributors to implement an action plan to ensure full CORSIA phase 1 eligibility is secured. </w:t>
      </w:r>
    </w:p>
    <w:p w:rsidRPr="00322410" w:rsidR="009C1C34" w:rsidP="009604B3" w:rsidRDefault="009C1C34" w14:paraId="4D085DB3" w14:textId="77777777">
      <w:pPr>
        <w:rPr>
          <w:rFonts w:eastAsia="Arial" w:cs="Arial"/>
          <w:color w:val="000000" w:themeColor="text1"/>
          <w:sz w:val="22"/>
          <w:szCs w:val="22"/>
        </w:rPr>
      </w:pPr>
    </w:p>
    <w:p w:rsidRPr="00322410" w:rsidR="009C1C34" w:rsidP="009604B3" w:rsidRDefault="009C1C34" w14:paraId="6978DEE0" w14:textId="39EE4CB5">
      <w:pPr>
        <w:rPr>
          <w:rFonts w:eastAsia="Arial" w:cs="Arial"/>
          <w:color w:val="000000" w:themeColor="text1"/>
          <w:sz w:val="22"/>
          <w:szCs w:val="22"/>
        </w:rPr>
      </w:pPr>
      <w:r w:rsidRPr="00322410">
        <w:rPr>
          <w:rFonts w:eastAsia="Arial" w:cs="Arial"/>
          <w:color w:val="000000" w:themeColor="text1"/>
          <w:sz w:val="22"/>
          <w:szCs w:val="22"/>
        </w:rPr>
        <w:t>Recommendation 6: World Bank to continue work to engage potential third-party buyers of FCPF credits. </w:t>
      </w:r>
    </w:p>
    <w:p w:rsidRPr="00322410" w:rsidR="004238F1" w:rsidP="009604B3" w:rsidRDefault="004238F1" w14:paraId="4B9DAF33" w14:textId="77777777">
      <w:pPr>
        <w:rPr>
          <w:rFonts w:eastAsia="Arial" w:cs="Arial"/>
          <w:color w:val="000000" w:themeColor="text1"/>
          <w:sz w:val="22"/>
          <w:szCs w:val="22"/>
        </w:rPr>
      </w:pPr>
    </w:p>
    <w:p w:rsidRPr="00322410" w:rsidR="004238F1" w:rsidP="009604B3" w:rsidRDefault="004238F1" w14:paraId="554ADFF1" w14:textId="74BC34DD">
      <w:pPr>
        <w:rPr>
          <w:rFonts w:eastAsia="Arial" w:cs="Arial"/>
          <w:color w:val="000000" w:themeColor="text1"/>
          <w:sz w:val="22"/>
          <w:szCs w:val="22"/>
        </w:rPr>
      </w:pPr>
      <w:r w:rsidRPr="00322410">
        <w:rPr>
          <w:rFonts w:eastAsia="Arial" w:cs="Arial"/>
          <w:color w:val="000000" w:themeColor="text1"/>
          <w:sz w:val="22"/>
          <w:szCs w:val="22"/>
        </w:rPr>
        <w:t>Recommendation 7: World Bank to provide information on expected total ER payments and underspend at end of programme. UK to consider how to manage anticipated unspent funds. </w:t>
      </w:r>
    </w:p>
    <w:p w:rsidRPr="00322410" w:rsidR="6BCF07D8" w:rsidP="6BCF07D8" w:rsidRDefault="6BCF07D8" w14:paraId="462376B1" w14:textId="49A00A50">
      <w:pPr>
        <w:jc w:val="both"/>
        <w:rPr>
          <w:rFonts w:cs="Arial"/>
          <w:sz w:val="22"/>
          <w:szCs w:val="22"/>
        </w:rPr>
      </w:pPr>
    </w:p>
    <w:p w:rsidRPr="00322410" w:rsidR="004A367B" w:rsidP="19565543" w:rsidRDefault="004A367B" w14:paraId="5AFD1BED" w14:textId="42140892">
      <w:r w:rsidRPr="00322410">
        <w:br w:type="page"/>
      </w:r>
    </w:p>
    <w:p w:rsidRPr="00322410" w:rsidR="004A367B" w:rsidP="004D5FD5" w:rsidRDefault="004A367B" w14:paraId="6F13DE51" w14:textId="4477F558">
      <w:pPr>
        <w:pStyle w:val="Heading2"/>
        <w:jc w:val="both"/>
      </w:pPr>
      <w:bookmarkStart w:name="_Toc219130986" w:id="67"/>
      <w:r w:rsidRPr="00322410">
        <w:t xml:space="preserve">Output 2: </w:t>
      </w:r>
      <w:r w:rsidRPr="00322410" w:rsidR="390D29DF">
        <w:t>Countries implement programmes that conserve biodiversity and contribute positively to local socio-economic development</w:t>
      </w:r>
      <w:r w:rsidRPr="00322410" w:rsidR="143D7155">
        <w:t>, as well as generating emission reductions.</w:t>
      </w:r>
      <w:bookmarkEnd w:id="67"/>
    </w:p>
    <w:p w:rsidRPr="00322410" w:rsidR="00691842" w:rsidP="00691842" w:rsidRDefault="00691842" w14:paraId="6614CA3C" w14:textId="77777777"/>
    <w:tbl>
      <w:tblPr>
        <w:tblStyle w:val="TableGrid"/>
        <w:tblW w:w="9072" w:type="dxa"/>
        <w:tblInd w:w="-5" w:type="dxa"/>
        <w:tblLook w:val="04A0" w:firstRow="1" w:lastRow="0" w:firstColumn="1" w:lastColumn="0" w:noHBand="0" w:noVBand="1"/>
      </w:tblPr>
      <w:tblGrid>
        <w:gridCol w:w="1566"/>
        <w:gridCol w:w="345"/>
        <w:gridCol w:w="1208"/>
        <w:gridCol w:w="2977"/>
        <w:gridCol w:w="2976"/>
      </w:tblGrid>
      <w:tr w:rsidRPr="00322410" w:rsidR="00691842" w:rsidTr="2C0DF5FE" w14:paraId="41CE7F22" w14:textId="77777777">
        <w:trPr>
          <w:trHeight w:val="330"/>
        </w:trPr>
        <w:tc>
          <w:tcPr>
            <w:tcW w:w="1566" w:type="dxa"/>
            <w:tcBorders>
              <w:top w:val="single" w:color="auto" w:sz="4" w:space="0"/>
              <w:left w:val="single" w:color="auto" w:sz="4" w:space="0"/>
              <w:bottom w:val="single" w:color="auto" w:sz="4" w:space="0"/>
              <w:right w:val="single" w:color="auto" w:sz="4" w:space="0"/>
            </w:tcBorders>
            <w:shd w:val="clear" w:color="auto" w:fill="DEEAF6" w:themeFill="accent5" w:themeFillTint="33"/>
            <w:tcMar/>
            <w:hideMark/>
          </w:tcPr>
          <w:p w:rsidRPr="00322410" w:rsidR="00691842" w:rsidRDefault="00691842" w14:paraId="7057EFC7" w14:textId="77777777">
            <w:pPr>
              <w:jc w:val="both"/>
              <w:rPr>
                <w:rFonts w:cs="Arial"/>
                <w:b/>
                <w:bCs/>
                <w:sz w:val="22"/>
                <w:szCs w:val="22"/>
              </w:rPr>
            </w:pPr>
            <w:r w:rsidRPr="00322410">
              <w:rPr>
                <w:rFonts w:cs="Arial"/>
                <w:b/>
                <w:bCs/>
                <w:sz w:val="22"/>
                <w:szCs w:val="22"/>
              </w:rPr>
              <w:t xml:space="preserve">Output Title </w:t>
            </w:r>
          </w:p>
        </w:tc>
        <w:tc>
          <w:tcPr>
            <w:tcW w:w="7506" w:type="dxa"/>
            <w:gridSpan w:val="4"/>
            <w:tcBorders>
              <w:top w:val="single" w:color="auto" w:sz="4" w:space="0"/>
              <w:left w:val="single" w:color="auto" w:sz="4" w:space="0"/>
              <w:bottom w:val="single" w:color="auto" w:sz="4" w:space="0"/>
              <w:right w:val="single" w:color="auto" w:sz="4" w:space="0"/>
            </w:tcBorders>
            <w:shd w:val="clear" w:color="auto" w:fill="FFFFFF" w:themeFill="background1"/>
            <w:tcMar/>
          </w:tcPr>
          <w:p w:rsidRPr="00322410" w:rsidR="00691842" w:rsidP="23F6F8B6" w:rsidRDefault="1B45DD27" w14:paraId="78968739" w14:textId="504CED58">
            <w:pPr>
              <w:jc w:val="both"/>
              <w:rPr>
                <w:rFonts w:cs="Arial"/>
                <w:sz w:val="22"/>
                <w:szCs w:val="22"/>
              </w:rPr>
            </w:pPr>
            <w:r w:rsidRPr="00322410">
              <w:rPr>
                <w:rFonts w:cs="Arial"/>
                <w:sz w:val="22"/>
                <w:szCs w:val="22"/>
              </w:rPr>
              <w:t>C</w:t>
            </w:r>
            <w:r w:rsidRPr="00322410" w:rsidR="41EB1EB8">
              <w:rPr>
                <w:rFonts w:cs="Arial"/>
                <w:sz w:val="22"/>
                <w:szCs w:val="22"/>
              </w:rPr>
              <w:t>ountries implement programmes that conserve biodiversity and contribute positively to local socio-economic development, as well as generating emission reductions.</w:t>
            </w:r>
          </w:p>
        </w:tc>
      </w:tr>
      <w:tr w:rsidRPr="00322410" w:rsidR="00691842" w:rsidTr="2C0DF5FE" w14:paraId="1A461D66" w14:textId="77777777">
        <w:trPr>
          <w:trHeight w:val="347"/>
        </w:trPr>
        <w:tc>
          <w:tcPr>
            <w:tcW w:w="1911"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hideMark/>
          </w:tcPr>
          <w:p w:rsidRPr="00322410" w:rsidR="00691842" w:rsidRDefault="00691842" w14:paraId="29F004B5" w14:textId="77777777">
            <w:pPr>
              <w:jc w:val="both"/>
              <w:rPr>
                <w:rFonts w:cs="Arial"/>
                <w:bCs/>
                <w:sz w:val="22"/>
                <w:szCs w:val="22"/>
              </w:rPr>
            </w:pPr>
            <w:r w:rsidRPr="00322410">
              <w:rPr>
                <w:rFonts w:cs="Arial"/>
                <w:bCs/>
                <w:sz w:val="22"/>
                <w:szCs w:val="22"/>
              </w:rPr>
              <w:t xml:space="preserve">Output number: </w:t>
            </w:r>
          </w:p>
        </w:tc>
        <w:tc>
          <w:tcPr>
            <w:tcW w:w="1208" w:type="dxa"/>
            <w:tcBorders>
              <w:top w:val="single" w:color="auto" w:sz="4" w:space="0"/>
              <w:left w:val="single" w:color="auto" w:sz="4" w:space="0"/>
              <w:bottom w:val="single" w:color="auto" w:sz="4" w:space="0"/>
              <w:right w:val="single" w:color="auto" w:sz="4" w:space="0"/>
            </w:tcBorders>
            <w:tcMar/>
          </w:tcPr>
          <w:p w:rsidRPr="00322410" w:rsidR="00691842" w:rsidRDefault="6C8BC92B" w14:paraId="77F166EC" w14:textId="4E588422">
            <w:pPr>
              <w:jc w:val="both"/>
              <w:rPr>
                <w:rFonts w:cs="Arial"/>
                <w:sz w:val="22"/>
                <w:szCs w:val="22"/>
              </w:rPr>
            </w:pPr>
            <w:r w:rsidRPr="00322410">
              <w:rPr>
                <w:rFonts w:cs="Arial"/>
                <w:sz w:val="22"/>
                <w:szCs w:val="22"/>
              </w:rPr>
              <w:t>2</w:t>
            </w:r>
          </w:p>
        </w:tc>
        <w:tc>
          <w:tcPr>
            <w:tcW w:w="2977" w:type="dxa"/>
            <w:tcBorders>
              <w:top w:val="single" w:color="auto" w:sz="4" w:space="0"/>
              <w:left w:val="single" w:color="auto" w:sz="4" w:space="0"/>
              <w:bottom w:val="single" w:color="auto" w:sz="4" w:space="0"/>
              <w:right w:val="single" w:color="auto" w:sz="4" w:space="0"/>
            </w:tcBorders>
            <w:shd w:val="clear" w:color="auto" w:fill="DEEAF6" w:themeFill="accent5" w:themeFillTint="33"/>
            <w:tcMar/>
            <w:hideMark/>
          </w:tcPr>
          <w:p w:rsidRPr="00322410" w:rsidR="00691842" w:rsidRDefault="00691842" w14:paraId="03065D68" w14:textId="77777777">
            <w:pPr>
              <w:jc w:val="both"/>
              <w:rPr>
                <w:rFonts w:cs="Arial"/>
                <w:sz w:val="22"/>
                <w:szCs w:val="22"/>
              </w:rPr>
            </w:pPr>
            <w:r w:rsidRPr="00322410">
              <w:rPr>
                <w:rFonts w:cs="Arial"/>
                <w:bCs/>
                <w:sz w:val="22"/>
                <w:szCs w:val="22"/>
              </w:rPr>
              <w:t xml:space="preserve">Output Score: </w:t>
            </w:r>
          </w:p>
        </w:tc>
        <w:tc>
          <w:tcPr>
            <w:tcW w:w="2976" w:type="dxa"/>
            <w:tcBorders>
              <w:top w:val="single" w:color="auto" w:sz="4" w:space="0"/>
              <w:left w:val="single" w:color="auto" w:sz="4" w:space="0"/>
              <w:bottom w:val="single" w:color="auto" w:sz="4" w:space="0"/>
              <w:right w:val="single" w:color="auto" w:sz="4" w:space="0"/>
            </w:tcBorders>
            <w:tcMar/>
          </w:tcPr>
          <w:p w:rsidRPr="00322410" w:rsidR="00691842" w:rsidP="4983EC82" w:rsidRDefault="7D622E65" w14:paraId="263A0106" w14:textId="071FA3F4">
            <w:pPr>
              <w:jc w:val="both"/>
              <w:rPr>
                <w:rFonts w:cs="Arial"/>
                <w:sz w:val="22"/>
                <w:szCs w:val="22"/>
              </w:rPr>
            </w:pPr>
            <w:r w:rsidRPr="2C0DF5FE" w:rsidR="7D622E65">
              <w:rPr>
                <w:rFonts w:cs="Arial"/>
                <w:sz w:val="22"/>
                <w:szCs w:val="22"/>
              </w:rPr>
              <w:t>A</w:t>
            </w:r>
          </w:p>
        </w:tc>
      </w:tr>
      <w:tr w:rsidRPr="00322410" w:rsidR="00691842" w:rsidTr="2C0DF5FE" w14:paraId="08DC1373" w14:textId="77777777">
        <w:trPr>
          <w:trHeight w:val="345"/>
        </w:trPr>
        <w:tc>
          <w:tcPr>
            <w:tcW w:w="1911"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hideMark/>
          </w:tcPr>
          <w:p w:rsidRPr="00322410" w:rsidR="00691842" w:rsidRDefault="00691842" w14:paraId="0EE290D9" w14:textId="77777777">
            <w:pPr>
              <w:jc w:val="both"/>
              <w:rPr>
                <w:rFonts w:cs="Arial"/>
                <w:sz w:val="22"/>
                <w:szCs w:val="22"/>
              </w:rPr>
            </w:pPr>
            <w:r w:rsidRPr="00322410">
              <w:rPr>
                <w:rFonts w:cs="Arial"/>
                <w:bCs/>
                <w:sz w:val="22"/>
                <w:szCs w:val="22"/>
              </w:rPr>
              <w:t xml:space="preserve">Impact weighting (%):  </w:t>
            </w:r>
          </w:p>
        </w:tc>
        <w:tc>
          <w:tcPr>
            <w:tcW w:w="1208" w:type="dxa"/>
            <w:tcBorders>
              <w:top w:val="single" w:color="auto" w:sz="4" w:space="0"/>
              <w:left w:val="single" w:color="auto" w:sz="4" w:space="0"/>
              <w:bottom w:val="single" w:color="auto" w:sz="4" w:space="0"/>
              <w:right w:val="single" w:color="auto" w:sz="4" w:space="0"/>
            </w:tcBorders>
            <w:tcMar/>
            <w:hideMark/>
          </w:tcPr>
          <w:p w:rsidRPr="00322410" w:rsidR="00691842" w:rsidP="1A5A1D96" w:rsidRDefault="0B277F43" w14:paraId="24DB908D" w14:textId="57BBDD3A">
            <w:pPr>
              <w:jc w:val="both"/>
              <w:rPr>
                <w:rFonts w:cs="Arial"/>
                <w:sz w:val="22"/>
                <w:szCs w:val="22"/>
              </w:rPr>
            </w:pPr>
            <w:r w:rsidRPr="00322410">
              <w:rPr>
                <w:rFonts w:cs="Arial"/>
                <w:sz w:val="22"/>
                <w:szCs w:val="22"/>
              </w:rPr>
              <w:t>50</w:t>
            </w:r>
          </w:p>
        </w:tc>
        <w:tc>
          <w:tcPr>
            <w:tcW w:w="2977" w:type="dxa"/>
            <w:tcBorders>
              <w:top w:val="single" w:color="auto" w:sz="4" w:space="0"/>
              <w:left w:val="single" w:color="auto" w:sz="4" w:space="0"/>
              <w:bottom w:val="single" w:color="auto" w:sz="4" w:space="0"/>
              <w:right w:val="single" w:color="auto" w:sz="4" w:space="0"/>
            </w:tcBorders>
            <w:shd w:val="clear" w:color="auto" w:fill="DEEAF6" w:themeFill="accent5" w:themeFillTint="33"/>
            <w:tcMar/>
            <w:hideMark/>
          </w:tcPr>
          <w:p w:rsidRPr="00322410" w:rsidR="00691842" w:rsidRDefault="00691842" w14:paraId="16454226" w14:textId="77777777">
            <w:pPr>
              <w:jc w:val="both"/>
              <w:rPr>
                <w:rFonts w:cs="Arial"/>
                <w:bCs/>
                <w:sz w:val="22"/>
                <w:szCs w:val="22"/>
              </w:rPr>
            </w:pPr>
            <w:r w:rsidRPr="00322410">
              <w:rPr>
                <w:rFonts w:cs="Arial"/>
                <w:bCs/>
                <w:sz w:val="22"/>
                <w:szCs w:val="22"/>
              </w:rPr>
              <w:t xml:space="preserve">Weighting revised since last </w:t>
            </w:r>
            <w:proofErr w:type="gramStart"/>
            <w:r w:rsidRPr="00322410">
              <w:rPr>
                <w:rFonts w:cs="Arial"/>
                <w:bCs/>
                <w:sz w:val="22"/>
                <w:szCs w:val="22"/>
              </w:rPr>
              <w:t>AR?</w:t>
            </w:r>
            <w:proofErr w:type="gramEnd"/>
            <w:r w:rsidRPr="00322410">
              <w:rPr>
                <w:rFonts w:cs="Arial"/>
                <w:bCs/>
                <w:sz w:val="22"/>
                <w:szCs w:val="22"/>
              </w:rPr>
              <w:t xml:space="preserve"> </w:t>
            </w:r>
          </w:p>
        </w:tc>
        <w:tc>
          <w:tcPr>
            <w:tcW w:w="2976" w:type="dxa"/>
            <w:tcBorders>
              <w:top w:val="single" w:color="auto" w:sz="4" w:space="0"/>
              <w:left w:val="single" w:color="auto" w:sz="4" w:space="0"/>
              <w:bottom w:val="single" w:color="auto" w:sz="4" w:space="0"/>
              <w:right w:val="single" w:color="auto" w:sz="4" w:space="0"/>
            </w:tcBorders>
            <w:tcMar/>
          </w:tcPr>
          <w:p w:rsidRPr="00322410" w:rsidR="00691842" w:rsidP="1A5A1D96" w:rsidRDefault="1C4B8D7F" w14:paraId="7A0765DF" w14:textId="140C240A">
            <w:pPr>
              <w:jc w:val="both"/>
              <w:rPr>
                <w:rFonts w:cs="Arial"/>
                <w:sz w:val="22"/>
                <w:szCs w:val="22"/>
              </w:rPr>
            </w:pPr>
            <w:r w:rsidRPr="00322410">
              <w:rPr>
                <w:rFonts w:cs="Arial"/>
                <w:sz w:val="22"/>
                <w:szCs w:val="22"/>
              </w:rPr>
              <w:t>No</w:t>
            </w:r>
          </w:p>
        </w:tc>
      </w:tr>
      <w:tr w:rsidRPr="00322410" w:rsidR="00691842" w:rsidTr="2C0DF5FE" w14:paraId="2D4E6664" w14:textId="77777777">
        <w:trPr>
          <w:trHeight w:val="345"/>
        </w:trPr>
        <w:tc>
          <w:tcPr>
            <w:tcW w:w="1911"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tcPr>
          <w:p w:rsidRPr="00322410" w:rsidR="00691842" w:rsidRDefault="00691842" w14:paraId="7DE2EAEE" w14:textId="5122F178">
            <w:pPr>
              <w:jc w:val="both"/>
              <w:rPr>
                <w:rFonts w:cs="Arial"/>
                <w:bCs/>
                <w:sz w:val="22"/>
                <w:szCs w:val="22"/>
              </w:rPr>
            </w:pPr>
            <w:r w:rsidRPr="00322410">
              <w:rPr>
                <w:rFonts w:cs="Arial"/>
                <w:bCs/>
                <w:sz w:val="22"/>
                <w:szCs w:val="22"/>
              </w:rPr>
              <w:t>Risk rating</w:t>
            </w:r>
            <w:r w:rsidRPr="00322410" w:rsidR="00DB3B57">
              <w:rPr>
                <w:rFonts w:cs="Arial"/>
                <w:bCs/>
                <w:sz w:val="22"/>
                <w:szCs w:val="22"/>
              </w:rPr>
              <w:t>:</w:t>
            </w:r>
          </w:p>
        </w:tc>
        <w:tc>
          <w:tcPr>
            <w:tcW w:w="1208" w:type="dxa"/>
            <w:tcBorders>
              <w:top w:val="single" w:color="auto" w:sz="4" w:space="0"/>
              <w:left w:val="single" w:color="auto" w:sz="4" w:space="0"/>
              <w:bottom w:val="single" w:color="auto" w:sz="4" w:space="0"/>
              <w:right w:val="single" w:color="auto" w:sz="4" w:space="0"/>
            </w:tcBorders>
            <w:tcMar/>
          </w:tcPr>
          <w:p w:rsidRPr="00322410" w:rsidR="00691842" w:rsidP="2F2CB8E1" w:rsidRDefault="3B3806A6" w14:paraId="055BA998" w14:textId="53E7C128">
            <w:pPr>
              <w:jc w:val="both"/>
              <w:rPr>
                <w:rFonts w:cs="Arial"/>
                <w:sz w:val="22"/>
                <w:szCs w:val="22"/>
              </w:rPr>
            </w:pPr>
            <w:r w:rsidRPr="00322410">
              <w:rPr>
                <w:rFonts w:cs="Arial"/>
                <w:sz w:val="22"/>
                <w:szCs w:val="22"/>
              </w:rPr>
              <w:t>Moderate</w:t>
            </w:r>
          </w:p>
        </w:tc>
        <w:tc>
          <w:tcPr>
            <w:tcW w:w="2977" w:type="dxa"/>
            <w:tcBorders>
              <w:top w:val="single" w:color="auto" w:sz="4" w:space="0"/>
              <w:left w:val="single" w:color="auto" w:sz="4" w:space="0"/>
              <w:bottom w:val="single" w:color="auto" w:sz="4" w:space="0"/>
              <w:right w:val="single" w:color="auto" w:sz="4" w:space="0"/>
            </w:tcBorders>
            <w:shd w:val="clear" w:color="auto" w:fill="DEEAF6" w:themeFill="accent5" w:themeFillTint="33"/>
            <w:tcMar/>
          </w:tcPr>
          <w:p w:rsidRPr="00322410" w:rsidR="00691842" w:rsidRDefault="00691842" w14:paraId="2885ECE2" w14:textId="77777777">
            <w:pPr>
              <w:jc w:val="both"/>
              <w:rPr>
                <w:rFonts w:cs="Arial"/>
                <w:bCs/>
                <w:sz w:val="22"/>
                <w:szCs w:val="22"/>
              </w:rPr>
            </w:pPr>
            <w:r w:rsidRPr="00322410">
              <w:rPr>
                <w:rFonts w:cs="Arial"/>
                <w:bCs/>
                <w:sz w:val="22"/>
                <w:szCs w:val="22"/>
              </w:rPr>
              <w:t>Risk revised since last AR?</w:t>
            </w:r>
          </w:p>
        </w:tc>
        <w:tc>
          <w:tcPr>
            <w:tcW w:w="2976" w:type="dxa"/>
            <w:tcBorders>
              <w:top w:val="single" w:color="auto" w:sz="4" w:space="0"/>
              <w:left w:val="single" w:color="auto" w:sz="4" w:space="0"/>
              <w:bottom w:val="single" w:color="auto" w:sz="4" w:space="0"/>
              <w:right w:val="single" w:color="auto" w:sz="4" w:space="0"/>
            </w:tcBorders>
            <w:tcMar/>
          </w:tcPr>
          <w:p w:rsidRPr="00322410" w:rsidR="00691842" w:rsidP="2F2CB8E1" w:rsidRDefault="39CA3E5F" w14:paraId="34DD6A93" w14:textId="4AB19A09">
            <w:pPr>
              <w:jc w:val="both"/>
              <w:rPr>
                <w:rFonts w:cs="Arial"/>
                <w:sz w:val="22"/>
                <w:szCs w:val="22"/>
              </w:rPr>
            </w:pPr>
            <w:r w:rsidRPr="00322410">
              <w:rPr>
                <w:rFonts w:cs="Arial"/>
                <w:sz w:val="22"/>
                <w:szCs w:val="22"/>
              </w:rPr>
              <w:t>No</w:t>
            </w:r>
          </w:p>
        </w:tc>
      </w:tr>
    </w:tbl>
    <w:p w:rsidRPr="00322410" w:rsidR="00691842" w:rsidP="00691842" w:rsidRDefault="00691842" w14:paraId="33BACDC4" w14:textId="77777777">
      <w:pPr>
        <w:jc w:val="both"/>
        <w:rPr>
          <w:rFonts w:cs="Arial"/>
          <w:b/>
          <w:sz w:val="22"/>
          <w:szCs w:val="22"/>
        </w:rPr>
      </w:pPr>
    </w:p>
    <w:tbl>
      <w:tblPr>
        <w:tblStyle w:val="TableGrid"/>
        <w:tblpPr w:leftFromText="180" w:rightFromText="180" w:vertAnchor="text" w:horzAnchor="page" w:tblpX="1462" w:tblpY="-10"/>
        <w:tblOverlap w:val="never"/>
        <w:tblW w:w="9067" w:type="dxa"/>
        <w:tblLook w:val="04A0" w:firstRow="1" w:lastRow="0" w:firstColumn="1" w:lastColumn="0" w:noHBand="0" w:noVBand="1"/>
      </w:tblPr>
      <w:tblGrid>
        <w:gridCol w:w="2562"/>
        <w:gridCol w:w="2351"/>
        <w:gridCol w:w="4154"/>
      </w:tblGrid>
      <w:tr w:rsidRPr="00322410" w:rsidR="00691842" w:rsidTr="6EB50D62" w14:paraId="72BA5779" w14:textId="77777777">
        <w:trPr>
          <w:trHeight w:val="273"/>
        </w:trPr>
        <w:tc>
          <w:tcPr>
            <w:tcW w:w="2595" w:type="dxa"/>
            <w:tcBorders>
              <w:top w:val="single" w:color="auto" w:sz="4" w:space="0"/>
              <w:left w:val="single" w:color="auto" w:sz="4" w:space="0"/>
              <w:bottom w:val="single" w:color="auto" w:sz="4" w:space="0"/>
              <w:right w:val="single" w:color="auto" w:sz="4" w:space="0"/>
            </w:tcBorders>
            <w:shd w:val="clear" w:color="auto" w:fill="DEEAF6" w:themeFill="accent5" w:themeFillTint="33"/>
            <w:tcMar/>
            <w:hideMark/>
          </w:tcPr>
          <w:p w:rsidRPr="00322410" w:rsidR="00691842" w:rsidRDefault="00691842" w14:paraId="20749DF7" w14:textId="77777777">
            <w:pPr>
              <w:jc w:val="both"/>
              <w:rPr>
                <w:rFonts w:cs="Arial"/>
                <w:b/>
                <w:bCs/>
                <w:sz w:val="22"/>
                <w:szCs w:val="22"/>
              </w:rPr>
            </w:pPr>
            <w:r w:rsidRPr="00322410">
              <w:rPr>
                <w:rFonts w:cs="Arial"/>
                <w:b/>
                <w:bCs/>
                <w:sz w:val="22"/>
                <w:szCs w:val="22"/>
              </w:rPr>
              <w:t>Indicator(s)</w:t>
            </w:r>
          </w:p>
        </w:tc>
        <w:tc>
          <w:tcPr>
            <w:tcW w:w="2250" w:type="dxa"/>
            <w:tcBorders>
              <w:top w:val="single" w:color="auto" w:sz="4" w:space="0"/>
              <w:left w:val="single" w:color="auto" w:sz="4" w:space="0"/>
              <w:bottom w:val="single" w:color="auto" w:sz="4" w:space="0"/>
              <w:right w:val="single" w:color="auto" w:sz="4" w:space="0"/>
            </w:tcBorders>
            <w:shd w:val="clear" w:color="auto" w:fill="DEEAF6" w:themeFill="accent5" w:themeFillTint="33"/>
            <w:tcMar/>
            <w:hideMark/>
          </w:tcPr>
          <w:p w:rsidRPr="00322410" w:rsidR="00691842" w:rsidRDefault="00691842" w14:paraId="34DCC454" w14:textId="77777777">
            <w:pPr>
              <w:jc w:val="both"/>
              <w:rPr>
                <w:rFonts w:cs="Arial"/>
                <w:b/>
                <w:bCs/>
                <w:sz w:val="22"/>
                <w:szCs w:val="22"/>
              </w:rPr>
            </w:pPr>
            <w:r w:rsidRPr="00322410">
              <w:rPr>
                <w:rFonts w:cs="Arial"/>
                <w:b/>
                <w:bCs/>
                <w:sz w:val="22"/>
                <w:szCs w:val="22"/>
              </w:rPr>
              <w:t>Milestone(s) for this review</w:t>
            </w:r>
          </w:p>
        </w:tc>
        <w:tc>
          <w:tcPr>
            <w:tcW w:w="4222" w:type="dxa"/>
            <w:tcBorders>
              <w:top w:val="single" w:color="auto" w:sz="4" w:space="0"/>
              <w:left w:val="single" w:color="auto" w:sz="4" w:space="0"/>
              <w:bottom w:val="single" w:color="auto" w:sz="4" w:space="0"/>
              <w:right w:val="single" w:color="auto" w:sz="4" w:space="0"/>
            </w:tcBorders>
            <w:shd w:val="clear" w:color="auto" w:fill="DEEAF6" w:themeFill="accent5" w:themeFillTint="33"/>
            <w:tcMar/>
            <w:hideMark/>
          </w:tcPr>
          <w:p w:rsidRPr="00322410" w:rsidR="00691842" w:rsidRDefault="00691842" w14:paraId="14649BD1" w14:textId="77777777">
            <w:pPr>
              <w:jc w:val="both"/>
              <w:rPr>
                <w:rFonts w:cs="Arial"/>
                <w:b/>
                <w:bCs/>
                <w:sz w:val="22"/>
                <w:szCs w:val="22"/>
              </w:rPr>
            </w:pPr>
            <w:r w:rsidRPr="00322410">
              <w:rPr>
                <w:rFonts w:cs="Arial"/>
                <w:b/>
                <w:bCs/>
                <w:sz w:val="22"/>
                <w:szCs w:val="22"/>
              </w:rPr>
              <w:t xml:space="preserve">Progress </w:t>
            </w:r>
          </w:p>
        </w:tc>
      </w:tr>
      <w:tr w:rsidRPr="00322410" w:rsidR="00691842" w:rsidTr="6EB50D62" w14:paraId="1A9B1DC3" w14:textId="77777777">
        <w:tc>
          <w:tcPr>
            <w:tcW w:w="2595" w:type="dxa"/>
            <w:tcBorders>
              <w:top w:val="single" w:color="auto" w:sz="4" w:space="0"/>
              <w:left w:val="single" w:color="auto" w:sz="4" w:space="0"/>
              <w:bottom w:val="single" w:color="auto" w:sz="4" w:space="0"/>
              <w:right w:val="single" w:color="auto" w:sz="4" w:space="0"/>
            </w:tcBorders>
            <w:tcMar/>
          </w:tcPr>
          <w:p w:rsidRPr="00322410" w:rsidR="00691842" w:rsidP="732B20D3" w:rsidRDefault="562ECBA1" w14:paraId="71BA9FC9" w14:noSpellErr="1" w14:textId="3597A519">
            <w:pPr>
              <w:jc w:val="both"/>
              <w:rPr>
                <w:rFonts w:cs="Arial"/>
                <w:sz w:val="20"/>
                <w:szCs w:val="20"/>
              </w:rPr>
            </w:pPr>
            <w:r w:rsidRPr="32966A0A" w:rsidR="562ECBA1">
              <w:rPr>
                <w:rFonts w:cs="Arial"/>
                <w:sz w:val="20"/>
                <w:szCs w:val="20"/>
              </w:rPr>
              <w:t xml:space="preserve">2.1 Number of participant countries and extent to which FCPF has supported country efforts to sustain and enhance livelihoods within REDD+ intervention areas </w:t>
            </w:r>
            <w:r w:rsidRPr="32966A0A" w:rsidR="02BDEB90">
              <w:rPr>
                <w:rFonts w:cs="Arial"/>
                <w:sz w:val="20"/>
                <w:szCs w:val="20"/>
              </w:rPr>
              <w:t>(including among women, women’s groups, IPs, CSOs and local communities)</w:t>
            </w:r>
          </w:p>
        </w:tc>
        <w:tc>
          <w:tcPr>
            <w:tcW w:w="2250" w:type="dxa"/>
            <w:tcBorders>
              <w:top w:val="single" w:color="auto" w:sz="4" w:space="0"/>
              <w:left w:val="single" w:color="auto" w:sz="4" w:space="0"/>
              <w:bottom w:val="single" w:color="auto" w:sz="4" w:space="0"/>
              <w:right w:val="single" w:color="auto" w:sz="4" w:space="0"/>
            </w:tcBorders>
            <w:tcMar/>
          </w:tcPr>
          <w:p w:rsidRPr="00322410" w:rsidR="00691842" w:rsidP="005D900B" w:rsidRDefault="0F073CE5" w14:paraId="1A0F7788" w14:textId="35D27C54">
            <w:pPr>
              <w:jc w:val="both"/>
              <w:rPr>
                <w:rFonts w:cs="Arial"/>
                <w:sz w:val="20"/>
                <w:szCs w:val="20"/>
              </w:rPr>
            </w:pPr>
            <w:r w:rsidRPr="4E1F48D5" w:rsidR="77BDE23A">
              <w:rPr>
                <w:rFonts w:cs="Arial"/>
                <w:sz w:val="20"/>
                <w:szCs w:val="20"/>
              </w:rPr>
              <w:t xml:space="preserve">12 countries provide evidence that REDD+ interventions have changed livelihoods for people living and working in project area, including </w:t>
            </w:r>
            <w:r w:rsidRPr="4E1F48D5" w:rsidR="77BDE23A">
              <w:rPr>
                <w:rFonts w:cs="Arial"/>
                <w:sz w:val="20"/>
                <w:szCs w:val="20"/>
              </w:rPr>
              <w:t>different groups</w:t>
            </w:r>
            <w:r w:rsidRPr="4E1F48D5" w:rsidR="77BDE23A">
              <w:rPr>
                <w:rFonts w:cs="Arial"/>
                <w:sz w:val="20"/>
                <w:szCs w:val="20"/>
              </w:rPr>
              <w:t xml:space="preserve"> (women, IP, CSO), with evidence of specific FCPF processes/requirements having a </w:t>
            </w:r>
            <w:r w:rsidRPr="4E1F48D5" w:rsidR="77BDE23A">
              <w:rPr>
                <w:rFonts w:cs="Arial"/>
                <w:sz w:val="20"/>
                <w:szCs w:val="20"/>
              </w:rPr>
              <w:t>significant influence</w:t>
            </w:r>
            <w:r w:rsidRPr="4E1F48D5" w:rsidR="77BDE23A">
              <w:rPr>
                <w:rFonts w:cs="Arial"/>
                <w:sz w:val="20"/>
                <w:szCs w:val="20"/>
              </w:rPr>
              <w:t>, and such FCPF processes being applied beyond intervention areas</w:t>
            </w:r>
          </w:p>
          <w:p w:rsidRPr="00322410" w:rsidR="00691842" w:rsidP="732B20D3" w:rsidRDefault="00691842" w14:paraId="1F90D257" w14:textId="07C5B27B">
            <w:pPr>
              <w:jc w:val="both"/>
              <w:rPr>
                <w:rFonts w:cs="Arial"/>
                <w:sz w:val="20"/>
                <w:szCs w:val="20"/>
              </w:rPr>
            </w:pPr>
          </w:p>
        </w:tc>
        <w:tc>
          <w:tcPr>
            <w:tcW w:w="4222" w:type="dxa"/>
            <w:tcBorders>
              <w:top w:val="single" w:color="auto" w:sz="4" w:space="0"/>
              <w:left w:val="single" w:color="auto" w:sz="4" w:space="0"/>
              <w:bottom w:val="single" w:color="auto" w:sz="4" w:space="0"/>
              <w:right w:val="single" w:color="auto" w:sz="4" w:space="0"/>
            </w:tcBorders>
            <w:tcMar/>
          </w:tcPr>
          <w:p w:rsidR="219AE6CA" w:rsidP="6EB50D62" w:rsidRDefault="219AE6CA" w14:paraId="754D809C" w14:textId="5E3D588C">
            <w:pPr>
              <w:pStyle w:val="Normal"/>
              <w:suppressLineNumbers w:val="0"/>
              <w:bidi w:val="0"/>
              <w:spacing w:before="0" w:beforeAutospacing="off" w:after="0" w:afterAutospacing="off" w:line="240" w:lineRule="auto"/>
              <w:ind w:left="0" w:right="0"/>
              <w:jc w:val="both"/>
            </w:pPr>
            <w:r w:rsidRPr="6EB50D62" w:rsidR="219AE6CA">
              <w:rPr>
                <w:rFonts w:cs="Arial"/>
                <w:sz w:val="20"/>
                <w:szCs w:val="20"/>
              </w:rPr>
              <w:t>Results not reported in RP25</w:t>
            </w:r>
          </w:p>
          <w:p w:rsidR="149691A6" w:rsidP="149691A6" w:rsidRDefault="149691A6" w14:paraId="3EBCA2DE" w14:textId="6EEAE875">
            <w:pPr>
              <w:spacing/>
              <w:contextualSpacing w:val="1"/>
              <w:jc w:val="both"/>
              <w:rPr>
                <w:rFonts w:cs="Arial"/>
                <w:sz w:val="20"/>
                <w:szCs w:val="20"/>
              </w:rPr>
            </w:pPr>
          </w:p>
          <w:p w:rsidRPr="00322410" w:rsidR="00691842" w:rsidP="149691A6" w:rsidRDefault="0DF4CB70" w14:paraId="3F032CFB" w14:noSpellErr="1" w14:textId="08AB339B">
            <w:pPr>
              <w:spacing/>
              <w:contextualSpacing w:val="1"/>
              <w:jc w:val="both"/>
              <w:rPr>
                <w:rFonts w:cs="Arial"/>
                <w:sz w:val="20"/>
                <w:szCs w:val="20"/>
              </w:rPr>
            </w:pPr>
            <w:r w:rsidRPr="4E1F48D5" w:rsidR="6001E79B">
              <w:rPr>
                <w:rFonts w:cs="Arial"/>
                <w:sz w:val="20"/>
                <w:szCs w:val="20"/>
              </w:rPr>
              <w:t>(From</w:t>
            </w:r>
            <w:r w:rsidRPr="4E1F48D5" w:rsidR="6001E79B">
              <w:rPr>
                <w:rFonts w:cs="Arial"/>
                <w:sz w:val="20"/>
                <w:szCs w:val="20"/>
              </w:rPr>
              <w:t xml:space="preserve"> </w:t>
            </w:r>
            <w:r w:rsidRPr="4E1F48D5" w:rsidR="17657B8F">
              <w:rPr>
                <w:rFonts w:cs="Arial"/>
                <w:sz w:val="20"/>
                <w:szCs w:val="20"/>
              </w:rPr>
              <w:t>FCPF e</w:t>
            </w:r>
            <w:r w:rsidRPr="4E1F48D5" w:rsidR="6001E79B">
              <w:rPr>
                <w:rFonts w:cs="Arial"/>
                <w:sz w:val="20"/>
                <w:szCs w:val="20"/>
              </w:rPr>
              <w:t xml:space="preserve">valuation) </w:t>
            </w:r>
            <w:r w:rsidRPr="4E1F48D5" w:rsidR="77BDE23A">
              <w:rPr>
                <w:rFonts w:cs="Arial"/>
                <w:sz w:val="20"/>
                <w:szCs w:val="20"/>
              </w:rPr>
              <w:t>By August 2023, ER-Ps have directly supported livelihoods improvements in six countries. These have been achieved through enhanced revenues from agriculture, tree nurseries, non-timber forest products, timber products, and tourism. Clarified land tenure and improved access to basic services have also been reported. At least three countries are likely to have generated climate change adaptation benefits.</w:t>
            </w:r>
          </w:p>
          <w:p w:rsidRPr="00322410" w:rsidR="0F384A04" w:rsidP="4E1F48D5" w:rsidRDefault="0F384A04" w14:paraId="5A1F4010" w14:textId="51CC54D5">
            <w:pPr>
              <w:spacing/>
              <w:contextualSpacing w:val="1"/>
              <w:jc w:val="both"/>
              <w:rPr>
                <w:rFonts w:cs="Arial"/>
                <w:sz w:val="20"/>
                <w:szCs w:val="20"/>
              </w:rPr>
            </w:pPr>
          </w:p>
          <w:p w:rsidRPr="00322410" w:rsidR="00691842" w:rsidP="5AAFD796" w:rsidRDefault="00691842" w14:paraId="1C0583B9" w14:noSpellErr="1" w14:textId="55927BBE">
            <w:pPr>
              <w:spacing/>
              <w:contextualSpacing w:val="1"/>
              <w:jc w:val="both"/>
              <w:rPr>
                <w:rFonts w:cs="Arial"/>
                <w:b w:val="1"/>
                <w:bCs w:val="1"/>
                <w:sz w:val="20"/>
                <w:szCs w:val="20"/>
              </w:rPr>
            </w:pPr>
          </w:p>
        </w:tc>
      </w:tr>
      <w:tr w:rsidRPr="00322410" w:rsidR="00691842" w:rsidTr="6EB50D62" w14:paraId="6F627DFA" w14:textId="77777777">
        <w:tc>
          <w:tcPr>
            <w:tcW w:w="2595" w:type="dxa"/>
            <w:tcBorders>
              <w:top w:val="single" w:color="auto" w:sz="4" w:space="0"/>
              <w:left w:val="single" w:color="auto" w:sz="4" w:space="0"/>
              <w:bottom w:val="single" w:color="auto" w:sz="4" w:space="0"/>
              <w:right w:val="single" w:color="auto" w:sz="4" w:space="0"/>
            </w:tcBorders>
            <w:tcMar/>
          </w:tcPr>
          <w:p w:rsidRPr="00322410" w:rsidR="00691842" w:rsidP="732B20D3" w:rsidRDefault="46796251" w14:paraId="4BD1753E" w14:textId="65316FC1">
            <w:pPr>
              <w:jc w:val="both"/>
              <w:rPr>
                <w:rFonts w:cs="Arial"/>
                <w:sz w:val="20"/>
                <w:szCs w:val="20"/>
              </w:rPr>
            </w:pPr>
            <w:r w:rsidRPr="00322410">
              <w:rPr>
                <w:rFonts w:cs="Arial"/>
                <w:sz w:val="20"/>
                <w:szCs w:val="20"/>
              </w:rPr>
              <w:t>2.2 Percentage of carbon benefits paid from CF programmes shared with beneficiaries (disaggregated by gender, CSOs, IPs, LCs)</w:t>
            </w:r>
          </w:p>
        </w:tc>
        <w:tc>
          <w:tcPr>
            <w:tcW w:w="2250" w:type="dxa"/>
            <w:tcBorders>
              <w:top w:val="single" w:color="auto" w:sz="4" w:space="0"/>
              <w:left w:val="single" w:color="auto" w:sz="4" w:space="0"/>
              <w:bottom w:val="single" w:color="auto" w:sz="4" w:space="0"/>
              <w:right w:val="single" w:color="auto" w:sz="4" w:space="0"/>
            </w:tcBorders>
            <w:tcMar/>
          </w:tcPr>
          <w:p w:rsidRPr="00322410" w:rsidR="00691842" w:rsidP="732B20D3" w:rsidRDefault="46796251" w14:paraId="3D8B963A" w14:textId="45822691">
            <w:pPr>
              <w:jc w:val="both"/>
              <w:rPr>
                <w:rFonts w:cs="Arial"/>
                <w:sz w:val="20"/>
                <w:szCs w:val="20"/>
              </w:rPr>
            </w:pPr>
            <w:r w:rsidRPr="00322410">
              <w:rPr>
                <w:rFonts w:cs="Arial"/>
                <w:sz w:val="20"/>
                <w:szCs w:val="20"/>
              </w:rPr>
              <w:t>Milestones to be set in FY26</w:t>
            </w:r>
          </w:p>
        </w:tc>
        <w:tc>
          <w:tcPr>
            <w:tcW w:w="4222" w:type="dxa"/>
            <w:tcBorders>
              <w:top w:val="single" w:color="auto" w:sz="4" w:space="0"/>
              <w:left w:val="single" w:color="auto" w:sz="4" w:space="0"/>
              <w:bottom w:val="single" w:color="auto" w:sz="4" w:space="0"/>
              <w:right w:val="single" w:color="auto" w:sz="4" w:space="0"/>
            </w:tcBorders>
            <w:tcMar/>
          </w:tcPr>
          <w:p w:rsidRPr="00322410" w:rsidR="00691842" w:rsidP="2E2D726E" w:rsidRDefault="46796251" w14:paraId="5A92ECE9" w14:textId="2BBBDF52">
            <w:pPr>
              <w:contextualSpacing/>
              <w:jc w:val="both"/>
              <w:rPr>
                <w:rFonts w:cs="Arial"/>
                <w:sz w:val="20"/>
                <w:szCs w:val="20"/>
              </w:rPr>
            </w:pPr>
            <w:r w:rsidRPr="00322410">
              <w:rPr>
                <w:rFonts w:cs="Arial"/>
                <w:sz w:val="20"/>
                <w:szCs w:val="20"/>
              </w:rPr>
              <w:t>26% (of which 34% government entities; 52% local communities)</w:t>
            </w:r>
          </w:p>
          <w:p w:rsidRPr="00322410" w:rsidR="00691842" w:rsidP="732B20D3" w:rsidRDefault="00691842" w14:paraId="2F0F0C95" w14:textId="7AA55133">
            <w:pPr>
              <w:contextualSpacing/>
              <w:jc w:val="both"/>
              <w:rPr>
                <w:rFonts w:cs="Arial"/>
                <w:sz w:val="20"/>
                <w:szCs w:val="20"/>
              </w:rPr>
            </w:pPr>
          </w:p>
        </w:tc>
      </w:tr>
      <w:tr w:rsidRPr="00322410" w:rsidR="2E2D726E" w:rsidTr="6EB50D62" w14:paraId="066DC6D6" w14:textId="77777777">
        <w:trPr>
          <w:trHeight w:val="300"/>
        </w:trPr>
        <w:tc>
          <w:tcPr>
            <w:tcW w:w="2595" w:type="dxa"/>
            <w:tcBorders>
              <w:top w:val="single" w:color="auto" w:sz="4" w:space="0"/>
              <w:left w:val="single" w:color="auto" w:sz="4" w:space="0"/>
              <w:bottom w:val="single" w:color="auto" w:sz="4" w:space="0"/>
              <w:right w:val="single" w:color="auto" w:sz="4" w:space="0"/>
            </w:tcBorders>
            <w:tcMar/>
          </w:tcPr>
          <w:p w:rsidRPr="00322410" w:rsidR="2E2D726E" w:rsidP="2E2D726E" w:rsidRDefault="46796251" w14:paraId="2EB3F6BF" w14:textId="67126D60">
            <w:pPr>
              <w:jc w:val="both"/>
              <w:rPr>
                <w:rFonts w:cs="Arial"/>
                <w:sz w:val="20"/>
                <w:szCs w:val="20"/>
              </w:rPr>
            </w:pPr>
            <w:r w:rsidRPr="00322410">
              <w:rPr>
                <w:rFonts w:cs="Arial"/>
                <w:sz w:val="20"/>
                <w:szCs w:val="20"/>
              </w:rPr>
              <w:t>2.3 Number of benefit-sharing plans implemented and types of benefits being shared with a diverse range of beneficiaries</w:t>
            </w:r>
          </w:p>
        </w:tc>
        <w:tc>
          <w:tcPr>
            <w:tcW w:w="2250" w:type="dxa"/>
            <w:tcBorders>
              <w:top w:val="single" w:color="auto" w:sz="4" w:space="0"/>
              <w:left w:val="single" w:color="auto" w:sz="4" w:space="0"/>
              <w:bottom w:val="single" w:color="auto" w:sz="4" w:space="0"/>
              <w:right w:val="single" w:color="auto" w:sz="4" w:space="0"/>
            </w:tcBorders>
            <w:tcMar/>
          </w:tcPr>
          <w:p w:rsidRPr="00322410" w:rsidR="2E2D726E" w:rsidP="2E2D726E" w:rsidRDefault="46796251" w14:paraId="135CF69D" w14:textId="319C4DF6">
            <w:pPr>
              <w:jc w:val="both"/>
              <w:rPr>
                <w:rFonts w:cs="Arial"/>
                <w:sz w:val="20"/>
                <w:szCs w:val="20"/>
              </w:rPr>
            </w:pPr>
            <w:r w:rsidRPr="00322410">
              <w:rPr>
                <w:rFonts w:cs="Arial"/>
                <w:sz w:val="20"/>
                <w:szCs w:val="20"/>
              </w:rPr>
              <w:t>15 BSPs being implemented with evidence of benefits (monetary and non-monetary) being shared with a diverse range of beneficiaries (gender, CSOs, IPs, LCs)</w:t>
            </w:r>
          </w:p>
        </w:tc>
        <w:tc>
          <w:tcPr>
            <w:tcW w:w="4222" w:type="dxa"/>
            <w:tcBorders>
              <w:top w:val="single" w:color="auto" w:sz="4" w:space="0"/>
              <w:left w:val="single" w:color="auto" w:sz="4" w:space="0"/>
              <w:bottom w:val="single" w:color="auto" w:sz="4" w:space="0"/>
              <w:right w:val="single" w:color="auto" w:sz="4" w:space="0"/>
            </w:tcBorders>
            <w:tcMar/>
          </w:tcPr>
          <w:p w:rsidRPr="00322410" w:rsidR="2E2D726E" w:rsidP="68C8A37B" w:rsidRDefault="6A9708CD" w14:paraId="7E017FE7" w14:textId="1769F739">
            <w:pPr>
              <w:jc w:val="both"/>
              <w:rPr>
                <w:rFonts w:cs="Arial"/>
                <w:sz w:val="20"/>
                <w:szCs w:val="20"/>
              </w:rPr>
            </w:pPr>
            <w:r w:rsidRPr="503CC819">
              <w:rPr>
                <w:rFonts w:cs="Arial"/>
                <w:sz w:val="20"/>
                <w:szCs w:val="20"/>
              </w:rPr>
              <w:t>12</w:t>
            </w:r>
            <w:r w:rsidRPr="503CC819" w:rsidR="46796251">
              <w:rPr>
                <w:rFonts w:cs="Arial"/>
                <w:sz w:val="20"/>
                <w:szCs w:val="20"/>
              </w:rPr>
              <w:t xml:space="preserve"> being implemented</w:t>
            </w:r>
            <w:r w:rsidRPr="503CC819" w:rsidR="1B7DD74F">
              <w:rPr>
                <w:rFonts w:cs="Arial"/>
                <w:sz w:val="20"/>
                <w:szCs w:val="20"/>
              </w:rPr>
              <w:t xml:space="preserve"> (</w:t>
            </w:r>
            <w:r w:rsidRPr="503CC819" w:rsidR="327B6179">
              <w:rPr>
                <w:rFonts w:cs="Arial"/>
                <w:sz w:val="20"/>
                <w:szCs w:val="20"/>
              </w:rPr>
              <w:t>Chile, Costa Rica, Côte d'Ivoire, DRC,</w:t>
            </w:r>
            <w:r w:rsidRPr="503CC819" w:rsidR="2983744F">
              <w:rPr>
                <w:rFonts w:cs="Arial"/>
                <w:sz w:val="20"/>
                <w:szCs w:val="20"/>
              </w:rPr>
              <w:t xml:space="preserve"> Dominican Republic, </w:t>
            </w:r>
            <w:r w:rsidRPr="503CC819" w:rsidR="327B6179">
              <w:rPr>
                <w:rFonts w:cs="Arial"/>
                <w:sz w:val="20"/>
                <w:szCs w:val="20"/>
              </w:rPr>
              <w:t xml:space="preserve">Ghana, Guatemala, Indonesia, Lao PDR, Madagascar, </w:t>
            </w:r>
            <w:r w:rsidRPr="503CC819" w:rsidR="1B7DD74F">
              <w:rPr>
                <w:rFonts w:cs="Arial"/>
                <w:sz w:val="20"/>
                <w:szCs w:val="20"/>
              </w:rPr>
              <w:t xml:space="preserve">Mozambique </w:t>
            </w:r>
            <w:r w:rsidRPr="503CC819" w:rsidR="6A548CEB">
              <w:rPr>
                <w:rFonts w:cs="Arial"/>
                <w:sz w:val="20"/>
                <w:szCs w:val="20"/>
              </w:rPr>
              <w:t xml:space="preserve">and Vietnam). </w:t>
            </w:r>
          </w:p>
          <w:p w:rsidRPr="00322410" w:rsidR="1B2BF16F" w:rsidP="1B2BF16F" w:rsidRDefault="1B2BF16F" w14:paraId="532F7747" w14:textId="486164D6">
            <w:pPr>
              <w:jc w:val="both"/>
              <w:rPr>
                <w:rFonts w:cs="Arial"/>
                <w:sz w:val="20"/>
                <w:szCs w:val="20"/>
              </w:rPr>
            </w:pPr>
          </w:p>
          <w:p w:rsidRPr="00322410" w:rsidR="197FA2B1" w:rsidP="1B2BF16F" w:rsidRDefault="0891119F" w14:paraId="22E2CFE8" w14:textId="77707699">
            <w:pPr>
              <w:jc w:val="both"/>
              <w:rPr>
                <w:rFonts w:cs="Arial"/>
                <w:b w:val="1"/>
                <w:bCs w:val="1"/>
                <w:sz w:val="20"/>
                <w:szCs w:val="20"/>
              </w:rPr>
            </w:pPr>
            <w:r w:rsidRPr="2C0DF5FE" w:rsidR="0891119F">
              <w:rPr>
                <w:rFonts w:cs="Arial"/>
                <w:b w:val="1"/>
                <w:bCs w:val="1"/>
                <w:sz w:val="20"/>
                <w:szCs w:val="20"/>
              </w:rPr>
              <w:t>Moderately</w:t>
            </w:r>
            <w:r w:rsidRPr="2C0DF5FE" w:rsidR="197FA2B1">
              <w:rPr>
                <w:rFonts w:cs="Arial"/>
                <w:b w:val="1"/>
                <w:bCs w:val="1"/>
                <w:sz w:val="20"/>
                <w:szCs w:val="20"/>
              </w:rPr>
              <w:t xml:space="preserve"> did not meet expectation</w:t>
            </w:r>
          </w:p>
          <w:p w:rsidRPr="00322410" w:rsidR="2E2D726E" w:rsidP="2E2D726E" w:rsidRDefault="2E2D726E" w14:paraId="632D4F12" w14:textId="650FD17C">
            <w:pPr>
              <w:jc w:val="both"/>
              <w:rPr>
                <w:rFonts w:cs="Arial"/>
                <w:sz w:val="20"/>
                <w:szCs w:val="20"/>
              </w:rPr>
            </w:pPr>
          </w:p>
        </w:tc>
      </w:tr>
      <w:tr w:rsidRPr="00322410" w:rsidR="6DF50C77" w:rsidTr="6EB50D62" w14:paraId="0B58F28E" w14:textId="77777777">
        <w:trPr>
          <w:trHeight w:val="300"/>
        </w:trPr>
        <w:tc>
          <w:tcPr>
            <w:tcW w:w="2595" w:type="dxa"/>
            <w:tcBorders>
              <w:top w:val="single" w:color="auto" w:sz="4" w:space="0"/>
              <w:left w:val="single" w:color="auto" w:sz="4" w:space="0"/>
              <w:bottom w:val="single" w:color="auto" w:sz="4" w:space="0"/>
              <w:right w:val="single" w:color="auto" w:sz="4" w:space="0"/>
            </w:tcBorders>
            <w:tcMar/>
          </w:tcPr>
          <w:p w:rsidRPr="00322410" w:rsidR="65E5B8A6" w:rsidP="6DF50C77" w:rsidRDefault="65E5B8A6" w14:paraId="384D35DB" w14:textId="42CCDAFE">
            <w:pPr>
              <w:jc w:val="both"/>
              <w:rPr>
                <w:rFonts w:cs="Arial"/>
                <w:sz w:val="20"/>
                <w:szCs w:val="20"/>
              </w:rPr>
            </w:pPr>
            <w:r w:rsidRPr="00322410">
              <w:rPr>
                <w:rFonts w:cs="Arial"/>
                <w:sz w:val="20"/>
                <w:szCs w:val="20"/>
              </w:rPr>
              <w:t>2.4 Number of CF programmes that test ways to sustain and enhance livelihoods</w:t>
            </w:r>
          </w:p>
        </w:tc>
        <w:tc>
          <w:tcPr>
            <w:tcW w:w="2250" w:type="dxa"/>
            <w:tcBorders>
              <w:top w:val="single" w:color="auto" w:sz="4" w:space="0"/>
              <w:left w:val="single" w:color="auto" w:sz="4" w:space="0"/>
              <w:bottom w:val="single" w:color="auto" w:sz="4" w:space="0"/>
              <w:right w:val="single" w:color="auto" w:sz="4" w:space="0"/>
            </w:tcBorders>
            <w:tcMar/>
          </w:tcPr>
          <w:p w:rsidRPr="00322410" w:rsidR="65E5B8A6" w:rsidP="6DF50C77" w:rsidRDefault="65E5B8A6" w14:paraId="3D1C1B39" w14:textId="056A93A1">
            <w:pPr>
              <w:jc w:val="both"/>
              <w:rPr>
                <w:rFonts w:cs="Arial"/>
                <w:sz w:val="20"/>
                <w:szCs w:val="20"/>
              </w:rPr>
            </w:pPr>
            <w:r w:rsidRPr="00322410">
              <w:rPr>
                <w:rFonts w:cs="Arial"/>
                <w:sz w:val="20"/>
                <w:szCs w:val="20"/>
              </w:rPr>
              <w:t>15</w:t>
            </w:r>
          </w:p>
        </w:tc>
        <w:tc>
          <w:tcPr>
            <w:tcW w:w="4222" w:type="dxa"/>
            <w:tcBorders>
              <w:top w:val="single" w:color="auto" w:sz="4" w:space="0"/>
              <w:left w:val="single" w:color="auto" w:sz="4" w:space="0"/>
              <w:bottom w:val="single" w:color="auto" w:sz="4" w:space="0"/>
              <w:right w:val="single" w:color="auto" w:sz="4" w:space="0"/>
            </w:tcBorders>
            <w:tcMar/>
          </w:tcPr>
          <w:p w:rsidRPr="00322410" w:rsidR="65E5B8A6" w:rsidP="07A60DFE" w:rsidRDefault="65E5B8A6" w14:paraId="2CF9B8A4" w14:textId="3620A34A">
            <w:pPr>
              <w:jc w:val="both"/>
              <w:rPr>
                <w:rFonts w:cs="Arial"/>
                <w:sz w:val="20"/>
                <w:szCs w:val="20"/>
              </w:rPr>
            </w:pPr>
            <w:r w:rsidRPr="2C0DF5FE" w:rsidR="65E5B8A6">
              <w:rPr>
                <w:rFonts w:cs="Arial"/>
                <w:sz w:val="20"/>
                <w:szCs w:val="20"/>
              </w:rPr>
              <w:t>15 programmes have planned tests</w:t>
            </w:r>
          </w:p>
          <w:p w:rsidRPr="00322410" w:rsidR="65E5B8A6" w:rsidP="0F18E37C" w:rsidRDefault="65E5B8A6" w14:paraId="39F332E2" w14:textId="64AE2C80">
            <w:pPr>
              <w:jc w:val="both"/>
              <w:rPr>
                <w:rFonts w:cs="Arial"/>
                <w:sz w:val="20"/>
                <w:szCs w:val="20"/>
              </w:rPr>
            </w:pPr>
            <w:r w:rsidRPr="00322410" w:rsidR="65E5B8A6">
              <w:rPr>
                <w:rFonts w:cs="Arial"/>
                <w:sz w:val="20"/>
                <w:szCs w:val="20"/>
              </w:rPr>
              <w:t>1</w:t>
            </w:r>
            <w:r w:rsidRPr="00322410" w:rsidR="219209D6">
              <w:rPr>
                <w:rFonts w:cs="Arial"/>
                <w:sz w:val="20"/>
                <w:szCs w:val="20"/>
              </w:rPr>
              <w:t>5</w:t>
            </w:r>
            <w:r w:rsidRPr="00322410" w:rsidR="65E5B8A6">
              <w:rPr>
                <w:rFonts w:cs="Arial"/>
                <w:sz w:val="20"/>
                <w:szCs w:val="20"/>
              </w:rPr>
              <w:t xml:space="preserve"> programmes are testing ways to sustain and enhance livelihoods</w:t>
            </w:r>
            <w:r w:rsidRPr="2C0DF5FE">
              <w:rPr>
                <w:rStyle w:val="FootnoteReference"/>
                <w:rFonts w:cs="Arial"/>
                <w:sz w:val="20"/>
                <w:szCs w:val="20"/>
              </w:rPr>
              <w:footnoteReference w:id="20911"/>
            </w:r>
          </w:p>
          <w:p w:rsidRPr="00322410" w:rsidR="65E5B8A6" w:rsidP="0F18E37C" w:rsidRDefault="65E5B8A6" w14:paraId="21BED897" w14:textId="7557F688">
            <w:pPr>
              <w:jc w:val="both"/>
              <w:rPr>
                <w:rFonts w:cs="Arial"/>
                <w:sz w:val="20"/>
                <w:szCs w:val="20"/>
              </w:rPr>
            </w:pPr>
          </w:p>
          <w:p w:rsidRPr="00322410" w:rsidR="65E5B8A6" w:rsidP="0F18E37C" w:rsidRDefault="766F1786" w14:paraId="7386137F" w14:textId="6373D28D">
            <w:pPr>
              <w:jc w:val="both"/>
              <w:rPr>
                <w:rFonts w:cs="Arial"/>
                <w:b/>
                <w:bCs/>
                <w:sz w:val="20"/>
                <w:szCs w:val="20"/>
              </w:rPr>
            </w:pPr>
            <w:r w:rsidRPr="00322410">
              <w:rPr>
                <w:rFonts w:cs="Arial"/>
                <w:b/>
                <w:bCs/>
                <w:sz w:val="20"/>
                <w:szCs w:val="20"/>
              </w:rPr>
              <w:t>M</w:t>
            </w:r>
            <w:r w:rsidRPr="00322410" w:rsidR="139C196C">
              <w:rPr>
                <w:rFonts w:cs="Arial"/>
                <w:b/>
                <w:bCs/>
                <w:sz w:val="20"/>
                <w:szCs w:val="20"/>
              </w:rPr>
              <w:t>et expectation</w:t>
            </w:r>
          </w:p>
        </w:tc>
      </w:tr>
      <w:tr w:rsidRPr="00322410" w:rsidR="06234B17" w:rsidTr="6EB50D62" w14:paraId="2033F705" w14:textId="77777777">
        <w:trPr>
          <w:trHeight w:val="300"/>
        </w:trPr>
        <w:tc>
          <w:tcPr>
            <w:tcW w:w="2595" w:type="dxa"/>
            <w:tcBorders>
              <w:top w:val="single" w:color="auto" w:sz="4" w:space="0"/>
              <w:left w:val="single" w:color="auto" w:sz="4" w:space="0"/>
              <w:bottom w:val="single" w:color="auto" w:sz="4" w:space="0"/>
              <w:right w:val="single" w:color="auto" w:sz="4" w:space="0"/>
            </w:tcBorders>
            <w:tcMar/>
          </w:tcPr>
          <w:p w:rsidRPr="00322410" w:rsidR="65E5B8A6" w:rsidP="06234B17" w:rsidRDefault="65E5B8A6" w14:paraId="3E7132AC" w14:textId="4B2C7F9B">
            <w:pPr>
              <w:jc w:val="both"/>
              <w:rPr>
                <w:rFonts w:cs="Arial"/>
                <w:sz w:val="20"/>
                <w:szCs w:val="20"/>
              </w:rPr>
            </w:pPr>
            <w:r w:rsidRPr="00322410">
              <w:rPr>
                <w:rFonts w:cs="Arial"/>
                <w:sz w:val="20"/>
                <w:szCs w:val="20"/>
              </w:rPr>
              <w:t>2.5 Number of programmes that test ways to conserve biodiversity</w:t>
            </w:r>
          </w:p>
        </w:tc>
        <w:tc>
          <w:tcPr>
            <w:tcW w:w="2250" w:type="dxa"/>
            <w:tcBorders>
              <w:top w:val="single" w:color="auto" w:sz="4" w:space="0"/>
              <w:left w:val="single" w:color="auto" w:sz="4" w:space="0"/>
              <w:bottom w:val="single" w:color="auto" w:sz="4" w:space="0"/>
              <w:right w:val="single" w:color="auto" w:sz="4" w:space="0"/>
            </w:tcBorders>
            <w:tcMar/>
          </w:tcPr>
          <w:p w:rsidRPr="00322410" w:rsidR="06234B17" w:rsidP="06234B17" w:rsidRDefault="65E5B8A6" w14:paraId="68E80B6D" w14:textId="613ECEC3">
            <w:pPr>
              <w:jc w:val="both"/>
              <w:rPr>
                <w:rFonts w:cs="Arial"/>
                <w:sz w:val="20"/>
                <w:szCs w:val="20"/>
              </w:rPr>
            </w:pPr>
            <w:r w:rsidRPr="00322410">
              <w:rPr>
                <w:rFonts w:cs="Arial"/>
                <w:sz w:val="20"/>
                <w:szCs w:val="20"/>
              </w:rPr>
              <w:t>15</w:t>
            </w:r>
          </w:p>
        </w:tc>
        <w:tc>
          <w:tcPr>
            <w:tcW w:w="4222" w:type="dxa"/>
            <w:tcBorders>
              <w:top w:val="single" w:color="auto" w:sz="4" w:space="0"/>
              <w:left w:val="single" w:color="auto" w:sz="4" w:space="0"/>
              <w:bottom w:val="single" w:color="auto" w:sz="4" w:space="0"/>
              <w:right w:val="single" w:color="auto" w:sz="4" w:space="0"/>
            </w:tcBorders>
            <w:tcMar/>
          </w:tcPr>
          <w:p w:rsidRPr="00322410" w:rsidR="06234B17" w:rsidP="35B1691B" w:rsidRDefault="65E5B8A6" w14:paraId="101CE5F3" w14:textId="6A9699DE">
            <w:pPr>
              <w:jc w:val="both"/>
              <w:rPr>
                <w:rFonts w:cs="Arial"/>
                <w:sz w:val="20"/>
                <w:szCs w:val="20"/>
              </w:rPr>
            </w:pPr>
            <w:r w:rsidRPr="00322410">
              <w:rPr>
                <w:rFonts w:cs="Arial"/>
                <w:sz w:val="20"/>
                <w:szCs w:val="20"/>
              </w:rPr>
              <w:t>15 programmes have planned tests</w:t>
            </w:r>
          </w:p>
          <w:p w:rsidRPr="00322410" w:rsidR="06234B17" w:rsidP="1F270EBA" w:rsidRDefault="65E5B8A6" w14:paraId="52E3E5EE" w14:textId="418F0706">
            <w:pPr>
              <w:jc w:val="both"/>
              <w:rPr>
                <w:rFonts w:cs="Arial"/>
                <w:sz w:val="20"/>
                <w:szCs w:val="20"/>
              </w:rPr>
            </w:pPr>
            <w:r w:rsidRPr="00322410">
              <w:rPr>
                <w:rFonts w:cs="Arial"/>
                <w:sz w:val="20"/>
                <w:szCs w:val="20"/>
              </w:rPr>
              <w:t>1</w:t>
            </w:r>
            <w:r w:rsidRPr="00322410" w:rsidR="04E7B058">
              <w:rPr>
                <w:rFonts w:cs="Arial"/>
                <w:sz w:val="20"/>
                <w:szCs w:val="20"/>
              </w:rPr>
              <w:t>5</w:t>
            </w:r>
            <w:r w:rsidRPr="00322410">
              <w:rPr>
                <w:rFonts w:cs="Arial"/>
                <w:sz w:val="20"/>
                <w:szCs w:val="20"/>
              </w:rPr>
              <w:t xml:space="preserve"> programmes are testing ways to conserve biodiversity</w:t>
            </w:r>
            <w:r w:rsidRPr="00322410" w:rsidR="00914280">
              <w:rPr>
                <w:rStyle w:val="FootnoteReference"/>
                <w:rFonts w:cs="Arial"/>
                <w:sz w:val="20"/>
                <w:szCs w:val="20"/>
              </w:rPr>
              <w:footnoteReference w:id="8"/>
            </w:r>
          </w:p>
          <w:p w:rsidRPr="00322410" w:rsidR="06234B17" w:rsidP="1F270EBA" w:rsidRDefault="06234B17" w14:paraId="514B6A44" w14:textId="33536FA6">
            <w:pPr>
              <w:jc w:val="both"/>
              <w:rPr>
                <w:rFonts w:cs="Arial"/>
                <w:sz w:val="20"/>
                <w:szCs w:val="20"/>
              </w:rPr>
            </w:pPr>
          </w:p>
          <w:p w:rsidRPr="00322410" w:rsidR="06234B17" w:rsidP="1F270EBA" w:rsidRDefault="54964CAB" w14:paraId="5C4BB859" w14:textId="2BBA94EF">
            <w:pPr>
              <w:jc w:val="both"/>
              <w:rPr>
                <w:rFonts w:cs="Arial"/>
                <w:b/>
                <w:bCs/>
                <w:sz w:val="20"/>
                <w:szCs w:val="20"/>
              </w:rPr>
            </w:pPr>
            <w:r w:rsidRPr="00322410">
              <w:rPr>
                <w:rFonts w:cs="Arial"/>
                <w:b/>
                <w:bCs/>
                <w:sz w:val="20"/>
                <w:szCs w:val="20"/>
              </w:rPr>
              <w:t>M</w:t>
            </w:r>
            <w:r w:rsidRPr="00322410" w:rsidR="25A1EBE4">
              <w:rPr>
                <w:rFonts w:cs="Arial"/>
                <w:b/>
                <w:bCs/>
                <w:sz w:val="20"/>
                <w:szCs w:val="20"/>
              </w:rPr>
              <w:t>et</w:t>
            </w:r>
            <w:r w:rsidRPr="00322410">
              <w:rPr>
                <w:rFonts w:cs="Arial"/>
                <w:b/>
                <w:bCs/>
                <w:sz w:val="20"/>
                <w:szCs w:val="20"/>
              </w:rPr>
              <w:t xml:space="preserve"> expectation</w:t>
            </w:r>
          </w:p>
        </w:tc>
      </w:tr>
    </w:tbl>
    <w:p w:rsidRPr="00322410" w:rsidR="422B779B" w:rsidP="005854DB" w:rsidRDefault="422B779B" w14:paraId="6B348111" w14:textId="1D96ADA8">
      <w:pPr>
        <w:jc w:val="both"/>
        <w:rPr>
          <w:b/>
          <w:bCs/>
          <w:i/>
          <w:iCs/>
          <w:sz w:val="28"/>
          <w:szCs w:val="28"/>
        </w:rPr>
      </w:pPr>
    </w:p>
    <w:p w:rsidRPr="00322410" w:rsidR="306FC38C" w:rsidP="638F23BA" w:rsidRDefault="306FC38C" w14:paraId="7B72CC4E" w14:textId="07AE7C8C">
      <w:pPr>
        <w:jc w:val="both"/>
        <w:rPr>
          <w:rFonts w:cs="Arial"/>
          <w:i/>
          <w:iCs/>
          <w:sz w:val="22"/>
          <w:szCs w:val="22"/>
        </w:rPr>
      </w:pPr>
      <w:r w:rsidRPr="00322410">
        <w:rPr>
          <w:b/>
          <w:bCs/>
          <w:i/>
          <w:iCs/>
          <w:sz w:val="28"/>
          <w:szCs w:val="28"/>
        </w:rPr>
        <w:t>Output summary and supporting narrative for the score</w:t>
      </w:r>
      <w:r w:rsidRPr="00322410">
        <w:rPr>
          <w:rFonts w:cs="Arial"/>
          <w:b/>
          <w:bCs/>
          <w:i/>
          <w:iCs/>
          <w:sz w:val="22"/>
          <w:szCs w:val="22"/>
        </w:rPr>
        <w:t xml:space="preserve"> </w:t>
      </w:r>
    </w:p>
    <w:p w:rsidRPr="00322410" w:rsidR="638F23BA" w:rsidP="638F23BA" w:rsidRDefault="638F23BA" w14:paraId="3DDF9A97" w14:textId="1027C7C2">
      <w:pPr>
        <w:jc w:val="both"/>
        <w:rPr>
          <w:rFonts w:cs="Arial"/>
          <w:b/>
          <w:bCs/>
          <w:i/>
          <w:iCs/>
          <w:sz w:val="22"/>
          <w:szCs w:val="22"/>
        </w:rPr>
      </w:pPr>
    </w:p>
    <w:p w:rsidRPr="00322410" w:rsidR="1725A6F2" w:rsidP="638F23BA" w:rsidRDefault="67B1E2AE" w14:paraId="5E6A0C23" w14:textId="32A2549C">
      <w:pPr>
        <w:jc w:val="both"/>
        <w:rPr>
          <w:rFonts w:cs="Arial"/>
          <w:sz w:val="22"/>
          <w:szCs w:val="22"/>
        </w:rPr>
      </w:pPr>
      <w:r w:rsidRPr="00322410">
        <w:rPr>
          <w:rFonts w:cs="Arial"/>
          <w:sz w:val="22"/>
          <w:szCs w:val="22"/>
        </w:rPr>
        <w:t xml:space="preserve">Output 2 assesses the extent to which programmes are conserving biodiversity and contributing positively to local socio-economic development, as well as generating emission reductions. </w:t>
      </w:r>
      <w:r w:rsidRPr="00322410" w:rsidR="7A3CA366">
        <w:rPr>
          <w:rFonts w:cs="Arial"/>
          <w:sz w:val="22"/>
          <w:szCs w:val="22"/>
        </w:rPr>
        <w:t>This output has scored a</w:t>
      </w:r>
      <w:r w:rsidRPr="00322410" w:rsidR="001843FA">
        <w:rPr>
          <w:rFonts w:cs="Arial"/>
          <w:sz w:val="22"/>
          <w:szCs w:val="22"/>
        </w:rPr>
        <w:t>n</w:t>
      </w:r>
      <w:r w:rsidRPr="00322410" w:rsidR="7A3CA366">
        <w:rPr>
          <w:rFonts w:cs="Arial"/>
          <w:sz w:val="22"/>
          <w:szCs w:val="22"/>
        </w:rPr>
        <w:t xml:space="preserve"> </w:t>
      </w:r>
      <w:r w:rsidRPr="00322410" w:rsidR="001843FA">
        <w:rPr>
          <w:rFonts w:cs="Arial"/>
          <w:sz w:val="22"/>
          <w:szCs w:val="22"/>
        </w:rPr>
        <w:t>A</w:t>
      </w:r>
      <w:r w:rsidRPr="00322410" w:rsidR="7A3CA366">
        <w:rPr>
          <w:rFonts w:cs="Arial"/>
          <w:sz w:val="22"/>
          <w:szCs w:val="22"/>
        </w:rPr>
        <w:t xml:space="preserve"> for this reporting period, which means that results have</w:t>
      </w:r>
      <w:r w:rsidRPr="00322410" w:rsidR="001843FA">
        <w:rPr>
          <w:rFonts w:cs="Arial"/>
          <w:sz w:val="22"/>
          <w:szCs w:val="22"/>
        </w:rPr>
        <w:t xml:space="preserve"> </w:t>
      </w:r>
      <w:r w:rsidRPr="00322410" w:rsidR="7A3CA366">
        <w:rPr>
          <w:rFonts w:cs="Arial"/>
          <w:sz w:val="22"/>
          <w:szCs w:val="22"/>
        </w:rPr>
        <w:t>met expectations.</w:t>
      </w:r>
    </w:p>
    <w:p w:rsidRPr="00322410" w:rsidR="5EC65DC7" w:rsidP="5EC65DC7" w:rsidRDefault="5EC65DC7" w14:paraId="264B9F4E" w14:textId="59819381">
      <w:pPr>
        <w:jc w:val="both"/>
        <w:rPr>
          <w:rFonts w:cs="Arial"/>
          <w:sz w:val="22"/>
          <w:szCs w:val="22"/>
        </w:rPr>
      </w:pPr>
    </w:p>
    <w:p w:rsidRPr="00322410" w:rsidR="6BDDB5B7" w:rsidP="4B04B91A" w:rsidRDefault="63F4AC4E" w14:paraId="221320E6" w14:textId="25FEE568">
      <w:pPr>
        <w:jc w:val="both"/>
        <w:rPr>
          <w:rFonts w:cs="Arial"/>
          <w:sz w:val="22"/>
          <w:szCs w:val="22"/>
        </w:rPr>
      </w:pPr>
      <w:r w:rsidRPr="3A615836">
        <w:rPr>
          <w:rFonts w:cs="Arial"/>
          <w:sz w:val="22"/>
          <w:szCs w:val="22"/>
        </w:rPr>
        <w:t xml:space="preserve">Output </w:t>
      </w:r>
      <w:r w:rsidRPr="3A615836" w:rsidR="5CC196D7">
        <w:rPr>
          <w:rFonts w:cs="Arial"/>
          <w:sz w:val="22"/>
          <w:szCs w:val="22"/>
        </w:rPr>
        <w:t>i</w:t>
      </w:r>
      <w:r w:rsidRPr="3A615836">
        <w:rPr>
          <w:rFonts w:cs="Arial"/>
          <w:sz w:val="22"/>
          <w:szCs w:val="22"/>
        </w:rPr>
        <w:t xml:space="preserve">ndicator 2.1 measures the number of participant countries and extent to which FCPF has supported country efforts to sustain and enhance livelihoods within REDD+ intervention areas. </w:t>
      </w:r>
      <w:r w:rsidRPr="3A615836" w:rsidR="097F2CAD">
        <w:rPr>
          <w:rFonts w:cs="Arial"/>
          <w:sz w:val="22"/>
          <w:szCs w:val="22"/>
        </w:rPr>
        <w:t xml:space="preserve">The </w:t>
      </w:r>
      <w:r w:rsidRPr="3A615836" w:rsidR="005F0DF4">
        <w:rPr>
          <w:rFonts w:cs="Arial"/>
          <w:sz w:val="22"/>
          <w:szCs w:val="22"/>
        </w:rPr>
        <w:t>most recent FCPF evaluation</w:t>
      </w:r>
      <w:r w:rsidRPr="3A615836" w:rsidR="097F2CAD">
        <w:rPr>
          <w:rFonts w:cs="Arial"/>
          <w:sz w:val="22"/>
          <w:szCs w:val="22"/>
        </w:rPr>
        <w:t xml:space="preserve"> found that the Carbon Fund had directly supported livelihoods improvements in six countries. </w:t>
      </w:r>
      <w:r w:rsidRPr="3A615836" w:rsidR="55C5F632">
        <w:rPr>
          <w:rFonts w:cs="Arial"/>
          <w:sz w:val="22"/>
          <w:szCs w:val="22"/>
        </w:rPr>
        <w:t xml:space="preserve">According to the evaluation, this had </w:t>
      </w:r>
      <w:r w:rsidRPr="3A615836" w:rsidR="097F2CAD">
        <w:rPr>
          <w:rFonts w:cs="Arial"/>
          <w:sz w:val="22"/>
          <w:szCs w:val="22"/>
        </w:rPr>
        <w:t xml:space="preserve">been achieved through enhanced revenues from agriculture, tree nurseries, non-timber forest products, timber products, and tourism. </w:t>
      </w:r>
      <w:r w:rsidRPr="3A615836" w:rsidR="475A7413">
        <w:rPr>
          <w:rFonts w:cs="Arial"/>
          <w:sz w:val="22"/>
          <w:szCs w:val="22"/>
        </w:rPr>
        <w:t>The evaluation also found that a</w:t>
      </w:r>
      <w:r w:rsidRPr="3A615836" w:rsidR="097F2CAD">
        <w:rPr>
          <w:rFonts w:cs="Arial"/>
          <w:sz w:val="22"/>
          <w:szCs w:val="22"/>
        </w:rPr>
        <w:t xml:space="preserve">t least three countries </w:t>
      </w:r>
      <w:r w:rsidRPr="3A615836" w:rsidR="4062B835">
        <w:rPr>
          <w:rFonts w:cs="Arial"/>
          <w:sz w:val="22"/>
          <w:szCs w:val="22"/>
        </w:rPr>
        <w:t xml:space="preserve">(Ghana, Mozambique and Vietnam) </w:t>
      </w:r>
      <w:r w:rsidRPr="3A615836" w:rsidR="097F2CAD">
        <w:rPr>
          <w:rFonts w:cs="Arial"/>
          <w:sz w:val="22"/>
          <w:szCs w:val="22"/>
        </w:rPr>
        <w:t>are likely to have generated climate change adaptation benefits</w:t>
      </w:r>
      <w:r w:rsidRPr="3A615836" w:rsidR="36B8DAD9">
        <w:rPr>
          <w:rFonts w:cs="Arial"/>
          <w:sz w:val="22"/>
          <w:szCs w:val="22"/>
        </w:rPr>
        <w:t xml:space="preserve">. Although </w:t>
      </w:r>
      <w:r w:rsidRPr="3A615836" w:rsidR="365A4CB5">
        <w:rPr>
          <w:rFonts w:cs="Arial"/>
          <w:sz w:val="22"/>
          <w:szCs w:val="22"/>
        </w:rPr>
        <w:t>the number of countries in which the FCPF has supported efforts to enhance livelihoods is below the RP25 target, the</w:t>
      </w:r>
      <w:r w:rsidRPr="3A615836" w:rsidR="3E0EC2CB">
        <w:rPr>
          <w:rFonts w:cs="Arial"/>
          <w:sz w:val="22"/>
          <w:szCs w:val="22"/>
        </w:rPr>
        <w:t xml:space="preserve"> evaluation only covered FCPF operations up to August 2023,</w:t>
      </w:r>
      <w:r w:rsidRPr="3A615836" w:rsidR="7C09D849">
        <w:rPr>
          <w:rFonts w:cs="Arial"/>
          <w:sz w:val="22"/>
          <w:szCs w:val="22"/>
        </w:rPr>
        <w:t xml:space="preserve"> which is about</w:t>
      </w:r>
      <w:r w:rsidRPr="3A615836" w:rsidR="3E0EC2CB">
        <w:rPr>
          <w:rFonts w:cs="Arial"/>
          <w:sz w:val="22"/>
          <w:szCs w:val="22"/>
        </w:rPr>
        <w:t xml:space="preserve"> two years before the end of RP</w:t>
      </w:r>
      <w:r w:rsidRPr="3A615836" w:rsidR="33CABA34">
        <w:rPr>
          <w:rFonts w:cs="Arial"/>
          <w:sz w:val="22"/>
          <w:szCs w:val="22"/>
        </w:rPr>
        <w:t xml:space="preserve">25. </w:t>
      </w:r>
      <w:r w:rsidRPr="3A615836" w:rsidR="00BC6387">
        <w:rPr>
          <w:rFonts w:cs="Arial"/>
          <w:sz w:val="22"/>
          <w:szCs w:val="22"/>
        </w:rPr>
        <w:t xml:space="preserve">This indicator will therefore not be included in the overall score. </w:t>
      </w:r>
      <w:r w:rsidRPr="3A615836" w:rsidR="116B27AD">
        <w:rPr>
          <w:rFonts w:cs="Arial"/>
          <w:sz w:val="22"/>
          <w:szCs w:val="22"/>
        </w:rPr>
        <w:t xml:space="preserve">We have </w:t>
      </w:r>
      <w:r w:rsidRPr="3A615836" w:rsidR="003D239F">
        <w:rPr>
          <w:rFonts w:cs="Arial"/>
          <w:sz w:val="22"/>
          <w:szCs w:val="22"/>
        </w:rPr>
        <w:t xml:space="preserve">recommended </w:t>
      </w:r>
      <w:r w:rsidRPr="3A615836" w:rsidR="002408B9">
        <w:rPr>
          <w:rFonts w:cs="Arial"/>
          <w:sz w:val="22"/>
          <w:szCs w:val="22"/>
        </w:rPr>
        <w:t xml:space="preserve">in Recommendation </w:t>
      </w:r>
      <w:r w:rsidRPr="3A615836" w:rsidR="7ABC87D6">
        <w:rPr>
          <w:rFonts w:cs="Arial"/>
          <w:sz w:val="22"/>
          <w:szCs w:val="22"/>
        </w:rPr>
        <w:t>1g</w:t>
      </w:r>
      <w:r w:rsidRPr="3A615836" w:rsidR="002408B9">
        <w:rPr>
          <w:rFonts w:cs="Arial"/>
          <w:sz w:val="22"/>
          <w:szCs w:val="22"/>
        </w:rPr>
        <w:t xml:space="preserve"> </w:t>
      </w:r>
      <w:r w:rsidRPr="3A615836" w:rsidR="003D239F">
        <w:rPr>
          <w:rFonts w:cs="Arial"/>
          <w:sz w:val="22"/>
          <w:szCs w:val="22"/>
        </w:rPr>
        <w:t>that for future Annual Reviews, a l</w:t>
      </w:r>
      <w:r w:rsidRPr="3A615836" w:rsidR="002408B9">
        <w:rPr>
          <w:rFonts w:cs="Arial"/>
          <w:sz w:val="22"/>
          <w:szCs w:val="22"/>
        </w:rPr>
        <w:t xml:space="preserve">ight-touch assessment of this indicator </w:t>
      </w:r>
      <w:r w:rsidRPr="3A615836" w:rsidR="00057FD2">
        <w:rPr>
          <w:rFonts w:cs="Arial"/>
          <w:sz w:val="22"/>
          <w:szCs w:val="22"/>
        </w:rPr>
        <w:t>should be</w:t>
      </w:r>
      <w:r w:rsidRPr="3A615836" w:rsidR="002408B9">
        <w:rPr>
          <w:rFonts w:cs="Arial"/>
          <w:sz w:val="22"/>
          <w:szCs w:val="22"/>
        </w:rPr>
        <w:t xml:space="preserve"> conducted using information provided by the World Bank</w:t>
      </w:r>
      <w:r w:rsidRPr="3A615836" w:rsidR="116B27AD">
        <w:rPr>
          <w:rFonts w:cs="Arial"/>
          <w:sz w:val="22"/>
          <w:szCs w:val="22"/>
        </w:rPr>
        <w:t xml:space="preserve"> (please see next section for further detail on this </w:t>
      </w:r>
      <w:r w:rsidRPr="3A615836" w:rsidR="002408B9">
        <w:rPr>
          <w:rFonts w:cs="Arial"/>
          <w:sz w:val="22"/>
          <w:szCs w:val="22"/>
        </w:rPr>
        <w:t>recommendation</w:t>
      </w:r>
      <w:r w:rsidRPr="3A615836" w:rsidR="116B27AD">
        <w:rPr>
          <w:rFonts w:cs="Arial"/>
          <w:sz w:val="22"/>
          <w:szCs w:val="22"/>
        </w:rPr>
        <w:t>).</w:t>
      </w:r>
    </w:p>
    <w:p w:rsidRPr="00322410" w:rsidR="48F103E9" w:rsidP="48F103E9" w:rsidRDefault="48F103E9" w14:paraId="285D1559" w14:textId="132FD8D5">
      <w:pPr>
        <w:jc w:val="both"/>
        <w:rPr>
          <w:rFonts w:cs="Arial"/>
          <w:sz w:val="22"/>
          <w:szCs w:val="22"/>
        </w:rPr>
      </w:pPr>
    </w:p>
    <w:p w:rsidRPr="00322410" w:rsidR="5C8C9786" w:rsidP="48F103E9" w:rsidRDefault="2D63A58B" w14:paraId="1539E326" w14:textId="6BB525A8">
      <w:pPr>
        <w:jc w:val="both"/>
        <w:rPr>
          <w:rFonts w:cs="Arial"/>
          <w:sz w:val="22"/>
          <w:szCs w:val="22"/>
        </w:rPr>
      </w:pPr>
      <w:r w:rsidRPr="3A615836">
        <w:rPr>
          <w:rFonts w:cs="Arial"/>
          <w:sz w:val="22"/>
          <w:szCs w:val="22"/>
        </w:rPr>
        <w:t xml:space="preserve">At the end of RP25, under </w:t>
      </w:r>
      <w:r w:rsidRPr="3A615836" w:rsidR="6BEA9D7F">
        <w:rPr>
          <w:rFonts w:cs="Arial"/>
          <w:sz w:val="22"/>
          <w:szCs w:val="22"/>
        </w:rPr>
        <w:t>o</w:t>
      </w:r>
      <w:r w:rsidRPr="3A615836" w:rsidR="5C8C9786">
        <w:rPr>
          <w:rFonts w:cs="Arial"/>
          <w:sz w:val="22"/>
          <w:szCs w:val="22"/>
        </w:rPr>
        <w:t xml:space="preserve">utput </w:t>
      </w:r>
      <w:r w:rsidRPr="3A615836" w:rsidR="01735FEA">
        <w:rPr>
          <w:rFonts w:cs="Arial"/>
          <w:sz w:val="22"/>
          <w:szCs w:val="22"/>
        </w:rPr>
        <w:t>i</w:t>
      </w:r>
      <w:r w:rsidRPr="3A615836" w:rsidR="5C8C9786">
        <w:rPr>
          <w:rFonts w:cs="Arial"/>
          <w:sz w:val="22"/>
          <w:szCs w:val="22"/>
        </w:rPr>
        <w:t>ndicator 2.2</w:t>
      </w:r>
      <w:r w:rsidRPr="3A615836" w:rsidR="5183CA53">
        <w:rPr>
          <w:rFonts w:cs="Arial"/>
          <w:sz w:val="22"/>
          <w:szCs w:val="22"/>
        </w:rPr>
        <w:t xml:space="preserve">, </w:t>
      </w:r>
      <w:r w:rsidRPr="3A615836" w:rsidR="48ABC46C">
        <w:rPr>
          <w:rFonts w:cs="Arial"/>
          <w:sz w:val="22"/>
          <w:szCs w:val="22"/>
        </w:rPr>
        <w:t xml:space="preserve">26% of carbon benefits paid </w:t>
      </w:r>
      <w:r w:rsidRPr="3A615836" w:rsidR="5594AC63">
        <w:rPr>
          <w:rFonts w:cs="Arial"/>
          <w:sz w:val="22"/>
          <w:szCs w:val="22"/>
        </w:rPr>
        <w:t>from Carbon Fund programmes had been shared with beneficiaries. As this output was revised in RP25, there is no RP25 milestone (this will be set in RP26)</w:t>
      </w:r>
      <w:r w:rsidRPr="3A615836" w:rsidR="04AF312A">
        <w:rPr>
          <w:rFonts w:cs="Arial"/>
          <w:sz w:val="22"/>
          <w:szCs w:val="22"/>
        </w:rPr>
        <w:t>.</w:t>
      </w:r>
      <w:r w:rsidRPr="3A615836" w:rsidR="5594AC63">
        <w:rPr>
          <w:rFonts w:cs="Arial"/>
          <w:sz w:val="22"/>
          <w:szCs w:val="22"/>
        </w:rPr>
        <w:t xml:space="preserve"> </w:t>
      </w:r>
    </w:p>
    <w:p w:rsidRPr="00322410" w:rsidR="71D99B56" w:rsidP="27F3A8CF" w:rsidRDefault="71D99B56" w14:paraId="2E73693B" w14:textId="2084F653">
      <w:pPr>
        <w:jc w:val="both"/>
        <w:rPr>
          <w:rFonts w:cs="Arial"/>
          <w:sz w:val="22"/>
          <w:szCs w:val="22"/>
        </w:rPr>
      </w:pPr>
    </w:p>
    <w:p w:rsidRPr="00322410" w:rsidR="71D99B56" w:rsidP="656D94E5" w:rsidRDefault="649D6359" w14:paraId="3C3E455C" w14:textId="598A8E37">
      <w:pPr>
        <w:jc w:val="both"/>
        <w:rPr>
          <w:rFonts w:eastAsia="Arial" w:cs="Arial"/>
          <w:sz w:val="22"/>
          <w:szCs w:val="22"/>
        </w:rPr>
      </w:pPr>
      <w:r w:rsidRPr="05A2F2E6">
        <w:rPr>
          <w:rFonts w:cs="Arial"/>
          <w:sz w:val="22"/>
          <w:szCs w:val="22"/>
        </w:rPr>
        <w:t xml:space="preserve">Output </w:t>
      </w:r>
      <w:r w:rsidRPr="05A2F2E6" w:rsidR="0C445E91">
        <w:rPr>
          <w:rFonts w:cs="Arial"/>
          <w:sz w:val="22"/>
          <w:szCs w:val="22"/>
        </w:rPr>
        <w:t>i</w:t>
      </w:r>
      <w:r w:rsidRPr="05A2F2E6">
        <w:rPr>
          <w:rFonts w:cs="Arial"/>
          <w:sz w:val="22"/>
          <w:szCs w:val="22"/>
        </w:rPr>
        <w:t xml:space="preserve">ndicator 2.3 measures the number of benefit-sharing plans (BSPs) being implemented. At the end of RP25, </w:t>
      </w:r>
      <w:r w:rsidRPr="05A2F2E6" w:rsidR="786BCEEE">
        <w:rPr>
          <w:rFonts w:cs="Arial"/>
          <w:sz w:val="22"/>
          <w:szCs w:val="22"/>
        </w:rPr>
        <w:t xml:space="preserve">twelve </w:t>
      </w:r>
      <w:r w:rsidRPr="05A2F2E6">
        <w:rPr>
          <w:rFonts w:cs="Arial"/>
          <w:sz w:val="22"/>
          <w:szCs w:val="22"/>
        </w:rPr>
        <w:t>BSPs were being implemented. As</w:t>
      </w:r>
      <w:r w:rsidRPr="05A2F2E6" w:rsidR="3D6B11DA">
        <w:rPr>
          <w:rFonts w:cs="Arial"/>
          <w:sz w:val="22"/>
          <w:szCs w:val="22"/>
        </w:rPr>
        <w:t xml:space="preserve">, </w:t>
      </w:r>
      <w:r w:rsidRPr="05A2F2E6" w:rsidR="28969ECD">
        <w:rPr>
          <w:rFonts w:cs="Arial"/>
          <w:sz w:val="22"/>
          <w:szCs w:val="22"/>
        </w:rPr>
        <w:t xml:space="preserve">at the </w:t>
      </w:r>
      <w:r w:rsidRPr="05A2F2E6" w:rsidR="3D6B11DA">
        <w:rPr>
          <w:rFonts w:cs="Arial"/>
          <w:sz w:val="22"/>
          <w:szCs w:val="22"/>
        </w:rPr>
        <w:t>end of RP24,</w:t>
      </w:r>
      <w:r w:rsidRPr="05A2F2E6">
        <w:rPr>
          <w:rFonts w:cs="Arial"/>
          <w:sz w:val="22"/>
          <w:szCs w:val="22"/>
        </w:rPr>
        <w:t xml:space="preserve"> all fifte</w:t>
      </w:r>
      <w:r w:rsidRPr="05A2F2E6" w:rsidR="5B62CA9E">
        <w:rPr>
          <w:rFonts w:cs="Arial"/>
          <w:sz w:val="22"/>
          <w:szCs w:val="22"/>
        </w:rPr>
        <w:t xml:space="preserve">en Carbon Fund countries were expected to have received their first payment in </w:t>
      </w:r>
      <w:r w:rsidRPr="05A2F2E6" w:rsidR="5105E438">
        <w:rPr>
          <w:rFonts w:cs="Arial"/>
          <w:sz w:val="22"/>
          <w:szCs w:val="22"/>
        </w:rPr>
        <w:t>the first half of RP25, we would expect all countries to be implementing their BSPs. Th</w:t>
      </w:r>
      <w:r w:rsidRPr="05A2F2E6" w:rsidR="2012A0EA">
        <w:rPr>
          <w:rFonts w:cs="Arial"/>
          <w:sz w:val="22"/>
          <w:szCs w:val="22"/>
        </w:rPr>
        <w:t xml:space="preserve">ere are several reasons why this result falls short of the target. </w:t>
      </w:r>
      <w:r w:rsidRPr="05A2F2E6" w:rsidR="2012A0EA">
        <w:rPr>
          <w:rFonts w:eastAsia="Arial" w:cs="Arial"/>
          <w:sz w:val="22"/>
          <w:szCs w:val="22"/>
        </w:rPr>
        <w:t>In many cases, it takes time for countries to build new processes, institutional arrangements and governance structures, and to conduct stakeholder consultations to operationalise benefit distribution. Indeed, the third programme evaluation found that the main bottlenecks to the disbursement of bene</w:t>
      </w:r>
      <w:r w:rsidRPr="05A2F2E6" w:rsidR="1064F9D6">
        <w:rPr>
          <w:rFonts w:eastAsia="Arial" w:cs="Arial"/>
          <w:sz w:val="22"/>
          <w:szCs w:val="22"/>
        </w:rPr>
        <w:t xml:space="preserve">fits are existing legal arrangements and administrative capacities and systems. Many beneficiaries are not yet </w:t>
      </w:r>
      <w:proofErr w:type="gramStart"/>
      <w:r w:rsidRPr="05A2F2E6" w:rsidR="1064F9D6">
        <w:rPr>
          <w:rFonts w:eastAsia="Arial" w:cs="Arial"/>
          <w:sz w:val="22"/>
          <w:szCs w:val="22"/>
        </w:rPr>
        <w:t>in a position</w:t>
      </w:r>
      <w:proofErr w:type="gramEnd"/>
      <w:r w:rsidRPr="05A2F2E6" w:rsidR="1064F9D6">
        <w:rPr>
          <w:rFonts w:eastAsia="Arial" w:cs="Arial"/>
          <w:sz w:val="22"/>
          <w:szCs w:val="22"/>
        </w:rPr>
        <w:t xml:space="preserve"> to receive payments, due to an absence of legal agreements or an official bank account into which payments can be deposited.</w:t>
      </w:r>
      <w:r w:rsidRPr="05A2F2E6" w:rsidR="53826347">
        <w:rPr>
          <w:rFonts w:eastAsia="Arial" w:cs="Arial"/>
          <w:sz w:val="22"/>
          <w:szCs w:val="22"/>
        </w:rPr>
        <w:t xml:space="preserve"> It is essential that Carbon Fund programmes implement BSPs swiftly and equitabl</w:t>
      </w:r>
      <w:r w:rsidRPr="05A2F2E6" w:rsidR="0A233197">
        <w:rPr>
          <w:rFonts w:eastAsia="Arial" w:cs="Arial"/>
          <w:sz w:val="22"/>
          <w:szCs w:val="22"/>
        </w:rPr>
        <w:t>y</w:t>
      </w:r>
      <w:r w:rsidRPr="05A2F2E6" w:rsidR="53826347">
        <w:rPr>
          <w:rFonts w:eastAsia="Arial" w:cs="Arial"/>
          <w:sz w:val="22"/>
          <w:szCs w:val="22"/>
        </w:rPr>
        <w:t xml:space="preserve"> so that beneficiaries can be rewarded for their actions to reduce emissions. </w:t>
      </w:r>
      <w:r w:rsidRPr="05A2F2E6" w:rsidR="7DE9C718">
        <w:rPr>
          <w:rFonts w:eastAsia="Arial" w:cs="Arial"/>
          <w:sz w:val="22"/>
          <w:szCs w:val="22"/>
        </w:rPr>
        <w:t xml:space="preserve">Recommendation </w:t>
      </w:r>
      <w:r w:rsidRPr="05A2F2E6" w:rsidR="651E23D5">
        <w:rPr>
          <w:rFonts w:eastAsia="Arial" w:cs="Arial"/>
          <w:sz w:val="22"/>
          <w:szCs w:val="22"/>
        </w:rPr>
        <w:t>4</w:t>
      </w:r>
      <w:r w:rsidRPr="05A2F2E6" w:rsidR="2EEDA68E">
        <w:rPr>
          <w:rFonts w:eastAsia="Arial" w:cs="Arial"/>
          <w:sz w:val="22"/>
          <w:szCs w:val="22"/>
        </w:rPr>
        <w:t xml:space="preserve"> </w:t>
      </w:r>
      <w:r w:rsidRPr="05A2F2E6" w:rsidR="7DE9C718">
        <w:rPr>
          <w:rFonts w:eastAsia="Arial" w:cs="Arial"/>
          <w:sz w:val="22"/>
          <w:szCs w:val="22"/>
        </w:rPr>
        <w:t>calls for the World Bank to hold a dedicated session with contributors to discuss the delays in the implementation of benefit-sharing plans.</w:t>
      </w:r>
    </w:p>
    <w:p w:rsidRPr="00322410" w:rsidR="32FFBFAD" w:rsidP="32FFBFAD" w:rsidRDefault="32FFBFAD" w14:paraId="39DD6892" w14:textId="34A36190">
      <w:pPr>
        <w:jc w:val="both"/>
        <w:rPr>
          <w:rFonts w:eastAsia="Arial" w:cs="Arial"/>
          <w:sz w:val="22"/>
          <w:szCs w:val="22"/>
        </w:rPr>
      </w:pPr>
    </w:p>
    <w:p w:rsidRPr="00322410" w:rsidR="7DE9C718" w:rsidP="411E7511" w:rsidRDefault="7DE9C718" w14:paraId="7E1D9BAD" w14:textId="36E136CE">
      <w:pPr>
        <w:jc w:val="both"/>
        <w:rPr>
          <w:rFonts w:eastAsia="Arial" w:cs="Arial"/>
          <w:sz w:val="22"/>
          <w:szCs w:val="22"/>
        </w:rPr>
      </w:pPr>
      <w:r w:rsidRPr="00322410">
        <w:rPr>
          <w:rFonts w:eastAsia="Arial" w:cs="Arial"/>
          <w:sz w:val="22"/>
          <w:szCs w:val="22"/>
        </w:rPr>
        <w:t>However, there is qualitative evidence that demonstrates positive progress in the distribution of benefits in some FCPF countries.</w:t>
      </w:r>
      <w:r w:rsidRPr="00322410" w:rsidR="7AD7968B">
        <w:rPr>
          <w:rFonts w:eastAsia="Arial" w:cs="Arial"/>
          <w:sz w:val="22"/>
          <w:szCs w:val="22"/>
        </w:rPr>
        <w:t xml:space="preserve"> For example, funds generated from carbon finance</w:t>
      </w:r>
      <w:r w:rsidRPr="00322410" w:rsidR="070FEC99">
        <w:rPr>
          <w:rFonts w:eastAsia="Arial" w:cs="Arial"/>
          <w:sz w:val="22"/>
          <w:szCs w:val="22"/>
        </w:rPr>
        <w:t xml:space="preserve"> in Madagascar</w:t>
      </w:r>
      <w:r w:rsidRPr="00322410" w:rsidR="7AD7968B">
        <w:rPr>
          <w:rFonts w:eastAsia="Arial" w:cs="Arial"/>
          <w:sz w:val="22"/>
          <w:szCs w:val="22"/>
        </w:rPr>
        <w:t xml:space="preserve"> are being used to support teachers’ wages, thereby investing in human capital. In </w:t>
      </w:r>
      <w:r w:rsidRPr="00322410" w:rsidR="0C34ECC1">
        <w:rPr>
          <w:rFonts w:eastAsia="Arial" w:cs="Arial"/>
          <w:sz w:val="22"/>
          <w:szCs w:val="22"/>
        </w:rPr>
        <w:t>Vietnam, over 70 percent of the recipients of benefits are ethnic minorities in remote regions, many of whom are receiving c</w:t>
      </w:r>
      <w:r w:rsidRPr="00322410" w:rsidR="5E83387F">
        <w:rPr>
          <w:rFonts w:eastAsia="Arial" w:cs="Arial"/>
          <w:sz w:val="22"/>
          <w:szCs w:val="22"/>
        </w:rPr>
        <w:t xml:space="preserve">arbon payments for the first time. </w:t>
      </w:r>
      <w:r w:rsidRPr="00322410" w:rsidR="63FDA9C8">
        <w:rPr>
          <w:rFonts w:eastAsia="Arial" w:cs="Arial"/>
          <w:sz w:val="22"/>
          <w:szCs w:val="22"/>
        </w:rPr>
        <w:t>Carbon payments in Côte d’Ivoire have prompted the government to help farmers, including migrant farmers, to obtain official identification documents, thereby improving social inclusion across these communities.</w:t>
      </w:r>
    </w:p>
    <w:p w:rsidRPr="00322410" w:rsidR="5F30633C" w:rsidP="5F30633C" w:rsidRDefault="5F30633C" w14:paraId="39080D96" w14:textId="5155478C">
      <w:pPr>
        <w:jc w:val="both"/>
        <w:rPr>
          <w:rFonts w:eastAsia="Arial" w:cs="Arial"/>
          <w:sz w:val="22"/>
          <w:szCs w:val="22"/>
        </w:rPr>
      </w:pPr>
    </w:p>
    <w:p w:rsidRPr="00322410" w:rsidR="71D99B56" w:rsidP="3638DE60" w:rsidRDefault="6573E8C8" w14:paraId="55693411" w14:textId="5B6BE807">
      <w:pPr>
        <w:jc w:val="both"/>
        <w:rPr>
          <w:rFonts w:eastAsia="Arial" w:cs="Arial"/>
          <w:sz w:val="22"/>
          <w:szCs w:val="22"/>
        </w:rPr>
      </w:pPr>
      <w:r w:rsidRPr="2C0DF5FE" w:rsidR="6573E8C8">
        <w:rPr>
          <w:rFonts w:eastAsia="Arial" w:cs="Arial"/>
          <w:sz w:val="22"/>
          <w:szCs w:val="22"/>
        </w:rPr>
        <w:t xml:space="preserve">Output </w:t>
      </w:r>
      <w:r w:rsidRPr="2C0DF5FE" w:rsidR="6CEB5513">
        <w:rPr>
          <w:rFonts w:eastAsia="Arial" w:cs="Arial"/>
          <w:sz w:val="22"/>
          <w:szCs w:val="22"/>
        </w:rPr>
        <w:t>i</w:t>
      </w:r>
      <w:r w:rsidRPr="2C0DF5FE" w:rsidR="6573E8C8">
        <w:rPr>
          <w:rFonts w:eastAsia="Arial" w:cs="Arial"/>
          <w:sz w:val="22"/>
          <w:szCs w:val="22"/>
        </w:rPr>
        <w:t>ndicator</w:t>
      </w:r>
      <w:r w:rsidRPr="2C0DF5FE" w:rsidR="51F15165">
        <w:rPr>
          <w:rFonts w:eastAsia="Arial" w:cs="Arial"/>
          <w:sz w:val="22"/>
          <w:szCs w:val="22"/>
        </w:rPr>
        <w:t xml:space="preserve"> 2.4</w:t>
      </w:r>
      <w:r w:rsidRPr="2C0DF5FE" w:rsidR="6573E8C8">
        <w:rPr>
          <w:rFonts w:eastAsia="Arial" w:cs="Arial"/>
          <w:sz w:val="22"/>
          <w:szCs w:val="22"/>
        </w:rPr>
        <w:t xml:space="preserve"> </w:t>
      </w:r>
      <w:r w:rsidRPr="2C0DF5FE" w:rsidR="6573E8C8">
        <w:rPr>
          <w:rFonts w:eastAsia="Arial" w:cs="Arial"/>
          <w:sz w:val="22"/>
          <w:szCs w:val="22"/>
        </w:rPr>
        <w:t>measure</w:t>
      </w:r>
      <w:r w:rsidRPr="2C0DF5FE" w:rsidR="1E599E54">
        <w:rPr>
          <w:rFonts w:eastAsia="Arial" w:cs="Arial"/>
          <w:sz w:val="22"/>
          <w:szCs w:val="22"/>
        </w:rPr>
        <w:t>s</w:t>
      </w:r>
      <w:r w:rsidRPr="2C0DF5FE" w:rsidR="6573E8C8">
        <w:rPr>
          <w:rFonts w:eastAsia="Arial" w:cs="Arial"/>
          <w:sz w:val="22"/>
          <w:szCs w:val="22"/>
        </w:rPr>
        <w:t xml:space="preserve"> the number of Carbon Fund programmes that test ways to sustain and enhance livelihoods</w:t>
      </w:r>
      <w:r w:rsidRPr="2C0DF5FE" w:rsidR="1EADF6B1">
        <w:rPr>
          <w:rFonts w:eastAsia="Arial" w:cs="Arial"/>
          <w:sz w:val="22"/>
          <w:szCs w:val="22"/>
        </w:rPr>
        <w:t>.</w:t>
      </w:r>
      <w:r w:rsidRPr="2C0DF5FE" w:rsidR="4F1856FA">
        <w:rPr>
          <w:rFonts w:eastAsia="Arial" w:cs="Arial"/>
          <w:sz w:val="22"/>
          <w:szCs w:val="22"/>
        </w:rPr>
        <w:t xml:space="preserve"> At the end of RP25, all 15 programmes were testing ways to sustain and enhance livelih</w:t>
      </w:r>
      <w:r w:rsidRPr="2C0DF5FE" w:rsidR="5C9B00BE">
        <w:rPr>
          <w:rFonts w:eastAsia="Arial" w:cs="Arial"/>
          <w:sz w:val="22"/>
          <w:szCs w:val="22"/>
        </w:rPr>
        <w:t>o</w:t>
      </w:r>
      <w:r w:rsidRPr="2C0DF5FE" w:rsidR="4F1856FA">
        <w:rPr>
          <w:rFonts w:eastAsia="Arial" w:cs="Arial"/>
          <w:sz w:val="22"/>
          <w:szCs w:val="22"/>
        </w:rPr>
        <w:t>ods. For example, in Ghana, c</w:t>
      </w:r>
      <w:r w:rsidRPr="2C0DF5FE" w:rsidR="4F1856FA">
        <w:rPr>
          <w:rFonts w:eastAsia="Arial" w:cs="Arial"/>
          <w:sz w:val="22"/>
          <w:szCs w:val="22"/>
        </w:rPr>
        <w:t xml:space="preserve">ocoa farmers are adopting climate-smart farming and diversifying into activities like snail and fish farming, leading to higher yields and more stable incomes. </w:t>
      </w:r>
      <w:r w:rsidRPr="2C0DF5FE" w:rsidR="033107AE">
        <w:rPr>
          <w:rFonts w:eastAsia="Arial" w:cs="Arial"/>
          <w:sz w:val="22"/>
          <w:szCs w:val="22"/>
        </w:rPr>
        <w:t>In Indonesia, c</w:t>
      </w:r>
      <w:r w:rsidRPr="2C0DF5FE" w:rsidR="4F1856FA">
        <w:rPr>
          <w:rFonts w:eastAsia="Arial" w:cs="Arial"/>
          <w:sz w:val="22"/>
          <w:szCs w:val="22"/>
        </w:rPr>
        <w:t>ommunity groups</w:t>
      </w:r>
      <w:r w:rsidRPr="2C0DF5FE" w:rsidR="7C17CDC3">
        <w:rPr>
          <w:rFonts w:eastAsia="Arial" w:cs="Arial"/>
          <w:sz w:val="22"/>
          <w:szCs w:val="22"/>
        </w:rPr>
        <w:t xml:space="preserve"> in East Kalimantan</w:t>
      </w:r>
      <w:r w:rsidRPr="2C0DF5FE" w:rsidR="4F1856FA">
        <w:rPr>
          <w:rFonts w:eastAsia="Arial" w:cs="Arial"/>
          <w:sz w:val="22"/>
          <w:szCs w:val="22"/>
        </w:rPr>
        <w:t xml:space="preserve"> have received social forestry licences, giving them access to forest land and support for new economic activities such as non-timber forest products and sustainable agriculture.</w:t>
      </w:r>
    </w:p>
    <w:p w:rsidRPr="00322410" w:rsidR="71D99B56" w:rsidP="71D99B56" w:rsidRDefault="71D99B56" w14:paraId="1BF9C5E8" w14:textId="41CD2E05">
      <w:pPr>
        <w:jc w:val="both"/>
        <w:rPr>
          <w:rFonts w:cs="Arial"/>
          <w:sz w:val="22"/>
          <w:szCs w:val="22"/>
        </w:rPr>
      </w:pPr>
    </w:p>
    <w:p w:rsidRPr="00322410" w:rsidR="660F1A19" w:rsidP="003D0399" w:rsidRDefault="60C2A28A" w14:paraId="0ABCBB46" w14:textId="31BE0333">
      <w:pPr>
        <w:jc w:val="both"/>
        <w:rPr>
          <w:rFonts w:eastAsia="Arial" w:cs="Arial"/>
          <w:sz w:val="22"/>
          <w:szCs w:val="22"/>
        </w:rPr>
      </w:pPr>
      <w:r w:rsidRPr="26970757">
        <w:rPr>
          <w:rFonts w:cs="Arial"/>
          <w:sz w:val="22"/>
          <w:szCs w:val="22"/>
        </w:rPr>
        <w:t>As measured by output indicator 2.5, at the end of RP25 all 15 Carbon Fund programmes were testing ways to conserve biodiversity</w:t>
      </w:r>
      <w:r w:rsidRPr="26970757" w:rsidR="24DBB21B">
        <w:rPr>
          <w:rFonts w:cs="Arial"/>
          <w:sz w:val="22"/>
          <w:szCs w:val="22"/>
        </w:rPr>
        <w:t>, meeting both the RP25 and EOP targets</w:t>
      </w:r>
      <w:r w:rsidRPr="26970757" w:rsidR="455135B9">
        <w:rPr>
          <w:rFonts w:cs="Arial"/>
          <w:sz w:val="22"/>
          <w:szCs w:val="22"/>
        </w:rPr>
        <w:t>.</w:t>
      </w:r>
      <w:r w:rsidRPr="26970757" w:rsidR="405E76EE">
        <w:rPr>
          <w:rFonts w:cs="Arial"/>
          <w:sz w:val="22"/>
          <w:szCs w:val="22"/>
        </w:rPr>
        <w:t xml:space="preserve"> For example</w:t>
      </w:r>
      <w:r w:rsidRPr="26970757" w:rsidR="3A60D436">
        <w:rPr>
          <w:rFonts w:cs="Arial"/>
          <w:sz w:val="22"/>
          <w:szCs w:val="22"/>
        </w:rPr>
        <w:t>, in Costa Rica, the emission reduction programme seeks to strengthen the Protected Wild Areas (ASPs)</w:t>
      </w:r>
      <w:r w:rsidRPr="26970757" w:rsidR="5DBA5659">
        <w:rPr>
          <w:rFonts w:cs="Arial"/>
          <w:sz w:val="22"/>
          <w:szCs w:val="22"/>
        </w:rPr>
        <w:t>,</w:t>
      </w:r>
      <w:r w:rsidRPr="26970757" w:rsidR="3A60D436">
        <w:rPr>
          <w:rFonts w:cs="Arial"/>
          <w:sz w:val="22"/>
          <w:szCs w:val="22"/>
        </w:rPr>
        <w:t xml:space="preserve"> which are strategically located to create biological corridors, protect high conservation value forests and avoid the loss of key species to guarantee the conse</w:t>
      </w:r>
      <w:r w:rsidRPr="26970757" w:rsidR="64E8B342">
        <w:rPr>
          <w:rFonts w:cs="Arial"/>
          <w:sz w:val="22"/>
          <w:szCs w:val="22"/>
        </w:rPr>
        <w:t>rvation of critical biodiversity.</w:t>
      </w:r>
      <w:r w:rsidRPr="26970757" w:rsidR="713F568E">
        <w:rPr>
          <w:rFonts w:cs="Arial"/>
          <w:sz w:val="22"/>
          <w:szCs w:val="22"/>
        </w:rPr>
        <w:t xml:space="preserve"> Meanwhile, </w:t>
      </w:r>
      <w:r w:rsidRPr="26970757" w:rsidR="72D9C0DF">
        <w:rPr>
          <w:rFonts w:cs="Arial"/>
          <w:sz w:val="22"/>
          <w:szCs w:val="22"/>
        </w:rPr>
        <w:t xml:space="preserve">in Mozambique, the </w:t>
      </w:r>
      <w:r w:rsidRPr="26970757" w:rsidR="6A92BB63">
        <w:rPr>
          <w:rFonts w:cs="Arial"/>
          <w:sz w:val="22"/>
          <w:szCs w:val="22"/>
        </w:rPr>
        <w:t>Mozambique Conservation Area for Biodiversity and Development Project (</w:t>
      </w:r>
      <w:proofErr w:type="spellStart"/>
      <w:r w:rsidRPr="26970757" w:rsidR="6A92BB63">
        <w:rPr>
          <w:rFonts w:cs="Arial"/>
          <w:sz w:val="22"/>
          <w:szCs w:val="22"/>
        </w:rPr>
        <w:t>MozBio</w:t>
      </w:r>
      <w:proofErr w:type="spellEnd"/>
      <w:r w:rsidRPr="26970757" w:rsidR="6A92BB63">
        <w:rPr>
          <w:rFonts w:cs="Arial"/>
          <w:sz w:val="22"/>
          <w:szCs w:val="22"/>
        </w:rPr>
        <w:t>), which is one of the projects contributi</w:t>
      </w:r>
      <w:r w:rsidRPr="26970757" w:rsidR="32155FD0">
        <w:rPr>
          <w:rFonts w:cs="Arial"/>
          <w:sz w:val="22"/>
          <w:szCs w:val="22"/>
        </w:rPr>
        <w:t>ng</w:t>
      </w:r>
      <w:r w:rsidRPr="26970757" w:rsidR="6A92BB63">
        <w:rPr>
          <w:rFonts w:cs="Arial"/>
          <w:sz w:val="22"/>
          <w:szCs w:val="22"/>
        </w:rPr>
        <w:t xml:space="preserve"> to the FCPF emission reductions programme, is supporting biodiversity by contributing financia</w:t>
      </w:r>
      <w:r w:rsidRPr="26970757" w:rsidR="1BF7720D">
        <w:rPr>
          <w:rFonts w:cs="Arial"/>
          <w:sz w:val="22"/>
          <w:szCs w:val="22"/>
        </w:rPr>
        <w:t xml:space="preserve">l and technical support to the </w:t>
      </w:r>
      <w:proofErr w:type="spellStart"/>
      <w:r w:rsidRPr="26970757" w:rsidR="1BF7720D">
        <w:rPr>
          <w:rFonts w:cs="Arial"/>
          <w:sz w:val="22"/>
          <w:szCs w:val="22"/>
        </w:rPr>
        <w:t>Gilé</w:t>
      </w:r>
      <w:proofErr w:type="spellEnd"/>
      <w:r w:rsidRPr="26970757" w:rsidR="1BF7720D">
        <w:rPr>
          <w:rFonts w:cs="Arial"/>
          <w:sz w:val="22"/>
          <w:szCs w:val="22"/>
        </w:rPr>
        <w:t xml:space="preserve"> National Park and its buffer zone.</w:t>
      </w:r>
      <w:r w:rsidRPr="26970757" w:rsidR="1FDB6555">
        <w:rPr>
          <w:rFonts w:cs="Arial"/>
          <w:sz w:val="22"/>
          <w:szCs w:val="22"/>
        </w:rPr>
        <w:t xml:space="preserve"> These examples provide evidence that the FCPF is contributing more broadly to enhancing biodiversity.</w:t>
      </w:r>
    </w:p>
    <w:p w:rsidRPr="00322410" w:rsidR="660F1A19" w:rsidRDefault="660F1A19" w14:paraId="477C6960" w14:textId="1AF47C79">
      <w:pPr>
        <w:jc w:val="both"/>
        <w:rPr>
          <w:rFonts w:cs="Arial"/>
          <w:sz w:val="22"/>
          <w:szCs w:val="22"/>
        </w:rPr>
      </w:pPr>
    </w:p>
    <w:p w:rsidRPr="00322410" w:rsidR="306FC38C" w:rsidP="2C0DF5FE" w:rsidRDefault="306FC38C" w14:paraId="4CC090AF" w14:textId="33AE94CE">
      <w:pPr>
        <w:jc w:val="both"/>
        <w:rPr>
          <w:rFonts w:cs="Arial"/>
          <w:i w:val="1"/>
          <w:iCs w:val="1"/>
          <w:sz w:val="22"/>
          <w:szCs w:val="22"/>
        </w:rPr>
      </w:pPr>
      <w:r w:rsidRPr="2C0DF5FE" w:rsidR="306FC38C">
        <w:rPr>
          <w:b w:val="1"/>
          <w:bCs w:val="1"/>
          <w:i w:val="1"/>
          <w:iCs w:val="1"/>
          <w:sz w:val="28"/>
          <w:szCs w:val="28"/>
        </w:rPr>
        <w:t xml:space="preserve">Changes to this output, and any planned changes </w:t>
      </w:r>
      <w:r w:rsidRPr="2C0DF5FE" w:rsidR="306FC38C">
        <w:rPr>
          <w:b w:val="1"/>
          <w:bCs w:val="1"/>
          <w:i w:val="1"/>
          <w:iCs w:val="1"/>
          <w:sz w:val="28"/>
          <w:szCs w:val="28"/>
        </w:rPr>
        <w:t>as a result of</w:t>
      </w:r>
      <w:r w:rsidRPr="2C0DF5FE" w:rsidR="306FC38C">
        <w:rPr>
          <w:b w:val="1"/>
          <w:bCs w:val="1"/>
          <w:i w:val="1"/>
          <w:iCs w:val="1"/>
          <w:sz w:val="28"/>
          <w:szCs w:val="28"/>
        </w:rPr>
        <w:t xml:space="preserve"> this review</w:t>
      </w:r>
      <w:r w:rsidRPr="2C0DF5FE" w:rsidR="306FC38C">
        <w:rPr>
          <w:rFonts w:cs="Arial"/>
          <w:b w:val="1"/>
          <w:bCs w:val="1"/>
          <w:i w:val="1"/>
          <w:iCs w:val="1"/>
          <w:sz w:val="22"/>
          <w:szCs w:val="22"/>
        </w:rPr>
        <w:t xml:space="preserve"> </w:t>
      </w:r>
    </w:p>
    <w:p w:rsidRPr="00322410" w:rsidR="10C30D11" w:rsidP="10C30D11" w:rsidRDefault="10C30D11" w14:paraId="55B17E04" w14:textId="24066A88">
      <w:pPr>
        <w:jc w:val="both"/>
        <w:rPr>
          <w:rFonts w:cs="Arial"/>
          <w:sz w:val="22"/>
          <w:szCs w:val="22"/>
        </w:rPr>
      </w:pPr>
    </w:p>
    <w:p w:rsidRPr="00322410" w:rsidR="49C66085" w:rsidP="66777DF3" w:rsidRDefault="49C66085" w14:paraId="774CA4CB" w14:textId="73B57135">
      <w:pPr>
        <w:jc w:val="both"/>
        <w:rPr>
          <w:rFonts w:cs="Arial"/>
          <w:sz w:val="22"/>
          <w:szCs w:val="22"/>
        </w:rPr>
      </w:pPr>
      <w:r w:rsidRPr="00322410">
        <w:rPr>
          <w:rFonts w:cs="Arial"/>
          <w:sz w:val="22"/>
          <w:szCs w:val="22"/>
        </w:rPr>
        <w:t>As detailed in Section B, all open indicators under output 2 were extended to 2028 due to the programme extension</w:t>
      </w:r>
      <w:r w:rsidRPr="00322410" w:rsidR="720C7D64">
        <w:rPr>
          <w:rFonts w:cs="Arial"/>
          <w:sz w:val="22"/>
          <w:szCs w:val="22"/>
        </w:rPr>
        <w:t>,</w:t>
      </w:r>
      <w:r w:rsidRPr="00322410">
        <w:rPr>
          <w:rFonts w:cs="Arial"/>
          <w:sz w:val="22"/>
          <w:szCs w:val="22"/>
        </w:rPr>
        <w:t xml:space="preserve"> and interim milestones were set for each.</w:t>
      </w:r>
    </w:p>
    <w:p w:rsidRPr="00322410" w:rsidR="49C66085" w:rsidP="66777DF3" w:rsidRDefault="49C66085" w14:paraId="666C4E4E" w14:textId="409A792B">
      <w:pPr>
        <w:jc w:val="both"/>
        <w:rPr>
          <w:rFonts w:cs="Arial"/>
          <w:sz w:val="22"/>
          <w:szCs w:val="22"/>
        </w:rPr>
      </w:pPr>
    </w:p>
    <w:p w:rsidRPr="00322410" w:rsidR="49C66085" w:rsidP="4AEA334B" w:rsidRDefault="49C66085" w14:paraId="34FE31D9" w14:textId="5E2AD10B">
      <w:pPr>
        <w:jc w:val="both"/>
        <w:rPr>
          <w:rFonts w:cs="Arial"/>
          <w:sz w:val="22"/>
          <w:szCs w:val="22"/>
        </w:rPr>
      </w:pPr>
      <w:r w:rsidRPr="26970757">
        <w:rPr>
          <w:rFonts w:cs="Arial"/>
          <w:sz w:val="22"/>
          <w:szCs w:val="22"/>
        </w:rPr>
        <w:t>In line with t</w:t>
      </w:r>
      <w:r w:rsidRPr="26970757" w:rsidR="67CF517F">
        <w:rPr>
          <w:rFonts w:cs="Arial"/>
          <w:sz w:val="22"/>
          <w:szCs w:val="22"/>
        </w:rPr>
        <w:t>he change made by the World Bank, output indicator 2.2 was revised from “% of monetary benefits from CF programmes shared with beneficiaries” to “% of carbon benefits paid from CF programmes shared with benefici</w:t>
      </w:r>
      <w:r w:rsidRPr="26970757" w:rsidR="2FC01120">
        <w:rPr>
          <w:rFonts w:cs="Arial"/>
          <w:sz w:val="22"/>
          <w:szCs w:val="22"/>
        </w:rPr>
        <w:t xml:space="preserve">aries”. This change was made to ensure both monetary and non-monetary benefits </w:t>
      </w:r>
      <w:r w:rsidRPr="26970757" w:rsidR="61B6BAE0">
        <w:rPr>
          <w:rFonts w:cs="Arial"/>
          <w:sz w:val="22"/>
          <w:szCs w:val="22"/>
        </w:rPr>
        <w:t>a</w:t>
      </w:r>
      <w:r w:rsidRPr="26970757" w:rsidR="2FC01120">
        <w:rPr>
          <w:rFonts w:cs="Arial"/>
          <w:sz w:val="22"/>
          <w:szCs w:val="22"/>
        </w:rPr>
        <w:t xml:space="preserve">re captured, </w:t>
      </w:r>
      <w:r w:rsidRPr="26970757" w:rsidR="733E5A96">
        <w:rPr>
          <w:rFonts w:cs="Arial"/>
          <w:sz w:val="22"/>
          <w:szCs w:val="22"/>
        </w:rPr>
        <w:t>as many beneficiaries, especially communities, including IPs and traditional Local Communities, do not receive monetary benefits.</w:t>
      </w:r>
    </w:p>
    <w:p w:rsidRPr="00322410" w:rsidR="66777DF3" w:rsidP="66777DF3" w:rsidRDefault="66777DF3" w14:paraId="3E6E34FC" w14:textId="3065B01B">
      <w:pPr>
        <w:jc w:val="both"/>
        <w:rPr>
          <w:rFonts w:cs="Arial"/>
          <w:sz w:val="22"/>
          <w:szCs w:val="22"/>
        </w:rPr>
      </w:pPr>
    </w:p>
    <w:p w:rsidRPr="00322410" w:rsidR="66777DF3" w:rsidP="66777DF3" w:rsidRDefault="1886F832" w14:paraId="6DDDB08C" w14:textId="27AEBDC4">
      <w:pPr>
        <w:jc w:val="both"/>
        <w:rPr>
          <w:rFonts w:cs="Arial"/>
          <w:sz w:val="22"/>
          <w:szCs w:val="22"/>
        </w:rPr>
      </w:pPr>
      <w:r w:rsidRPr="00322410">
        <w:rPr>
          <w:rFonts w:cs="Arial"/>
          <w:sz w:val="22"/>
          <w:szCs w:val="22"/>
        </w:rPr>
        <w:t>A change was also made t</w:t>
      </w:r>
      <w:r w:rsidRPr="00322410" w:rsidR="6D003879">
        <w:rPr>
          <w:rFonts w:cs="Arial"/>
          <w:sz w:val="22"/>
          <w:szCs w:val="22"/>
        </w:rPr>
        <w:t>o how</w:t>
      </w:r>
      <w:r w:rsidRPr="00322410">
        <w:rPr>
          <w:rFonts w:cs="Arial"/>
          <w:sz w:val="22"/>
          <w:szCs w:val="22"/>
        </w:rPr>
        <w:t xml:space="preserve"> output indicators 2.4 and 2.5, which measure the number of CF programmes that test ways to sustain and enhance livelihoods and to conserve biodiversity respectively</w:t>
      </w:r>
      <w:r w:rsidRPr="00322410" w:rsidR="0C03113F">
        <w:rPr>
          <w:rFonts w:cs="Arial"/>
          <w:sz w:val="22"/>
          <w:szCs w:val="22"/>
        </w:rPr>
        <w:t xml:space="preserve">, are reported. Previously, both indicators reported on all 18 countries </w:t>
      </w:r>
      <w:r w:rsidRPr="00322410" w:rsidR="56F03610">
        <w:rPr>
          <w:rFonts w:cs="Arial"/>
          <w:sz w:val="22"/>
          <w:szCs w:val="22"/>
        </w:rPr>
        <w:t>originally</w:t>
      </w:r>
      <w:r w:rsidRPr="00322410" w:rsidR="0C03113F">
        <w:rPr>
          <w:rFonts w:cs="Arial"/>
          <w:sz w:val="22"/>
          <w:szCs w:val="22"/>
        </w:rPr>
        <w:t xml:space="preserve"> in the FCPF Carbon Fund pipeline. From RP25, DESNZ will only report on the 15 countries w</w:t>
      </w:r>
      <w:r w:rsidRPr="00322410" w:rsidR="0B58AF09">
        <w:rPr>
          <w:rFonts w:cs="Arial"/>
          <w:sz w:val="22"/>
          <w:szCs w:val="22"/>
        </w:rPr>
        <w:t>ith active programmes.</w:t>
      </w:r>
    </w:p>
    <w:p w:rsidRPr="00322410" w:rsidR="00391F13" w:rsidP="66777DF3" w:rsidRDefault="00391F13" w14:paraId="49C491F0" w14:textId="77777777">
      <w:pPr>
        <w:jc w:val="both"/>
        <w:rPr>
          <w:rFonts w:cs="Arial"/>
          <w:sz w:val="22"/>
          <w:szCs w:val="22"/>
        </w:rPr>
      </w:pPr>
    </w:p>
    <w:p w:rsidRPr="00322410" w:rsidR="00391F13" w:rsidP="66777DF3" w:rsidRDefault="00391F13" w14:paraId="73A8AA6B" w14:textId="518B3078">
      <w:pPr>
        <w:jc w:val="both"/>
        <w:rPr>
          <w:rFonts w:eastAsia="Arial" w:cs="Arial"/>
          <w:sz w:val="22"/>
          <w:szCs w:val="22"/>
        </w:rPr>
      </w:pPr>
      <w:r w:rsidRPr="2C0DF5FE" w:rsidR="00391F13">
        <w:rPr>
          <w:rFonts w:cs="Arial"/>
          <w:sz w:val="22"/>
          <w:szCs w:val="22"/>
        </w:rPr>
        <w:t xml:space="preserve">It is recommended that the </w:t>
      </w:r>
      <w:r w:rsidRPr="2C0DF5FE" w:rsidR="00391F13">
        <w:rPr>
          <w:rFonts w:cs="Arial"/>
          <w:sz w:val="22"/>
          <w:szCs w:val="22"/>
        </w:rPr>
        <w:t>methodology</w:t>
      </w:r>
      <w:r w:rsidRPr="2C0DF5FE" w:rsidR="00391F13">
        <w:rPr>
          <w:rFonts w:cs="Arial"/>
          <w:sz w:val="22"/>
          <w:szCs w:val="22"/>
        </w:rPr>
        <w:t xml:space="preserve"> for output </w:t>
      </w:r>
      <w:r w:rsidRPr="2C0DF5FE" w:rsidR="576F9425">
        <w:rPr>
          <w:rFonts w:cs="Arial"/>
          <w:sz w:val="22"/>
          <w:szCs w:val="22"/>
        </w:rPr>
        <w:t xml:space="preserve">indicator </w:t>
      </w:r>
      <w:r w:rsidRPr="2C0DF5FE" w:rsidR="00391F13">
        <w:rPr>
          <w:rFonts w:cs="Arial"/>
          <w:sz w:val="22"/>
          <w:szCs w:val="22"/>
        </w:rPr>
        <w:t xml:space="preserve">2.1 </w:t>
      </w:r>
      <w:r w:rsidRPr="2C0DF5FE" w:rsidR="006023D8">
        <w:rPr>
          <w:rFonts w:cs="Arial"/>
          <w:sz w:val="22"/>
          <w:szCs w:val="22"/>
        </w:rPr>
        <w:t>should be</w:t>
      </w:r>
      <w:r w:rsidRPr="2C0DF5FE" w:rsidR="00391F13">
        <w:rPr>
          <w:rFonts w:cs="Arial"/>
          <w:sz w:val="22"/>
          <w:szCs w:val="22"/>
        </w:rPr>
        <w:t xml:space="preserve"> </w:t>
      </w:r>
      <w:r w:rsidRPr="2C0DF5FE" w:rsidR="00391F13">
        <w:rPr>
          <w:rFonts w:cs="Arial"/>
          <w:sz w:val="22"/>
          <w:szCs w:val="22"/>
        </w:rPr>
        <w:t>updated in RP25</w:t>
      </w:r>
      <w:r w:rsidRPr="2C0DF5FE" w:rsidR="00391F13">
        <w:rPr>
          <w:rFonts w:cs="Arial"/>
          <w:sz w:val="22"/>
          <w:szCs w:val="22"/>
        </w:rPr>
        <w:t xml:space="preserve"> (Recommendation </w:t>
      </w:r>
      <w:r w:rsidRPr="2C0DF5FE" w:rsidR="622EC8FE">
        <w:rPr>
          <w:rFonts w:cs="Arial"/>
          <w:sz w:val="22"/>
          <w:szCs w:val="22"/>
        </w:rPr>
        <w:t>1g</w:t>
      </w:r>
      <w:r w:rsidRPr="2C0DF5FE" w:rsidR="00391F13">
        <w:rPr>
          <w:rFonts w:cs="Arial"/>
          <w:sz w:val="22"/>
          <w:szCs w:val="22"/>
        </w:rPr>
        <w:t xml:space="preserve">). This indicator </w:t>
      </w:r>
      <w:r w:rsidRPr="2C0DF5FE" w:rsidR="001B6DB0">
        <w:rPr>
          <w:rFonts w:cs="Arial"/>
          <w:sz w:val="22"/>
          <w:szCs w:val="22"/>
        </w:rPr>
        <w:t>should</w:t>
      </w:r>
      <w:r w:rsidRPr="2C0DF5FE" w:rsidR="00391F13">
        <w:rPr>
          <w:rFonts w:cs="Arial"/>
          <w:sz w:val="22"/>
          <w:szCs w:val="22"/>
        </w:rPr>
        <w:t xml:space="preserve"> continue to be formally assessed at each programme-wide evaluation. </w:t>
      </w:r>
      <w:r w:rsidRPr="2C0DF5FE" w:rsidR="00391F13">
        <w:rPr>
          <w:rFonts w:cs="Arial"/>
          <w:sz w:val="22"/>
          <w:szCs w:val="22"/>
        </w:rPr>
        <w:t>In order to</w:t>
      </w:r>
      <w:r w:rsidRPr="2C0DF5FE" w:rsidR="00391F13">
        <w:rPr>
          <w:rFonts w:cs="Arial"/>
          <w:sz w:val="22"/>
          <w:szCs w:val="22"/>
        </w:rPr>
        <w:t xml:space="preserve"> </w:t>
      </w:r>
      <w:r w:rsidRPr="2C0DF5FE" w:rsidR="00391F13">
        <w:rPr>
          <w:rFonts w:cs="Arial"/>
          <w:sz w:val="22"/>
          <w:szCs w:val="22"/>
        </w:rPr>
        <w:t>facilitate</w:t>
      </w:r>
      <w:r w:rsidRPr="2C0DF5FE" w:rsidR="00391F13">
        <w:rPr>
          <w:rFonts w:cs="Arial"/>
          <w:sz w:val="22"/>
          <w:szCs w:val="22"/>
        </w:rPr>
        <w:t xml:space="preserve"> annual reporting, going forward the reviewer should use information provided by the World Bank to </w:t>
      </w:r>
      <w:r w:rsidRPr="2C0DF5FE" w:rsidR="00391F13">
        <w:rPr>
          <w:rFonts w:cs="Arial"/>
          <w:sz w:val="22"/>
          <w:szCs w:val="22"/>
        </w:rPr>
        <w:t>make a</w:t>
      </w:r>
      <w:r w:rsidRPr="2C0DF5FE" w:rsidR="2FA818CE">
        <w:rPr>
          <w:rFonts w:cs="Arial"/>
          <w:sz w:val="22"/>
          <w:szCs w:val="22"/>
        </w:rPr>
        <w:t>n</w:t>
      </w:r>
      <w:r w:rsidRPr="2C0DF5FE" w:rsidR="00391F13">
        <w:rPr>
          <w:rFonts w:cs="Arial"/>
          <w:sz w:val="22"/>
          <w:szCs w:val="22"/>
        </w:rPr>
        <w:t xml:space="preserve"> assessment of</w:t>
      </w:r>
      <w:r w:rsidRPr="2C0DF5FE" w:rsidR="00391F13">
        <w:rPr>
          <w:rFonts w:cs="Arial"/>
          <w:sz w:val="22"/>
          <w:szCs w:val="22"/>
        </w:rPr>
        <w:t xml:space="preserve"> this indicator, which may increase or decrease confidence in the formal assessment from the most recent programme-wide evaluation.</w:t>
      </w:r>
    </w:p>
    <w:p w:rsidRPr="00322410" w:rsidR="6F1A4770" w:rsidP="6F1A4770" w:rsidRDefault="6F1A4770" w14:paraId="3F4199BA" w14:textId="53214EB1">
      <w:pPr>
        <w:jc w:val="both"/>
        <w:rPr>
          <w:rFonts w:cs="Arial"/>
          <w:sz w:val="22"/>
          <w:szCs w:val="22"/>
        </w:rPr>
      </w:pPr>
    </w:p>
    <w:p w:rsidRPr="00322410" w:rsidR="620DBB9B" w:rsidP="2EE64219" w:rsidRDefault="21970877" w14:paraId="14F97835" w14:textId="2FE38A41">
      <w:pPr>
        <w:spacing w:after="240"/>
        <w:jc w:val="both"/>
        <w:rPr>
          <w:rFonts w:cs="Arial"/>
          <w:sz w:val="22"/>
          <w:szCs w:val="22"/>
        </w:rPr>
      </w:pPr>
      <w:r w:rsidRPr="227AC372">
        <w:rPr>
          <w:rFonts w:eastAsia="Arial" w:cs="Arial"/>
          <w:sz w:val="22"/>
          <w:szCs w:val="22"/>
        </w:rPr>
        <w:t xml:space="preserve">Moreover, Recommendation 1h calls for </w:t>
      </w:r>
      <w:r w:rsidRPr="227AC372">
        <w:rPr>
          <w:rFonts w:eastAsia="Arial" w:cs="Arial"/>
          <w:color w:val="000000" w:themeColor="text1"/>
          <w:sz w:val="22"/>
          <w:szCs w:val="22"/>
        </w:rPr>
        <w:t>DESNZ to calculate interim milestones for output indicator 2.2, “Percentage of carbon benefits paid from CF programmes shared with beneficiaries (disaggregated by gender, CSOs, IPs, LCs)</w:t>
      </w:r>
      <w:r w:rsidRPr="227AC372" w:rsidR="12644D8B">
        <w:rPr>
          <w:rFonts w:eastAsia="Arial" w:cs="Arial"/>
          <w:color w:val="000000" w:themeColor="text1"/>
          <w:sz w:val="22"/>
          <w:szCs w:val="22"/>
        </w:rPr>
        <w:t>”</w:t>
      </w:r>
      <w:r w:rsidRPr="227AC372">
        <w:rPr>
          <w:rFonts w:eastAsia="Arial" w:cs="Arial"/>
          <w:color w:val="000000" w:themeColor="text1"/>
          <w:sz w:val="22"/>
          <w:szCs w:val="22"/>
        </w:rPr>
        <w:t>. As outlined in the previous section, a</w:t>
      </w:r>
      <w:r w:rsidRPr="227AC372">
        <w:rPr>
          <w:rFonts w:cs="Arial"/>
          <w:sz w:val="22"/>
          <w:szCs w:val="22"/>
        </w:rPr>
        <w:t xml:space="preserve">s this output was revised in RP25, there </w:t>
      </w:r>
      <w:r w:rsidRPr="227AC372" w:rsidR="6F69DB98">
        <w:rPr>
          <w:rFonts w:cs="Arial"/>
          <w:sz w:val="22"/>
          <w:szCs w:val="22"/>
        </w:rPr>
        <w:t xml:space="preserve">are </w:t>
      </w:r>
      <w:r w:rsidRPr="227AC372">
        <w:rPr>
          <w:rFonts w:cs="Arial"/>
          <w:sz w:val="22"/>
          <w:szCs w:val="22"/>
        </w:rPr>
        <w:t xml:space="preserve">currently no interim milestones. Going forward, milestones can be calculated using the </w:t>
      </w:r>
      <w:r w:rsidRPr="227AC372" w:rsidR="4D9DF07F">
        <w:rPr>
          <w:rFonts w:cs="Arial"/>
          <w:sz w:val="22"/>
          <w:szCs w:val="22"/>
        </w:rPr>
        <w:t>RP25 result and the EOP target.</w:t>
      </w:r>
    </w:p>
    <w:p w:rsidRPr="00322410" w:rsidR="306FC38C" w:rsidP="10C30D11" w:rsidRDefault="306FC38C" w14:paraId="2336F2D7" w14:textId="333CE40F">
      <w:pPr>
        <w:jc w:val="both"/>
        <w:rPr>
          <w:rFonts w:cs="Arial"/>
          <w:b/>
          <w:bCs/>
        </w:rPr>
      </w:pPr>
      <w:r w:rsidRPr="00322410">
        <w:rPr>
          <w:b/>
          <w:bCs/>
          <w:i/>
          <w:iCs/>
          <w:sz w:val="28"/>
          <w:szCs w:val="28"/>
        </w:rPr>
        <w:t>Progress on recommendations from the previous AR, lessons learned this year, and recommendations for the year ahead</w:t>
      </w:r>
    </w:p>
    <w:p w:rsidRPr="00322410" w:rsidR="10C30D11" w:rsidP="10C30D11" w:rsidRDefault="10C30D11" w14:paraId="621BCDA7" w14:textId="1D3C2473"/>
    <w:p w:rsidRPr="00322410" w:rsidR="7530C61B" w:rsidP="7AE9B391" w:rsidRDefault="7530C61B" w14:paraId="3E032485" w14:textId="45BC0C4C">
      <w:pPr>
        <w:jc w:val="both"/>
        <w:rPr>
          <w:sz w:val="22"/>
          <w:szCs w:val="22"/>
        </w:rPr>
      </w:pPr>
      <w:r w:rsidRPr="00322410">
        <w:rPr>
          <w:sz w:val="22"/>
          <w:szCs w:val="22"/>
        </w:rPr>
        <w:t>The extension to 2028 of all open indic</w:t>
      </w:r>
      <w:r w:rsidRPr="00322410" w:rsidR="176FA6AD">
        <w:rPr>
          <w:sz w:val="22"/>
          <w:szCs w:val="22"/>
        </w:rPr>
        <w:t>ators and the</w:t>
      </w:r>
      <w:r w:rsidRPr="00322410">
        <w:rPr>
          <w:sz w:val="22"/>
          <w:szCs w:val="22"/>
        </w:rPr>
        <w:t xml:space="preserve"> change made to output indicator 2.2, described in the previous section, w</w:t>
      </w:r>
      <w:r w:rsidRPr="00322410" w:rsidR="14C0B036">
        <w:rPr>
          <w:sz w:val="22"/>
          <w:szCs w:val="22"/>
        </w:rPr>
        <w:t>ere both</w:t>
      </w:r>
      <w:r w:rsidRPr="00322410">
        <w:rPr>
          <w:sz w:val="22"/>
          <w:szCs w:val="22"/>
        </w:rPr>
        <w:t xml:space="preserve"> in respon</w:t>
      </w:r>
      <w:r w:rsidRPr="00322410" w:rsidR="64794FEC">
        <w:rPr>
          <w:sz w:val="22"/>
          <w:szCs w:val="22"/>
        </w:rPr>
        <w:t>se</w:t>
      </w:r>
      <w:r w:rsidRPr="00322410">
        <w:rPr>
          <w:sz w:val="22"/>
          <w:szCs w:val="22"/>
        </w:rPr>
        <w:t xml:space="preserve"> to </w:t>
      </w:r>
      <w:r w:rsidRPr="00322410" w:rsidR="694B95C8">
        <w:rPr>
          <w:sz w:val="22"/>
          <w:szCs w:val="22"/>
        </w:rPr>
        <w:t>recommendations from</w:t>
      </w:r>
      <w:r w:rsidRPr="00322410">
        <w:rPr>
          <w:sz w:val="22"/>
          <w:szCs w:val="22"/>
        </w:rPr>
        <w:t xml:space="preserve"> the previous Annual Review.</w:t>
      </w:r>
    </w:p>
    <w:p w:rsidRPr="00322410" w:rsidR="7AE9B391" w:rsidP="7AE9B391" w:rsidRDefault="7AE9B391" w14:paraId="1ADB18AD" w14:textId="1C5D6730">
      <w:pPr>
        <w:jc w:val="both"/>
        <w:rPr>
          <w:sz w:val="22"/>
          <w:szCs w:val="22"/>
        </w:rPr>
      </w:pPr>
    </w:p>
    <w:p w:rsidRPr="00322410" w:rsidR="03F98662" w:rsidP="7E5E9A59" w:rsidRDefault="7ACD70C6" w14:paraId="611A9289" w14:textId="6782CA64">
      <w:pPr>
        <w:jc w:val="both"/>
        <w:rPr>
          <w:rFonts w:eastAsia="Arial" w:cs="Arial"/>
          <w:color w:val="000000" w:themeColor="text1"/>
          <w:sz w:val="22"/>
          <w:szCs w:val="22"/>
        </w:rPr>
      </w:pPr>
      <w:r w:rsidRPr="00322410">
        <w:rPr>
          <w:sz w:val="22"/>
          <w:szCs w:val="22"/>
        </w:rPr>
        <w:t xml:space="preserve">The previous Annual Review also recommended that the World Bank decide on a process by which </w:t>
      </w:r>
      <w:r w:rsidRPr="00322410" w:rsidR="49D86F52">
        <w:rPr>
          <w:sz w:val="22"/>
          <w:szCs w:val="22"/>
        </w:rPr>
        <w:t xml:space="preserve">to continue to monitor the implementation of the benefit-sharing plans post the closure of the Carbon Fund. </w:t>
      </w:r>
      <w:r w:rsidRPr="00322410" w:rsidR="1E1E3014">
        <w:rPr>
          <w:sz w:val="22"/>
          <w:szCs w:val="22"/>
        </w:rPr>
        <w:t>It was decided in RP25 that t</w:t>
      </w:r>
      <w:r w:rsidRPr="00322410" w:rsidR="1E1E3014">
        <w:rPr>
          <w:rFonts w:eastAsia="Arial" w:cs="Arial"/>
          <w:color w:val="000000" w:themeColor="text1"/>
          <w:sz w:val="22"/>
          <w:szCs w:val="22"/>
        </w:rPr>
        <w:t xml:space="preserve">he Bank will set out the process by which BSP implementation will be monitored on a case-by-case basis, taking individual country circumstances into consideration. </w:t>
      </w:r>
      <w:r w:rsidRPr="00322410" w:rsidR="03F98662">
        <w:rPr>
          <w:rFonts w:eastAsia="Arial" w:cs="Arial"/>
          <w:color w:val="000000" w:themeColor="text1"/>
          <w:sz w:val="22"/>
          <w:szCs w:val="22"/>
        </w:rPr>
        <w:t>For example, the UK raised concerns around the fact that Mozambique’s BSP would be implemented after the ERPA closes in December 2025. In response, the World Bank proposed undertaking the following steps: </w:t>
      </w:r>
    </w:p>
    <w:p w:rsidRPr="00322410" w:rsidR="03F98662" w:rsidP="00F8289A" w:rsidRDefault="03F98662" w14:paraId="1383FB8C" w14:textId="5250B91B">
      <w:pPr>
        <w:pStyle w:val="ListParagraph"/>
        <w:numPr>
          <w:ilvl w:val="0"/>
          <w:numId w:val="8"/>
        </w:numPr>
        <w:spacing w:after="0"/>
        <w:jc w:val="both"/>
        <w:rPr>
          <w:rFonts w:eastAsia="Arial" w:cs="Arial"/>
          <w:color w:val="000000" w:themeColor="text1"/>
          <w:sz w:val="22"/>
          <w:szCs w:val="22"/>
        </w:rPr>
      </w:pPr>
      <w:r w:rsidRPr="00322410">
        <w:rPr>
          <w:rFonts w:eastAsia="Arial" w:cs="Arial"/>
          <w:color w:val="000000" w:themeColor="text1"/>
          <w:sz w:val="22"/>
          <w:szCs w:val="22"/>
        </w:rPr>
        <w:t>Management letter to government: The Bank will submit a letter to the government of Mozambique noting its responsibilities regarding the implementation of benefit sharing plan and urging the country to accelerate the implementation of the benefit sharing plan and address any pending issues that might exist. </w:t>
      </w:r>
    </w:p>
    <w:p w:rsidRPr="00322410" w:rsidR="03F98662" w:rsidP="00F8289A" w:rsidRDefault="03F98662" w14:paraId="43F0C0C7" w14:textId="77046E77">
      <w:pPr>
        <w:pStyle w:val="ListParagraph"/>
        <w:numPr>
          <w:ilvl w:val="0"/>
          <w:numId w:val="7"/>
        </w:numPr>
        <w:spacing w:after="0"/>
        <w:jc w:val="both"/>
        <w:rPr>
          <w:rFonts w:eastAsia="Arial" w:cs="Arial"/>
          <w:color w:val="000000" w:themeColor="text1"/>
          <w:sz w:val="22"/>
          <w:szCs w:val="22"/>
        </w:rPr>
      </w:pPr>
      <w:r w:rsidRPr="00322410">
        <w:rPr>
          <w:rFonts w:eastAsia="Arial" w:cs="Arial"/>
          <w:color w:val="000000" w:themeColor="text1"/>
          <w:sz w:val="22"/>
          <w:szCs w:val="22"/>
        </w:rPr>
        <w:t xml:space="preserve">Monitoring of BSP implementation: The Bank will work with the Government to find the most adequate way to monitor the implementation of the benefit sharing plan. One of the options is to extend the ERPA term to provide sufficient time for the country to implement and report on the BSP and for the Bank to supervise, and the other option is for the Bank and the country to agree on the monitoring arrangements after the ERPA closure. </w:t>
      </w:r>
      <w:r w:rsidRPr="00322410" w:rsidR="57B4678B">
        <w:rPr>
          <w:rFonts w:eastAsia="Arial" w:cs="Arial"/>
          <w:color w:val="000000" w:themeColor="text1"/>
          <w:sz w:val="22"/>
          <w:szCs w:val="22"/>
        </w:rPr>
        <w:t>At the time of writing, the Bank is due to share an agreed approach with contributors.</w:t>
      </w:r>
    </w:p>
    <w:p w:rsidRPr="00322410" w:rsidR="7E5E9A59" w:rsidP="7E5E9A59" w:rsidRDefault="7E5E9A59" w14:paraId="51A0505D" w14:textId="1C3A16F5">
      <w:pPr>
        <w:jc w:val="both"/>
        <w:rPr>
          <w:rFonts w:eastAsia="Arial" w:cs="Arial"/>
          <w:color w:val="000000" w:themeColor="text1"/>
          <w:sz w:val="22"/>
          <w:szCs w:val="22"/>
        </w:rPr>
      </w:pPr>
    </w:p>
    <w:p w:rsidRPr="00322410" w:rsidR="1A3EEEAE" w:rsidP="1A3EEEAE" w:rsidRDefault="1A3EEEAE" w14:paraId="5614C1D1" w14:textId="45004600">
      <w:pPr>
        <w:jc w:val="both"/>
        <w:rPr>
          <w:rFonts w:eastAsia="Arial" w:cs="Arial"/>
          <w:color w:val="000000" w:themeColor="text1"/>
          <w:sz w:val="22"/>
          <w:szCs w:val="22"/>
        </w:rPr>
      </w:pPr>
    </w:p>
    <w:p w:rsidRPr="00322410" w:rsidR="0D93D821" w:rsidP="0D4867B6" w:rsidRDefault="0D93D821" w14:paraId="292971B7" w14:textId="715C99CD">
      <w:pPr>
        <w:jc w:val="both"/>
        <w:rPr>
          <w:rFonts w:eastAsia="Arial" w:cs="Arial"/>
          <w:b w:val="1"/>
          <w:bCs w:val="1"/>
          <w:color w:val="000000" w:themeColor="text1"/>
          <w:sz w:val="22"/>
          <w:szCs w:val="22"/>
        </w:rPr>
      </w:pPr>
      <w:r w:rsidRPr="2C0DF5FE" w:rsidR="0D93D821">
        <w:rPr>
          <w:rFonts w:eastAsia="Arial" w:cs="Arial"/>
          <w:b w:val="1"/>
          <w:bCs w:val="1"/>
          <w:color w:val="000000" w:themeColor="text1" w:themeTint="FF" w:themeShade="FF"/>
          <w:sz w:val="22"/>
          <w:szCs w:val="22"/>
        </w:rPr>
        <w:t>Recommendations for the year ahead</w:t>
      </w:r>
    </w:p>
    <w:p w:rsidRPr="00322410" w:rsidR="1A3EEEAE" w:rsidP="5F195A99" w:rsidRDefault="1A3EEEAE" w14:paraId="09BECA9A" w14:textId="03CABAD8">
      <w:pPr>
        <w:jc w:val="both"/>
        <w:rPr>
          <w:rFonts w:eastAsia="Arial" w:cs="Arial"/>
          <w:color w:val="000000" w:themeColor="text1"/>
          <w:sz w:val="22"/>
          <w:szCs w:val="22"/>
        </w:rPr>
      </w:pPr>
    </w:p>
    <w:p w:rsidRPr="003506E9" w:rsidR="003506E9" w:rsidP="003506E9" w:rsidRDefault="003506E9" w14:paraId="5261A8B0" w14:textId="77777777">
      <w:pPr>
        <w:jc w:val="both"/>
        <w:rPr>
          <w:rFonts w:eastAsia="Arial" w:cs="Arial"/>
          <w:color w:val="000000" w:themeColor="text1"/>
          <w:sz w:val="22"/>
          <w:szCs w:val="22"/>
        </w:rPr>
      </w:pPr>
      <w:r w:rsidRPr="003506E9">
        <w:rPr>
          <w:rFonts w:eastAsia="Arial" w:cs="Arial"/>
          <w:color w:val="000000" w:themeColor="text1"/>
          <w:sz w:val="22"/>
          <w:szCs w:val="22"/>
        </w:rPr>
        <w:t>Recommendation 1: DESNZ and World Bank to update their logframes: </w:t>
      </w:r>
    </w:p>
    <w:p w:rsidRPr="00322410" w:rsidR="00901082" w:rsidP="00901082" w:rsidRDefault="003506E9" w14:paraId="209C51C7" w14:textId="77777777">
      <w:pPr>
        <w:pStyle w:val="ListParagraph"/>
        <w:numPr>
          <w:ilvl w:val="0"/>
          <w:numId w:val="9"/>
        </w:numPr>
        <w:jc w:val="both"/>
        <w:rPr>
          <w:rFonts w:eastAsia="Arial" w:cs="Arial"/>
          <w:color w:val="000000" w:themeColor="text1"/>
          <w:sz w:val="22"/>
          <w:szCs w:val="22"/>
        </w:rPr>
      </w:pPr>
      <w:r w:rsidRPr="00322410">
        <w:rPr>
          <w:rFonts w:eastAsia="Arial" w:cs="Arial"/>
          <w:color w:val="000000" w:themeColor="text1"/>
          <w:sz w:val="22"/>
          <w:szCs w:val="22"/>
        </w:rPr>
        <w:t>DESNZ to revise the methodology for output indicators 2.1 and 3.1 so that they can be reported on annually. </w:t>
      </w:r>
    </w:p>
    <w:p w:rsidRPr="00322410" w:rsidR="003506E9" w:rsidP="5F195A99" w:rsidRDefault="003506E9" w14:paraId="41BF415C" w14:textId="09A652AF">
      <w:pPr>
        <w:pStyle w:val="ListParagraph"/>
        <w:numPr>
          <w:ilvl w:val="0"/>
          <w:numId w:val="9"/>
        </w:numPr>
        <w:jc w:val="both"/>
        <w:rPr>
          <w:rFonts w:eastAsia="Arial" w:cs="Arial"/>
          <w:color w:val="000000" w:themeColor="text1"/>
          <w:sz w:val="22"/>
          <w:szCs w:val="22"/>
        </w:rPr>
      </w:pPr>
      <w:r w:rsidRPr="00322410">
        <w:rPr>
          <w:rFonts w:eastAsia="Arial" w:cs="Arial"/>
          <w:color w:val="000000" w:themeColor="text1"/>
          <w:sz w:val="22"/>
          <w:szCs w:val="22"/>
        </w:rPr>
        <w:t>DESNZ to calculate interim milestones for output indicator 2.2, “Percentage of carbon benefits paid from CF programmes shared with beneficiaries (disaggregated by gender, CSOs, IPs, LCs).</w:t>
      </w:r>
    </w:p>
    <w:p w:rsidRPr="00322410" w:rsidR="008401B9" w:rsidP="008401B9" w:rsidRDefault="008401B9" w14:paraId="4D2B4291" w14:textId="50BEF345">
      <w:pPr>
        <w:jc w:val="both"/>
        <w:rPr>
          <w:rFonts w:eastAsia="Arial" w:cs="Arial"/>
          <w:color w:val="000000" w:themeColor="text1"/>
          <w:sz w:val="22"/>
          <w:szCs w:val="22"/>
        </w:rPr>
      </w:pPr>
      <w:r w:rsidRPr="00322410">
        <w:rPr>
          <w:rFonts w:eastAsia="Arial" w:cs="Arial"/>
          <w:color w:val="000000" w:themeColor="text1"/>
          <w:sz w:val="22"/>
          <w:szCs w:val="22"/>
        </w:rPr>
        <w:t>Recommendation 2: World Bank to ensure the monitoring of the implementation of benefit-sharing plans post closure of the ERPAs. </w:t>
      </w:r>
    </w:p>
    <w:p w:rsidRPr="00322410" w:rsidR="1A3EEEAE" w:rsidP="5B1D5154" w:rsidRDefault="1A3EEEAE" w14:paraId="17FFCCDE" w14:textId="51D9666F">
      <w:pPr>
        <w:rPr>
          <w:rFonts w:eastAsia="Arial" w:cs="Arial"/>
          <w:color w:val="000000" w:themeColor="text1"/>
          <w:sz w:val="22"/>
          <w:szCs w:val="22"/>
        </w:rPr>
      </w:pPr>
    </w:p>
    <w:p w:rsidRPr="00322410" w:rsidR="1A3EEEAE" w:rsidP="5B1D5154" w:rsidRDefault="1A3EEEAE" w14:paraId="75964B42" w14:textId="29493E3A">
      <w:pPr>
        <w:jc w:val="both"/>
        <w:rPr>
          <w:rFonts w:eastAsia="Arial" w:cs="Arial"/>
          <w:color w:val="000000" w:themeColor="text1"/>
          <w:sz w:val="22"/>
          <w:szCs w:val="22"/>
        </w:rPr>
      </w:pPr>
    </w:p>
    <w:p w:rsidRPr="00322410" w:rsidR="5B1D5154" w:rsidP="5B1D5154" w:rsidRDefault="5B1D5154" w14:paraId="67CFDC25" w14:textId="1A57BB47">
      <w:pPr>
        <w:jc w:val="both"/>
        <w:rPr>
          <w:rFonts w:eastAsia="Arial" w:cs="Arial"/>
          <w:color w:val="000000" w:themeColor="text1"/>
          <w:sz w:val="22"/>
          <w:szCs w:val="22"/>
        </w:rPr>
      </w:pPr>
    </w:p>
    <w:p w:rsidRPr="00322410" w:rsidR="004A367B" w:rsidP="5F195A99" w:rsidRDefault="004A367B" w14:paraId="11485EB6" w14:textId="57CAE715">
      <w:pPr>
        <w:pStyle w:val="Heading2"/>
        <w:jc w:val="both"/>
        <w:rPr>
          <w:sz w:val="22"/>
          <w:szCs w:val="22"/>
        </w:rPr>
      </w:pPr>
    </w:p>
    <w:p w:rsidRPr="00322410" w:rsidR="004A367B" w:rsidP="5B985BC6" w:rsidRDefault="004A367B" w14:paraId="314CD773" w14:textId="068B3ECD">
      <w:r w:rsidRPr="00322410">
        <w:br w:type="page"/>
      </w:r>
    </w:p>
    <w:p w:rsidRPr="00322410" w:rsidR="004A367B" w:rsidP="10C30D11" w:rsidRDefault="004A367B" w14:paraId="345661C3" w14:textId="35E3013F">
      <w:pPr>
        <w:pStyle w:val="Heading2"/>
      </w:pPr>
      <w:bookmarkStart w:name="_Toc219130987" w:id="78"/>
      <w:r w:rsidRPr="00322410">
        <w:t xml:space="preserve">Output 3: </w:t>
      </w:r>
      <w:r w:rsidRPr="00322410" w:rsidR="3BEB4383">
        <w:t xml:space="preserve">Knowledge gained in the development of the </w:t>
      </w:r>
      <w:proofErr w:type="gramStart"/>
      <w:r w:rsidRPr="00322410" w:rsidR="3BEB4383">
        <w:t>FCPF</w:t>
      </w:r>
      <w:proofErr w:type="gramEnd"/>
      <w:r w:rsidRPr="00322410" w:rsidR="3BEB4383">
        <w:t xml:space="preserve"> and implementation of ER programmes </w:t>
      </w:r>
      <w:r w:rsidRPr="00322410" w:rsidR="0E56EAD9">
        <w:t>is</w:t>
      </w:r>
      <w:r w:rsidRPr="00322410" w:rsidR="3BEB4383">
        <w:t xml:space="preserve"> broadly shared and used by international REDD+ practitioners within and beyond FCPF country participants</w:t>
      </w:r>
      <w:bookmarkEnd w:id="78"/>
    </w:p>
    <w:p w:rsidRPr="00322410" w:rsidR="00ED5FD4" w:rsidP="00ED5FD4" w:rsidRDefault="00ED5FD4" w14:paraId="23CF0139" w14:textId="77777777"/>
    <w:tbl>
      <w:tblPr>
        <w:tblStyle w:val="TableGrid"/>
        <w:tblW w:w="9072" w:type="dxa"/>
        <w:tblInd w:w="-5" w:type="dxa"/>
        <w:tblLook w:val="04A0" w:firstRow="1" w:lastRow="0" w:firstColumn="1" w:lastColumn="0" w:noHBand="0" w:noVBand="1"/>
      </w:tblPr>
      <w:tblGrid>
        <w:gridCol w:w="1566"/>
        <w:gridCol w:w="616"/>
        <w:gridCol w:w="937"/>
        <w:gridCol w:w="2977"/>
        <w:gridCol w:w="2976"/>
      </w:tblGrid>
      <w:tr w:rsidRPr="00322410" w:rsidR="00ED5FD4" w:rsidTr="276D75C7" w14:paraId="343E8A59" w14:textId="77777777">
        <w:trPr>
          <w:trHeight w:val="489"/>
        </w:trPr>
        <w:tc>
          <w:tcPr>
            <w:tcW w:w="1566"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22410" w:rsidR="00ED5FD4" w:rsidRDefault="00ED5FD4" w14:paraId="7F6358D7" w14:textId="77777777">
            <w:pPr>
              <w:jc w:val="both"/>
              <w:rPr>
                <w:rFonts w:cs="Arial"/>
                <w:b/>
                <w:bCs/>
                <w:sz w:val="22"/>
                <w:szCs w:val="22"/>
              </w:rPr>
            </w:pPr>
            <w:r w:rsidRPr="00322410">
              <w:rPr>
                <w:rFonts w:cs="Arial"/>
                <w:b/>
                <w:bCs/>
                <w:sz w:val="22"/>
                <w:szCs w:val="22"/>
              </w:rPr>
              <w:t xml:space="preserve">Output Title </w:t>
            </w:r>
          </w:p>
        </w:tc>
        <w:tc>
          <w:tcPr>
            <w:tcW w:w="7506" w:type="dxa"/>
            <w:gridSpan w:val="4"/>
            <w:tcBorders>
              <w:top w:val="single" w:color="auto" w:sz="4" w:space="0"/>
              <w:left w:val="single" w:color="auto" w:sz="4" w:space="0"/>
              <w:bottom w:val="single" w:color="auto" w:sz="4" w:space="0"/>
              <w:right w:val="single" w:color="auto" w:sz="4" w:space="0"/>
            </w:tcBorders>
            <w:shd w:val="clear" w:color="auto" w:fill="FFFFFF" w:themeFill="background1"/>
          </w:tcPr>
          <w:p w:rsidRPr="00322410" w:rsidR="00ED5FD4" w:rsidP="085CB4A5" w:rsidRDefault="3AC5FD00" w14:paraId="215425E5" w14:textId="04CD8014">
            <w:pPr>
              <w:jc w:val="both"/>
              <w:rPr>
                <w:rFonts w:cs="Arial"/>
                <w:sz w:val="22"/>
                <w:szCs w:val="22"/>
              </w:rPr>
            </w:pPr>
            <w:r w:rsidRPr="00322410">
              <w:rPr>
                <w:rFonts w:cs="Arial"/>
                <w:sz w:val="22"/>
                <w:szCs w:val="22"/>
              </w:rPr>
              <w:t xml:space="preserve">Knowledge gained in the development of </w:t>
            </w:r>
            <w:r w:rsidRPr="00322410" w:rsidR="43DCCDBA">
              <w:rPr>
                <w:rFonts w:cs="Arial"/>
                <w:sz w:val="22"/>
                <w:szCs w:val="22"/>
              </w:rPr>
              <w:t xml:space="preserve">the </w:t>
            </w:r>
            <w:proofErr w:type="gramStart"/>
            <w:r w:rsidRPr="00322410" w:rsidR="43DCCDBA">
              <w:rPr>
                <w:rFonts w:cs="Arial"/>
                <w:sz w:val="22"/>
                <w:szCs w:val="22"/>
              </w:rPr>
              <w:t>FCPF</w:t>
            </w:r>
            <w:proofErr w:type="gramEnd"/>
            <w:r w:rsidRPr="00322410" w:rsidR="43DCCDBA">
              <w:rPr>
                <w:rFonts w:cs="Arial"/>
                <w:sz w:val="22"/>
                <w:szCs w:val="22"/>
              </w:rPr>
              <w:t xml:space="preserve"> </w:t>
            </w:r>
            <w:r w:rsidRPr="00322410">
              <w:rPr>
                <w:rFonts w:cs="Arial"/>
                <w:sz w:val="22"/>
                <w:szCs w:val="22"/>
              </w:rPr>
              <w:t xml:space="preserve">and implementation of ER programmes </w:t>
            </w:r>
            <w:r w:rsidRPr="00322410" w:rsidR="4A7670E4">
              <w:rPr>
                <w:rFonts w:cs="Arial"/>
                <w:sz w:val="22"/>
                <w:szCs w:val="22"/>
              </w:rPr>
              <w:t>is</w:t>
            </w:r>
            <w:r w:rsidRPr="00322410">
              <w:rPr>
                <w:rFonts w:cs="Arial"/>
                <w:sz w:val="22"/>
                <w:szCs w:val="22"/>
              </w:rPr>
              <w:t xml:space="preserve"> broadly shared and used by international REDD+ practitioners within and beyond FCPF country participants</w:t>
            </w:r>
          </w:p>
        </w:tc>
      </w:tr>
      <w:tr w:rsidRPr="00322410" w:rsidR="00ED5FD4" w:rsidTr="276D75C7" w14:paraId="0D129A7F" w14:textId="77777777">
        <w:trPr>
          <w:trHeight w:val="347"/>
        </w:trPr>
        <w:tc>
          <w:tcPr>
            <w:tcW w:w="2182"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22410" w:rsidR="00ED5FD4" w:rsidRDefault="00ED5FD4" w14:paraId="5E4E4F19" w14:textId="77777777">
            <w:pPr>
              <w:jc w:val="both"/>
              <w:rPr>
                <w:rFonts w:cs="Arial"/>
                <w:bCs/>
                <w:sz w:val="22"/>
                <w:szCs w:val="22"/>
              </w:rPr>
            </w:pPr>
            <w:r w:rsidRPr="00322410">
              <w:rPr>
                <w:rFonts w:cs="Arial"/>
                <w:bCs/>
                <w:sz w:val="22"/>
                <w:szCs w:val="22"/>
              </w:rPr>
              <w:t xml:space="preserve">Output number: </w:t>
            </w:r>
          </w:p>
        </w:tc>
        <w:tc>
          <w:tcPr>
            <w:tcW w:w="937" w:type="dxa"/>
            <w:tcBorders>
              <w:top w:val="single" w:color="auto" w:sz="4" w:space="0"/>
              <w:left w:val="single" w:color="auto" w:sz="4" w:space="0"/>
              <w:bottom w:val="single" w:color="auto" w:sz="4" w:space="0"/>
              <w:right w:val="single" w:color="auto" w:sz="4" w:space="0"/>
            </w:tcBorders>
          </w:tcPr>
          <w:p w:rsidRPr="00322410" w:rsidR="00ED5FD4" w:rsidRDefault="3EE037E4" w14:paraId="7D3D58F5" w14:textId="6DBFA35D">
            <w:pPr>
              <w:jc w:val="both"/>
              <w:rPr>
                <w:rFonts w:cs="Arial"/>
                <w:sz w:val="22"/>
                <w:szCs w:val="22"/>
              </w:rPr>
            </w:pPr>
            <w:r w:rsidRPr="00322410">
              <w:rPr>
                <w:rFonts w:cs="Arial"/>
                <w:sz w:val="22"/>
                <w:szCs w:val="22"/>
              </w:rPr>
              <w:t>3</w:t>
            </w:r>
          </w:p>
        </w:tc>
        <w:tc>
          <w:tcPr>
            <w:tcW w:w="2977"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22410" w:rsidR="00ED5FD4" w:rsidRDefault="00ED5FD4" w14:paraId="358A97E8" w14:textId="77777777">
            <w:pPr>
              <w:jc w:val="both"/>
              <w:rPr>
                <w:rFonts w:cs="Arial"/>
                <w:sz w:val="22"/>
                <w:szCs w:val="22"/>
              </w:rPr>
            </w:pPr>
            <w:r w:rsidRPr="00322410">
              <w:rPr>
                <w:rFonts w:cs="Arial"/>
                <w:bCs/>
                <w:sz w:val="22"/>
                <w:szCs w:val="22"/>
              </w:rPr>
              <w:t xml:space="preserve">Output Score: </w:t>
            </w:r>
          </w:p>
        </w:tc>
        <w:tc>
          <w:tcPr>
            <w:tcW w:w="2976" w:type="dxa"/>
            <w:tcBorders>
              <w:top w:val="single" w:color="auto" w:sz="4" w:space="0"/>
              <w:left w:val="single" w:color="auto" w:sz="4" w:space="0"/>
              <w:bottom w:val="single" w:color="auto" w:sz="4" w:space="0"/>
              <w:right w:val="single" w:color="auto" w:sz="4" w:space="0"/>
            </w:tcBorders>
          </w:tcPr>
          <w:p w:rsidRPr="00322410" w:rsidR="00ED5FD4" w:rsidP="4983EC82" w:rsidRDefault="37AAA856" w14:paraId="20F25E26" w14:textId="101F836B">
            <w:pPr>
              <w:jc w:val="both"/>
              <w:rPr>
                <w:rFonts w:cs="Arial"/>
                <w:b/>
                <w:bCs/>
                <w:sz w:val="22"/>
                <w:szCs w:val="22"/>
              </w:rPr>
            </w:pPr>
            <w:r w:rsidRPr="00322410">
              <w:rPr>
                <w:rFonts w:cs="Arial"/>
                <w:b/>
                <w:bCs/>
                <w:sz w:val="22"/>
                <w:szCs w:val="22"/>
              </w:rPr>
              <w:t>A+</w:t>
            </w:r>
          </w:p>
        </w:tc>
      </w:tr>
      <w:tr w:rsidRPr="00322410" w:rsidR="00ED5FD4" w:rsidTr="276D75C7" w14:paraId="71D6D4AA" w14:textId="77777777">
        <w:trPr>
          <w:trHeight w:val="345"/>
        </w:trPr>
        <w:tc>
          <w:tcPr>
            <w:tcW w:w="2182"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22410" w:rsidR="00ED5FD4" w:rsidRDefault="00ED5FD4" w14:paraId="1DBDA094" w14:textId="77777777">
            <w:pPr>
              <w:jc w:val="both"/>
              <w:rPr>
                <w:rFonts w:cs="Arial"/>
                <w:sz w:val="22"/>
                <w:szCs w:val="22"/>
              </w:rPr>
            </w:pPr>
            <w:r w:rsidRPr="00322410">
              <w:rPr>
                <w:rFonts w:cs="Arial"/>
                <w:bCs/>
                <w:sz w:val="22"/>
                <w:szCs w:val="22"/>
              </w:rPr>
              <w:t xml:space="preserve">Impact weighting (%):  </w:t>
            </w:r>
          </w:p>
        </w:tc>
        <w:tc>
          <w:tcPr>
            <w:tcW w:w="937" w:type="dxa"/>
            <w:tcBorders>
              <w:top w:val="single" w:color="auto" w:sz="4" w:space="0"/>
              <w:left w:val="single" w:color="auto" w:sz="4" w:space="0"/>
              <w:bottom w:val="single" w:color="auto" w:sz="4" w:space="0"/>
              <w:right w:val="single" w:color="auto" w:sz="4" w:space="0"/>
            </w:tcBorders>
            <w:hideMark/>
          </w:tcPr>
          <w:p w:rsidRPr="00322410" w:rsidR="00ED5FD4" w:rsidP="085CB4A5" w:rsidRDefault="5E2FDC09" w14:paraId="0EC60837" w14:textId="287923CB">
            <w:pPr>
              <w:jc w:val="both"/>
              <w:rPr>
                <w:rFonts w:cs="Arial"/>
                <w:sz w:val="22"/>
                <w:szCs w:val="22"/>
              </w:rPr>
            </w:pPr>
            <w:r w:rsidRPr="00322410">
              <w:rPr>
                <w:rFonts w:cs="Arial"/>
                <w:sz w:val="22"/>
                <w:szCs w:val="22"/>
              </w:rPr>
              <w:t>10</w:t>
            </w:r>
          </w:p>
        </w:tc>
        <w:tc>
          <w:tcPr>
            <w:tcW w:w="2977"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22410" w:rsidR="00ED5FD4" w:rsidRDefault="00ED5FD4" w14:paraId="5E35CD2B" w14:textId="77777777">
            <w:pPr>
              <w:jc w:val="both"/>
              <w:rPr>
                <w:rFonts w:cs="Arial"/>
                <w:bCs/>
                <w:sz w:val="22"/>
                <w:szCs w:val="22"/>
              </w:rPr>
            </w:pPr>
            <w:r w:rsidRPr="00322410">
              <w:rPr>
                <w:rFonts w:cs="Arial"/>
                <w:bCs/>
                <w:sz w:val="22"/>
                <w:szCs w:val="22"/>
              </w:rPr>
              <w:t xml:space="preserve">Weighting revised since last </w:t>
            </w:r>
            <w:proofErr w:type="gramStart"/>
            <w:r w:rsidRPr="00322410">
              <w:rPr>
                <w:rFonts w:cs="Arial"/>
                <w:bCs/>
                <w:sz w:val="22"/>
                <w:szCs w:val="22"/>
              </w:rPr>
              <w:t>AR?</w:t>
            </w:r>
            <w:proofErr w:type="gramEnd"/>
            <w:r w:rsidRPr="00322410">
              <w:rPr>
                <w:rFonts w:cs="Arial"/>
                <w:bCs/>
                <w:sz w:val="22"/>
                <w:szCs w:val="22"/>
              </w:rPr>
              <w:t xml:space="preserve"> </w:t>
            </w:r>
          </w:p>
        </w:tc>
        <w:tc>
          <w:tcPr>
            <w:tcW w:w="2976" w:type="dxa"/>
            <w:tcBorders>
              <w:top w:val="single" w:color="auto" w:sz="4" w:space="0"/>
              <w:left w:val="single" w:color="auto" w:sz="4" w:space="0"/>
              <w:bottom w:val="single" w:color="auto" w:sz="4" w:space="0"/>
              <w:right w:val="single" w:color="auto" w:sz="4" w:space="0"/>
            </w:tcBorders>
          </w:tcPr>
          <w:p w:rsidRPr="00322410" w:rsidR="00ED5FD4" w:rsidP="085CB4A5" w:rsidRDefault="6BAADF77" w14:paraId="510CC462" w14:textId="6BECC2D6">
            <w:pPr>
              <w:jc w:val="both"/>
              <w:rPr>
                <w:rFonts w:cs="Arial"/>
                <w:sz w:val="22"/>
                <w:szCs w:val="22"/>
              </w:rPr>
            </w:pPr>
            <w:r w:rsidRPr="00322410">
              <w:rPr>
                <w:rFonts w:cs="Arial"/>
                <w:sz w:val="22"/>
                <w:szCs w:val="22"/>
              </w:rPr>
              <w:t>No</w:t>
            </w:r>
          </w:p>
        </w:tc>
      </w:tr>
      <w:tr w:rsidRPr="00322410" w:rsidR="00ED5FD4" w:rsidTr="276D75C7" w14:paraId="13EB579E" w14:textId="77777777">
        <w:trPr>
          <w:trHeight w:val="345"/>
        </w:trPr>
        <w:tc>
          <w:tcPr>
            <w:tcW w:w="2182"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322410" w:rsidR="00ED5FD4" w:rsidRDefault="00ED5FD4" w14:paraId="59A981A1" w14:textId="44967B89">
            <w:pPr>
              <w:jc w:val="both"/>
              <w:rPr>
                <w:rFonts w:cs="Arial"/>
                <w:bCs/>
                <w:sz w:val="22"/>
                <w:szCs w:val="22"/>
              </w:rPr>
            </w:pPr>
            <w:r w:rsidRPr="00322410">
              <w:rPr>
                <w:rFonts w:cs="Arial"/>
                <w:bCs/>
                <w:sz w:val="22"/>
                <w:szCs w:val="22"/>
              </w:rPr>
              <w:t>Risk rating</w:t>
            </w:r>
            <w:r w:rsidRPr="00322410" w:rsidR="00DB3B57">
              <w:rPr>
                <w:rFonts w:cs="Arial"/>
                <w:bCs/>
                <w:sz w:val="22"/>
                <w:szCs w:val="22"/>
              </w:rPr>
              <w:t>:</w:t>
            </w:r>
          </w:p>
        </w:tc>
        <w:tc>
          <w:tcPr>
            <w:tcW w:w="937" w:type="dxa"/>
            <w:tcBorders>
              <w:top w:val="single" w:color="auto" w:sz="4" w:space="0"/>
              <w:left w:val="single" w:color="auto" w:sz="4" w:space="0"/>
              <w:bottom w:val="single" w:color="auto" w:sz="4" w:space="0"/>
              <w:right w:val="single" w:color="auto" w:sz="4" w:space="0"/>
            </w:tcBorders>
          </w:tcPr>
          <w:p w:rsidRPr="00322410" w:rsidR="00ED5FD4" w:rsidP="2F2CB8E1" w:rsidRDefault="25D5EA1C" w14:paraId="56DEF1B3" w14:textId="4DB2650A">
            <w:pPr>
              <w:jc w:val="both"/>
              <w:rPr>
                <w:rFonts w:cs="Arial"/>
                <w:sz w:val="22"/>
                <w:szCs w:val="22"/>
              </w:rPr>
            </w:pPr>
            <w:r w:rsidRPr="00322410">
              <w:rPr>
                <w:rFonts w:cs="Arial"/>
                <w:sz w:val="22"/>
                <w:szCs w:val="22"/>
              </w:rPr>
              <w:t>Minor</w:t>
            </w:r>
          </w:p>
        </w:tc>
        <w:tc>
          <w:tcPr>
            <w:tcW w:w="2977"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322410" w:rsidR="00ED5FD4" w:rsidRDefault="00ED5FD4" w14:paraId="41EB55AA" w14:textId="77777777">
            <w:pPr>
              <w:jc w:val="both"/>
              <w:rPr>
                <w:rFonts w:cs="Arial"/>
                <w:bCs/>
                <w:sz w:val="22"/>
                <w:szCs w:val="22"/>
              </w:rPr>
            </w:pPr>
            <w:r w:rsidRPr="00322410">
              <w:rPr>
                <w:rFonts w:cs="Arial"/>
                <w:bCs/>
                <w:sz w:val="22"/>
                <w:szCs w:val="22"/>
              </w:rPr>
              <w:t>Risk revised since last AR?</w:t>
            </w:r>
          </w:p>
        </w:tc>
        <w:tc>
          <w:tcPr>
            <w:tcW w:w="2976" w:type="dxa"/>
            <w:tcBorders>
              <w:top w:val="single" w:color="auto" w:sz="4" w:space="0"/>
              <w:left w:val="single" w:color="auto" w:sz="4" w:space="0"/>
              <w:bottom w:val="single" w:color="auto" w:sz="4" w:space="0"/>
              <w:right w:val="single" w:color="auto" w:sz="4" w:space="0"/>
            </w:tcBorders>
          </w:tcPr>
          <w:p w:rsidRPr="00322410" w:rsidR="00ED5FD4" w:rsidP="2F2CB8E1" w:rsidRDefault="32949522" w14:paraId="7C423B56" w14:textId="5FE6F89E">
            <w:pPr>
              <w:jc w:val="both"/>
              <w:rPr>
                <w:rFonts w:cs="Arial"/>
                <w:sz w:val="22"/>
                <w:szCs w:val="22"/>
              </w:rPr>
            </w:pPr>
            <w:r w:rsidRPr="00322410">
              <w:rPr>
                <w:rFonts w:cs="Arial"/>
                <w:sz w:val="22"/>
                <w:szCs w:val="22"/>
              </w:rPr>
              <w:t>No</w:t>
            </w:r>
          </w:p>
        </w:tc>
      </w:tr>
    </w:tbl>
    <w:p w:rsidRPr="00322410" w:rsidR="00ED5FD4" w:rsidP="00ED5FD4" w:rsidRDefault="00ED5FD4" w14:paraId="468D082A" w14:textId="77777777">
      <w:pPr>
        <w:jc w:val="both"/>
        <w:rPr>
          <w:rFonts w:cs="Arial"/>
          <w:b/>
          <w:sz w:val="22"/>
          <w:szCs w:val="22"/>
        </w:rPr>
      </w:pPr>
    </w:p>
    <w:tbl>
      <w:tblPr>
        <w:tblStyle w:val="TableGrid"/>
        <w:tblpPr w:leftFromText="180" w:rightFromText="180" w:vertAnchor="text" w:horzAnchor="page" w:tblpX="1462" w:tblpY="-10"/>
        <w:tblOverlap w:val="never"/>
        <w:tblW w:w="9067" w:type="dxa"/>
        <w:tblLook w:val="04A0" w:firstRow="1" w:lastRow="0" w:firstColumn="1" w:lastColumn="0" w:noHBand="0" w:noVBand="1"/>
      </w:tblPr>
      <w:tblGrid>
        <w:gridCol w:w="2445"/>
        <w:gridCol w:w="2430"/>
        <w:gridCol w:w="4192"/>
      </w:tblGrid>
      <w:tr w:rsidRPr="00322410" w:rsidR="00ED5FD4" w:rsidTr="6EB50D62" w14:paraId="1DCF0917" w14:textId="77777777">
        <w:trPr>
          <w:trHeight w:val="273"/>
        </w:trPr>
        <w:tc>
          <w:tcPr>
            <w:tcW w:w="2445" w:type="dxa"/>
            <w:tcBorders>
              <w:top w:val="single" w:color="auto" w:sz="4" w:space="0"/>
              <w:left w:val="single" w:color="auto" w:sz="4" w:space="0"/>
              <w:bottom w:val="single" w:color="auto" w:sz="4" w:space="0"/>
              <w:right w:val="single" w:color="auto" w:sz="4" w:space="0"/>
            </w:tcBorders>
            <w:shd w:val="clear" w:color="auto" w:fill="DEEAF6" w:themeFill="accent5" w:themeFillTint="33"/>
            <w:tcMar/>
            <w:hideMark/>
          </w:tcPr>
          <w:p w:rsidRPr="00322410" w:rsidR="00ED5FD4" w:rsidRDefault="00ED5FD4" w14:paraId="2B7EFCD7" w14:textId="77777777">
            <w:pPr>
              <w:jc w:val="both"/>
              <w:rPr>
                <w:rFonts w:cs="Arial"/>
                <w:b/>
                <w:bCs/>
                <w:sz w:val="22"/>
                <w:szCs w:val="22"/>
              </w:rPr>
            </w:pPr>
            <w:r w:rsidRPr="00322410">
              <w:rPr>
                <w:rFonts w:cs="Arial"/>
                <w:b/>
                <w:bCs/>
                <w:sz w:val="22"/>
                <w:szCs w:val="22"/>
              </w:rPr>
              <w:t>Indicator(s)</w:t>
            </w:r>
          </w:p>
        </w:tc>
        <w:tc>
          <w:tcPr>
            <w:tcW w:w="2430" w:type="dxa"/>
            <w:tcBorders>
              <w:top w:val="single" w:color="auto" w:sz="4" w:space="0"/>
              <w:left w:val="single" w:color="auto" w:sz="4" w:space="0"/>
              <w:bottom w:val="single" w:color="auto" w:sz="4" w:space="0"/>
              <w:right w:val="single" w:color="auto" w:sz="4" w:space="0"/>
            </w:tcBorders>
            <w:shd w:val="clear" w:color="auto" w:fill="DEEAF6" w:themeFill="accent5" w:themeFillTint="33"/>
            <w:tcMar/>
            <w:hideMark/>
          </w:tcPr>
          <w:p w:rsidRPr="00322410" w:rsidR="00ED5FD4" w:rsidRDefault="00ED5FD4" w14:paraId="41B685D1" w14:textId="77777777">
            <w:pPr>
              <w:jc w:val="both"/>
              <w:rPr>
                <w:rFonts w:cs="Arial"/>
                <w:b/>
                <w:bCs/>
                <w:sz w:val="22"/>
                <w:szCs w:val="22"/>
              </w:rPr>
            </w:pPr>
            <w:r w:rsidRPr="00322410">
              <w:rPr>
                <w:rFonts w:cs="Arial"/>
                <w:b/>
                <w:bCs/>
                <w:sz w:val="22"/>
                <w:szCs w:val="22"/>
              </w:rPr>
              <w:t>Milestone(s) for this review</w:t>
            </w:r>
          </w:p>
        </w:tc>
        <w:tc>
          <w:tcPr>
            <w:tcW w:w="4192" w:type="dxa"/>
            <w:tcBorders>
              <w:top w:val="single" w:color="auto" w:sz="4" w:space="0"/>
              <w:left w:val="single" w:color="auto" w:sz="4" w:space="0"/>
              <w:bottom w:val="single" w:color="auto" w:sz="4" w:space="0"/>
              <w:right w:val="single" w:color="auto" w:sz="4" w:space="0"/>
            </w:tcBorders>
            <w:shd w:val="clear" w:color="auto" w:fill="DEEAF6" w:themeFill="accent5" w:themeFillTint="33"/>
            <w:tcMar/>
            <w:hideMark/>
          </w:tcPr>
          <w:p w:rsidRPr="00322410" w:rsidR="00ED5FD4" w:rsidRDefault="00ED5FD4" w14:paraId="1238883B" w14:textId="77777777">
            <w:pPr>
              <w:jc w:val="both"/>
              <w:rPr>
                <w:rFonts w:cs="Arial"/>
                <w:b/>
                <w:bCs/>
                <w:sz w:val="22"/>
                <w:szCs w:val="22"/>
              </w:rPr>
            </w:pPr>
            <w:r w:rsidRPr="00322410">
              <w:rPr>
                <w:rFonts w:cs="Arial"/>
                <w:b/>
                <w:bCs/>
                <w:sz w:val="22"/>
                <w:szCs w:val="22"/>
              </w:rPr>
              <w:t xml:space="preserve">Progress </w:t>
            </w:r>
          </w:p>
        </w:tc>
      </w:tr>
      <w:tr w:rsidRPr="00322410" w:rsidR="00ED5FD4" w:rsidTr="6EB50D62" w14:paraId="0D9D6326" w14:textId="77777777">
        <w:tc>
          <w:tcPr>
            <w:tcW w:w="2445" w:type="dxa"/>
            <w:tcBorders>
              <w:top w:val="single" w:color="auto" w:sz="4" w:space="0"/>
              <w:left w:val="single" w:color="auto" w:sz="4" w:space="0"/>
              <w:bottom w:val="single" w:color="auto" w:sz="4" w:space="0"/>
              <w:right w:val="single" w:color="auto" w:sz="4" w:space="0"/>
            </w:tcBorders>
            <w:tcMar/>
          </w:tcPr>
          <w:p w:rsidRPr="00322410" w:rsidR="00ED5FD4" w:rsidP="1DE55ADC" w:rsidRDefault="63A8BFFB" w14:paraId="2A9C800A" w14:textId="636C4DFE">
            <w:pPr>
              <w:jc w:val="both"/>
              <w:rPr>
                <w:rFonts w:cs="Arial"/>
                <w:sz w:val="20"/>
                <w:szCs w:val="20"/>
              </w:rPr>
            </w:pPr>
            <w:r w:rsidRPr="00322410">
              <w:rPr>
                <w:rFonts w:cs="Arial"/>
                <w:sz w:val="20"/>
                <w:szCs w:val="20"/>
              </w:rPr>
              <w:t xml:space="preserve">3.1 </w:t>
            </w:r>
            <w:r w:rsidRPr="00322410" w:rsidR="008E5B2E">
              <w:rPr>
                <w:rFonts w:cs="Arial"/>
                <w:sz w:val="20"/>
                <w:szCs w:val="20"/>
              </w:rPr>
              <w:t>Number of</w:t>
            </w:r>
            <w:r w:rsidRPr="00322410" w:rsidR="2B83A8A3">
              <w:rPr>
                <w:rFonts w:cs="Arial"/>
                <w:sz w:val="20"/>
                <w:szCs w:val="20"/>
              </w:rPr>
              <w:t xml:space="preserve"> non-FCPF programmes and countries</w:t>
            </w:r>
            <w:r w:rsidRPr="00322410">
              <w:rPr>
                <w:rFonts w:cs="Arial"/>
                <w:sz w:val="20"/>
                <w:szCs w:val="20"/>
              </w:rPr>
              <w:t xml:space="preserve"> have adopted elements of the FCPF Methodological Framework within their own REDD+ processes</w:t>
            </w:r>
          </w:p>
        </w:tc>
        <w:tc>
          <w:tcPr>
            <w:tcW w:w="2430" w:type="dxa"/>
            <w:tcBorders>
              <w:top w:val="single" w:color="auto" w:sz="4" w:space="0"/>
              <w:left w:val="single" w:color="auto" w:sz="4" w:space="0"/>
              <w:bottom w:val="single" w:color="auto" w:sz="4" w:space="0"/>
              <w:right w:val="single" w:color="auto" w:sz="4" w:space="0"/>
            </w:tcBorders>
            <w:tcMar/>
          </w:tcPr>
          <w:p w:rsidRPr="00322410" w:rsidR="00ED5FD4" w:rsidP="1DE55ADC" w:rsidRDefault="720F70F9" w14:paraId="50E8BA73" w14:textId="020EB908">
            <w:pPr>
              <w:jc w:val="both"/>
              <w:rPr>
                <w:rFonts w:cs="Arial"/>
                <w:sz w:val="20"/>
                <w:szCs w:val="20"/>
              </w:rPr>
            </w:pPr>
            <w:r w:rsidRPr="00322410">
              <w:rPr>
                <w:rFonts w:cs="Arial"/>
                <w:sz w:val="20"/>
                <w:szCs w:val="20"/>
              </w:rPr>
              <w:t>M</w:t>
            </w:r>
            <w:r w:rsidRPr="00322410" w:rsidR="498EF605">
              <w:rPr>
                <w:rFonts w:cs="Arial"/>
                <w:sz w:val="20"/>
                <w:szCs w:val="20"/>
              </w:rPr>
              <w:t>oderate evidence that non-FCPF programmes and countries have adopted elements of the FCPF Methodological Framework within their own REDD+ processes.</w:t>
            </w:r>
          </w:p>
        </w:tc>
        <w:tc>
          <w:tcPr>
            <w:tcW w:w="4192" w:type="dxa"/>
            <w:tcBorders>
              <w:top w:val="single" w:color="auto" w:sz="4" w:space="0"/>
              <w:left w:val="single" w:color="auto" w:sz="4" w:space="0"/>
              <w:bottom w:val="single" w:color="auto" w:sz="4" w:space="0"/>
              <w:right w:val="single" w:color="auto" w:sz="4" w:space="0"/>
            </w:tcBorders>
            <w:tcMar/>
          </w:tcPr>
          <w:p w:rsidR="2AEAC5F1" w:rsidP="6EB50D62" w:rsidRDefault="2AEAC5F1" w14:paraId="1CED6B1E" w14:textId="7ED3C3DF">
            <w:pPr>
              <w:pStyle w:val="Normal"/>
              <w:suppressLineNumbers w:val="0"/>
              <w:bidi w:val="0"/>
              <w:spacing w:before="0" w:beforeAutospacing="off" w:after="0" w:afterAutospacing="off" w:line="240" w:lineRule="auto"/>
              <w:ind w:left="0" w:right="0"/>
              <w:jc w:val="both"/>
            </w:pPr>
            <w:r w:rsidRPr="6EB50D62" w:rsidR="2AEAC5F1">
              <w:rPr>
                <w:rFonts w:cs="Arial"/>
                <w:sz w:val="20"/>
                <w:szCs w:val="20"/>
              </w:rPr>
              <w:t>Results not reported in RP25</w:t>
            </w:r>
          </w:p>
          <w:p w:rsidR="6EB50D62" w:rsidP="6EB50D62" w:rsidRDefault="6EB50D62" w14:paraId="3CF83400" w14:textId="1847DB6E">
            <w:pPr>
              <w:rPr>
                <w:rFonts w:eastAsia="Arial" w:cs="Arial"/>
                <w:sz w:val="20"/>
                <w:szCs w:val="20"/>
              </w:rPr>
            </w:pPr>
          </w:p>
          <w:p w:rsidRPr="00322410" w:rsidR="720F70F9" w:rsidP="415B3461" w:rsidRDefault="19CD8ACE" w14:paraId="78445767" w14:textId="3B708E56">
            <w:pPr>
              <w:rPr>
                <w:rFonts w:eastAsia="Arial" w:cs="Arial"/>
                <w:sz w:val="20"/>
                <w:szCs w:val="20"/>
              </w:rPr>
            </w:pPr>
            <w:r w:rsidRPr="6EB50D62" w:rsidR="19CD8ACE">
              <w:rPr>
                <w:rFonts w:eastAsia="Arial" w:cs="Arial"/>
                <w:sz w:val="20"/>
                <w:szCs w:val="20"/>
              </w:rPr>
              <w:t>(From FY2</w:t>
            </w:r>
            <w:r w:rsidRPr="6EB50D62" w:rsidR="3E92A128">
              <w:rPr>
                <w:rFonts w:eastAsia="Arial" w:cs="Arial"/>
                <w:sz w:val="20"/>
                <w:szCs w:val="20"/>
              </w:rPr>
              <w:t>3 Eva</w:t>
            </w:r>
            <w:r w:rsidRPr="6EB50D62" w:rsidR="19CD8ACE">
              <w:rPr>
                <w:rFonts w:eastAsia="Arial" w:cs="Arial"/>
                <w:sz w:val="20"/>
                <w:szCs w:val="20"/>
              </w:rPr>
              <w:t xml:space="preserve">luation) </w:t>
            </w:r>
            <w:r w:rsidRPr="6EB50D62" w:rsidR="458B4A97">
              <w:rPr>
                <w:rFonts w:eastAsia="Arial" w:cs="Arial"/>
                <w:sz w:val="20"/>
                <w:szCs w:val="20"/>
              </w:rPr>
              <w:t xml:space="preserve">There is </w:t>
            </w:r>
            <w:r w:rsidRPr="6EB50D62" w:rsidR="458B4A97">
              <w:rPr>
                <w:rFonts w:eastAsia="Arial" w:cs="Arial"/>
                <w:sz w:val="20"/>
                <w:szCs w:val="20"/>
              </w:rPr>
              <w:t>strong evidence</w:t>
            </w:r>
            <w:r w:rsidRPr="6EB50D62" w:rsidR="458B4A97">
              <w:rPr>
                <w:rFonts w:eastAsia="Arial" w:cs="Arial"/>
                <w:sz w:val="20"/>
                <w:szCs w:val="20"/>
              </w:rPr>
              <w:t xml:space="preserve"> of a growing number of users of FCPF knowledge products as </w:t>
            </w:r>
            <w:r w:rsidRPr="6EB50D62" w:rsidR="458B4A97">
              <w:rPr>
                <w:rFonts w:eastAsia="Arial" w:cs="Arial"/>
                <w:sz w:val="20"/>
                <w:szCs w:val="20"/>
              </w:rPr>
              <w:t>evidenced</w:t>
            </w:r>
            <w:r w:rsidRPr="6EB50D62" w:rsidR="458B4A97">
              <w:rPr>
                <w:rFonts w:eastAsia="Arial" w:cs="Arial"/>
                <w:sz w:val="20"/>
                <w:szCs w:val="20"/>
              </w:rPr>
              <w:t xml:space="preserve"> by the increase in website visitors, interviews </w:t>
            </w:r>
            <w:r w:rsidRPr="6EB50D62" w:rsidR="458B4A97">
              <w:rPr>
                <w:rFonts w:eastAsia="Arial" w:cs="Arial"/>
                <w:sz w:val="20"/>
                <w:szCs w:val="20"/>
              </w:rPr>
              <w:t>indicating</w:t>
            </w:r>
            <w:r w:rsidRPr="6EB50D62" w:rsidR="458B4A97">
              <w:rPr>
                <w:rFonts w:eastAsia="Arial" w:cs="Arial"/>
                <w:sz w:val="20"/>
                <w:szCs w:val="20"/>
              </w:rPr>
              <w:t xml:space="preserve"> influence on other REDD+ mechanisms, and improvements in FREL estimates by some countries due to their experience with the FCPF process.</w:t>
            </w:r>
          </w:p>
          <w:p w:rsidRPr="00322410" w:rsidR="720F70F9" w:rsidP="733DBAE1" w:rsidRDefault="720F70F9" w14:paraId="5DF14013" w14:textId="20E8697F">
            <w:pPr>
              <w:rPr>
                <w:rFonts w:eastAsia="Arial" w:cs="Arial"/>
                <w:b/>
                <w:sz w:val="20"/>
                <w:szCs w:val="20"/>
              </w:rPr>
            </w:pPr>
          </w:p>
        </w:tc>
      </w:tr>
      <w:tr w:rsidRPr="00322410" w:rsidR="00ED5FD4" w:rsidTr="6EB50D62" w14:paraId="1F90D51E" w14:textId="77777777">
        <w:tc>
          <w:tcPr>
            <w:tcW w:w="2445" w:type="dxa"/>
            <w:tcBorders>
              <w:top w:val="single" w:color="auto" w:sz="4" w:space="0"/>
              <w:left w:val="single" w:color="auto" w:sz="4" w:space="0"/>
              <w:bottom w:val="single" w:color="auto" w:sz="4" w:space="0"/>
              <w:right w:val="single" w:color="auto" w:sz="4" w:space="0"/>
            </w:tcBorders>
            <w:tcMar/>
          </w:tcPr>
          <w:p w:rsidRPr="00322410" w:rsidR="00ED5FD4" w:rsidP="05FDA79A" w:rsidRDefault="42589241" w14:paraId="671E3A51" w14:textId="6E6D6B5C">
            <w:pPr>
              <w:jc w:val="both"/>
              <w:rPr>
                <w:rFonts w:cs="Arial"/>
                <w:sz w:val="20"/>
                <w:szCs w:val="20"/>
              </w:rPr>
            </w:pPr>
            <w:r w:rsidRPr="00322410">
              <w:rPr>
                <w:rFonts w:cs="Arial"/>
                <w:sz w:val="20"/>
                <w:szCs w:val="20"/>
              </w:rPr>
              <w:t>3.2 Number of:</w:t>
            </w:r>
          </w:p>
          <w:p w:rsidRPr="00322410" w:rsidR="00ED5FD4" w:rsidP="0F357C25" w:rsidRDefault="42589241" w14:paraId="0EFD93F7" w14:textId="28F0A8FA">
            <w:pPr>
              <w:jc w:val="both"/>
              <w:rPr>
                <w:rFonts w:cs="Arial"/>
                <w:sz w:val="20"/>
                <w:szCs w:val="20"/>
              </w:rPr>
            </w:pPr>
            <w:r w:rsidRPr="00322410">
              <w:rPr>
                <w:rFonts w:cs="Arial"/>
                <w:sz w:val="20"/>
                <w:szCs w:val="20"/>
              </w:rPr>
              <w:t>a) FCPF-supported South-South learning activities and/or events connecting FCPF countries</w:t>
            </w:r>
          </w:p>
          <w:p w:rsidRPr="00322410" w:rsidR="00ED5FD4" w:rsidP="1DE55ADC" w:rsidRDefault="42589241" w14:paraId="69F14F04" w14:textId="0B72AEF0">
            <w:pPr>
              <w:jc w:val="both"/>
              <w:rPr>
                <w:rFonts w:cs="Arial"/>
                <w:sz w:val="20"/>
                <w:szCs w:val="20"/>
              </w:rPr>
            </w:pPr>
            <w:r w:rsidRPr="00322410">
              <w:rPr>
                <w:rFonts w:cs="Arial"/>
                <w:sz w:val="20"/>
                <w:szCs w:val="20"/>
              </w:rPr>
              <w:t>b) Participants in such activities (disaggregated by gender, CSOs, IPs)</w:t>
            </w:r>
          </w:p>
        </w:tc>
        <w:tc>
          <w:tcPr>
            <w:tcW w:w="2430" w:type="dxa"/>
            <w:tcBorders>
              <w:top w:val="single" w:color="auto" w:sz="4" w:space="0"/>
              <w:left w:val="single" w:color="auto" w:sz="4" w:space="0"/>
              <w:bottom w:val="single" w:color="auto" w:sz="4" w:space="0"/>
              <w:right w:val="single" w:color="auto" w:sz="4" w:space="0"/>
            </w:tcBorders>
            <w:tcMar/>
          </w:tcPr>
          <w:p w:rsidRPr="00322410" w:rsidR="6FCDDAAB" w:rsidP="6FCDDAAB" w:rsidRDefault="6FCDDAAB" w14:paraId="2FE7F72C" w14:textId="5C957E3D">
            <w:pPr>
              <w:rPr>
                <w:rFonts w:eastAsia="Arial" w:cs="Arial"/>
                <w:color w:val="000000" w:themeColor="text1"/>
                <w:sz w:val="20"/>
                <w:szCs w:val="20"/>
              </w:rPr>
            </w:pPr>
            <w:r w:rsidRPr="00322410">
              <w:rPr>
                <w:rFonts w:eastAsia="Arial" w:cs="Arial"/>
                <w:color w:val="000000" w:themeColor="text1"/>
                <w:sz w:val="20"/>
                <w:szCs w:val="20"/>
              </w:rPr>
              <w:t>a) 75</w:t>
            </w:r>
          </w:p>
          <w:p w:rsidRPr="00322410" w:rsidR="6FCDDAAB" w:rsidP="6FCDDAAB" w:rsidRDefault="6FCDDAAB" w14:paraId="2EE0D6F2" w14:textId="189773F2">
            <w:pPr>
              <w:rPr>
                <w:rFonts w:eastAsia="Arial" w:cs="Arial"/>
                <w:color w:val="000000" w:themeColor="text1"/>
                <w:sz w:val="20"/>
                <w:szCs w:val="20"/>
              </w:rPr>
            </w:pPr>
            <w:r w:rsidRPr="00322410">
              <w:rPr>
                <w:rFonts w:eastAsia="Arial" w:cs="Arial"/>
                <w:color w:val="000000" w:themeColor="text1"/>
                <w:sz w:val="20"/>
                <w:szCs w:val="20"/>
              </w:rPr>
              <w:t>b) 5351 (1934; 778; 550)</w:t>
            </w:r>
          </w:p>
        </w:tc>
        <w:tc>
          <w:tcPr>
            <w:tcW w:w="4192" w:type="dxa"/>
            <w:tcBorders>
              <w:top w:val="single" w:color="auto" w:sz="4" w:space="0"/>
              <w:left w:val="single" w:color="auto" w:sz="4" w:space="0"/>
              <w:bottom w:val="single" w:color="auto" w:sz="4" w:space="0"/>
              <w:right w:val="single" w:color="auto" w:sz="4" w:space="0"/>
            </w:tcBorders>
            <w:tcMar/>
          </w:tcPr>
          <w:p w:rsidRPr="00322410" w:rsidR="00ED5FD4" w:rsidP="003D0399" w:rsidRDefault="1553732A" w14:paraId="4B6E81DC" w14:textId="36EC899F">
            <w:pPr>
              <w:contextualSpacing/>
              <w:rPr>
                <w:rFonts w:cs="Arial"/>
                <w:sz w:val="20"/>
                <w:szCs w:val="20"/>
              </w:rPr>
            </w:pPr>
            <w:r w:rsidRPr="00322410">
              <w:rPr>
                <w:rFonts w:cs="Arial"/>
                <w:sz w:val="20"/>
                <w:szCs w:val="20"/>
              </w:rPr>
              <w:t>a) 78</w:t>
            </w:r>
            <w:r w:rsidRPr="00322410" w:rsidR="00ED5FD4">
              <w:br/>
            </w:r>
            <w:r w:rsidRPr="00322410">
              <w:rPr>
                <w:rFonts w:cs="Arial"/>
                <w:sz w:val="20"/>
                <w:szCs w:val="20"/>
              </w:rPr>
              <w:t>b) 5,588+ (of which 2,027+ female; 783 CSO; 555 IP)</w:t>
            </w:r>
          </w:p>
          <w:p w:rsidRPr="00322410" w:rsidR="00ED5FD4" w:rsidP="1F270EBA" w:rsidRDefault="00ED5FD4" w14:paraId="47FD9A02" w14:textId="4ADE8877">
            <w:pPr>
              <w:contextualSpacing/>
              <w:jc w:val="both"/>
              <w:rPr>
                <w:rFonts w:cs="Arial"/>
                <w:sz w:val="20"/>
                <w:szCs w:val="20"/>
              </w:rPr>
            </w:pPr>
          </w:p>
          <w:p w:rsidRPr="00322410" w:rsidR="00ED5FD4" w:rsidP="1F270EBA" w:rsidRDefault="0B643D84" w14:paraId="387FF2C2" w14:textId="2B074C8D">
            <w:pPr>
              <w:contextualSpacing/>
              <w:jc w:val="both"/>
              <w:rPr>
                <w:rFonts w:cs="Arial"/>
                <w:b/>
                <w:bCs/>
                <w:sz w:val="20"/>
                <w:szCs w:val="20"/>
              </w:rPr>
            </w:pPr>
            <w:r w:rsidRPr="00322410">
              <w:rPr>
                <w:rFonts w:cs="Arial"/>
                <w:b/>
                <w:bCs/>
                <w:sz w:val="20"/>
                <w:szCs w:val="20"/>
              </w:rPr>
              <w:t>Moderately exceeded expectation</w:t>
            </w:r>
          </w:p>
        </w:tc>
      </w:tr>
      <w:tr w:rsidRPr="00322410" w:rsidR="7A334DA3" w:rsidTr="6EB50D62" w14:paraId="46CC7802" w14:textId="77777777">
        <w:trPr>
          <w:trHeight w:val="300"/>
        </w:trPr>
        <w:tc>
          <w:tcPr>
            <w:tcW w:w="2445" w:type="dxa"/>
            <w:tcBorders>
              <w:top w:val="single" w:color="auto" w:sz="4" w:space="0"/>
              <w:left w:val="single" w:color="auto" w:sz="4" w:space="0"/>
              <w:bottom w:val="single" w:color="auto" w:sz="4" w:space="0"/>
              <w:right w:val="single" w:color="auto" w:sz="4" w:space="0"/>
            </w:tcBorders>
            <w:tcMar/>
          </w:tcPr>
          <w:p w:rsidRPr="00322410" w:rsidR="1553732A" w:rsidP="7A334DA3" w:rsidRDefault="1553732A" w14:paraId="009EA3DA" w14:textId="40C0F2C9">
            <w:pPr>
              <w:jc w:val="both"/>
              <w:rPr>
                <w:rFonts w:cs="Arial"/>
                <w:sz w:val="20"/>
                <w:szCs w:val="20"/>
              </w:rPr>
            </w:pPr>
            <w:r w:rsidRPr="00322410">
              <w:rPr>
                <w:rFonts w:cs="Arial"/>
                <w:sz w:val="20"/>
                <w:szCs w:val="20"/>
              </w:rPr>
              <w:t>3.3 Percentage of participants in South-South learning activities indicating that they will apply the new knowledge or skills in their work</w:t>
            </w:r>
          </w:p>
        </w:tc>
        <w:tc>
          <w:tcPr>
            <w:tcW w:w="2430" w:type="dxa"/>
            <w:tcBorders>
              <w:top w:val="single" w:color="auto" w:sz="4" w:space="0"/>
              <w:left w:val="single" w:color="auto" w:sz="4" w:space="0"/>
              <w:bottom w:val="single" w:color="auto" w:sz="4" w:space="0"/>
              <w:right w:val="single" w:color="auto" w:sz="4" w:space="0"/>
            </w:tcBorders>
            <w:tcMar/>
          </w:tcPr>
          <w:p w:rsidRPr="00322410" w:rsidR="7A334DA3" w:rsidP="3A5BA20F" w:rsidRDefault="1553732A" w14:paraId="3324639D" w14:textId="29E0CD7D">
            <w:pPr>
              <w:rPr>
                <w:rFonts w:eastAsia="Arial" w:cs="Arial"/>
                <w:color w:val="000000" w:themeColor="text1"/>
                <w:sz w:val="20"/>
                <w:szCs w:val="20"/>
              </w:rPr>
            </w:pPr>
            <w:r w:rsidRPr="00322410">
              <w:rPr>
                <w:rFonts w:eastAsia="Arial" w:cs="Arial"/>
                <w:color w:val="000000" w:themeColor="text1"/>
                <w:sz w:val="20"/>
                <w:szCs w:val="20"/>
              </w:rPr>
              <w:t>72%</w:t>
            </w:r>
          </w:p>
        </w:tc>
        <w:tc>
          <w:tcPr>
            <w:tcW w:w="4192" w:type="dxa"/>
            <w:tcBorders>
              <w:top w:val="single" w:color="auto" w:sz="4" w:space="0"/>
              <w:left w:val="single" w:color="auto" w:sz="4" w:space="0"/>
              <w:bottom w:val="single" w:color="auto" w:sz="4" w:space="0"/>
              <w:right w:val="single" w:color="auto" w:sz="4" w:space="0"/>
            </w:tcBorders>
            <w:tcMar/>
          </w:tcPr>
          <w:p w:rsidRPr="00322410" w:rsidR="7A334DA3" w:rsidP="3A5BA20F" w:rsidRDefault="1553732A" w14:paraId="07DA150E" w14:textId="07415B7E">
            <w:pPr>
              <w:jc w:val="both"/>
              <w:rPr>
                <w:rFonts w:cs="Arial"/>
                <w:sz w:val="20"/>
                <w:szCs w:val="20"/>
              </w:rPr>
            </w:pPr>
            <w:r w:rsidRPr="00322410">
              <w:rPr>
                <w:rFonts w:cs="Arial"/>
                <w:sz w:val="20"/>
                <w:szCs w:val="20"/>
              </w:rPr>
              <w:t>83% (of which 35% female; 19% CSO; 19% IP)</w:t>
            </w:r>
          </w:p>
          <w:p w:rsidRPr="00322410" w:rsidR="682DFADD" w:rsidP="682DFADD" w:rsidRDefault="682DFADD" w14:paraId="4875510E" w14:textId="0798CC9C">
            <w:pPr>
              <w:jc w:val="both"/>
              <w:rPr>
                <w:rFonts w:cs="Arial"/>
                <w:sz w:val="20"/>
                <w:szCs w:val="20"/>
              </w:rPr>
            </w:pPr>
          </w:p>
          <w:p w:rsidRPr="00322410" w:rsidR="3E12924A" w:rsidP="682DFADD" w:rsidRDefault="3E12924A" w14:paraId="70DC5FE7" w14:textId="2B9EC503">
            <w:pPr>
              <w:jc w:val="both"/>
              <w:rPr>
                <w:rFonts w:cs="Arial"/>
                <w:b/>
                <w:bCs/>
                <w:sz w:val="20"/>
                <w:szCs w:val="20"/>
              </w:rPr>
            </w:pPr>
            <w:r w:rsidRPr="00322410">
              <w:rPr>
                <w:rFonts w:cs="Arial"/>
                <w:b/>
                <w:bCs/>
                <w:sz w:val="20"/>
                <w:szCs w:val="20"/>
              </w:rPr>
              <w:t>Substantially exceeded expectation</w:t>
            </w:r>
          </w:p>
          <w:p w:rsidRPr="00322410" w:rsidR="7A334DA3" w:rsidP="7A334DA3" w:rsidRDefault="7A334DA3" w14:paraId="45EF32BB" w14:textId="4A9A5C24">
            <w:pPr>
              <w:jc w:val="both"/>
              <w:rPr>
                <w:rFonts w:cs="Arial"/>
                <w:sz w:val="20"/>
                <w:szCs w:val="20"/>
              </w:rPr>
            </w:pPr>
          </w:p>
        </w:tc>
      </w:tr>
    </w:tbl>
    <w:p w:rsidRPr="00322410" w:rsidR="004A367B" w:rsidP="004D5FD5" w:rsidRDefault="004A367B" w14:paraId="2EFE3995" w14:textId="0902D39D">
      <w:pPr>
        <w:jc w:val="both"/>
        <w:rPr>
          <w:rFonts w:cs="Arial"/>
          <w:sz w:val="22"/>
          <w:szCs w:val="22"/>
        </w:rPr>
      </w:pPr>
    </w:p>
    <w:p w:rsidRPr="00322410" w:rsidR="3375CD04" w:rsidP="24C390B3" w:rsidRDefault="3375CD04" w14:paraId="35E77782" w14:textId="5A31BB95">
      <w:pPr>
        <w:jc w:val="both"/>
        <w:rPr>
          <w:rFonts w:cs="Arial"/>
          <w:i/>
          <w:iCs/>
          <w:sz w:val="22"/>
          <w:szCs w:val="22"/>
        </w:rPr>
      </w:pPr>
      <w:r w:rsidRPr="00322410">
        <w:rPr>
          <w:b/>
          <w:bCs/>
          <w:i/>
          <w:iCs/>
          <w:sz w:val="28"/>
          <w:szCs w:val="28"/>
        </w:rPr>
        <w:t>Output summary and supporting narrative for the score</w:t>
      </w:r>
      <w:r w:rsidRPr="00322410">
        <w:rPr>
          <w:rFonts w:cs="Arial"/>
          <w:b/>
          <w:bCs/>
          <w:i/>
          <w:iCs/>
          <w:sz w:val="22"/>
          <w:szCs w:val="22"/>
        </w:rPr>
        <w:t xml:space="preserve"> </w:t>
      </w:r>
    </w:p>
    <w:p w:rsidRPr="00322410" w:rsidR="24C390B3" w:rsidP="24C390B3" w:rsidRDefault="24C390B3" w14:paraId="1EDFBDC3" w14:textId="189F3B75">
      <w:pPr>
        <w:jc w:val="both"/>
        <w:rPr>
          <w:rFonts w:cs="Arial"/>
          <w:b/>
          <w:bCs/>
          <w:i/>
          <w:iCs/>
          <w:sz w:val="22"/>
          <w:szCs w:val="22"/>
        </w:rPr>
      </w:pPr>
    </w:p>
    <w:p w:rsidRPr="00322410" w:rsidR="3375CD04" w:rsidP="308FA0F1" w:rsidRDefault="4B442DB2" w14:paraId="4FB017DB" w14:textId="0F637686">
      <w:pPr>
        <w:jc w:val="both"/>
        <w:rPr>
          <w:rFonts w:cs="Arial"/>
          <w:sz w:val="22"/>
          <w:szCs w:val="22"/>
        </w:rPr>
      </w:pPr>
      <w:r w:rsidRPr="00322410">
        <w:rPr>
          <w:rFonts w:cs="Arial"/>
          <w:sz w:val="22"/>
          <w:szCs w:val="22"/>
        </w:rPr>
        <w:t xml:space="preserve">Output 3 assesses the extent to which </w:t>
      </w:r>
      <w:r w:rsidRPr="00322410" w:rsidR="6AE0BBB4">
        <w:rPr>
          <w:rFonts w:cs="Arial"/>
          <w:sz w:val="22"/>
          <w:szCs w:val="22"/>
        </w:rPr>
        <w:t xml:space="preserve">knowledge gained in the development of the </w:t>
      </w:r>
      <w:proofErr w:type="gramStart"/>
      <w:r w:rsidRPr="00322410" w:rsidR="6AE0BBB4">
        <w:rPr>
          <w:rFonts w:cs="Arial"/>
          <w:sz w:val="22"/>
          <w:szCs w:val="22"/>
        </w:rPr>
        <w:t>FCPF</w:t>
      </w:r>
      <w:proofErr w:type="gramEnd"/>
      <w:r w:rsidRPr="00322410" w:rsidR="6AE0BBB4">
        <w:rPr>
          <w:rFonts w:cs="Arial"/>
          <w:sz w:val="22"/>
          <w:szCs w:val="22"/>
        </w:rPr>
        <w:t xml:space="preserve"> and implementation of ER programmes is broadly shared and used by international REDD+ practitioners within and beyond FCPF country participants. This output has scored an A+ for RP25, reflecting significant progress </w:t>
      </w:r>
      <w:r w:rsidRPr="00322410" w:rsidR="2D4B81A1">
        <w:rPr>
          <w:rFonts w:cs="Arial"/>
          <w:sz w:val="22"/>
          <w:szCs w:val="22"/>
        </w:rPr>
        <w:t>that has exceeded expectations.</w:t>
      </w:r>
    </w:p>
    <w:p w:rsidRPr="00322410" w:rsidR="62B3CA5A" w:rsidP="62B3CA5A" w:rsidRDefault="62B3CA5A" w14:paraId="124BB585" w14:textId="3CFABCCD">
      <w:pPr>
        <w:jc w:val="both"/>
        <w:rPr>
          <w:rFonts w:cs="Arial"/>
          <w:sz w:val="22"/>
          <w:szCs w:val="22"/>
        </w:rPr>
      </w:pPr>
    </w:p>
    <w:p w:rsidRPr="00322410" w:rsidR="00057FD2" w:rsidP="00057FD2" w:rsidRDefault="3249FC4C" w14:paraId="5518ED54" w14:textId="5BDAFC5A">
      <w:pPr>
        <w:jc w:val="both"/>
        <w:rPr>
          <w:rFonts w:cs="Arial"/>
          <w:sz w:val="22"/>
          <w:szCs w:val="22"/>
        </w:rPr>
      </w:pPr>
      <w:r w:rsidRPr="2C0DF5FE" w:rsidR="3249FC4C">
        <w:rPr>
          <w:rFonts w:cs="Arial"/>
          <w:sz w:val="22"/>
          <w:szCs w:val="22"/>
        </w:rPr>
        <w:t xml:space="preserve">Output </w:t>
      </w:r>
      <w:r w:rsidRPr="2C0DF5FE" w:rsidR="7BBBD042">
        <w:rPr>
          <w:rFonts w:cs="Arial"/>
          <w:sz w:val="22"/>
          <w:szCs w:val="22"/>
        </w:rPr>
        <w:t>i</w:t>
      </w:r>
      <w:r w:rsidRPr="2C0DF5FE" w:rsidR="3249FC4C">
        <w:rPr>
          <w:rFonts w:cs="Arial"/>
          <w:sz w:val="22"/>
          <w:szCs w:val="22"/>
        </w:rPr>
        <w:t xml:space="preserve">ndicator 3.1 measures the </w:t>
      </w:r>
      <w:r w:rsidRPr="2C0DF5FE" w:rsidR="00D3487F">
        <w:rPr>
          <w:rFonts w:cs="Arial"/>
          <w:sz w:val="22"/>
          <w:szCs w:val="22"/>
        </w:rPr>
        <w:t>number of</w:t>
      </w:r>
      <w:r w:rsidRPr="2C0DF5FE" w:rsidR="3249FC4C">
        <w:rPr>
          <w:rFonts w:cs="Arial"/>
          <w:sz w:val="22"/>
          <w:szCs w:val="22"/>
        </w:rPr>
        <w:t xml:space="preserve"> non-FCPF programmes and countries </w:t>
      </w:r>
      <w:r w:rsidRPr="2C0DF5FE" w:rsidR="31C51EF8">
        <w:rPr>
          <w:rFonts w:cs="Arial"/>
          <w:sz w:val="22"/>
          <w:szCs w:val="22"/>
        </w:rPr>
        <w:t>have adopted elements of the FCPF Methodological Framework within their own REDD+ processes.</w:t>
      </w:r>
      <w:r w:rsidRPr="2C0DF5FE" w:rsidR="00D3487F">
        <w:rPr>
          <w:rFonts w:cs="Arial"/>
          <w:sz w:val="22"/>
          <w:szCs w:val="22"/>
        </w:rPr>
        <w:t xml:space="preserve"> </w:t>
      </w:r>
      <w:r w:rsidRPr="2C0DF5FE" w:rsidR="00076988">
        <w:rPr>
          <w:rFonts w:cs="Arial"/>
          <w:sz w:val="22"/>
          <w:szCs w:val="22"/>
        </w:rPr>
        <w:t xml:space="preserve">The third FCPF evaluation </w:t>
      </w:r>
      <w:r w:rsidRPr="2C0DF5FE" w:rsidR="008F04D2">
        <w:rPr>
          <w:rFonts w:cs="Arial"/>
          <w:sz w:val="22"/>
          <w:szCs w:val="22"/>
        </w:rPr>
        <w:t xml:space="preserve">provided qualitative rather than quantitative evidence. According to the evaluation, </w:t>
      </w:r>
      <w:r w:rsidRPr="2C0DF5FE" w:rsidR="1FE3017F">
        <w:rPr>
          <w:rFonts w:cs="Arial"/>
          <w:sz w:val="22"/>
          <w:szCs w:val="22"/>
        </w:rPr>
        <w:t>t</w:t>
      </w:r>
      <w:r w:rsidRPr="2C0DF5FE" w:rsidR="1FE3017F">
        <w:rPr>
          <w:rFonts w:eastAsia="Arial" w:cs="Arial"/>
          <w:sz w:val="22"/>
          <w:szCs w:val="22"/>
        </w:rPr>
        <w:t xml:space="preserve">here is </w:t>
      </w:r>
      <w:r w:rsidRPr="2C0DF5FE" w:rsidR="1FE3017F">
        <w:rPr>
          <w:rFonts w:eastAsia="Arial" w:cs="Arial"/>
          <w:sz w:val="22"/>
          <w:szCs w:val="22"/>
        </w:rPr>
        <w:t>strong evidence</w:t>
      </w:r>
      <w:r w:rsidRPr="2C0DF5FE" w:rsidR="1FE3017F">
        <w:rPr>
          <w:rFonts w:eastAsia="Arial" w:cs="Arial"/>
          <w:sz w:val="22"/>
          <w:szCs w:val="22"/>
        </w:rPr>
        <w:t xml:space="preserve"> of a growing number of users of FCPF knowledge products as </w:t>
      </w:r>
      <w:r w:rsidRPr="2C0DF5FE" w:rsidR="1FE3017F">
        <w:rPr>
          <w:rFonts w:eastAsia="Arial" w:cs="Arial"/>
          <w:sz w:val="22"/>
          <w:szCs w:val="22"/>
        </w:rPr>
        <w:t>evidenced</w:t>
      </w:r>
      <w:r w:rsidRPr="2C0DF5FE" w:rsidR="1FE3017F">
        <w:rPr>
          <w:rFonts w:eastAsia="Arial" w:cs="Arial"/>
          <w:sz w:val="22"/>
          <w:szCs w:val="22"/>
        </w:rPr>
        <w:t xml:space="preserve"> by the increase in website visitors</w:t>
      </w:r>
      <w:r w:rsidRPr="2C0DF5FE" w:rsidR="6958EB23">
        <w:rPr>
          <w:rFonts w:eastAsia="Arial" w:cs="Arial"/>
          <w:sz w:val="22"/>
          <w:szCs w:val="22"/>
        </w:rPr>
        <w:t>. Moreover, interviews with actors engaged in REDD+ at the international level suggest that FCPF has influenced other REDD+ mechanisms, such as the LEAF Coalition and Gr</w:t>
      </w:r>
      <w:r w:rsidRPr="2C0DF5FE" w:rsidR="67ED599B">
        <w:rPr>
          <w:rFonts w:eastAsia="Arial" w:cs="Arial"/>
          <w:sz w:val="22"/>
          <w:szCs w:val="22"/>
        </w:rPr>
        <w:t>een Climate Fund (GCF). Furthermore, some countries have sent FREL estimates to the UNFCCC</w:t>
      </w:r>
      <w:r w:rsidRPr="2C0DF5FE" w:rsidR="289FF1C3">
        <w:rPr>
          <w:rFonts w:eastAsia="Arial" w:cs="Arial"/>
          <w:sz w:val="22"/>
          <w:szCs w:val="22"/>
        </w:rPr>
        <w:t xml:space="preserve">, where improvements due to the country’s experience in the FCPF process can be seen. This provides </w:t>
      </w:r>
      <w:r w:rsidRPr="2C0DF5FE" w:rsidR="42F51B7C">
        <w:rPr>
          <w:rFonts w:eastAsia="Arial" w:cs="Arial"/>
          <w:sz w:val="22"/>
          <w:szCs w:val="22"/>
        </w:rPr>
        <w:t xml:space="preserve">some evidence </w:t>
      </w:r>
      <w:r w:rsidRPr="2C0DF5FE" w:rsidR="11EC3C85">
        <w:rPr>
          <w:rFonts w:eastAsia="Arial" w:cs="Arial"/>
          <w:sz w:val="22"/>
          <w:szCs w:val="22"/>
        </w:rPr>
        <w:t xml:space="preserve">that </w:t>
      </w:r>
      <w:r w:rsidRPr="2C0DF5FE" w:rsidR="42F51B7C">
        <w:rPr>
          <w:rFonts w:eastAsia="Arial" w:cs="Arial"/>
          <w:sz w:val="22"/>
          <w:szCs w:val="22"/>
        </w:rPr>
        <w:t>the FCPF Methodological Framework has influence</w:t>
      </w:r>
      <w:r w:rsidRPr="2C0DF5FE" w:rsidR="149C29A5">
        <w:rPr>
          <w:rFonts w:eastAsia="Arial" w:cs="Arial"/>
          <w:sz w:val="22"/>
          <w:szCs w:val="22"/>
        </w:rPr>
        <w:t>d</w:t>
      </w:r>
      <w:r w:rsidRPr="2C0DF5FE" w:rsidR="42F51B7C">
        <w:rPr>
          <w:rFonts w:eastAsia="Arial" w:cs="Arial"/>
          <w:sz w:val="22"/>
          <w:szCs w:val="22"/>
        </w:rPr>
        <w:t xml:space="preserve"> other REDD+ processes. </w:t>
      </w:r>
      <w:r w:rsidRPr="2C0DF5FE" w:rsidR="00CB701F">
        <w:rPr>
          <w:rFonts w:eastAsia="Arial" w:cs="Arial"/>
          <w:sz w:val="22"/>
          <w:szCs w:val="22"/>
        </w:rPr>
        <w:t>However,</w:t>
      </w:r>
      <w:r w:rsidRPr="2C0DF5FE" w:rsidR="00AE70EA">
        <w:rPr>
          <w:rFonts w:eastAsia="Arial" w:cs="Arial"/>
          <w:sz w:val="22"/>
          <w:szCs w:val="22"/>
        </w:rPr>
        <w:t xml:space="preserve"> as</w:t>
      </w:r>
      <w:r w:rsidRPr="2C0DF5FE" w:rsidR="00CB701F">
        <w:rPr>
          <w:rFonts w:eastAsia="Arial" w:cs="Arial"/>
          <w:sz w:val="22"/>
          <w:szCs w:val="22"/>
        </w:rPr>
        <w:t xml:space="preserve"> the</w:t>
      </w:r>
      <w:r w:rsidRPr="2C0DF5FE" w:rsidR="320629DB">
        <w:rPr>
          <w:rFonts w:cs="Arial"/>
          <w:sz w:val="22"/>
          <w:szCs w:val="22"/>
        </w:rPr>
        <w:t xml:space="preserve"> evaluation only covered FCPF operations up to August 2023, this indicator has not been included in the overall output score.</w:t>
      </w:r>
      <w:r w:rsidRPr="2C0DF5FE" w:rsidR="5F73260D">
        <w:rPr>
          <w:rFonts w:cs="Arial"/>
          <w:sz w:val="22"/>
          <w:szCs w:val="22"/>
        </w:rPr>
        <w:t xml:space="preserve"> </w:t>
      </w:r>
      <w:r w:rsidRPr="2C0DF5FE" w:rsidR="00057FD2">
        <w:rPr>
          <w:rFonts w:cs="Arial"/>
          <w:sz w:val="22"/>
          <w:szCs w:val="22"/>
        </w:rPr>
        <w:t xml:space="preserve">We have therefore recommended in Recommendation </w:t>
      </w:r>
      <w:r w:rsidRPr="2C0DF5FE" w:rsidR="786668F9">
        <w:rPr>
          <w:rFonts w:cs="Arial"/>
          <w:sz w:val="22"/>
          <w:szCs w:val="22"/>
        </w:rPr>
        <w:t>1g</w:t>
      </w:r>
      <w:r w:rsidRPr="2C0DF5FE" w:rsidR="00057FD2">
        <w:rPr>
          <w:rFonts w:cs="Arial"/>
          <w:sz w:val="22"/>
          <w:szCs w:val="22"/>
        </w:rPr>
        <w:t xml:space="preserve"> that for future Annual Reviews, a light-touch assessment of this indicator should be conducted using information provided by the World Bank (please see next section for further detail on this recommendation).</w:t>
      </w:r>
    </w:p>
    <w:p w:rsidRPr="00322410" w:rsidR="10922DD6" w:rsidP="10922DD6" w:rsidRDefault="10922DD6" w14:paraId="201ACD05" w14:textId="23A6BBF2">
      <w:pPr>
        <w:jc w:val="both"/>
        <w:rPr>
          <w:rFonts w:cs="Arial"/>
          <w:sz w:val="22"/>
          <w:szCs w:val="22"/>
        </w:rPr>
      </w:pPr>
    </w:p>
    <w:p w:rsidRPr="00322410" w:rsidR="24C390B3" w:rsidP="24C390B3" w:rsidRDefault="07EF025F" w14:paraId="0DFDF715" w14:textId="0778D8EA">
      <w:pPr>
        <w:jc w:val="both"/>
        <w:rPr>
          <w:rFonts w:cs="Arial"/>
          <w:sz w:val="22"/>
          <w:szCs w:val="22"/>
        </w:rPr>
      </w:pPr>
      <w:r w:rsidRPr="52391055">
        <w:rPr>
          <w:rFonts w:cs="Arial"/>
          <w:sz w:val="22"/>
          <w:szCs w:val="22"/>
        </w:rPr>
        <w:t xml:space="preserve">At the end of RP25, </w:t>
      </w:r>
      <w:r w:rsidRPr="52391055" w:rsidR="39168E94">
        <w:rPr>
          <w:rFonts w:cs="Arial"/>
          <w:sz w:val="22"/>
          <w:szCs w:val="22"/>
        </w:rPr>
        <w:t xml:space="preserve">under </w:t>
      </w:r>
      <w:r w:rsidRPr="52391055" w:rsidR="6397545D">
        <w:rPr>
          <w:rFonts w:cs="Arial"/>
          <w:sz w:val="22"/>
          <w:szCs w:val="22"/>
        </w:rPr>
        <w:t>o</w:t>
      </w:r>
      <w:r w:rsidRPr="52391055" w:rsidR="39168E94">
        <w:rPr>
          <w:rFonts w:cs="Arial"/>
          <w:sz w:val="22"/>
          <w:szCs w:val="22"/>
        </w:rPr>
        <w:t>utput</w:t>
      </w:r>
      <w:r w:rsidRPr="52391055" w:rsidR="44FC1DCA">
        <w:rPr>
          <w:rFonts w:cs="Arial"/>
          <w:sz w:val="22"/>
          <w:szCs w:val="22"/>
        </w:rPr>
        <w:t xml:space="preserve"> indicator</w:t>
      </w:r>
      <w:r w:rsidRPr="52391055" w:rsidR="39168E94">
        <w:rPr>
          <w:rFonts w:cs="Arial"/>
          <w:sz w:val="22"/>
          <w:szCs w:val="22"/>
        </w:rPr>
        <w:t xml:space="preserve"> 3.2, 75 FCPF-supported South-South learning activities and/or events connecting FCPF countries had taken place, with a total of 5588 participants. Of these participants, over 2</w:t>
      </w:r>
      <w:r w:rsidRPr="52391055" w:rsidR="2434D21A">
        <w:rPr>
          <w:rFonts w:cs="Arial"/>
          <w:sz w:val="22"/>
          <w:szCs w:val="22"/>
        </w:rPr>
        <w:t>027</w:t>
      </w:r>
      <w:r w:rsidRPr="52391055" w:rsidR="4AB1B55F">
        <w:rPr>
          <w:rFonts w:cs="Arial"/>
          <w:sz w:val="22"/>
          <w:szCs w:val="22"/>
        </w:rPr>
        <w:t xml:space="preserve">, or 36%, were women, 783 were CSOs and 555 were Indigenous Peoples. </w:t>
      </w:r>
      <w:r w:rsidRPr="52391055" w:rsidR="748D25DC">
        <w:rPr>
          <w:rFonts w:cs="Arial"/>
          <w:sz w:val="22"/>
          <w:szCs w:val="22"/>
        </w:rPr>
        <w:t>The targets for both</w:t>
      </w:r>
      <w:r w:rsidRPr="52391055" w:rsidR="4AB1B55F">
        <w:rPr>
          <w:rFonts w:cs="Arial"/>
          <w:sz w:val="22"/>
          <w:szCs w:val="22"/>
        </w:rPr>
        <w:t xml:space="preserve"> number of events and number of participants </w:t>
      </w:r>
      <w:r w:rsidRPr="52391055" w:rsidR="430F83B0">
        <w:rPr>
          <w:rFonts w:cs="Arial"/>
          <w:sz w:val="22"/>
          <w:szCs w:val="22"/>
        </w:rPr>
        <w:t>were exceeded</w:t>
      </w:r>
      <w:r w:rsidRPr="52391055" w:rsidR="542E6108">
        <w:rPr>
          <w:rFonts w:cs="Arial"/>
          <w:sz w:val="22"/>
          <w:szCs w:val="22"/>
        </w:rPr>
        <w:t>. Moreover,</w:t>
      </w:r>
      <w:r w:rsidRPr="52391055" w:rsidR="430F83B0">
        <w:rPr>
          <w:rFonts w:cs="Arial"/>
          <w:sz w:val="22"/>
          <w:szCs w:val="22"/>
        </w:rPr>
        <w:t xml:space="preserve"> </w:t>
      </w:r>
      <w:r w:rsidRPr="52391055" w:rsidR="0B8BFCE0">
        <w:rPr>
          <w:rFonts w:cs="Arial"/>
          <w:sz w:val="22"/>
          <w:szCs w:val="22"/>
        </w:rPr>
        <w:t xml:space="preserve">83% of participants indicated that they </w:t>
      </w:r>
      <w:r w:rsidRPr="52391055" w:rsidR="0123EDAA">
        <w:rPr>
          <w:rFonts w:cs="Arial"/>
          <w:sz w:val="22"/>
          <w:szCs w:val="22"/>
        </w:rPr>
        <w:t>would</w:t>
      </w:r>
      <w:r w:rsidRPr="52391055" w:rsidR="0B8BFCE0">
        <w:rPr>
          <w:rFonts w:cs="Arial"/>
          <w:sz w:val="22"/>
          <w:szCs w:val="22"/>
        </w:rPr>
        <w:t xml:space="preserve"> apply the new knowledge or skills </w:t>
      </w:r>
      <w:r w:rsidRPr="52391055" w:rsidR="1B7A62D0">
        <w:rPr>
          <w:rFonts w:cs="Arial"/>
          <w:sz w:val="22"/>
          <w:szCs w:val="22"/>
        </w:rPr>
        <w:t>they had learnt during these events in their work</w:t>
      </w:r>
      <w:r w:rsidRPr="52391055" w:rsidR="0831575E">
        <w:rPr>
          <w:rFonts w:cs="Arial"/>
          <w:sz w:val="22"/>
          <w:szCs w:val="22"/>
        </w:rPr>
        <w:t>,</w:t>
      </w:r>
      <w:r w:rsidRPr="52391055" w:rsidR="02C69245">
        <w:rPr>
          <w:rFonts w:cs="Arial"/>
          <w:sz w:val="22"/>
          <w:szCs w:val="22"/>
        </w:rPr>
        <w:t xml:space="preserve"> </w:t>
      </w:r>
      <w:r w:rsidRPr="52391055" w:rsidR="56D083D3">
        <w:rPr>
          <w:rFonts w:cs="Arial"/>
          <w:sz w:val="22"/>
          <w:szCs w:val="22"/>
        </w:rPr>
        <w:t>compared to the RP25 milestone of 75%.</w:t>
      </w:r>
      <w:r w:rsidRPr="52391055" w:rsidR="0831575E">
        <w:rPr>
          <w:rFonts w:cs="Arial"/>
          <w:sz w:val="22"/>
          <w:szCs w:val="22"/>
        </w:rPr>
        <w:t xml:space="preserve"> Together, these results demonstrate th</w:t>
      </w:r>
      <w:r w:rsidRPr="52391055" w:rsidR="5F6A72B9">
        <w:rPr>
          <w:rFonts w:cs="Arial"/>
          <w:sz w:val="22"/>
          <w:szCs w:val="22"/>
        </w:rPr>
        <w:t xml:space="preserve">at the FCPF has strengthened </w:t>
      </w:r>
      <w:r w:rsidRPr="52391055" w:rsidR="3E9F674E">
        <w:rPr>
          <w:rFonts w:cs="Arial"/>
          <w:sz w:val="22"/>
          <w:szCs w:val="22"/>
        </w:rPr>
        <w:t>South-South learning</w:t>
      </w:r>
      <w:r w:rsidRPr="52391055" w:rsidR="3D238DFF">
        <w:rPr>
          <w:rFonts w:cs="Arial"/>
          <w:sz w:val="22"/>
          <w:szCs w:val="22"/>
        </w:rPr>
        <w:t>.</w:t>
      </w:r>
      <w:r w:rsidRPr="52391055" w:rsidR="513F7182">
        <w:rPr>
          <w:rFonts w:cs="Arial"/>
          <w:sz w:val="22"/>
          <w:szCs w:val="22"/>
        </w:rPr>
        <w:t xml:space="preserve"> Over the past year, South-South knowledge </w:t>
      </w:r>
      <w:r w:rsidRPr="52391055" w:rsidR="2474C71C">
        <w:rPr>
          <w:rFonts w:cs="Arial"/>
          <w:sz w:val="22"/>
          <w:szCs w:val="22"/>
        </w:rPr>
        <w:t>activities</w:t>
      </w:r>
      <w:r w:rsidRPr="52391055" w:rsidR="3CA24366">
        <w:rPr>
          <w:rFonts w:cs="Arial"/>
          <w:sz w:val="22"/>
          <w:szCs w:val="22"/>
        </w:rPr>
        <w:t xml:space="preserve"> </w:t>
      </w:r>
      <w:r w:rsidRPr="52391055" w:rsidR="513F7182">
        <w:rPr>
          <w:rFonts w:cs="Arial"/>
          <w:sz w:val="22"/>
          <w:szCs w:val="22"/>
        </w:rPr>
        <w:t xml:space="preserve">have included a </w:t>
      </w:r>
      <w:r w:rsidRPr="52391055" w:rsidR="757036F4">
        <w:rPr>
          <w:rFonts w:cs="Arial"/>
          <w:sz w:val="22"/>
          <w:szCs w:val="22"/>
        </w:rPr>
        <w:t>workshop</w:t>
      </w:r>
      <w:r w:rsidRPr="52391055" w:rsidR="513F7182">
        <w:rPr>
          <w:rFonts w:cs="Arial"/>
          <w:sz w:val="22"/>
          <w:szCs w:val="22"/>
        </w:rPr>
        <w:t xml:space="preserve"> between South Asia and East Asia and P</w:t>
      </w:r>
      <w:r w:rsidRPr="52391055" w:rsidR="1E5D9C93">
        <w:rPr>
          <w:rFonts w:cs="Arial"/>
          <w:sz w:val="22"/>
          <w:szCs w:val="22"/>
        </w:rPr>
        <w:t>acific on carbon biomass estimates monitoring and reporting,</w:t>
      </w:r>
      <w:r w:rsidRPr="52391055" w:rsidR="04273B2D">
        <w:rPr>
          <w:rFonts w:cs="Arial"/>
          <w:sz w:val="22"/>
          <w:szCs w:val="22"/>
        </w:rPr>
        <w:t xml:space="preserve"> a</w:t>
      </w:r>
      <w:r w:rsidRPr="52391055" w:rsidR="78F6C953">
        <w:rPr>
          <w:rFonts w:cs="Arial"/>
          <w:sz w:val="22"/>
          <w:szCs w:val="22"/>
        </w:rPr>
        <w:t xml:space="preserve"> knowledge </w:t>
      </w:r>
      <w:r w:rsidRPr="52391055" w:rsidR="71DAE455">
        <w:rPr>
          <w:rFonts w:cs="Arial"/>
          <w:sz w:val="22"/>
          <w:szCs w:val="22"/>
        </w:rPr>
        <w:t>exchange</w:t>
      </w:r>
      <w:r w:rsidRPr="52391055" w:rsidR="78F6C953">
        <w:rPr>
          <w:rFonts w:cs="Arial"/>
          <w:sz w:val="22"/>
          <w:szCs w:val="22"/>
        </w:rPr>
        <w:t xml:space="preserve"> </w:t>
      </w:r>
      <w:r w:rsidRPr="52391055" w:rsidR="113FA5A0">
        <w:rPr>
          <w:rFonts w:cs="Arial"/>
          <w:sz w:val="22"/>
          <w:szCs w:val="22"/>
        </w:rPr>
        <w:t>workshop on Article 6, Standardised Crediting Framework and REDD+</w:t>
      </w:r>
      <w:r w:rsidRPr="52391055" w:rsidR="30120B52">
        <w:rPr>
          <w:rFonts w:cs="Arial"/>
          <w:sz w:val="22"/>
          <w:szCs w:val="22"/>
        </w:rPr>
        <w:t>, and a workshop on impactful benefit sharing for ER programmes.</w:t>
      </w:r>
    </w:p>
    <w:p w:rsidRPr="00322410" w:rsidR="24C390B3" w:rsidP="24C390B3" w:rsidRDefault="24C390B3" w14:paraId="5D828552" w14:textId="7D8A65C4">
      <w:pPr>
        <w:jc w:val="both"/>
        <w:rPr>
          <w:rFonts w:cs="Arial"/>
          <w:sz w:val="22"/>
          <w:szCs w:val="22"/>
        </w:rPr>
      </w:pPr>
    </w:p>
    <w:p w:rsidRPr="00322410" w:rsidR="306FC38C" w:rsidP="2C0DF5FE" w:rsidRDefault="3375CD04" w14:paraId="19584C3C" w14:textId="2EB14B2F">
      <w:pPr>
        <w:jc w:val="both"/>
        <w:rPr>
          <w:rFonts w:cs="Arial"/>
          <w:i w:val="1"/>
          <w:iCs w:val="1"/>
          <w:sz w:val="22"/>
          <w:szCs w:val="22"/>
        </w:rPr>
      </w:pPr>
      <w:r w:rsidRPr="2C0DF5FE" w:rsidR="3375CD04">
        <w:rPr>
          <w:b w:val="1"/>
          <w:bCs w:val="1"/>
          <w:i w:val="1"/>
          <w:iCs w:val="1"/>
          <w:sz w:val="28"/>
          <w:szCs w:val="28"/>
        </w:rPr>
        <w:t xml:space="preserve">Changes to this output, and any planned changes </w:t>
      </w:r>
      <w:r w:rsidRPr="2C0DF5FE" w:rsidR="3375CD04">
        <w:rPr>
          <w:b w:val="1"/>
          <w:bCs w:val="1"/>
          <w:i w:val="1"/>
          <w:iCs w:val="1"/>
          <w:sz w:val="28"/>
          <w:szCs w:val="28"/>
        </w:rPr>
        <w:t>as a result of</w:t>
      </w:r>
      <w:r w:rsidRPr="2C0DF5FE" w:rsidR="3375CD04">
        <w:rPr>
          <w:b w:val="1"/>
          <w:bCs w:val="1"/>
          <w:i w:val="1"/>
          <w:iCs w:val="1"/>
          <w:sz w:val="28"/>
          <w:szCs w:val="28"/>
        </w:rPr>
        <w:t xml:space="preserve"> this review</w:t>
      </w:r>
      <w:r w:rsidRPr="2C0DF5FE" w:rsidR="3375CD04">
        <w:rPr>
          <w:rFonts w:cs="Arial"/>
          <w:b w:val="1"/>
          <w:bCs w:val="1"/>
          <w:i w:val="1"/>
          <w:iCs w:val="1"/>
          <w:sz w:val="22"/>
          <w:szCs w:val="22"/>
        </w:rPr>
        <w:t xml:space="preserve"> </w:t>
      </w:r>
    </w:p>
    <w:p w:rsidRPr="00322410" w:rsidR="24C390B3" w:rsidP="24C390B3" w:rsidRDefault="24C390B3" w14:paraId="0311FD80" w14:textId="2F57CC3C">
      <w:pPr>
        <w:jc w:val="both"/>
        <w:rPr>
          <w:rFonts w:cs="Arial"/>
          <w:sz w:val="22"/>
          <w:szCs w:val="22"/>
        </w:rPr>
      </w:pPr>
    </w:p>
    <w:p w:rsidRPr="00322410" w:rsidR="1B4E172F" w:rsidP="0D85D05D" w:rsidRDefault="1B4E172F" w14:paraId="679BAA0C" w14:textId="5702006B">
      <w:pPr>
        <w:jc w:val="both"/>
        <w:rPr>
          <w:rFonts w:cs="Arial"/>
          <w:sz w:val="22"/>
          <w:szCs w:val="22"/>
        </w:rPr>
      </w:pPr>
      <w:r w:rsidRPr="00322410">
        <w:rPr>
          <w:rFonts w:cs="Arial"/>
          <w:sz w:val="22"/>
          <w:szCs w:val="22"/>
        </w:rPr>
        <w:t>As detailed in Section B, all open indicators under output 3 were extended to 2028 due to the programme extension and interim milestones were set for each.</w:t>
      </w:r>
    </w:p>
    <w:p w:rsidRPr="00322410" w:rsidR="2E3669C6" w:rsidP="2E3669C6" w:rsidRDefault="2E3669C6" w14:paraId="5F4CA3C5" w14:textId="5A421FC8">
      <w:pPr>
        <w:jc w:val="both"/>
        <w:rPr>
          <w:rFonts w:cs="Arial"/>
          <w:sz w:val="22"/>
          <w:szCs w:val="22"/>
        </w:rPr>
      </w:pPr>
    </w:p>
    <w:p w:rsidRPr="00322410" w:rsidR="14E048C2" w:rsidP="52391055" w:rsidRDefault="07575FA4" w14:paraId="6A559F7C" w14:textId="76FEE005">
      <w:pPr>
        <w:jc w:val="both"/>
      </w:pPr>
      <w:r w:rsidRPr="52391055">
        <w:rPr>
          <w:rFonts w:eastAsia="Arial" w:cs="Arial"/>
          <w:sz w:val="22"/>
          <w:szCs w:val="22"/>
        </w:rPr>
        <w:t>For output indicator 3.2, “Number of (a) FCPF-supported South-South learning activities and/or events connecting FCPF countries and (b) participants in such activities”, the World Bank revised the EOP target as it had already been achieved. The DESNZ EOP target and interim milestones were updated accordingly.</w:t>
      </w:r>
    </w:p>
    <w:p w:rsidRPr="00322410" w:rsidR="14E048C2" w:rsidP="14E048C2" w:rsidRDefault="14E048C2" w14:paraId="68F21A02" w14:textId="4D482D22">
      <w:pPr>
        <w:jc w:val="both"/>
        <w:rPr>
          <w:rFonts w:cs="Arial"/>
          <w:sz w:val="22"/>
          <w:szCs w:val="22"/>
        </w:rPr>
      </w:pPr>
    </w:p>
    <w:p w:rsidRPr="00322410" w:rsidR="4807B5AE" w:rsidP="175DF934" w:rsidRDefault="006023D8" w14:paraId="4C44D063" w14:textId="268ECE4F">
      <w:pPr>
        <w:jc w:val="both"/>
        <w:rPr>
          <w:rFonts w:cs="Arial"/>
          <w:sz w:val="22"/>
          <w:szCs w:val="22"/>
        </w:rPr>
      </w:pPr>
      <w:r w:rsidRPr="2C0DF5FE" w:rsidR="006023D8">
        <w:rPr>
          <w:rFonts w:cs="Arial"/>
          <w:sz w:val="22"/>
          <w:szCs w:val="22"/>
        </w:rPr>
        <w:t xml:space="preserve">It is recommended that the </w:t>
      </w:r>
      <w:r w:rsidRPr="2C0DF5FE" w:rsidR="006023D8">
        <w:rPr>
          <w:rFonts w:cs="Arial"/>
          <w:sz w:val="22"/>
          <w:szCs w:val="22"/>
        </w:rPr>
        <w:t>methodology</w:t>
      </w:r>
      <w:r w:rsidRPr="2C0DF5FE" w:rsidR="006023D8">
        <w:rPr>
          <w:rFonts w:cs="Arial"/>
          <w:sz w:val="22"/>
          <w:szCs w:val="22"/>
        </w:rPr>
        <w:t xml:space="preserve"> for output</w:t>
      </w:r>
      <w:r w:rsidRPr="2C0DF5FE" w:rsidR="7B93CB37">
        <w:rPr>
          <w:rFonts w:cs="Arial"/>
          <w:sz w:val="22"/>
          <w:szCs w:val="22"/>
        </w:rPr>
        <w:t xml:space="preserve"> indicator</w:t>
      </w:r>
      <w:r w:rsidRPr="2C0DF5FE" w:rsidR="006023D8">
        <w:rPr>
          <w:rFonts w:cs="Arial"/>
          <w:sz w:val="22"/>
          <w:szCs w:val="22"/>
        </w:rPr>
        <w:t xml:space="preserve"> </w:t>
      </w:r>
      <w:r w:rsidRPr="2C0DF5FE" w:rsidR="4DA63DA4">
        <w:rPr>
          <w:rFonts w:cs="Arial"/>
          <w:sz w:val="22"/>
          <w:szCs w:val="22"/>
        </w:rPr>
        <w:t>3</w:t>
      </w:r>
      <w:r w:rsidRPr="2C0DF5FE" w:rsidR="006023D8">
        <w:rPr>
          <w:rFonts w:cs="Arial"/>
          <w:sz w:val="22"/>
          <w:szCs w:val="22"/>
        </w:rPr>
        <w:t xml:space="preserve">.1 should be </w:t>
      </w:r>
      <w:r w:rsidRPr="2C0DF5FE" w:rsidR="006023D8">
        <w:rPr>
          <w:rFonts w:cs="Arial"/>
          <w:sz w:val="22"/>
          <w:szCs w:val="22"/>
        </w:rPr>
        <w:t xml:space="preserve">updated in </w:t>
      </w:r>
      <w:r w:rsidRPr="2C0DF5FE" w:rsidR="4B09BF45">
        <w:rPr>
          <w:rFonts w:cs="Arial"/>
          <w:sz w:val="22"/>
          <w:szCs w:val="22"/>
        </w:rPr>
        <w:t>RP2</w:t>
      </w:r>
      <w:r w:rsidRPr="2C0DF5FE" w:rsidR="661D21F4">
        <w:rPr>
          <w:rFonts w:cs="Arial"/>
          <w:sz w:val="22"/>
          <w:szCs w:val="22"/>
        </w:rPr>
        <w:t>6</w:t>
      </w:r>
      <w:r w:rsidRPr="2C0DF5FE" w:rsidR="006023D8">
        <w:rPr>
          <w:rFonts w:cs="Arial"/>
          <w:sz w:val="22"/>
          <w:szCs w:val="22"/>
        </w:rPr>
        <w:t xml:space="preserve"> (Recommendation </w:t>
      </w:r>
      <w:r w:rsidRPr="2C0DF5FE" w:rsidR="6A57DE7F">
        <w:rPr>
          <w:rFonts w:cs="Arial"/>
          <w:sz w:val="22"/>
          <w:szCs w:val="22"/>
        </w:rPr>
        <w:t>1g</w:t>
      </w:r>
      <w:r w:rsidRPr="2C0DF5FE" w:rsidR="006023D8">
        <w:rPr>
          <w:rFonts w:cs="Arial"/>
          <w:sz w:val="22"/>
          <w:szCs w:val="22"/>
        </w:rPr>
        <w:t xml:space="preserve">). </w:t>
      </w:r>
      <w:r w:rsidRPr="2C0DF5FE" w:rsidR="4807B5AE">
        <w:rPr>
          <w:rFonts w:cs="Arial"/>
          <w:sz w:val="22"/>
          <w:szCs w:val="22"/>
        </w:rPr>
        <w:t xml:space="preserve">This indicator </w:t>
      </w:r>
      <w:r w:rsidRPr="2C0DF5FE" w:rsidR="006023D8">
        <w:rPr>
          <w:rFonts w:cs="Arial"/>
          <w:sz w:val="22"/>
          <w:szCs w:val="22"/>
        </w:rPr>
        <w:t>should</w:t>
      </w:r>
      <w:r w:rsidRPr="2C0DF5FE" w:rsidR="4807B5AE">
        <w:rPr>
          <w:rFonts w:cs="Arial"/>
          <w:sz w:val="22"/>
          <w:szCs w:val="22"/>
        </w:rPr>
        <w:t xml:space="preserve"> continue to be formally assessed at each programme-wide evaluation. </w:t>
      </w:r>
      <w:r w:rsidRPr="2C0DF5FE" w:rsidR="4807B5AE">
        <w:rPr>
          <w:rFonts w:cs="Arial"/>
          <w:sz w:val="22"/>
          <w:szCs w:val="22"/>
        </w:rPr>
        <w:t>In order to</w:t>
      </w:r>
      <w:r w:rsidRPr="2C0DF5FE" w:rsidR="4807B5AE">
        <w:rPr>
          <w:rFonts w:cs="Arial"/>
          <w:sz w:val="22"/>
          <w:szCs w:val="22"/>
        </w:rPr>
        <w:t xml:space="preserve"> </w:t>
      </w:r>
      <w:r w:rsidRPr="2C0DF5FE" w:rsidR="4807B5AE">
        <w:rPr>
          <w:rFonts w:cs="Arial"/>
          <w:sz w:val="22"/>
          <w:szCs w:val="22"/>
        </w:rPr>
        <w:t>facilitate</w:t>
      </w:r>
      <w:r w:rsidRPr="2C0DF5FE" w:rsidR="4807B5AE">
        <w:rPr>
          <w:rFonts w:cs="Arial"/>
          <w:sz w:val="22"/>
          <w:szCs w:val="22"/>
        </w:rPr>
        <w:t xml:space="preserve"> annual reporting, going forward the reviewer should use information provided by the World Bank to </w:t>
      </w:r>
      <w:r w:rsidRPr="2C0DF5FE" w:rsidR="4807B5AE">
        <w:rPr>
          <w:rFonts w:cs="Arial"/>
          <w:sz w:val="22"/>
          <w:szCs w:val="22"/>
        </w:rPr>
        <w:t>make a</w:t>
      </w:r>
      <w:r w:rsidRPr="2C0DF5FE" w:rsidR="7B6CC1CC">
        <w:rPr>
          <w:rFonts w:cs="Arial"/>
          <w:sz w:val="22"/>
          <w:szCs w:val="22"/>
        </w:rPr>
        <w:t xml:space="preserve">n </w:t>
      </w:r>
      <w:r w:rsidRPr="2C0DF5FE" w:rsidR="4807B5AE">
        <w:rPr>
          <w:rFonts w:cs="Arial"/>
          <w:sz w:val="22"/>
          <w:szCs w:val="22"/>
        </w:rPr>
        <w:t>assessment of</w:t>
      </w:r>
      <w:r w:rsidRPr="2C0DF5FE" w:rsidR="4807B5AE">
        <w:rPr>
          <w:rFonts w:cs="Arial"/>
          <w:sz w:val="22"/>
          <w:szCs w:val="22"/>
        </w:rPr>
        <w:t xml:space="preserve"> this indicator, which may increase or decrease confidence in the formal assessment from the most recent programme-wide evaluation.</w:t>
      </w:r>
    </w:p>
    <w:p w:rsidRPr="00322410" w:rsidR="0D85D05D" w:rsidP="0D85D05D" w:rsidRDefault="0D85D05D" w14:paraId="0C07EB1F" w14:textId="1E34F7B8">
      <w:pPr>
        <w:jc w:val="both"/>
        <w:rPr>
          <w:rFonts w:cs="Arial"/>
          <w:sz w:val="22"/>
          <w:szCs w:val="22"/>
        </w:rPr>
      </w:pPr>
    </w:p>
    <w:p w:rsidRPr="00322410" w:rsidR="3375CD04" w:rsidP="24C390B3" w:rsidRDefault="3375CD04" w14:paraId="0ABF3D8D" w14:textId="578F71D7">
      <w:pPr>
        <w:jc w:val="both"/>
        <w:rPr>
          <w:rFonts w:cs="Arial"/>
          <w:b/>
          <w:bCs/>
        </w:rPr>
      </w:pPr>
      <w:r w:rsidRPr="00322410">
        <w:rPr>
          <w:b/>
          <w:bCs/>
          <w:i/>
          <w:iCs/>
          <w:sz w:val="28"/>
          <w:szCs w:val="28"/>
        </w:rPr>
        <w:t>Progress on recommendations from the previous AR, lessons learned this year, and recommendations for the year ahead</w:t>
      </w:r>
    </w:p>
    <w:p w:rsidRPr="00322410" w:rsidR="24C390B3" w:rsidP="24C390B3" w:rsidRDefault="24C390B3" w14:paraId="31695B5E" w14:textId="188BD5C0">
      <w:pPr>
        <w:jc w:val="both"/>
        <w:rPr>
          <w:rFonts w:cs="Arial"/>
          <w:sz w:val="22"/>
          <w:szCs w:val="22"/>
        </w:rPr>
      </w:pPr>
    </w:p>
    <w:p w:rsidRPr="00322410" w:rsidR="26C32F66" w:rsidP="76C4F83C" w:rsidRDefault="26C32F66" w14:paraId="5CA8D586" w14:textId="4C0CEBC8">
      <w:pPr>
        <w:jc w:val="both"/>
      </w:pPr>
      <w:r w:rsidRPr="00322410">
        <w:rPr>
          <w:rFonts w:cs="Arial"/>
          <w:sz w:val="22"/>
          <w:szCs w:val="22"/>
        </w:rPr>
        <w:t>Of the recommendations from the previous Annual Review, the one relevant to this output recommended that DESNZ revise its logframe to reflect the programme extension until December 2028. As detailed in the previous section, this was actioned.</w:t>
      </w:r>
    </w:p>
    <w:p w:rsidRPr="00322410" w:rsidR="76C4F83C" w:rsidP="76C4F83C" w:rsidRDefault="76C4F83C" w14:paraId="152DD75D" w14:textId="7335D14E">
      <w:pPr>
        <w:jc w:val="both"/>
        <w:rPr>
          <w:rFonts w:cs="Arial"/>
          <w:sz w:val="22"/>
          <w:szCs w:val="22"/>
        </w:rPr>
      </w:pPr>
    </w:p>
    <w:p w:rsidRPr="00322410" w:rsidR="26C32F66" w:rsidP="76C4F83C" w:rsidRDefault="26C32F66" w14:paraId="74F0B351" w14:textId="3AC864B7">
      <w:pPr>
        <w:jc w:val="both"/>
        <w:rPr>
          <w:rFonts w:cs="Arial"/>
          <w:b w:val="1"/>
          <w:bCs w:val="1"/>
          <w:sz w:val="22"/>
          <w:szCs w:val="22"/>
        </w:rPr>
      </w:pPr>
      <w:r w:rsidRPr="2C0DF5FE" w:rsidR="26C32F66">
        <w:rPr>
          <w:rFonts w:cs="Arial"/>
          <w:b w:val="1"/>
          <w:bCs w:val="1"/>
          <w:sz w:val="22"/>
          <w:szCs w:val="22"/>
        </w:rPr>
        <w:t>Recommendations for the year ahead</w:t>
      </w:r>
    </w:p>
    <w:p w:rsidRPr="00322410" w:rsidR="2604CADD" w:rsidP="5F195A99" w:rsidRDefault="2604CADD" w14:paraId="4D663B47" w14:textId="2DBC4768">
      <w:pPr>
        <w:jc w:val="both"/>
        <w:rPr>
          <w:rFonts w:eastAsia="Arial" w:cs="Arial"/>
          <w:color w:val="000000" w:themeColor="text1"/>
          <w:sz w:val="22"/>
          <w:szCs w:val="22"/>
        </w:rPr>
      </w:pPr>
    </w:p>
    <w:p w:rsidRPr="00322410" w:rsidR="76C4F83C" w:rsidP="76C4F83C" w:rsidRDefault="00257AB0" w14:paraId="128DD657" w14:textId="54FF4442">
      <w:pPr>
        <w:jc w:val="both"/>
        <w:rPr>
          <w:rFonts w:cs="Arial"/>
          <w:sz w:val="22"/>
          <w:szCs w:val="22"/>
        </w:rPr>
      </w:pPr>
      <w:r w:rsidRPr="00322410">
        <w:rPr>
          <w:rFonts w:cs="Arial"/>
          <w:sz w:val="22"/>
          <w:szCs w:val="22"/>
        </w:rPr>
        <w:t>Recommendation 1: DESNZ and World Bank to update their logframes: </w:t>
      </w:r>
    </w:p>
    <w:p w:rsidRPr="00322410" w:rsidR="006A6601" w:rsidP="006A6601" w:rsidRDefault="006A6601" w14:paraId="54BE6802" w14:textId="77777777">
      <w:pPr>
        <w:pStyle w:val="ListParagraph"/>
        <w:numPr>
          <w:ilvl w:val="0"/>
          <w:numId w:val="37"/>
        </w:numPr>
        <w:jc w:val="both"/>
        <w:rPr>
          <w:rFonts w:cs="Arial"/>
          <w:sz w:val="22"/>
          <w:szCs w:val="22"/>
        </w:rPr>
      </w:pPr>
      <w:r w:rsidRPr="00322410">
        <w:rPr>
          <w:rFonts w:cs="Arial"/>
          <w:sz w:val="22"/>
          <w:szCs w:val="22"/>
        </w:rPr>
        <w:t>DESNZ to revise the methodology for output indicators 2.1 and 3.1 so that they can be reported on annually. </w:t>
      </w:r>
    </w:p>
    <w:p w:rsidRPr="00322410" w:rsidR="19565543" w:rsidRDefault="006A6601" w14:paraId="26C36E86" w14:textId="31F777A9">
      <w:pPr>
        <w:pStyle w:val="ListParagraph"/>
        <w:numPr>
          <w:ilvl w:val="0"/>
          <w:numId w:val="9"/>
        </w:numPr>
        <w:jc w:val="both"/>
      </w:pPr>
      <w:r w:rsidRPr="00322410">
        <w:rPr>
          <w:rFonts w:cs="Arial"/>
          <w:sz w:val="22"/>
          <w:szCs w:val="22"/>
        </w:rPr>
        <w:t>World Bank to consider revising output indicator 4.3b, “Number of non-FCPF programmes and countries that have adopted elements of the FCPF Methodological Framework within their own REDD+ processes”, as evaluations so far have only provided qualitative evidence. </w:t>
      </w:r>
      <w:r w:rsidRPr="00322410" w:rsidR="19565543">
        <w:br w:type="page"/>
      </w:r>
    </w:p>
    <w:tbl>
      <w:tblPr>
        <w:tblStyle w:val="TableGrid"/>
        <w:tblW w:w="0" w:type="auto"/>
        <w:tblLook w:val="04A0" w:firstRow="1" w:lastRow="0" w:firstColumn="1" w:lastColumn="0" w:noHBand="0" w:noVBand="1"/>
      </w:tblPr>
      <w:tblGrid>
        <w:gridCol w:w="9016"/>
      </w:tblGrid>
      <w:tr w:rsidRPr="00322410" w:rsidR="00CB2873" w:rsidTr="6C96D7A6" w14:paraId="625A7711" w14:textId="77777777">
        <w:tc>
          <w:tcPr>
            <w:tcW w:w="9016" w:type="dxa"/>
            <w:shd w:val="clear" w:color="auto" w:fill="DEEAF6" w:themeFill="accent5" w:themeFillTint="33"/>
          </w:tcPr>
          <w:p w:rsidRPr="00322410" w:rsidR="00CB2873" w:rsidP="6C96D7A6" w:rsidRDefault="2C7057B1" w14:paraId="78474CCE" w14:textId="6E0783FA">
            <w:pPr>
              <w:jc w:val="both"/>
              <w:rPr>
                <w:rStyle w:val="Heading1Char"/>
                <w:rFonts w:ascii="Arial" w:hAnsi="Arial" w:cs="Arial"/>
                <w:b/>
                <w:bCs/>
                <w:color w:val="auto"/>
              </w:rPr>
            </w:pPr>
            <w:bookmarkStart w:name="_Toc219130988" w:id="86"/>
            <w:r w:rsidRPr="00322410">
              <w:rPr>
                <w:rStyle w:val="Heading1Char"/>
                <w:rFonts w:ascii="Arial" w:hAnsi="Arial" w:cs="Arial"/>
                <w:b/>
                <w:bCs/>
                <w:color w:val="auto"/>
              </w:rPr>
              <w:t>Section D: Pro</w:t>
            </w:r>
            <w:r w:rsidRPr="00322410" w:rsidR="001330CE">
              <w:rPr>
                <w:rStyle w:val="Heading1Char"/>
                <w:rFonts w:ascii="Arial" w:hAnsi="Arial" w:cs="Arial"/>
                <w:b/>
                <w:bCs/>
                <w:color w:val="auto"/>
              </w:rPr>
              <w:t xml:space="preserve">gramme </w:t>
            </w:r>
            <w:r w:rsidRPr="00322410">
              <w:rPr>
                <w:rStyle w:val="Heading1Char"/>
                <w:rFonts w:ascii="Arial" w:hAnsi="Arial" w:cs="Arial"/>
                <w:b/>
                <w:bCs/>
                <w:color w:val="auto"/>
              </w:rPr>
              <w:t>performance not captured by outputs</w:t>
            </w:r>
            <w:bookmarkEnd w:id="86"/>
          </w:p>
        </w:tc>
      </w:tr>
    </w:tbl>
    <w:p w:rsidRPr="00322410" w:rsidR="00CB2873" w:rsidP="004D5FD5" w:rsidRDefault="00CB2873" w14:paraId="358B70D4" w14:textId="515190BD">
      <w:pPr>
        <w:jc w:val="both"/>
        <w:rPr>
          <w:rFonts w:cs="Arial"/>
          <w:sz w:val="22"/>
          <w:szCs w:val="22"/>
        </w:rPr>
      </w:pPr>
    </w:p>
    <w:p w:rsidRPr="00322410" w:rsidR="6ECF1320" w:rsidP="71C27874" w:rsidRDefault="6ECF1320" w14:paraId="401C3AF4" w14:textId="72AD885E">
      <w:pPr>
        <w:jc w:val="both"/>
      </w:pPr>
      <w:r w:rsidRPr="00322410">
        <w:rPr>
          <w:rFonts w:cs="Arial"/>
          <w:sz w:val="22"/>
          <w:szCs w:val="22"/>
        </w:rPr>
        <w:t>Outside of the outputs assessed above, the FCPF made significant progress in several areas during RP25. Several of the recommendations from RP24, and the progress made against them, relate to areas outside of the core programme logframe.</w:t>
      </w:r>
    </w:p>
    <w:p w:rsidRPr="00322410" w:rsidR="29BC7357" w:rsidP="29BC7357" w:rsidRDefault="29BC7357" w14:paraId="39707B71" w14:textId="135BD3FB">
      <w:pPr>
        <w:jc w:val="both"/>
        <w:rPr>
          <w:rFonts w:cs="Arial"/>
          <w:sz w:val="22"/>
          <w:szCs w:val="22"/>
        </w:rPr>
      </w:pPr>
    </w:p>
    <w:p w:rsidRPr="00322410" w:rsidR="2398C338" w:rsidP="728819E4" w:rsidRDefault="2398C338" w14:paraId="4DEBC183" w14:textId="0877B946">
      <w:pPr>
        <w:jc w:val="both"/>
        <w:rPr>
          <w:rFonts w:cs="Arial"/>
          <w:sz w:val="22"/>
          <w:szCs w:val="22"/>
        </w:rPr>
      </w:pPr>
      <w:r w:rsidRPr="00322410">
        <w:rPr>
          <w:rFonts w:cs="Arial"/>
          <w:sz w:val="22"/>
          <w:szCs w:val="22"/>
        </w:rPr>
        <w:t>T</w:t>
      </w:r>
      <w:r w:rsidRPr="00322410" w:rsidR="1AB66F48">
        <w:rPr>
          <w:rFonts w:cs="Arial"/>
          <w:sz w:val="22"/>
          <w:szCs w:val="22"/>
        </w:rPr>
        <w:t>he RP24 Annual Review recommended</w:t>
      </w:r>
      <w:r w:rsidRPr="00322410" w:rsidR="1E2F23C0">
        <w:rPr>
          <w:rFonts w:cs="Arial"/>
          <w:sz w:val="22"/>
          <w:szCs w:val="22"/>
        </w:rPr>
        <w:t>, through Recommendation 2,</w:t>
      </w:r>
      <w:r w:rsidRPr="00322410" w:rsidR="1AB66F48">
        <w:rPr>
          <w:rFonts w:cs="Arial"/>
          <w:sz w:val="22"/>
          <w:szCs w:val="22"/>
        </w:rPr>
        <w:t xml:space="preserve"> that the World Bank continue </w:t>
      </w:r>
      <w:r w:rsidRPr="00322410" w:rsidR="78F1EB16">
        <w:rPr>
          <w:rFonts w:cs="Arial"/>
          <w:sz w:val="22"/>
          <w:szCs w:val="22"/>
        </w:rPr>
        <w:t>to monitor progress and efforts to leverage finance</w:t>
      </w:r>
      <w:r w:rsidRPr="00322410" w:rsidR="741F7BB3">
        <w:rPr>
          <w:rFonts w:cs="Arial"/>
          <w:sz w:val="22"/>
          <w:szCs w:val="22"/>
        </w:rPr>
        <w:t xml:space="preserve"> and s</w:t>
      </w:r>
      <w:r w:rsidRPr="00322410" w:rsidR="78F1EB16">
        <w:rPr>
          <w:rFonts w:cs="Arial"/>
          <w:sz w:val="22"/>
          <w:szCs w:val="22"/>
        </w:rPr>
        <w:t>ecure ERPA flexibility to allow more countries access to markets.</w:t>
      </w:r>
      <w:r w:rsidRPr="00322410" w:rsidR="4F2DABA4">
        <w:rPr>
          <w:rFonts w:cs="Arial"/>
          <w:sz w:val="22"/>
          <w:szCs w:val="22"/>
        </w:rPr>
        <w:t xml:space="preserve"> As mentioned previously, in RP25, Costa Rica sold 100,000 </w:t>
      </w:r>
      <w:r w:rsidRPr="00322410" w:rsidR="25EF82EA">
        <w:rPr>
          <w:rFonts w:cs="Arial"/>
          <w:sz w:val="22"/>
          <w:szCs w:val="22"/>
        </w:rPr>
        <w:t xml:space="preserve">excess </w:t>
      </w:r>
      <w:r w:rsidRPr="00322410" w:rsidR="4F2DABA4">
        <w:rPr>
          <w:rFonts w:cs="Arial"/>
          <w:sz w:val="22"/>
          <w:szCs w:val="22"/>
        </w:rPr>
        <w:t xml:space="preserve">ERs to a private buyer, becoming the first FCPF </w:t>
      </w:r>
      <w:r w:rsidRPr="00322410" w:rsidR="67DC6806">
        <w:rPr>
          <w:rFonts w:cs="Arial"/>
          <w:sz w:val="22"/>
          <w:szCs w:val="22"/>
        </w:rPr>
        <w:t xml:space="preserve">country to sell its credits on the voluntary carbon market. </w:t>
      </w:r>
      <w:r w:rsidRPr="00322410" w:rsidR="0C844872">
        <w:rPr>
          <w:rFonts w:cs="Arial"/>
          <w:sz w:val="22"/>
          <w:szCs w:val="22"/>
        </w:rPr>
        <w:t>This is a milestone for the programme and paves the way for other countries to mark</w:t>
      </w:r>
      <w:r w:rsidRPr="00322410" w:rsidR="31D6DCA9">
        <w:rPr>
          <w:rFonts w:cs="Arial"/>
          <w:sz w:val="22"/>
          <w:szCs w:val="22"/>
        </w:rPr>
        <w:t>et their high-integrity FCPF credits at higher prices.</w:t>
      </w:r>
      <w:r w:rsidRPr="00322410" w:rsidR="4D67AEF1">
        <w:rPr>
          <w:rFonts w:cs="Arial"/>
          <w:sz w:val="22"/>
          <w:szCs w:val="22"/>
        </w:rPr>
        <w:t xml:space="preserve"> </w:t>
      </w:r>
    </w:p>
    <w:p w:rsidRPr="00322410" w:rsidR="5B801356" w:rsidP="5B801356" w:rsidRDefault="5B801356" w14:paraId="76BFAE0B" w14:textId="5D6A5D48">
      <w:pPr>
        <w:jc w:val="both"/>
        <w:rPr>
          <w:rFonts w:cs="Arial"/>
          <w:sz w:val="22"/>
          <w:szCs w:val="22"/>
        </w:rPr>
      </w:pPr>
    </w:p>
    <w:p w:rsidRPr="00322410" w:rsidR="5414D31A" w:rsidP="19B28B5D" w:rsidRDefault="5414D31A" w14:paraId="5EF06293" w14:textId="4F6B3E29">
      <w:pPr>
        <w:jc w:val="both"/>
        <w:rPr>
          <w:rFonts w:eastAsia="Arial" w:cs="Arial"/>
          <w:sz w:val="22"/>
          <w:szCs w:val="22"/>
        </w:rPr>
      </w:pPr>
      <w:r w:rsidRPr="00322410">
        <w:rPr>
          <w:rFonts w:cs="Arial"/>
          <w:sz w:val="22"/>
          <w:szCs w:val="22"/>
        </w:rPr>
        <w:t>Furthermore, contributors approved several proposals over RP25 to facilitate ERPA flexibility across the FCPF portfolio.</w:t>
      </w:r>
      <w:r w:rsidRPr="00322410" w:rsidR="44CA9181">
        <w:rPr>
          <w:rFonts w:cs="Arial"/>
          <w:sz w:val="22"/>
          <w:szCs w:val="22"/>
        </w:rPr>
        <w:t xml:space="preserve"> As a result, Carbon Fund countries are now able to put forward requests to introduce flexibility within their ERPAs such that a p</w:t>
      </w:r>
      <w:r w:rsidRPr="00322410" w:rsidR="2BDC731B">
        <w:rPr>
          <w:rFonts w:cs="Arial"/>
          <w:sz w:val="22"/>
          <w:szCs w:val="22"/>
        </w:rPr>
        <w:t>ortion of contract ER volumes can be released and monetised separately in carbon markets. In line with this agreed process, Co</w:t>
      </w:r>
      <w:r w:rsidRPr="00322410" w:rsidR="59E64844">
        <w:rPr>
          <w:rFonts w:cs="Arial"/>
          <w:sz w:val="22"/>
          <w:szCs w:val="22"/>
        </w:rPr>
        <w:t>sta Rica submitted a request t</w:t>
      </w:r>
      <w:r w:rsidRPr="00322410" w:rsidR="59E64844">
        <w:rPr>
          <w:rFonts w:eastAsia="Arial" w:cs="Arial"/>
          <w:color w:val="000000" w:themeColor="text1"/>
          <w:sz w:val="22"/>
          <w:szCs w:val="22"/>
        </w:rPr>
        <w:t>o retain 4,603,292 ERs of the remaining 5,103,292 Contract ERs for the purpose of monetisation in the carbon market, while delivering 500,000 ERs to the FCPF as contract ERs under the FCPF ERPAs. This request was approved by contributors in June 2025 and will allow Costa Rica to further monetise its FCPF credits.</w:t>
      </w:r>
    </w:p>
    <w:p w:rsidRPr="00322410" w:rsidR="19B28B5D" w:rsidP="19B28B5D" w:rsidRDefault="19B28B5D" w14:paraId="4A3CD20A" w14:textId="1F6BD574">
      <w:pPr>
        <w:jc w:val="both"/>
        <w:rPr>
          <w:rFonts w:cs="Arial"/>
          <w:sz w:val="22"/>
          <w:szCs w:val="22"/>
        </w:rPr>
      </w:pPr>
    </w:p>
    <w:p w:rsidRPr="00322410" w:rsidR="5EC92478" w:rsidP="1A8B6678" w:rsidRDefault="5EC92478" w14:paraId="1768FFF9" w14:textId="3186EA53">
      <w:pPr>
        <w:jc w:val="both"/>
        <w:rPr>
          <w:rFonts w:eastAsia="Arial" w:cs="Arial"/>
          <w:sz w:val="22"/>
          <w:szCs w:val="22"/>
        </w:rPr>
      </w:pPr>
      <w:r w:rsidRPr="2C0DF5FE" w:rsidR="5EC92478">
        <w:rPr>
          <w:rFonts w:cs="Arial"/>
          <w:sz w:val="22"/>
          <w:szCs w:val="22"/>
        </w:rPr>
        <w:t>Recommendation 5</w:t>
      </w:r>
      <w:r w:rsidRPr="2C0DF5FE" w:rsidR="3206BDDE">
        <w:rPr>
          <w:rFonts w:cs="Arial"/>
          <w:sz w:val="22"/>
          <w:szCs w:val="22"/>
        </w:rPr>
        <w:t xml:space="preserve"> from the RP24 Annual Review recommended that the World Bank and contributors continue to ensure that outcomes from the FY23 evaluation are embedded into the FCPF and shared with other initiatives such as SCALE. This has been </w:t>
      </w:r>
      <w:r w:rsidRPr="2C0DF5FE" w:rsidR="3206BDDE">
        <w:rPr>
          <w:rFonts w:cs="Arial"/>
          <w:sz w:val="22"/>
          <w:szCs w:val="22"/>
        </w:rPr>
        <w:t>achieved</w:t>
      </w:r>
      <w:r w:rsidRPr="2C0DF5FE" w:rsidR="3206BDDE">
        <w:rPr>
          <w:rFonts w:cs="Arial"/>
          <w:sz w:val="22"/>
          <w:szCs w:val="22"/>
        </w:rPr>
        <w:t>; over the last year, t</w:t>
      </w:r>
      <w:r w:rsidRPr="2C0DF5FE" w:rsidR="3206BDDE">
        <w:rPr>
          <w:rFonts w:eastAsia="Arial" w:cs="Arial"/>
          <w:sz w:val="22"/>
          <w:szCs w:val="22"/>
        </w:rPr>
        <w:t>he World Bank has taken steps to implement the recommendations from the FY23 Evaluation</w:t>
      </w:r>
      <w:r w:rsidRPr="2C0DF5FE" w:rsidR="73EB50B2">
        <w:rPr>
          <w:rFonts w:eastAsia="Arial" w:cs="Arial"/>
          <w:sz w:val="22"/>
          <w:szCs w:val="22"/>
        </w:rPr>
        <w:t>.</w:t>
      </w:r>
      <w:r w:rsidRPr="2C0DF5FE" w:rsidR="3206BDDE">
        <w:rPr>
          <w:rFonts w:eastAsia="Arial" w:cs="Arial"/>
          <w:sz w:val="22"/>
          <w:szCs w:val="22"/>
        </w:rPr>
        <w:t xml:space="preserve"> Key actions include addressing financing gaps by enabling advance payments and supporting countries to sell emission reductions to third-party buyers, as seen in Costa Rica’s recent transactions. The FCPF and SCALE are also strengthening engagement with participating countries and non-state actors, including women, Indigenous Peoples, and civil society, through inclusive consultations and dedicated platforms.</w:t>
      </w:r>
    </w:p>
    <w:p w:rsidRPr="00322410" w:rsidR="5EC92478" w:rsidP="1A8B6678" w:rsidRDefault="5EC92478" w14:paraId="5831E633" w14:textId="05D0E2C4">
      <w:pPr>
        <w:jc w:val="both"/>
        <w:rPr>
          <w:rFonts w:eastAsia="Arial" w:cs="Arial"/>
          <w:sz w:val="22"/>
          <w:szCs w:val="22"/>
        </w:rPr>
      </w:pPr>
    </w:p>
    <w:p w:rsidRPr="00322410" w:rsidR="00AC2038" w:rsidP="00AC2038" w:rsidRDefault="40F3D976" w14:paraId="0E90C405" w14:textId="1F136A88">
      <w:pPr>
        <w:jc w:val="both"/>
        <w:rPr>
          <w:rFonts w:eastAsia="Arial" w:cs="Arial"/>
          <w:sz w:val="22"/>
          <w:szCs w:val="22"/>
        </w:rPr>
      </w:pPr>
      <w:r w:rsidRPr="2C0DF5FE" w:rsidR="40F3D976">
        <w:rPr>
          <w:rFonts w:eastAsia="Arial" w:cs="Arial"/>
          <w:sz w:val="22"/>
          <w:szCs w:val="22"/>
        </w:rPr>
        <w:t xml:space="preserve">In terms of integrating lessons into future </w:t>
      </w:r>
      <w:r w:rsidRPr="2C0DF5FE" w:rsidR="569C67C8">
        <w:rPr>
          <w:rFonts w:eastAsia="Arial" w:cs="Arial"/>
          <w:sz w:val="22"/>
          <w:szCs w:val="22"/>
        </w:rPr>
        <w:t>initiatives</w:t>
      </w:r>
      <w:r w:rsidRPr="2C0DF5FE" w:rsidR="40F3D976">
        <w:rPr>
          <w:rFonts w:eastAsia="Arial" w:cs="Arial"/>
          <w:sz w:val="22"/>
          <w:szCs w:val="22"/>
        </w:rPr>
        <w:t xml:space="preserve">, </w:t>
      </w:r>
      <w:r w:rsidRPr="2C0DF5FE" w:rsidR="56118E10">
        <w:rPr>
          <w:rFonts w:eastAsia="Arial" w:cs="Arial"/>
          <w:sz w:val="22"/>
          <w:szCs w:val="22"/>
        </w:rPr>
        <w:t xml:space="preserve">any programme under SCALE </w:t>
      </w:r>
      <w:r w:rsidRPr="2C0DF5FE" w:rsidR="56118E10">
        <w:rPr>
          <w:rFonts w:eastAsia="Arial" w:cs="Arial"/>
          <w:sz w:val="22"/>
          <w:szCs w:val="22"/>
        </w:rPr>
        <w:t>is now required to</w:t>
      </w:r>
      <w:r w:rsidRPr="2C0DF5FE" w:rsidR="56118E10">
        <w:rPr>
          <w:rFonts w:eastAsia="Arial" w:cs="Arial"/>
          <w:sz w:val="22"/>
          <w:szCs w:val="22"/>
        </w:rPr>
        <w:t xml:space="preserve"> develop a Theory of Change before its approval. </w:t>
      </w:r>
      <w:r w:rsidRPr="2C0DF5FE" w:rsidR="130CA0D3">
        <w:rPr>
          <w:rFonts w:eastAsia="Arial" w:cs="Arial"/>
          <w:sz w:val="22"/>
          <w:szCs w:val="22"/>
        </w:rPr>
        <w:t>The</w:t>
      </w:r>
      <w:r w:rsidRPr="2C0DF5FE" w:rsidR="3206BDDE">
        <w:rPr>
          <w:rFonts w:eastAsia="Arial" w:cs="Arial"/>
          <w:sz w:val="22"/>
          <w:szCs w:val="22"/>
        </w:rPr>
        <w:t xml:space="preserve"> World Bank is investing in capacity development</w:t>
      </w:r>
      <w:r w:rsidRPr="2C0DF5FE" w:rsidR="6A90BED4">
        <w:rPr>
          <w:rFonts w:eastAsia="Arial" w:cs="Arial"/>
          <w:sz w:val="22"/>
          <w:szCs w:val="22"/>
        </w:rPr>
        <w:t xml:space="preserve"> – </w:t>
      </w:r>
      <w:r w:rsidRPr="2C0DF5FE" w:rsidR="3206BDDE">
        <w:rPr>
          <w:rFonts w:eastAsia="Arial" w:cs="Arial"/>
          <w:sz w:val="22"/>
          <w:szCs w:val="22"/>
        </w:rPr>
        <w:t>especially for monitoring and verificatio</w:t>
      </w:r>
      <w:r w:rsidRPr="2C0DF5FE" w:rsidR="3511367F">
        <w:rPr>
          <w:rFonts w:eastAsia="Arial" w:cs="Arial"/>
          <w:sz w:val="22"/>
          <w:szCs w:val="22"/>
        </w:rPr>
        <w:t xml:space="preserve">n – </w:t>
      </w:r>
      <w:r w:rsidRPr="2C0DF5FE" w:rsidR="3206BDDE">
        <w:rPr>
          <w:rFonts w:eastAsia="Arial" w:cs="Arial"/>
          <w:sz w:val="22"/>
          <w:szCs w:val="22"/>
        </w:rPr>
        <w:t xml:space="preserve">and mainstreaming gender considerations through action plans and training. Private sector engagement is being enhanced by </w:t>
      </w:r>
      <w:r w:rsidRPr="2C0DF5FE" w:rsidR="3206BDDE">
        <w:rPr>
          <w:rFonts w:eastAsia="Arial" w:cs="Arial"/>
          <w:sz w:val="22"/>
          <w:szCs w:val="22"/>
        </w:rPr>
        <w:t>facilitating</w:t>
      </w:r>
      <w:r w:rsidRPr="2C0DF5FE" w:rsidR="3206BDDE">
        <w:rPr>
          <w:rFonts w:eastAsia="Arial" w:cs="Arial"/>
          <w:sz w:val="22"/>
          <w:szCs w:val="22"/>
        </w:rPr>
        <w:t xml:space="preserve"> access to carbon markets and integrating lessons into new programmes</w:t>
      </w:r>
      <w:r w:rsidRPr="2C0DF5FE" w:rsidR="21B3D0D0">
        <w:rPr>
          <w:rFonts w:eastAsia="Arial" w:cs="Arial"/>
          <w:sz w:val="22"/>
          <w:szCs w:val="22"/>
        </w:rPr>
        <w:t xml:space="preserve"> and a </w:t>
      </w:r>
      <w:r w:rsidRPr="2C0DF5FE" w:rsidR="6D935694">
        <w:rPr>
          <w:rFonts w:eastAsia="Arial" w:cs="Arial"/>
          <w:sz w:val="22"/>
          <w:szCs w:val="22"/>
        </w:rPr>
        <w:t>private sec</w:t>
      </w:r>
      <w:r w:rsidRPr="2C0DF5FE" w:rsidR="7897D3A5">
        <w:rPr>
          <w:rFonts w:eastAsia="Arial" w:cs="Arial"/>
          <w:sz w:val="22"/>
          <w:szCs w:val="22"/>
        </w:rPr>
        <w:t>tor approach has been developed for SCALE</w:t>
      </w:r>
      <w:r w:rsidRPr="2C0DF5FE" w:rsidR="3206BDDE">
        <w:rPr>
          <w:rFonts w:eastAsia="Arial" w:cs="Arial"/>
          <w:sz w:val="22"/>
          <w:szCs w:val="22"/>
        </w:rPr>
        <w:t xml:space="preserve">. </w:t>
      </w:r>
      <w:r w:rsidRPr="2C0DF5FE" w:rsidR="346F20E5">
        <w:rPr>
          <w:rFonts w:eastAsia="Arial" w:cs="Arial"/>
          <w:sz w:val="22"/>
          <w:szCs w:val="22"/>
        </w:rPr>
        <w:t xml:space="preserve">Additionally, there is an internal World Bank process underway to develop an approach to benefit sharing that is more flexible and </w:t>
      </w:r>
      <w:r w:rsidRPr="2C0DF5FE" w:rsidR="47999FEE">
        <w:rPr>
          <w:rFonts w:eastAsia="Arial" w:cs="Arial"/>
          <w:sz w:val="22"/>
          <w:szCs w:val="22"/>
        </w:rPr>
        <w:t xml:space="preserve">context </w:t>
      </w:r>
      <w:r w:rsidRPr="2C0DF5FE" w:rsidR="47999FEE">
        <w:rPr>
          <w:rFonts w:eastAsia="Arial" w:cs="Arial"/>
          <w:sz w:val="22"/>
          <w:szCs w:val="22"/>
        </w:rPr>
        <w:t>appropriate</w:t>
      </w:r>
      <w:r w:rsidRPr="2C0DF5FE" w:rsidR="47999FEE">
        <w:rPr>
          <w:rFonts w:eastAsia="Arial" w:cs="Arial"/>
          <w:sz w:val="22"/>
          <w:szCs w:val="22"/>
        </w:rPr>
        <w:t xml:space="preserve">. </w:t>
      </w:r>
      <w:r w:rsidRPr="2C0DF5FE" w:rsidR="3206BDDE">
        <w:rPr>
          <w:rFonts w:eastAsia="Arial" w:cs="Arial"/>
          <w:sz w:val="22"/>
          <w:szCs w:val="22"/>
        </w:rPr>
        <w:t xml:space="preserve">Finally, there is a growing emphasis on recognising and certifying non-carbon benefits, </w:t>
      </w:r>
      <w:r w:rsidRPr="2C0DF5FE" w:rsidR="3206BDDE">
        <w:rPr>
          <w:rFonts w:eastAsia="Arial" w:cs="Arial"/>
          <w:sz w:val="22"/>
          <w:szCs w:val="22"/>
        </w:rPr>
        <w:t>with</w:t>
      </w:r>
      <w:r w:rsidRPr="2C0DF5FE" w:rsidR="34911D5F">
        <w:rPr>
          <w:rFonts w:eastAsia="Arial" w:cs="Arial"/>
          <w:sz w:val="22"/>
          <w:szCs w:val="22"/>
        </w:rPr>
        <w:t xml:space="preserve"> a</w:t>
      </w:r>
      <w:r w:rsidRPr="2C0DF5FE" w:rsidR="3206BDDE">
        <w:rPr>
          <w:rFonts w:eastAsia="Arial" w:cs="Arial"/>
          <w:sz w:val="22"/>
          <w:szCs w:val="22"/>
        </w:rPr>
        <w:t xml:space="preserve"> pilot programme</w:t>
      </w:r>
      <w:r w:rsidRPr="2C0DF5FE" w:rsidR="5032BEAA">
        <w:rPr>
          <w:rFonts w:eastAsia="Arial" w:cs="Arial"/>
          <w:sz w:val="22"/>
          <w:szCs w:val="22"/>
        </w:rPr>
        <w:t xml:space="preserve"> </w:t>
      </w:r>
      <w:r w:rsidRPr="2C0DF5FE" w:rsidR="5B94A9BF">
        <w:rPr>
          <w:rFonts w:eastAsia="Arial" w:cs="Arial"/>
          <w:sz w:val="22"/>
          <w:szCs w:val="22"/>
        </w:rPr>
        <w:t>being prepared</w:t>
      </w:r>
      <w:r w:rsidRPr="2C0DF5FE" w:rsidR="3206BDDE">
        <w:rPr>
          <w:rFonts w:eastAsia="Arial" w:cs="Arial"/>
          <w:sz w:val="22"/>
          <w:szCs w:val="22"/>
        </w:rPr>
        <w:t xml:space="preserve"> </w:t>
      </w:r>
      <w:r w:rsidRPr="2C0DF5FE" w:rsidR="7C51719D">
        <w:rPr>
          <w:rFonts w:eastAsia="Arial" w:cs="Arial"/>
          <w:sz w:val="22"/>
          <w:szCs w:val="22"/>
        </w:rPr>
        <w:t xml:space="preserve">for non-carbon development </w:t>
      </w:r>
      <w:r w:rsidRPr="2C0DF5FE" w:rsidR="61994E42">
        <w:rPr>
          <w:rFonts w:eastAsia="Arial" w:cs="Arial"/>
          <w:sz w:val="22"/>
          <w:szCs w:val="22"/>
        </w:rPr>
        <w:t>impact certification.</w:t>
      </w:r>
    </w:p>
    <w:p w:rsidRPr="00322410" w:rsidR="00AC2038" w:rsidP="00AC2038" w:rsidRDefault="00AC2038" w14:paraId="01CCED7A" w14:textId="6214E938">
      <w:pPr>
        <w:jc w:val="both"/>
        <w:rPr>
          <w:rFonts w:eastAsia="Arial" w:cs="Arial"/>
          <w:sz w:val="22"/>
          <w:szCs w:val="22"/>
        </w:rPr>
      </w:pPr>
    </w:p>
    <w:p w:rsidRPr="00322410" w:rsidR="00AC2038" w:rsidP="00AC2038" w:rsidRDefault="5CC21CE9" w14:paraId="7B33DC51" w14:textId="64172D87">
      <w:pPr>
        <w:jc w:val="both"/>
        <w:rPr>
          <w:rFonts w:eastAsia="Arial" w:cs="Arial"/>
          <w:sz w:val="22"/>
          <w:szCs w:val="22"/>
        </w:rPr>
      </w:pPr>
      <w:r w:rsidRPr="7B517CBD">
        <w:rPr>
          <w:rFonts w:eastAsia="Arial" w:cs="Arial"/>
          <w:sz w:val="22"/>
          <w:szCs w:val="22"/>
        </w:rPr>
        <w:t xml:space="preserve">Progress has also been made outside of the RP24 recommendations. CATS has continued to support </w:t>
      </w:r>
      <w:r w:rsidRPr="7B517CBD" w:rsidR="764D52C4">
        <w:rPr>
          <w:rFonts w:eastAsia="Arial" w:cs="Arial"/>
          <w:sz w:val="22"/>
          <w:szCs w:val="22"/>
        </w:rPr>
        <w:t xml:space="preserve">ER issuances and transactions under the </w:t>
      </w:r>
      <w:r w:rsidRPr="7B517CBD" w:rsidR="69D15547">
        <w:rPr>
          <w:rFonts w:eastAsia="Arial" w:cs="Arial"/>
          <w:sz w:val="22"/>
          <w:szCs w:val="22"/>
        </w:rPr>
        <w:t xml:space="preserve">Carbon Fund, </w:t>
      </w:r>
      <w:r w:rsidRPr="7B517CBD" w:rsidR="764D52C4">
        <w:rPr>
          <w:rFonts w:eastAsia="Arial" w:cs="Arial"/>
          <w:sz w:val="22"/>
          <w:szCs w:val="22"/>
        </w:rPr>
        <w:t>with a</w:t>
      </w:r>
      <w:r w:rsidRPr="7B517CBD" w:rsidR="51404572">
        <w:rPr>
          <w:rFonts w:eastAsia="Arial" w:cs="Arial"/>
          <w:sz w:val="22"/>
          <w:szCs w:val="22"/>
        </w:rPr>
        <w:t xml:space="preserve"> total</w:t>
      </w:r>
      <w:r w:rsidRPr="7B517CBD" w:rsidR="764D52C4">
        <w:rPr>
          <w:rFonts w:eastAsia="Arial" w:cs="Arial"/>
          <w:sz w:val="22"/>
          <w:szCs w:val="22"/>
        </w:rPr>
        <w:t xml:space="preserve"> transacted volume of 81.6 million </w:t>
      </w:r>
      <w:r w:rsidRPr="7B517CBD" w:rsidR="0AA07242">
        <w:rPr>
          <w:rFonts w:eastAsia="Arial" w:cs="Arial"/>
          <w:sz w:val="22"/>
          <w:szCs w:val="22"/>
        </w:rPr>
        <w:t>ERs, 30 million of which were transacted over the last year. This makes CATS the leading transaction platform for jurisdictional REDD+</w:t>
      </w:r>
      <w:r w:rsidRPr="7B517CBD" w:rsidR="764D52C4">
        <w:rPr>
          <w:rFonts w:eastAsia="Arial" w:cs="Arial"/>
          <w:sz w:val="22"/>
          <w:szCs w:val="22"/>
        </w:rPr>
        <w:t xml:space="preserve">. </w:t>
      </w:r>
      <w:r w:rsidRPr="7B517CBD" w:rsidR="4EF67527">
        <w:rPr>
          <w:rFonts w:eastAsia="Arial" w:cs="Arial"/>
          <w:sz w:val="22"/>
          <w:szCs w:val="22"/>
        </w:rPr>
        <w:t xml:space="preserve">In May 2025, an upgraded version of CATS was launched, featuring enhanced system performance, a public dashboard, expanded reporting capabilities, and alignment with the requirements of Paris Agreement Article 6 and </w:t>
      </w:r>
      <w:r w:rsidRPr="7B517CBD" w:rsidR="05012C0E">
        <w:rPr>
          <w:rFonts w:eastAsia="Arial" w:cs="Arial"/>
          <w:sz w:val="22"/>
          <w:szCs w:val="22"/>
        </w:rPr>
        <w:t>CORSIA</w:t>
      </w:r>
      <w:r w:rsidRPr="7B517CBD" w:rsidR="00DC5738">
        <w:rPr>
          <w:rFonts w:eastAsia="Arial" w:cs="Arial"/>
          <w:sz w:val="22"/>
          <w:szCs w:val="22"/>
        </w:rPr>
        <w:t xml:space="preserve"> – noting that the FCPF</w:t>
      </w:r>
      <w:r w:rsidRPr="7B517CBD" w:rsidR="01468BBE">
        <w:rPr>
          <w:rFonts w:eastAsia="Arial" w:cs="Arial"/>
          <w:sz w:val="22"/>
          <w:szCs w:val="22"/>
        </w:rPr>
        <w:t>,</w:t>
      </w:r>
      <w:r w:rsidRPr="7B517CBD" w:rsidR="00DC5738">
        <w:rPr>
          <w:rFonts w:eastAsia="Arial" w:cs="Arial"/>
          <w:sz w:val="22"/>
          <w:szCs w:val="22"/>
        </w:rPr>
        <w:t xml:space="preserve"> standard however, is still not CORSIA approved</w:t>
      </w:r>
      <w:r w:rsidRPr="7B517CBD" w:rsidR="05012C0E">
        <w:rPr>
          <w:rFonts w:eastAsia="Arial" w:cs="Arial"/>
          <w:sz w:val="22"/>
          <w:szCs w:val="22"/>
        </w:rPr>
        <w:t>.</w:t>
      </w:r>
    </w:p>
    <w:p w:rsidRPr="00322410" w:rsidR="00AC2038" w:rsidP="00AC2038" w:rsidRDefault="00AC2038" w14:paraId="6E878EAE" w14:textId="5993C5BE">
      <w:pPr>
        <w:jc w:val="both"/>
        <w:rPr>
          <w:rFonts w:eastAsia="Arial" w:cs="Arial"/>
          <w:sz w:val="22"/>
          <w:szCs w:val="22"/>
        </w:rPr>
      </w:pPr>
    </w:p>
    <w:p w:rsidRPr="00322410" w:rsidR="00AC2038" w:rsidP="00AC2038" w:rsidRDefault="40FA6940" w14:paraId="2C110DE9" w14:textId="669CC12E">
      <w:pPr>
        <w:jc w:val="both"/>
        <w:rPr>
          <w:rFonts w:eastAsia="Arial" w:cs="Arial"/>
          <w:sz w:val="22"/>
          <w:szCs w:val="22"/>
        </w:rPr>
      </w:pPr>
      <w:r w:rsidRPr="00322410">
        <w:rPr>
          <w:rFonts w:cs="Arial"/>
          <w:sz w:val="22"/>
          <w:szCs w:val="22"/>
        </w:rPr>
        <w:t>The FCPF has also strengthened its engagement with the private sector.</w:t>
      </w:r>
      <w:r w:rsidRPr="00322410" w:rsidR="72953E16">
        <w:rPr>
          <w:rFonts w:cs="Arial"/>
          <w:sz w:val="22"/>
          <w:szCs w:val="22"/>
        </w:rPr>
        <w:t xml:space="preserve"> </w:t>
      </w:r>
      <w:r w:rsidRPr="00322410" w:rsidR="72953E16">
        <w:rPr>
          <w:rFonts w:eastAsia="Arial" w:cs="Arial"/>
          <w:sz w:val="22"/>
          <w:szCs w:val="22"/>
        </w:rPr>
        <w:t>The FCPF ER programmes have proactively developed strategies to encourage and expand private sector participation. The facility continues to identify and pursue innovative opportunities for private sector engagement, aiming to maximise the impact and scalability of REDD+ initiatives. As of RP25, 68 distinct partnerships with private sector entities have been established across the ER programmes. Throughout the year, FCPF governance bodies have maintained active engagement with the private sector, including granting observer status to private sector representatives in policy-level discussions. This approach ensures that the FCPF benefits from valuable stakeholder input, further enhancing private sector involvement in ER activities.</w:t>
      </w:r>
    </w:p>
    <w:p w:rsidRPr="00322410" w:rsidR="00AC2038" w:rsidP="00AC2038" w:rsidRDefault="00AC2038" w14:paraId="6F76162D" w14:textId="5F51BC71">
      <w:pPr>
        <w:jc w:val="both"/>
        <w:rPr>
          <w:rFonts w:eastAsia="Arial" w:cs="Arial"/>
          <w:sz w:val="22"/>
          <w:szCs w:val="22"/>
        </w:rPr>
      </w:pPr>
    </w:p>
    <w:p w:rsidRPr="00322410" w:rsidR="71FA9B35" w:rsidP="00AC2038" w:rsidRDefault="72953E16" w14:paraId="440C2EAE" w14:textId="300DF802">
      <w:pPr>
        <w:jc w:val="both"/>
        <w:rPr>
          <w:rFonts w:eastAsia="Arial" w:cs="Arial"/>
          <w:sz w:val="22"/>
          <w:szCs w:val="22"/>
        </w:rPr>
      </w:pPr>
      <w:r w:rsidRPr="2C0DF5FE" w:rsidR="72953E16">
        <w:rPr>
          <w:rFonts w:eastAsia="Arial" w:cs="Arial"/>
          <w:sz w:val="22"/>
          <w:szCs w:val="22"/>
        </w:rPr>
        <w:t xml:space="preserve">Furthermore, to </w:t>
      </w:r>
      <w:r w:rsidRPr="2C0DF5FE" w:rsidR="72953E16">
        <w:rPr>
          <w:rFonts w:eastAsia="Arial" w:cs="Arial"/>
          <w:sz w:val="22"/>
          <w:szCs w:val="22"/>
        </w:rPr>
        <w:t>facilitate</w:t>
      </w:r>
      <w:r w:rsidRPr="2C0DF5FE" w:rsidR="72953E16">
        <w:rPr>
          <w:rFonts w:eastAsia="Arial" w:cs="Arial"/>
          <w:sz w:val="22"/>
          <w:szCs w:val="22"/>
        </w:rPr>
        <w:t xml:space="preserve"> monetisation, the World Bank has, since 2021, collaborated with various auction providers to support countries in selling their ERs. Notably, a roadshow was conducted in Japan, Korea, and Singapore to strengthen relationships with governments and carbon market stakeholders, and to raise awareness of FCPF programmes. In parallel, </w:t>
      </w:r>
      <w:r w:rsidRPr="2C0DF5FE" w:rsidR="6E2AAA4F">
        <w:rPr>
          <w:rFonts w:eastAsia="Arial" w:cs="Arial"/>
          <w:sz w:val="22"/>
          <w:szCs w:val="22"/>
        </w:rPr>
        <w:t>t</w:t>
      </w:r>
      <w:r w:rsidRPr="2C0DF5FE" w:rsidR="72953E16">
        <w:rPr>
          <w:rFonts w:eastAsia="Arial" w:cs="Arial"/>
          <w:sz w:val="22"/>
          <w:szCs w:val="22"/>
        </w:rPr>
        <w:t xml:space="preserve">o support growing interest from third-party buyers and intermediaries, the World Bank has developed an FCPF Standard microsite, offering comprehensive information on the requirements and processes for generating and issuing FCPF emission reductions. Additionally, country profiles </w:t>
      </w:r>
      <w:r w:rsidRPr="2C0DF5FE" w:rsidR="0D263A64">
        <w:rPr>
          <w:rFonts w:eastAsia="Arial" w:cs="Arial"/>
          <w:sz w:val="22"/>
          <w:szCs w:val="22"/>
        </w:rPr>
        <w:t xml:space="preserve">have been produced, which summarise </w:t>
      </w:r>
      <w:r w:rsidRPr="2C0DF5FE" w:rsidR="72953E16">
        <w:rPr>
          <w:rFonts w:eastAsia="Arial" w:cs="Arial"/>
          <w:sz w:val="22"/>
          <w:szCs w:val="22"/>
        </w:rPr>
        <w:t xml:space="preserve">key aspects of each ER programme. </w:t>
      </w:r>
    </w:p>
    <w:p w:rsidRPr="00322410" w:rsidR="71FA9B35" w:rsidP="18CE68B2" w:rsidRDefault="71FA9B35" w14:paraId="556ED6E1" w14:textId="574ACFC2">
      <w:pPr>
        <w:jc w:val="both"/>
        <w:rPr>
          <w:rFonts w:cs="Arial"/>
          <w:sz w:val="22"/>
          <w:szCs w:val="22"/>
        </w:rPr>
      </w:pPr>
    </w:p>
    <w:p w:rsidRPr="00322410" w:rsidR="71FA9B35" w:rsidP="71FA9B35" w:rsidRDefault="71FA9B35" w14:paraId="0B830CD7" w14:textId="63AFFB3D">
      <w:pPr>
        <w:jc w:val="both"/>
        <w:rPr>
          <w:rFonts w:eastAsia="Arial" w:cs="Arial"/>
          <w:sz w:val="22"/>
          <w:szCs w:val="22"/>
        </w:rPr>
      </w:pPr>
    </w:p>
    <w:p w:rsidRPr="00322410" w:rsidR="2C93D07D" w:rsidRDefault="2C93D07D" w14:paraId="0B0BA1C1" w14:textId="4D74B924">
      <w:r w:rsidRPr="00322410">
        <w:br w:type="page"/>
      </w:r>
    </w:p>
    <w:tbl>
      <w:tblPr>
        <w:tblStyle w:val="TableGrid"/>
        <w:tblW w:w="0" w:type="auto"/>
        <w:tblLook w:val="04A0" w:firstRow="1" w:lastRow="0" w:firstColumn="1" w:lastColumn="0" w:noHBand="0" w:noVBand="1"/>
      </w:tblPr>
      <w:tblGrid>
        <w:gridCol w:w="9016"/>
      </w:tblGrid>
      <w:tr w:rsidRPr="00322410" w:rsidR="00CB2873" w:rsidTr="6C96D7A6" w14:paraId="406A1DDB" w14:textId="77777777">
        <w:tc>
          <w:tcPr>
            <w:tcW w:w="9016" w:type="dxa"/>
            <w:shd w:val="clear" w:color="auto" w:fill="DEEAF6" w:themeFill="accent5" w:themeFillTint="33"/>
          </w:tcPr>
          <w:p w:rsidRPr="00322410" w:rsidR="00CB2873" w:rsidP="6C96D7A6" w:rsidRDefault="2C7057B1" w14:paraId="5F18405D" w14:textId="56619DE6">
            <w:pPr>
              <w:jc w:val="both"/>
              <w:rPr>
                <w:rStyle w:val="Heading1Char"/>
                <w:rFonts w:ascii="Arial" w:hAnsi="Arial" w:cs="Arial"/>
                <w:b/>
                <w:bCs/>
                <w:color w:val="auto"/>
              </w:rPr>
            </w:pPr>
            <w:bookmarkStart w:name="_Toc219130989" w:id="90"/>
            <w:r w:rsidRPr="00322410">
              <w:rPr>
                <w:rStyle w:val="Heading1Char"/>
                <w:rFonts w:ascii="Arial" w:hAnsi="Arial" w:cs="Arial"/>
                <w:b/>
                <w:bCs/>
                <w:color w:val="auto"/>
              </w:rPr>
              <w:t>Section E: Risk</w:t>
            </w:r>
            <w:bookmarkEnd w:id="90"/>
          </w:p>
        </w:tc>
      </w:tr>
    </w:tbl>
    <w:p w:rsidRPr="00322410" w:rsidR="003D222C" w:rsidP="004D5FD5" w:rsidRDefault="003D222C" w14:paraId="7D07A5C2" w14:textId="77777777">
      <w:pPr>
        <w:jc w:val="both"/>
        <w:rPr>
          <w:rFonts w:cs="Arial"/>
          <w:b/>
          <w:bCs/>
          <w:sz w:val="22"/>
          <w:szCs w:val="22"/>
        </w:rPr>
      </w:pPr>
    </w:p>
    <w:p w:rsidRPr="00322410" w:rsidR="00B74143" w:rsidP="6C96D7A6" w:rsidRDefault="00B74143" w14:paraId="7CBD3830" w14:textId="24D4F9E8">
      <w:pPr>
        <w:contextualSpacing/>
        <w:jc w:val="both"/>
        <w:rPr>
          <w:rFonts w:cs="Arial"/>
          <w:b/>
          <w:bCs/>
          <w:sz w:val="22"/>
          <w:szCs w:val="22"/>
        </w:rPr>
      </w:pPr>
      <w:bookmarkStart w:name="_Toc219130990" w:id="91"/>
      <w:r w:rsidRPr="00322410">
        <w:rPr>
          <w:rStyle w:val="Heading2Char"/>
        </w:rPr>
        <w:t>Overall risk rating</w:t>
      </w:r>
      <w:bookmarkEnd w:id="91"/>
      <w:r w:rsidRPr="00322410">
        <w:rPr>
          <w:rFonts w:cs="Arial"/>
          <w:b/>
          <w:bCs/>
          <w:sz w:val="22"/>
          <w:szCs w:val="22"/>
        </w:rPr>
        <w:t xml:space="preserve">: </w:t>
      </w:r>
      <w:r w:rsidRPr="00322410" w:rsidR="706738CD">
        <w:rPr>
          <w:rFonts w:cs="Arial"/>
          <w:b/>
          <w:bCs/>
          <w:sz w:val="22"/>
          <w:szCs w:val="22"/>
        </w:rPr>
        <w:t>Moderate</w:t>
      </w:r>
    </w:p>
    <w:p w:rsidRPr="00322410" w:rsidR="00D0302B" w:rsidP="004D5FD5" w:rsidRDefault="00D0302B" w14:paraId="026FB9FF" w14:textId="77777777">
      <w:pPr>
        <w:contextualSpacing/>
        <w:jc w:val="both"/>
        <w:rPr>
          <w:rFonts w:cs="Arial"/>
          <w:sz w:val="22"/>
          <w:szCs w:val="22"/>
        </w:rPr>
      </w:pPr>
    </w:p>
    <w:p w:rsidRPr="00322410" w:rsidR="00B74143" w:rsidP="324C8CC8" w:rsidRDefault="706738CD" w14:paraId="3C5CF6C8" w14:textId="4752A540">
      <w:pPr>
        <w:contextualSpacing/>
        <w:jc w:val="both"/>
        <w:rPr>
          <w:rFonts w:cs="Arial"/>
          <w:sz w:val="22"/>
          <w:szCs w:val="22"/>
        </w:rPr>
      </w:pPr>
      <w:r w:rsidRPr="00322410">
        <w:rPr>
          <w:rFonts w:cs="Arial"/>
          <w:sz w:val="22"/>
          <w:szCs w:val="22"/>
        </w:rPr>
        <w:t xml:space="preserve">The risk rating for the FCPF Carbon Fund is moderate. The programme has run effectively during the 2024/25 reporting period, but its continued success </w:t>
      </w:r>
      <w:r w:rsidRPr="00322410" w:rsidR="3CA58B56">
        <w:rPr>
          <w:rFonts w:cs="Arial"/>
          <w:sz w:val="22"/>
          <w:szCs w:val="22"/>
        </w:rPr>
        <w:t xml:space="preserve">may be impacted by </w:t>
      </w:r>
      <w:r w:rsidRPr="00322410">
        <w:rPr>
          <w:rFonts w:cs="Arial"/>
          <w:sz w:val="22"/>
          <w:szCs w:val="22"/>
        </w:rPr>
        <w:t>continued investment, resourcing, political stabili</w:t>
      </w:r>
      <w:r w:rsidRPr="00322410" w:rsidR="7E105CD8">
        <w:rPr>
          <w:rFonts w:cs="Arial"/>
          <w:sz w:val="22"/>
          <w:szCs w:val="22"/>
        </w:rPr>
        <w:t xml:space="preserve">ty, </w:t>
      </w:r>
      <w:r w:rsidRPr="00322410" w:rsidR="15D2AFEE">
        <w:rPr>
          <w:rFonts w:cs="Arial"/>
          <w:sz w:val="22"/>
          <w:szCs w:val="22"/>
        </w:rPr>
        <w:t xml:space="preserve">delivery, leakage and fiduciary risks. These risks have not changed significantly over the past year. Considering the proven effectiveness of mitigation strategies, the overall risk </w:t>
      </w:r>
      <w:r w:rsidRPr="00322410" w:rsidR="5A33FD3A">
        <w:rPr>
          <w:rFonts w:cs="Arial"/>
          <w:sz w:val="22"/>
          <w:szCs w:val="22"/>
        </w:rPr>
        <w:t>rating</w:t>
      </w:r>
      <w:r w:rsidRPr="00322410" w:rsidR="15D2AFEE">
        <w:rPr>
          <w:rFonts w:cs="Arial"/>
          <w:sz w:val="22"/>
          <w:szCs w:val="22"/>
        </w:rPr>
        <w:t xml:space="preserve"> remains moderate.</w:t>
      </w:r>
    </w:p>
    <w:p w:rsidRPr="00322410" w:rsidR="324C8CC8" w:rsidP="324C8CC8" w:rsidRDefault="324C8CC8" w14:paraId="60A118A9" w14:textId="3B5D6709">
      <w:pPr>
        <w:contextualSpacing/>
        <w:jc w:val="both"/>
        <w:rPr>
          <w:rFonts w:cs="Arial"/>
          <w:sz w:val="22"/>
          <w:szCs w:val="22"/>
        </w:rPr>
      </w:pPr>
    </w:p>
    <w:p w:rsidRPr="00322410" w:rsidR="00B74143" w:rsidP="004D5FD5" w:rsidRDefault="00B74143" w14:paraId="55743C55" w14:textId="3139D69A">
      <w:pPr>
        <w:jc w:val="both"/>
        <w:rPr>
          <w:rFonts w:cs="Arial"/>
          <w:sz w:val="22"/>
          <w:szCs w:val="22"/>
        </w:rPr>
      </w:pPr>
      <w:bookmarkStart w:name="_Toc219130991" w:id="92"/>
      <w:r w:rsidRPr="00322410">
        <w:rPr>
          <w:rStyle w:val="Heading2Char"/>
        </w:rPr>
        <w:t>Overview of risk management</w:t>
      </w:r>
      <w:bookmarkEnd w:id="92"/>
      <w:r w:rsidRPr="00322410">
        <w:rPr>
          <w:rFonts w:cs="Arial"/>
          <w:sz w:val="22"/>
          <w:szCs w:val="22"/>
        </w:rPr>
        <w:t xml:space="preserve"> </w:t>
      </w:r>
    </w:p>
    <w:p w:rsidRPr="00322410" w:rsidR="00B74143" w:rsidP="004D5FD5" w:rsidRDefault="00B74143" w14:paraId="673B755F" w14:textId="77777777">
      <w:pPr>
        <w:jc w:val="both"/>
        <w:rPr>
          <w:rFonts w:cs="Arial"/>
          <w:sz w:val="22"/>
          <w:szCs w:val="22"/>
        </w:rPr>
      </w:pPr>
    </w:p>
    <w:p w:rsidRPr="00322410" w:rsidR="00B74143" w:rsidP="004D5FD5" w:rsidRDefault="09CA0AD1" w14:paraId="24E960FC" w14:textId="708F2048">
      <w:pPr>
        <w:spacing w:before="40" w:after="40"/>
        <w:jc w:val="both"/>
        <w:rPr>
          <w:rFonts w:cs="Arial"/>
          <w:sz w:val="22"/>
          <w:szCs w:val="22"/>
        </w:rPr>
      </w:pPr>
      <w:r w:rsidRPr="00322410">
        <w:rPr>
          <w:rFonts w:cs="Arial"/>
          <w:sz w:val="22"/>
          <w:szCs w:val="22"/>
        </w:rPr>
        <w:t>The World Bank continue to monitor and report on key risks through quarterly monitoring reports. These reports provide detailed updates on each of the 15 Carbon Fund programmes</w:t>
      </w:r>
      <w:r w:rsidRPr="00322410" w:rsidR="2E1497E0">
        <w:rPr>
          <w:rFonts w:cs="Arial"/>
          <w:sz w:val="22"/>
          <w:szCs w:val="22"/>
        </w:rPr>
        <w:t xml:space="preserve"> and</w:t>
      </w:r>
      <w:r w:rsidRPr="00322410">
        <w:rPr>
          <w:rFonts w:cs="Arial"/>
          <w:sz w:val="22"/>
          <w:szCs w:val="22"/>
        </w:rPr>
        <w:t xml:space="preserve"> flag any major technical, policy and delivery risks.</w:t>
      </w:r>
      <w:r w:rsidRPr="00322410" w:rsidR="4777A5CD">
        <w:rPr>
          <w:rFonts w:cs="Arial"/>
          <w:sz w:val="22"/>
          <w:szCs w:val="22"/>
        </w:rPr>
        <w:t xml:space="preserve"> The World Bank also holds quarterly meetings with contributors</w:t>
      </w:r>
      <w:r w:rsidRPr="00322410" w:rsidR="01F4089D">
        <w:rPr>
          <w:rFonts w:cs="Arial"/>
          <w:sz w:val="22"/>
          <w:szCs w:val="22"/>
        </w:rPr>
        <w:t>, where programme risks are discussed. These meetings include two in-person meetings. Contributors also meet with the World Bank on ad hoc basis to raise concerns on progress where needed.</w:t>
      </w:r>
    </w:p>
    <w:p w:rsidRPr="00322410" w:rsidR="00B74143" w:rsidP="004D5FD5" w:rsidRDefault="00B74143" w14:paraId="6553C2DF" w14:textId="63442B67">
      <w:pPr>
        <w:pStyle w:val="Heading2"/>
        <w:jc w:val="both"/>
      </w:pPr>
      <w:bookmarkStart w:name="_Toc219130992" w:id="93"/>
      <w:r w:rsidRPr="00322410">
        <w:t>Current risks</w:t>
      </w:r>
      <w:bookmarkEnd w:id="93"/>
    </w:p>
    <w:p w:rsidRPr="00322410" w:rsidR="12806BEE" w:rsidP="12806BEE" w:rsidRDefault="12806BEE" w14:paraId="663B9537" w14:textId="1EE44308">
      <w:pPr>
        <w:contextualSpacing/>
        <w:jc w:val="both"/>
        <w:rPr>
          <w:rFonts w:cs="Arial"/>
          <w:i/>
          <w:iCs/>
          <w:sz w:val="22"/>
          <w:szCs w:val="22"/>
        </w:rPr>
      </w:pPr>
    </w:p>
    <w:tbl>
      <w:tblPr>
        <w:tblStyle w:val="TableGrid"/>
        <w:tblW w:w="9008" w:type="dxa"/>
        <w:jc w:val="center"/>
        <w:tblLook w:val="04A0" w:firstRow="1" w:lastRow="0" w:firstColumn="1" w:lastColumn="0" w:noHBand="0" w:noVBand="1"/>
      </w:tblPr>
      <w:tblGrid>
        <w:gridCol w:w="3035"/>
        <w:gridCol w:w="3000"/>
        <w:gridCol w:w="2973"/>
      </w:tblGrid>
      <w:tr w:rsidRPr="00322410" w:rsidR="00B74143" w:rsidTr="2C0DF5FE" w14:paraId="44DB7905" w14:textId="77777777">
        <w:trPr>
          <w:jc w:val="center"/>
        </w:trPr>
        <w:tc>
          <w:tcPr>
            <w:tcW w:w="3035" w:type="dxa"/>
            <w:shd w:val="clear" w:color="auto" w:fill="DEEAF6" w:themeFill="accent5" w:themeFillTint="33"/>
            <w:tcMar/>
          </w:tcPr>
          <w:p w:rsidRPr="00322410" w:rsidR="00B74143" w:rsidP="2C93D07D" w:rsidRDefault="78E1EB16" w14:paraId="7FD0E27D" w14:textId="77777777">
            <w:pPr>
              <w:pStyle w:val="NoSpacing"/>
              <w:rPr>
                <w:rFonts w:cs="Arial"/>
                <w:b/>
                <w:bCs/>
                <w:sz w:val="20"/>
                <w:szCs w:val="20"/>
              </w:rPr>
            </w:pPr>
            <w:r w:rsidRPr="00322410">
              <w:rPr>
                <w:b/>
                <w:bCs/>
                <w:sz w:val="20"/>
                <w:szCs w:val="20"/>
              </w:rPr>
              <w:t xml:space="preserve">Risk description </w:t>
            </w:r>
          </w:p>
        </w:tc>
        <w:tc>
          <w:tcPr>
            <w:tcW w:w="3000" w:type="dxa"/>
            <w:shd w:val="clear" w:color="auto" w:fill="DEEAF6" w:themeFill="accent5" w:themeFillTint="33"/>
            <w:tcMar/>
          </w:tcPr>
          <w:p w:rsidRPr="00322410" w:rsidR="00B74143" w:rsidP="2C93D07D" w:rsidRDefault="78E1EB16" w14:paraId="0B8DE401" w14:textId="77777777">
            <w:pPr>
              <w:pStyle w:val="NoSpacing"/>
              <w:rPr>
                <w:rFonts w:cs="Arial"/>
                <w:b/>
                <w:bCs/>
                <w:sz w:val="20"/>
                <w:szCs w:val="20"/>
              </w:rPr>
            </w:pPr>
            <w:r w:rsidRPr="00322410">
              <w:rPr>
                <w:b/>
                <w:bCs/>
                <w:sz w:val="20"/>
                <w:szCs w:val="20"/>
              </w:rPr>
              <w:t xml:space="preserve">Mitigation strategy </w:t>
            </w:r>
          </w:p>
        </w:tc>
        <w:tc>
          <w:tcPr>
            <w:tcW w:w="2973" w:type="dxa"/>
            <w:shd w:val="clear" w:color="auto" w:fill="DEEAF6" w:themeFill="accent5" w:themeFillTint="33"/>
            <w:tcMar/>
          </w:tcPr>
          <w:p w:rsidRPr="00322410" w:rsidR="00B74143" w:rsidP="2C93D07D" w:rsidRDefault="78E1EB16" w14:paraId="5D70A0F3" w14:textId="77777777">
            <w:pPr>
              <w:pStyle w:val="NoSpacing"/>
              <w:rPr>
                <w:rFonts w:cs="Arial"/>
                <w:b/>
                <w:bCs/>
                <w:sz w:val="20"/>
                <w:szCs w:val="20"/>
              </w:rPr>
            </w:pPr>
            <w:r w:rsidRPr="00322410">
              <w:rPr>
                <w:b/>
                <w:bCs/>
                <w:sz w:val="20"/>
                <w:szCs w:val="20"/>
              </w:rPr>
              <w:t>Residual Risk rating</w:t>
            </w:r>
          </w:p>
        </w:tc>
      </w:tr>
      <w:tr w:rsidRPr="00322410" w:rsidR="00B74143" w:rsidTr="2C0DF5FE" w14:paraId="38C3D524" w14:textId="77777777">
        <w:trPr>
          <w:jc w:val="center"/>
        </w:trPr>
        <w:tc>
          <w:tcPr>
            <w:tcW w:w="3035" w:type="dxa"/>
            <w:tcMar/>
          </w:tcPr>
          <w:p w:rsidRPr="00322410" w:rsidR="12806BEE" w:rsidP="43BC1C6B" w:rsidRDefault="6B22EBA3" w14:paraId="1AC7054E" w14:textId="136211D6">
            <w:pPr>
              <w:pStyle w:val="NoSpacing"/>
              <w:rPr>
                <w:rFonts w:eastAsia="Arial" w:cs="Arial"/>
                <w:b/>
                <w:bCs/>
                <w:color w:val="000000" w:themeColor="text1"/>
                <w:sz w:val="20"/>
                <w:szCs w:val="20"/>
              </w:rPr>
            </w:pPr>
            <w:r w:rsidRPr="00322410">
              <w:rPr>
                <w:b/>
                <w:bCs/>
                <w:sz w:val="20"/>
                <w:szCs w:val="20"/>
              </w:rPr>
              <w:t>Conflict/political risks</w:t>
            </w:r>
          </w:p>
          <w:p w:rsidRPr="00322410" w:rsidR="12806BEE" w:rsidP="2C93D07D" w:rsidRDefault="12806BEE" w14:paraId="36ACA9FE" w14:textId="5EE4FE67">
            <w:pPr>
              <w:pStyle w:val="NoSpacing"/>
              <w:rPr>
                <w:sz w:val="20"/>
                <w:szCs w:val="20"/>
              </w:rPr>
            </w:pPr>
          </w:p>
          <w:p w:rsidRPr="00322410" w:rsidR="12806BEE" w:rsidP="2C93D07D" w:rsidRDefault="6B22EBA3" w14:paraId="513D95C1" w14:textId="4D98D468">
            <w:pPr>
              <w:pStyle w:val="NoSpacing"/>
              <w:rPr>
                <w:rFonts w:eastAsia="Arial" w:cs="Arial"/>
                <w:color w:val="000000" w:themeColor="text1"/>
                <w:sz w:val="20"/>
                <w:szCs w:val="20"/>
              </w:rPr>
            </w:pPr>
            <w:r w:rsidRPr="7B517CBD">
              <w:rPr>
                <w:sz w:val="20"/>
                <w:szCs w:val="20"/>
              </w:rPr>
              <w:t>Conflict in countries escalates or changes in political leadership causes criticism/weakening of environmental protection legislation and/or reduces progress on avoiding deforestation and/or weakens progress of ERPs safeguards/FGRM/participation etc.</w:t>
            </w:r>
          </w:p>
          <w:p w:rsidRPr="00322410" w:rsidR="12806BEE" w:rsidP="2C93D07D" w:rsidRDefault="6B22EBA3" w14:paraId="3B65B5EE" w14:textId="296A94D3">
            <w:pPr>
              <w:pStyle w:val="NoSpacing"/>
              <w:rPr>
                <w:rFonts w:eastAsia="Arial" w:cs="Arial"/>
                <w:color w:val="000000" w:themeColor="text1"/>
                <w:sz w:val="20"/>
                <w:szCs w:val="20"/>
              </w:rPr>
            </w:pPr>
            <w:r w:rsidRPr="00322410">
              <w:rPr>
                <w:sz w:val="20"/>
                <w:szCs w:val="20"/>
              </w:rPr>
              <w:t xml:space="preserve"> </w:t>
            </w:r>
          </w:p>
        </w:tc>
        <w:tc>
          <w:tcPr>
            <w:tcW w:w="3000" w:type="dxa"/>
            <w:tcMar/>
          </w:tcPr>
          <w:p w:rsidRPr="00322410" w:rsidR="12806BEE" w:rsidP="2C93D07D" w:rsidRDefault="6B22EBA3" w14:paraId="62D6C107" w14:textId="56B68CCA">
            <w:pPr>
              <w:pStyle w:val="NoSpacing"/>
              <w:rPr>
                <w:rFonts w:eastAsia="Arial" w:cs="Arial"/>
                <w:color w:val="000000" w:themeColor="text1"/>
                <w:sz w:val="20"/>
                <w:szCs w:val="20"/>
              </w:rPr>
            </w:pPr>
            <w:r w:rsidRPr="00322410">
              <w:rPr>
                <w:sz w:val="20"/>
                <w:szCs w:val="20"/>
              </w:rPr>
              <w:t xml:space="preserve">Engage with Post and WB teams to understand and monitor local risks and challenges and how to ensure continuity through political transition. </w:t>
            </w:r>
          </w:p>
        </w:tc>
        <w:tc>
          <w:tcPr>
            <w:tcW w:w="2973" w:type="dxa"/>
            <w:shd w:val="clear" w:color="auto" w:fill="F4B083" w:themeFill="accent2" w:themeFillTint="99"/>
            <w:tcMar/>
          </w:tcPr>
          <w:p w:rsidRPr="00322410" w:rsidR="12806BEE" w:rsidP="43BC1C6B" w:rsidRDefault="6B22EBA3" w14:paraId="1A490179" w14:textId="14319668">
            <w:pPr>
              <w:pStyle w:val="NoSpacing"/>
              <w:rPr>
                <w:rFonts w:eastAsia="Arial" w:cs="Arial"/>
                <w:b/>
                <w:bCs/>
                <w:color w:val="000000" w:themeColor="text1"/>
                <w:sz w:val="20"/>
                <w:szCs w:val="20"/>
              </w:rPr>
            </w:pPr>
            <w:r w:rsidRPr="00322410">
              <w:rPr>
                <w:b/>
                <w:bCs/>
                <w:sz w:val="20"/>
                <w:szCs w:val="20"/>
              </w:rPr>
              <w:t>Major</w:t>
            </w:r>
          </w:p>
          <w:p w:rsidRPr="00322410" w:rsidR="12806BEE" w:rsidP="2C93D07D" w:rsidRDefault="6B22EBA3" w14:paraId="306B5C3F" w14:textId="5125B3A6">
            <w:pPr>
              <w:pStyle w:val="NoSpacing"/>
              <w:rPr>
                <w:rFonts w:eastAsia="Arial" w:cs="Arial"/>
                <w:color w:val="000000" w:themeColor="text1"/>
                <w:sz w:val="20"/>
                <w:szCs w:val="20"/>
              </w:rPr>
            </w:pPr>
            <w:r w:rsidRPr="00322410">
              <w:rPr>
                <w:sz w:val="20"/>
                <w:szCs w:val="20"/>
              </w:rPr>
              <w:t xml:space="preserve"> </w:t>
            </w:r>
          </w:p>
          <w:p w:rsidRPr="00322410" w:rsidR="12806BEE" w:rsidP="2C93D07D" w:rsidRDefault="6B22EBA3" w14:paraId="07BBEB1A" w14:textId="5BADDB64">
            <w:pPr>
              <w:pStyle w:val="NoSpacing"/>
              <w:rPr>
                <w:rFonts w:eastAsia="Arial" w:cs="Arial"/>
                <w:color w:val="000000" w:themeColor="text1"/>
                <w:sz w:val="20"/>
                <w:szCs w:val="20"/>
              </w:rPr>
            </w:pPr>
            <w:r w:rsidRPr="00322410">
              <w:rPr>
                <w:sz w:val="20"/>
                <w:szCs w:val="20"/>
              </w:rPr>
              <w:t>This continues to be major as country political/conflict situations can change rapidly and impact on ability to deliver on ERPAs. Experience in the programme shows what a significant impact political events (in particular) can have upon implementation progress.</w:t>
            </w:r>
          </w:p>
          <w:p w:rsidRPr="00322410" w:rsidR="12806BEE" w:rsidP="2C93D07D" w:rsidRDefault="6B22EBA3" w14:paraId="059DDFAE" w14:textId="3794B33F">
            <w:pPr>
              <w:pStyle w:val="NoSpacing"/>
              <w:rPr>
                <w:rFonts w:eastAsia="Arial" w:cs="Arial"/>
                <w:color w:val="000000" w:themeColor="text1"/>
                <w:sz w:val="20"/>
                <w:szCs w:val="20"/>
              </w:rPr>
            </w:pPr>
            <w:r w:rsidRPr="00322410">
              <w:rPr>
                <w:sz w:val="20"/>
                <w:szCs w:val="20"/>
              </w:rPr>
              <w:t xml:space="preserve"> </w:t>
            </w:r>
          </w:p>
          <w:p w:rsidRPr="00322410" w:rsidR="12806BEE" w:rsidP="2C93D07D" w:rsidRDefault="6B22EBA3" w14:paraId="13A75293" w14:textId="415A9552">
            <w:pPr>
              <w:pStyle w:val="NoSpacing"/>
              <w:rPr>
                <w:rFonts w:eastAsia="Arial" w:cs="Arial"/>
                <w:color w:val="000000" w:themeColor="text1"/>
                <w:sz w:val="20"/>
                <w:szCs w:val="20"/>
              </w:rPr>
            </w:pPr>
            <w:r w:rsidRPr="00322410">
              <w:rPr>
                <w:sz w:val="20"/>
                <w:szCs w:val="20"/>
              </w:rPr>
              <w:t>No change in risk rating from last year</w:t>
            </w:r>
          </w:p>
        </w:tc>
      </w:tr>
      <w:tr w:rsidRPr="00322410" w:rsidR="00D0302B" w:rsidTr="2C0DF5FE" w14:paraId="4130C0B9" w14:textId="77777777">
        <w:trPr>
          <w:jc w:val="center"/>
        </w:trPr>
        <w:tc>
          <w:tcPr>
            <w:tcW w:w="3035" w:type="dxa"/>
            <w:tcMar/>
          </w:tcPr>
          <w:p w:rsidRPr="00322410" w:rsidR="575B5C04" w:rsidP="43BC1C6B" w:rsidRDefault="43486761" w14:paraId="5ED32603" w14:textId="73FC6B13">
            <w:pPr>
              <w:pStyle w:val="NoSpacing"/>
              <w:rPr>
                <w:rFonts w:eastAsia="Arial" w:cs="Arial"/>
                <w:b/>
                <w:bCs/>
                <w:color w:val="000000" w:themeColor="text1"/>
                <w:sz w:val="20"/>
                <w:szCs w:val="20"/>
              </w:rPr>
            </w:pPr>
            <w:r w:rsidRPr="00322410">
              <w:rPr>
                <w:b/>
                <w:bCs/>
                <w:sz w:val="20"/>
                <w:szCs w:val="20"/>
              </w:rPr>
              <w:t>Underspend risk and delivery sufficiency</w:t>
            </w:r>
          </w:p>
          <w:p w:rsidRPr="00322410" w:rsidR="2E85AC30" w:rsidP="2E85AC30" w:rsidRDefault="2E85AC30" w14:paraId="64C944BB" w14:textId="1BBB32EF">
            <w:pPr>
              <w:pStyle w:val="NoSpacing"/>
              <w:rPr>
                <w:sz w:val="20"/>
                <w:szCs w:val="20"/>
              </w:rPr>
            </w:pPr>
          </w:p>
          <w:p w:rsidRPr="00322410" w:rsidR="575B5C04" w:rsidP="2C93D07D" w:rsidRDefault="43486761" w14:paraId="206777EC" w14:textId="4FAC5DE8">
            <w:pPr>
              <w:pStyle w:val="NoSpacing"/>
              <w:rPr>
                <w:rFonts w:eastAsia="Arial" w:cs="Arial"/>
                <w:color w:val="000000" w:themeColor="text1"/>
                <w:sz w:val="20"/>
                <w:szCs w:val="20"/>
              </w:rPr>
            </w:pPr>
            <w:r w:rsidRPr="00322410">
              <w:rPr>
                <w:sz w:val="20"/>
                <w:szCs w:val="20"/>
              </w:rPr>
              <w:t>Countries do not deliver on their ERPAs and do not deliver sufficient emissions reductions resulting in underspend in CF pipeline.</w:t>
            </w:r>
          </w:p>
          <w:p w:rsidRPr="00322410" w:rsidR="575B5C04" w:rsidP="2C93D07D" w:rsidRDefault="43486761" w14:paraId="2F71D29B" w14:textId="3EE2D873">
            <w:pPr>
              <w:pStyle w:val="NoSpacing"/>
              <w:rPr>
                <w:rFonts w:eastAsia="Arial" w:cs="Arial"/>
                <w:color w:val="000000" w:themeColor="text1"/>
                <w:sz w:val="20"/>
                <w:szCs w:val="20"/>
              </w:rPr>
            </w:pPr>
            <w:r w:rsidRPr="00322410">
              <w:rPr>
                <w:sz w:val="20"/>
                <w:szCs w:val="20"/>
              </w:rPr>
              <w:t xml:space="preserve"> </w:t>
            </w:r>
          </w:p>
        </w:tc>
        <w:tc>
          <w:tcPr>
            <w:tcW w:w="3000" w:type="dxa"/>
            <w:tcMar/>
          </w:tcPr>
          <w:p w:rsidRPr="00322410" w:rsidR="575B5C04" w:rsidP="20646748" w:rsidRDefault="43486761" w14:paraId="5CB6FED9" w14:textId="0BA794C3">
            <w:pPr>
              <w:pStyle w:val="NoSpacing"/>
              <w:rPr>
                <w:rFonts w:eastAsia="Arial" w:cs="Arial"/>
                <w:color w:val="000000" w:themeColor="text1"/>
                <w:sz w:val="20"/>
                <w:szCs w:val="20"/>
              </w:rPr>
            </w:pPr>
            <w:r w:rsidRPr="1261CAEB">
              <w:rPr>
                <w:sz w:val="20"/>
                <w:szCs w:val="20"/>
              </w:rPr>
              <w:t xml:space="preserve">The Carbon Fund was extended to 2025 in </w:t>
            </w:r>
            <w:r w:rsidRPr="1261CAEB" w:rsidR="750EF800">
              <w:rPr>
                <w:sz w:val="20"/>
                <w:szCs w:val="20"/>
              </w:rPr>
              <w:t xml:space="preserve">2015. In 2023, it was then extended again to 2028. </w:t>
            </w:r>
            <w:r w:rsidRPr="1261CAEB">
              <w:rPr>
                <w:sz w:val="20"/>
                <w:szCs w:val="20"/>
              </w:rPr>
              <w:t xml:space="preserve">Part of the rationale for this extension was to improve the likelihood of programmes delivering the full volume of ERs. </w:t>
            </w:r>
            <w:r w:rsidRPr="1261CAEB" w:rsidR="23151DA3">
              <w:rPr>
                <w:sz w:val="20"/>
                <w:szCs w:val="20"/>
              </w:rPr>
              <w:t xml:space="preserve">Countries </w:t>
            </w:r>
            <w:proofErr w:type="gramStart"/>
            <w:r w:rsidRPr="1261CAEB" w:rsidR="23151DA3">
              <w:rPr>
                <w:sz w:val="20"/>
                <w:szCs w:val="20"/>
              </w:rPr>
              <w:t>have the opportunity to</w:t>
            </w:r>
            <w:proofErr w:type="gramEnd"/>
            <w:r w:rsidRPr="1261CAEB" w:rsidR="23151DA3">
              <w:rPr>
                <w:sz w:val="20"/>
                <w:szCs w:val="20"/>
              </w:rPr>
              <w:t xml:space="preserve"> extend their ERPA end date to enable more time to complete the verification of and payment for ERs and benefit sharing. </w:t>
            </w:r>
            <w:r>
              <w:br/>
            </w:r>
            <w:r w:rsidRPr="1261CAEB">
              <w:rPr>
                <w:sz w:val="20"/>
                <w:szCs w:val="20"/>
              </w:rPr>
              <w:t xml:space="preserve"> </w:t>
            </w:r>
            <w:r>
              <w:br/>
            </w:r>
            <w:r w:rsidRPr="1261CAEB">
              <w:rPr>
                <w:sz w:val="20"/>
                <w:szCs w:val="20"/>
              </w:rPr>
              <w:t xml:space="preserve">Risk response approach and driving milestones dependent on WB providing information to </w:t>
            </w:r>
            <w:r w:rsidRPr="1261CAEB" w:rsidR="313F458A">
              <w:rPr>
                <w:sz w:val="20"/>
                <w:szCs w:val="20"/>
              </w:rPr>
              <w:t>DESNZ</w:t>
            </w:r>
            <w:r w:rsidRPr="1261CAEB">
              <w:rPr>
                <w:sz w:val="20"/>
                <w:szCs w:val="20"/>
              </w:rPr>
              <w:t xml:space="preserve"> in monthly portfolio reports, which we are monitoring. </w:t>
            </w:r>
            <w:r>
              <w:br/>
            </w:r>
            <w:r>
              <w:br/>
            </w:r>
            <w:r w:rsidRPr="1261CAEB">
              <w:rPr>
                <w:sz w:val="20"/>
                <w:szCs w:val="20"/>
              </w:rPr>
              <w:t>Work with committed host countries that are prepared to contribute resources to the programme. Work with Post to monitor and action country risks.</w:t>
            </w:r>
          </w:p>
        </w:tc>
        <w:tc>
          <w:tcPr>
            <w:tcW w:w="2973" w:type="dxa"/>
            <w:shd w:val="clear" w:color="auto" w:fill="F4B083" w:themeFill="accent2" w:themeFillTint="99"/>
            <w:tcMar/>
          </w:tcPr>
          <w:p w:rsidR="43486761" w:rsidP="7B517CBD" w:rsidRDefault="43486761" w14:paraId="4D8F8A40" w14:textId="11C6B12B">
            <w:pPr>
              <w:pStyle w:val="NoSpacing"/>
            </w:pPr>
            <w:r w:rsidRPr="7B517CBD">
              <w:rPr>
                <w:b/>
                <w:bCs/>
                <w:sz w:val="20"/>
                <w:szCs w:val="20"/>
              </w:rPr>
              <w:t>M</w:t>
            </w:r>
            <w:r w:rsidRPr="7B517CBD" w:rsidR="5016BC35">
              <w:rPr>
                <w:b/>
                <w:bCs/>
                <w:sz w:val="20"/>
                <w:szCs w:val="20"/>
              </w:rPr>
              <w:t>ajor</w:t>
            </w:r>
          </w:p>
          <w:p w:rsidRPr="00322410" w:rsidR="575B5C04" w:rsidP="2C93D07D" w:rsidRDefault="43486761" w14:paraId="4BE1421D" w14:textId="4E29E7BB">
            <w:pPr>
              <w:pStyle w:val="NoSpacing"/>
              <w:rPr>
                <w:rFonts w:eastAsia="Arial" w:cs="Arial"/>
                <w:color w:val="000000" w:themeColor="text1"/>
                <w:sz w:val="20"/>
                <w:szCs w:val="20"/>
              </w:rPr>
            </w:pPr>
            <w:r w:rsidRPr="7B517CBD">
              <w:rPr>
                <w:sz w:val="20"/>
                <w:szCs w:val="20"/>
              </w:rPr>
              <w:t xml:space="preserve"> </w:t>
            </w:r>
          </w:p>
          <w:p w:rsidRPr="00322410" w:rsidR="575B5C04" w:rsidP="38175C42" w:rsidRDefault="43486761" w14:paraId="77AC3743" w14:textId="67FF259C">
            <w:pPr>
              <w:pStyle w:val="NoSpacing"/>
              <w:rPr>
                <w:rFonts w:eastAsia="Arial" w:cs="Arial"/>
                <w:color w:val="000000" w:themeColor="text1"/>
                <w:sz w:val="20"/>
                <w:szCs w:val="20"/>
              </w:rPr>
            </w:pPr>
            <w:r w:rsidRPr="00322410">
              <w:rPr>
                <w:sz w:val="20"/>
                <w:szCs w:val="20"/>
              </w:rPr>
              <w:t>All 15 countries have signed ERPAs.</w:t>
            </w:r>
            <w:r w:rsidRPr="00322410" w:rsidR="4724D770">
              <w:rPr>
                <w:sz w:val="20"/>
                <w:szCs w:val="20"/>
              </w:rPr>
              <w:t xml:space="preserve"> As of June 2025, there was $96m of uncommitted funding. </w:t>
            </w:r>
            <w:r w:rsidRPr="00322410">
              <w:rPr>
                <w:sz w:val="20"/>
                <w:szCs w:val="20"/>
              </w:rPr>
              <w:t xml:space="preserve"> </w:t>
            </w:r>
            <w:r w:rsidRPr="00322410" w:rsidR="1EED24C1">
              <w:rPr>
                <w:sz w:val="20"/>
                <w:szCs w:val="20"/>
              </w:rPr>
              <w:t xml:space="preserve">We continue </w:t>
            </w:r>
            <w:r w:rsidRPr="00322410">
              <w:rPr>
                <w:sz w:val="20"/>
                <w:szCs w:val="20"/>
              </w:rPr>
              <w:t xml:space="preserve">to work with WB to consider ways of managing this underspend risk, including the use of call options (purchases of excess ERs from over-performing countries). </w:t>
            </w:r>
          </w:p>
          <w:p w:rsidRPr="00322410" w:rsidR="2E85AC30" w:rsidP="2E85AC30" w:rsidRDefault="2E85AC30" w14:paraId="7C6E6D11" w14:textId="129EF74C">
            <w:pPr>
              <w:pStyle w:val="NoSpacing"/>
              <w:rPr>
                <w:sz w:val="20"/>
                <w:szCs w:val="20"/>
              </w:rPr>
            </w:pPr>
          </w:p>
          <w:p w:rsidRPr="00322410" w:rsidR="575B5C04" w:rsidP="2C93D07D" w:rsidRDefault="43486761" w14:paraId="6836A751" w14:textId="073FBB9F">
            <w:pPr>
              <w:pStyle w:val="NoSpacing"/>
              <w:rPr>
                <w:rFonts w:eastAsia="Arial" w:cs="Arial"/>
                <w:color w:val="000000" w:themeColor="text1"/>
                <w:sz w:val="20"/>
                <w:szCs w:val="20"/>
              </w:rPr>
            </w:pPr>
            <w:r w:rsidRPr="00322410">
              <w:rPr>
                <w:sz w:val="20"/>
                <w:szCs w:val="20"/>
              </w:rPr>
              <w:t xml:space="preserve">The World Bank provides delivery risk assessment presentations at least twice a year, which will become more accurate as models update with real figures of ERs. </w:t>
            </w:r>
          </w:p>
          <w:p w:rsidRPr="00322410" w:rsidR="5D7699D3" w:rsidP="5D7699D3" w:rsidRDefault="5D7699D3" w14:paraId="5B3C2C9C" w14:textId="48C85E6B">
            <w:pPr>
              <w:pStyle w:val="NoSpacing"/>
              <w:rPr>
                <w:sz w:val="20"/>
                <w:szCs w:val="20"/>
              </w:rPr>
            </w:pPr>
          </w:p>
          <w:p w:rsidRPr="00322410" w:rsidR="26179928" w:rsidP="5D7699D3" w:rsidRDefault="26179928" w14:paraId="2F9DD395" w14:textId="4D4A444E">
            <w:pPr>
              <w:pStyle w:val="NoSpacing"/>
              <w:rPr>
                <w:rFonts w:eastAsia="Arial" w:cs="Arial"/>
                <w:color w:val="000000" w:themeColor="text1"/>
                <w:sz w:val="20"/>
                <w:szCs w:val="20"/>
              </w:rPr>
            </w:pPr>
            <w:r w:rsidRPr="00322410">
              <w:rPr>
                <w:rFonts w:eastAsia="Arial" w:cs="Arial"/>
                <w:color w:val="000000" w:themeColor="text1"/>
                <w:sz w:val="20"/>
                <w:szCs w:val="20"/>
              </w:rPr>
              <w:t>The risk rating has been increased from moderate to major. Mozambique and the Dominican Republic’s contract ERPA</w:t>
            </w:r>
            <w:r w:rsidRPr="00322410" w:rsidR="12899290">
              <w:rPr>
                <w:rFonts w:eastAsia="Arial" w:cs="Arial"/>
                <w:color w:val="000000" w:themeColor="text1"/>
                <w:sz w:val="20"/>
                <w:szCs w:val="20"/>
              </w:rPr>
              <w:t xml:space="preserve"> volumes have been reduced. Moreover, with the move to allow greater ERPA flexibility, there is likely to be greater underspend at the end of the programme.</w:t>
            </w:r>
          </w:p>
          <w:p w:rsidRPr="00322410" w:rsidR="575B5C04" w:rsidP="2C93D07D" w:rsidRDefault="43486761" w14:paraId="022A18CA" w14:textId="61F71D7F">
            <w:pPr>
              <w:pStyle w:val="NoSpacing"/>
              <w:rPr>
                <w:rFonts w:eastAsia="Arial" w:cs="Arial"/>
                <w:color w:val="000000" w:themeColor="text1"/>
                <w:sz w:val="20"/>
                <w:szCs w:val="20"/>
              </w:rPr>
            </w:pPr>
            <w:r w:rsidRPr="00322410">
              <w:rPr>
                <w:sz w:val="20"/>
                <w:szCs w:val="20"/>
              </w:rPr>
              <w:t xml:space="preserve"> </w:t>
            </w:r>
          </w:p>
          <w:p w:rsidRPr="00322410" w:rsidR="575B5C04" w:rsidP="2C93D07D" w:rsidRDefault="575B5C04" w14:paraId="058A4E5B" w14:textId="7F70E886">
            <w:pPr>
              <w:pStyle w:val="NoSpacing"/>
              <w:rPr>
                <w:rFonts w:eastAsia="Arial"/>
                <w:sz w:val="20"/>
                <w:szCs w:val="20"/>
              </w:rPr>
            </w:pPr>
          </w:p>
        </w:tc>
      </w:tr>
      <w:tr w:rsidRPr="00322410" w:rsidR="5CEC012F" w:rsidTr="2C0DF5FE" w14:paraId="3899CC1A" w14:textId="77777777">
        <w:trPr>
          <w:trHeight w:val="300"/>
          <w:jc w:val="center"/>
        </w:trPr>
        <w:tc>
          <w:tcPr>
            <w:tcW w:w="3035" w:type="dxa"/>
            <w:tcBorders>
              <w:bottom w:val="single" w:color="000000" w:themeColor="text1" w:sz="2" w:space="0"/>
            </w:tcBorders>
            <w:tcMar/>
          </w:tcPr>
          <w:p w:rsidRPr="00322410" w:rsidR="5CEC012F" w:rsidP="43BC1C6B" w:rsidRDefault="5CEC012F" w14:paraId="2541ACC2" w14:textId="556E43EB">
            <w:pPr>
              <w:rPr>
                <w:rFonts w:eastAsia="Arial" w:cs="Arial"/>
                <w:b/>
                <w:bCs/>
                <w:color w:val="000000" w:themeColor="text1"/>
                <w:sz w:val="20"/>
                <w:szCs w:val="20"/>
              </w:rPr>
            </w:pPr>
            <w:r w:rsidRPr="00322410">
              <w:rPr>
                <w:rFonts w:eastAsia="Arial" w:cs="Arial"/>
                <w:b/>
                <w:bCs/>
                <w:color w:val="000000" w:themeColor="text1"/>
                <w:sz w:val="20"/>
                <w:szCs w:val="20"/>
              </w:rPr>
              <w:t>Delivery delays</w:t>
            </w:r>
          </w:p>
          <w:p w:rsidRPr="00322410" w:rsidR="5CEC012F" w:rsidP="43BC1C6B" w:rsidRDefault="5CEC012F" w14:paraId="6000BB25" w14:textId="610950C8">
            <w:pPr>
              <w:rPr>
                <w:rFonts w:eastAsia="Arial" w:cs="Arial"/>
                <w:color w:val="000000" w:themeColor="text1"/>
                <w:sz w:val="20"/>
                <w:szCs w:val="20"/>
              </w:rPr>
            </w:pPr>
          </w:p>
          <w:p w:rsidRPr="00322410" w:rsidR="5CEC012F" w:rsidP="43BC1C6B" w:rsidRDefault="5CEC012F" w14:paraId="11D60BD5" w14:textId="02AB67A2">
            <w:pPr>
              <w:rPr>
                <w:rFonts w:eastAsia="Arial" w:cs="Arial"/>
                <w:color w:val="000000" w:themeColor="text1"/>
                <w:sz w:val="20"/>
                <w:szCs w:val="20"/>
              </w:rPr>
            </w:pPr>
            <w:r w:rsidRPr="00322410">
              <w:rPr>
                <w:rFonts w:eastAsia="Arial" w:cs="Arial"/>
                <w:color w:val="000000" w:themeColor="text1"/>
                <w:sz w:val="20"/>
                <w:szCs w:val="20"/>
              </w:rPr>
              <w:t xml:space="preserve">Attrition, quality concerns, negotiation failures or external factors cause delays or lack of ERPA signatures, delays in milestone reports, insufficient ERPAs, resulting in insufficient ERPDs being operationalised and full capitalisation of Fund is not absorbed. </w:t>
            </w:r>
          </w:p>
        </w:tc>
        <w:tc>
          <w:tcPr>
            <w:tcW w:w="3000" w:type="dxa"/>
            <w:tcBorders>
              <w:bottom w:val="single" w:color="000000" w:themeColor="text1" w:sz="2" w:space="0"/>
            </w:tcBorders>
            <w:tcMar/>
          </w:tcPr>
          <w:p w:rsidRPr="00322410" w:rsidR="5CEC012F" w:rsidP="5CEC012F" w:rsidRDefault="5CEC012F" w14:paraId="6C04B27E" w14:textId="23718CB5">
            <w:pPr>
              <w:rPr>
                <w:rFonts w:eastAsia="Arial" w:cs="Arial"/>
                <w:color w:val="000000" w:themeColor="text1"/>
                <w:sz w:val="20"/>
                <w:szCs w:val="20"/>
              </w:rPr>
            </w:pPr>
            <w:r w:rsidRPr="1261CAEB">
              <w:rPr>
                <w:rFonts w:eastAsia="Arial" w:cs="Arial"/>
                <w:color w:val="000000" w:themeColor="text1"/>
                <w:sz w:val="20"/>
                <w:szCs w:val="20"/>
              </w:rPr>
              <w:t>The Carbon Fund was over programmed (18 programmes in pipeline, reduced to 17 when Mexico withdr</w:t>
            </w:r>
            <w:r w:rsidRPr="1261CAEB" w:rsidR="0966255F">
              <w:rPr>
                <w:rFonts w:eastAsia="Arial" w:cs="Arial"/>
                <w:color w:val="000000" w:themeColor="text1"/>
                <w:sz w:val="20"/>
                <w:szCs w:val="20"/>
              </w:rPr>
              <w:t>e</w:t>
            </w:r>
            <w:r w:rsidRPr="1261CAEB">
              <w:rPr>
                <w:rFonts w:eastAsia="Arial" w:cs="Arial"/>
                <w:color w:val="000000" w:themeColor="text1"/>
                <w:sz w:val="20"/>
                <w:szCs w:val="20"/>
              </w:rPr>
              <w:t>w, and reduced to 15 when Peru and Nicaragua cancelled) and the pipeline is diverse.</w:t>
            </w:r>
            <w:r>
              <w:br/>
            </w:r>
            <w:r w:rsidRPr="1261CAEB">
              <w:rPr>
                <w:rFonts w:eastAsia="Arial" w:cs="Arial"/>
                <w:color w:val="000000" w:themeColor="text1"/>
                <w:sz w:val="20"/>
                <w:szCs w:val="20"/>
              </w:rPr>
              <w:t xml:space="preserve"> </w:t>
            </w:r>
            <w:r>
              <w:br/>
            </w:r>
            <w:r w:rsidRPr="1261CAEB">
              <w:rPr>
                <w:rFonts w:eastAsia="Arial" w:cs="Arial"/>
                <w:color w:val="000000" w:themeColor="text1"/>
                <w:sz w:val="20"/>
                <w:szCs w:val="20"/>
              </w:rPr>
              <w:t xml:space="preserve">FMT should raise early any issues which may increase the need for CFPs to resource an ERPA negotiation. FMT have also issued guidance on Benefits Sharing Plans, which we continue to assess. </w:t>
            </w:r>
          </w:p>
        </w:tc>
        <w:tc>
          <w:tcPr>
            <w:tcW w:w="2973" w:type="dxa"/>
            <w:tcBorders>
              <w:bottom w:val="single" w:color="000000" w:themeColor="text1" w:sz="2" w:space="0"/>
            </w:tcBorders>
            <w:shd w:val="clear" w:color="auto" w:fill="FFE599" w:themeFill="accent4" w:themeFillTint="66"/>
            <w:tcMar/>
          </w:tcPr>
          <w:p w:rsidRPr="00322410" w:rsidR="5CEC012F" w:rsidP="5CEC012F" w:rsidRDefault="5CEC012F" w14:paraId="43F4A6F6" w14:textId="54D85169">
            <w:pPr>
              <w:rPr>
                <w:rFonts w:eastAsia="Arial" w:cs="Arial"/>
                <w:color w:val="000000" w:themeColor="text1"/>
                <w:sz w:val="20"/>
                <w:szCs w:val="20"/>
              </w:rPr>
            </w:pPr>
            <w:r w:rsidRPr="00322410">
              <w:rPr>
                <w:rFonts w:eastAsia="Arial" w:cs="Arial"/>
                <w:b/>
                <w:bCs/>
                <w:color w:val="000000" w:themeColor="text1"/>
                <w:sz w:val="20"/>
                <w:szCs w:val="20"/>
              </w:rPr>
              <w:t>Moderate</w:t>
            </w:r>
          </w:p>
          <w:p w:rsidRPr="00322410" w:rsidR="5CEC012F" w:rsidP="5CEC012F" w:rsidRDefault="5CEC012F" w14:paraId="55DA4964" w14:textId="4AB1929A">
            <w:pPr>
              <w:rPr>
                <w:rFonts w:eastAsia="Arial" w:cs="Arial"/>
                <w:color w:val="000000" w:themeColor="text1"/>
                <w:sz w:val="20"/>
                <w:szCs w:val="20"/>
              </w:rPr>
            </w:pPr>
            <w:r w:rsidRPr="00322410">
              <w:rPr>
                <w:rFonts w:eastAsia="Arial" w:cs="Arial"/>
                <w:b/>
                <w:bCs/>
                <w:color w:val="000000" w:themeColor="text1"/>
                <w:sz w:val="20"/>
                <w:szCs w:val="20"/>
              </w:rPr>
              <w:t xml:space="preserve"> </w:t>
            </w:r>
          </w:p>
          <w:p w:rsidRPr="00322410" w:rsidR="5CEC012F" w:rsidP="207A7EF2" w:rsidRDefault="5CEC012F" w14:paraId="0790347F" w14:textId="2FC70292">
            <w:pPr>
              <w:rPr>
                <w:rFonts w:eastAsia="Arial" w:cs="Arial"/>
                <w:color w:val="000000" w:themeColor="text1"/>
                <w:sz w:val="20"/>
                <w:szCs w:val="20"/>
              </w:rPr>
            </w:pPr>
            <w:r w:rsidRPr="2B42203E">
              <w:rPr>
                <w:rFonts w:eastAsia="Arial" w:cs="Arial"/>
                <w:color w:val="000000" w:themeColor="text1"/>
                <w:sz w:val="20"/>
                <w:szCs w:val="20"/>
              </w:rPr>
              <w:t>While all ERPAs have now been negotiated, risk remains high. Conditions of effectiveness have been met in all countries, and countries are submitting Monitoring Reports and beginning to receive payments. However, delivery timelines are at risk, even with the extension of the Carbon Fund to 2028. This stems in part from the need to extend individual country programmes, and slower than expected initial MRV processes (though faster in subsequent reporting periods)</w:t>
            </w:r>
            <w:r w:rsidRPr="2B42203E" w:rsidR="44134FA3">
              <w:rPr>
                <w:rFonts w:eastAsia="Arial" w:cs="Arial"/>
                <w:color w:val="000000" w:themeColor="text1"/>
                <w:sz w:val="20"/>
                <w:szCs w:val="20"/>
              </w:rPr>
              <w:t>.</w:t>
            </w:r>
          </w:p>
          <w:p w:rsidRPr="00322410" w:rsidR="5CEC012F" w:rsidP="5CEC012F" w:rsidRDefault="5CEC012F" w14:paraId="03D28902" w14:textId="3530B827">
            <w:pPr>
              <w:rPr>
                <w:rFonts w:eastAsia="Arial" w:cs="Arial"/>
                <w:color w:val="000000" w:themeColor="text1"/>
                <w:sz w:val="20"/>
                <w:szCs w:val="20"/>
              </w:rPr>
            </w:pPr>
          </w:p>
          <w:p w:rsidRPr="00322410" w:rsidR="5CEC012F" w:rsidP="5CEC012F" w:rsidRDefault="5CEC012F" w14:paraId="7C14C5D4" w14:textId="0B1A8D22">
            <w:pPr>
              <w:rPr>
                <w:rFonts w:eastAsia="Arial" w:cs="Arial"/>
                <w:color w:val="000000" w:themeColor="text1"/>
                <w:sz w:val="20"/>
                <w:szCs w:val="20"/>
              </w:rPr>
            </w:pPr>
            <w:r w:rsidRPr="00322410">
              <w:rPr>
                <w:rFonts w:eastAsia="Arial" w:cs="Arial"/>
                <w:color w:val="000000" w:themeColor="text1"/>
                <w:sz w:val="20"/>
                <w:szCs w:val="20"/>
              </w:rPr>
              <w:t>No change in risk rating from last year</w:t>
            </w:r>
          </w:p>
        </w:tc>
      </w:tr>
      <w:tr w:rsidRPr="00322410" w:rsidR="5CEC012F" w:rsidTr="2C0DF5FE" w14:paraId="098424CD" w14:textId="77777777">
        <w:trPr>
          <w:trHeight w:val="300"/>
          <w:jc w:val="center"/>
        </w:trPr>
        <w:tc>
          <w:tcPr>
            <w:tcW w:w="3035"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cPr>
          <w:p w:rsidRPr="00322410" w:rsidR="5CEC012F" w:rsidP="2E5BF16E" w:rsidRDefault="5CEC012F" w14:paraId="16BB5F66" w14:textId="6DB91D41">
            <w:pPr>
              <w:rPr>
                <w:rFonts w:eastAsia="Arial" w:cs="Arial"/>
                <w:color w:val="000000" w:themeColor="text1"/>
                <w:sz w:val="20"/>
                <w:szCs w:val="20"/>
              </w:rPr>
            </w:pPr>
            <w:r w:rsidRPr="00322410">
              <w:rPr>
                <w:rFonts w:eastAsia="Arial" w:cs="Arial"/>
                <w:b/>
                <w:bCs/>
                <w:color w:val="000000" w:themeColor="text1"/>
                <w:sz w:val="20"/>
                <w:szCs w:val="20"/>
              </w:rPr>
              <w:t>Leakage</w:t>
            </w:r>
          </w:p>
          <w:p w:rsidRPr="00322410" w:rsidR="5CEC012F" w:rsidP="207A7EF2" w:rsidRDefault="5CEC012F" w14:paraId="012FC8B8" w14:textId="2E1DEED1">
            <w:pPr>
              <w:rPr>
                <w:rFonts w:eastAsia="Arial" w:cs="Arial"/>
                <w:color w:val="000000" w:themeColor="text1"/>
                <w:sz w:val="20"/>
                <w:szCs w:val="20"/>
              </w:rPr>
            </w:pPr>
            <w:r w:rsidRPr="00322410">
              <w:br/>
            </w:r>
            <w:r w:rsidRPr="00322410">
              <w:rPr>
                <w:rFonts w:eastAsia="Arial" w:cs="Arial"/>
                <w:color w:val="000000" w:themeColor="text1"/>
                <w:sz w:val="20"/>
                <w:szCs w:val="20"/>
              </w:rPr>
              <w:t>Support for sustainable forestry and agriculture displaces unsustainable activities into other locations. Overall rates of deforestation remain high and the credibility of investments to reduce deforestation is impaired.</w:t>
            </w:r>
          </w:p>
          <w:p w:rsidRPr="00322410" w:rsidR="5CEC012F" w:rsidP="5CEC012F" w:rsidRDefault="5CEC012F" w14:paraId="595C6BF2" w14:textId="7CC6EBC2">
            <w:pPr>
              <w:rPr>
                <w:rFonts w:eastAsia="Arial" w:cs="Arial"/>
                <w:color w:val="000000" w:themeColor="text1"/>
                <w:sz w:val="20"/>
                <w:szCs w:val="20"/>
              </w:rPr>
            </w:pPr>
            <w:r w:rsidRPr="00322410">
              <w:rPr>
                <w:rFonts w:eastAsia="Arial" w:cs="Arial"/>
                <w:b/>
                <w:bCs/>
                <w:i/>
                <w:iCs/>
                <w:color w:val="000000" w:themeColor="text1"/>
                <w:sz w:val="20"/>
                <w:szCs w:val="20"/>
              </w:rPr>
              <w:t xml:space="preserve"> </w:t>
            </w:r>
          </w:p>
        </w:tc>
        <w:tc>
          <w:tcPr>
            <w:tcW w:w="300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cPr>
          <w:p w:rsidRPr="00322410" w:rsidR="5CEC012F" w:rsidP="5CEC012F" w:rsidRDefault="5CEC012F" w14:paraId="1183B2E3" w14:textId="7C381B30">
            <w:pPr>
              <w:rPr>
                <w:rFonts w:eastAsia="Arial" w:cs="Arial"/>
                <w:color w:val="000000" w:themeColor="text1"/>
                <w:sz w:val="20"/>
                <w:szCs w:val="20"/>
              </w:rPr>
            </w:pPr>
            <w:r w:rsidRPr="00322410">
              <w:rPr>
                <w:rFonts w:eastAsia="Arial" w:cs="Arial"/>
                <w:color w:val="000000" w:themeColor="text1"/>
                <w:sz w:val="20"/>
                <w:szCs w:val="20"/>
              </w:rPr>
              <w:t>Leakage is a risk with all investments in climate change mitigation and reducing deforestation. Reducing leakage is part of a long-term mitigation strategy</w:t>
            </w:r>
            <w:r w:rsidRPr="00322410">
              <w:br/>
            </w:r>
            <w:r w:rsidRPr="00322410">
              <w:rPr>
                <w:rFonts w:eastAsia="Arial" w:cs="Arial"/>
                <w:color w:val="000000" w:themeColor="text1"/>
                <w:sz w:val="20"/>
                <w:szCs w:val="20"/>
              </w:rPr>
              <w:t xml:space="preserve"> </w:t>
            </w:r>
            <w:r w:rsidRPr="00322410">
              <w:br/>
            </w:r>
            <w:r w:rsidRPr="00322410">
              <w:rPr>
                <w:rFonts w:eastAsia="Arial" w:cs="Arial"/>
                <w:color w:val="000000" w:themeColor="text1"/>
                <w:sz w:val="20"/>
                <w:szCs w:val="20"/>
              </w:rPr>
              <w:t>Countries have buffer to allow for this (set aside ER)</w:t>
            </w:r>
          </w:p>
          <w:p w:rsidRPr="00322410" w:rsidR="5CEC012F" w:rsidP="5CEC012F" w:rsidRDefault="5CEC012F" w14:paraId="04784AE5" w14:textId="36854A8F">
            <w:pPr>
              <w:rPr>
                <w:rFonts w:eastAsia="Arial" w:cs="Arial"/>
                <w:color w:val="000000" w:themeColor="text1"/>
                <w:sz w:val="20"/>
                <w:szCs w:val="20"/>
              </w:rPr>
            </w:pPr>
            <w:r w:rsidRPr="00322410">
              <w:rPr>
                <w:rFonts w:eastAsia="Arial" w:cs="Arial"/>
                <w:color w:val="000000" w:themeColor="text1"/>
                <w:sz w:val="20"/>
                <w:szCs w:val="20"/>
              </w:rPr>
              <w:t xml:space="preserve"> </w:t>
            </w:r>
          </w:p>
        </w:tc>
        <w:tc>
          <w:tcPr>
            <w:tcW w:w="297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E599" w:themeFill="accent4" w:themeFillTint="66"/>
            <w:tcMar/>
          </w:tcPr>
          <w:p w:rsidRPr="00322410" w:rsidR="5CEC012F" w:rsidP="5CEC012F" w:rsidRDefault="5CEC012F" w14:paraId="72CD6DBF" w14:textId="5F55A51E">
            <w:pPr>
              <w:rPr>
                <w:rFonts w:eastAsia="Arial" w:cs="Arial"/>
                <w:color w:val="000000" w:themeColor="text1"/>
                <w:sz w:val="20"/>
                <w:szCs w:val="20"/>
              </w:rPr>
            </w:pPr>
            <w:r w:rsidRPr="00322410">
              <w:rPr>
                <w:rFonts w:eastAsia="Arial" w:cs="Arial"/>
                <w:b/>
                <w:bCs/>
                <w:color w:val="000000" w:themeColor="text1"/>
                <w:sz w:val="20"/>
                <w:szCs w:val="20"/>
              </w:rPr>
              <w:t>Moderate</w:t>
            </w:r>
          </w:p>
          <w:p w:rsidRPr="00322410" w:rsidR="5CEC012F" w:rsidP="5CEC012F" w:rsidRDefault="5CEC012F" w14:paraId="64E9E8AA" w14:textId="29809F3E">
            <w:pPr>
              <w:rPr>
                <w:rFonts w:eastAsia="Arial" w:cs="Arial"/>
                <w:color w:val="000000" w:themeColor="text1"/>
                <w:sz w:val="20"/>
                <w:szCs w:val="20"/>
              </w:rPr>
            </w:pPr>
            <w:r w:rsidRPr="00322410">
              <w:rPr>
                <w:rFonts w:eastAsia="Arial" w:cs="Arial"/>
                <w:b/>
                <w:bCs/>
                <w:color w:val="000000" w:themeColor="text1"/>
                <w:sz w:val="20"/>
                <w:szCs w:val="20"/>
              </w:rPr>
              <w:t xml:space="preserve"> </w:t>
            </w:r>
          </w:p>
          <w:p w:rsidRPr="00322410" w:rsidR="5CEC012F" w:rsidP="5CEC012F" w:rsidRDefault="5CEC012F" w14:paraId="53EA85CD" w14:textId="702475DE">
            <w:pPr>
              <w:rPr>
                <w:rFonts w:eastAsia="Arial" w:cs="Arial"/>
                <w:color w:val="000000" w:themeColor="text1"/>
                <w:sz w:val="20"/>
                <w:szCs w:val="20"/>
              </w:rPr>
            </w:pPr>
            <w:r w:rsidRPr="00322410">
              <w:rPr>
                <w:rFonts w:eastAsia="Arial" w:cs="Arial"/>
                <w:color w:val="000000" w:themeColor="text1"/>
                <w:sz w:val="20"/>
                <w:szCs w:val="20"/>
              </w:rPr>
              <w:t>We continue to take leakage into account, particularly with ERPA implementation and considering buffer allocations.</w:t>
            </w:r>
          </w:p>
          <w:p w:rsidRPr="00322410" w:rsidR="5CEC012F" w:rsidP="5CEC012F" w:rsidRDefault="5CEC012F" w14:paraId="3E770776" w14:textId="5B48F8DA">
            <w:pPr>
              <w:rPr>
                <w:rFonts w:eastAsia="Arial" w:cs="Arial"/>
                <w:color w:val="000000" w:themeColor="text1"/>
                <w:sz w:val="20"/>
                <w:szCs w:val="20"/>
              </w:rPr>
            </w:pPr>
            <w:r w:rsidRPr="00322410">
              <w:rPr>
                <w:rFonts w:eastAsia="Arial" w:cs="Arial"/>
                <w:color w:val="000000" w:themeColor="text1"/>
                <w:sz w:val="20"/>
                <w:szCs w:val="20"/>
              </w:rPr>
              <w:t xml:space="preserve"> </w:t>
            </w:r>
          </w:p>
          <w:p w:rsidRPr="00322410" w:rsidR="5CEC012F" w:rsidP="5CEC012F" w:rsidRDefault="5CEC012F" w14:paraId="55463EAE" w14:textId="7BD32D67">
            <w:pPr>
              <w:rPr>
                <w:rFonts w:eastAsia="Arial" w:cs="Arial"/>
                <w:color w:val="000000" w:themeColor="text1"/>
                <w:sz w:val="20"/>
                <w:szCs w:val="20"/>
              </w:rPr>
            </w:pPr>
            <w:r w:rsidRPr="00322410">
              <w:rPr>
                <w:rFonts w:eastAsia="Arial" w:cs="Arial"/>
                <w:color w:val="000000" w:themeColor="text1"/>
                <w:sz w:val="20"/>
                <w:szCs w:val="20"/>
              </w:rPr>
              <w:t>No change in risk rating from last year</w:t>
            </w:r>
          </w:p>
        </w:tc>
      </w:tr>
      <w:tr w:rsidRPr="00322410" w:rsidR="5CEC012F" w:rsidTr="2C0DF5FE" w14:paraId="33EE5BBE" w14:textId="77777777">
        <w:trPr>
          <w:trHeight w:val="300"/>
          <w:jc w:val="center"/>
        </w:trPr>
        <w:tc>
          <w:tcPr>
            <w:tcW w:w="3035"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cPr>
          <w:p w:rsidRPr="00322410" w:rsidR="5CEC012F" w:rsidP="2E5BF16E" w:rsidRDefault="5CEC012F" w14:paraId="560A89EF" w14:textId="23C49C2D">
            <w:pPr>
              <w:rPr>
                <w:rFonts w:eastAsia="Arial" w:cs="Arial"/>
                <w:color w:val="000000" w:themeColor="text1"/>
                <w:sz w:val="20"/>
                <w:szCs w:val="20"/>
              </w:rPr>
            </w:pPr>
            <w:r w:rsidRPr="00322410">
              <w:rPr>
                <w:rFonts w:eastAsia="Arial" w:cs="Arial"/>
                <w:b/>
                <w:bCs/>
                <w:color w:val="000000" w:themeColor="text1"/>
                <w:sz w:val="20"/>
                <w:szCs w:val="20"/>
              </w:rPr>
              <w:t xml:space="preserve">Private sector investment </w:t>
            </w:r>
          </w:p>
          <w:p w:rsidRPr="00322410" w:rsidR="5CEC012F" w:rsidP="207A7EF2" w:rsidRDefault="5CEC012F" w14:paraId="22D7DFF1" w14:textId="78E20BB8">
            <w:pPr>
              <w:rPr>
                <w:rFonts w:eastAsia="Arial" w:cs="Arial"/>
                <w:color w:val="000000" w:themeColor="text1"/>
                <w:sz w:val="20"/>
                <w:szCs w:val="20"/>
              </w:rPr>
            </w:pPr>
          </w:p>
          <w:p w:rsidRPr="00322410" w:rsidR="5CEC012F" w:rsidP="2E5BF16E" w:rsidRDefault="5CEC012F" w14:paraId="6310CFAC" w14:textId="02FC3700">
            <w:pPr>
              <w:rPr>
                <w:rFonts w:eastAsia="Arial" w:cs="Arial"/>
                <w:color w:val="000000" w:themeColor="text1"/>
                <w:sz w:val="20"/>
                <w:szCs w:val="20"/>
              </w:rPr>
            </w:pPr>
            <w:r w:rsidRPr="00322410">
              <w:rPr>
                <w:rFonts w:eastAsia="Arial" w:cs="Arial"/>
                <w:color w:val="000000" w:themeColor="text1"/>
                <w:sz w:val="20"/>
                <w:szCs w:val="20"/>
              </w:rPr>
              <w:t>FCPF not perceived as desirable for PS investors, and FCPF standard not incorporated into compliance options -</w:t>
            </w:r>
            <w:r w:rsidRPr="00322410" w:rsidR="76D3C05D">
              <w:rPr>
                <w:rFonts w:eastAsia="Arial" w:cs="Arial"/>
                <w:color w:val="000000" w:themeColor="text1"/>
                <w:sz w:val="20"/>
                <w:szCs w:val="20"/>
              </w:rPr>
              <w:t xml:space="preserve"> </w:t>
            </w:r>
            <w:r w:rsidRPr="00322410">
              <w:rPr>
                <w:rFonts w:eastAsia="Arial" w:cs="Arial"/>
                <w:color w:val="000000" w:themeColor="text1"/>
                <w:sz w:val="20"/>
                <w:szCs w:val="20"/>
              </w:rPr>
              <w:t>low price of carbon credits may stifle private sector demand, or private sector may not contribute to programme (as in Theory of Change) and thus reduce private sector investment in forest projects by this route.</w:t>
            </w:r>
          </w:p>
          <w:p w:rsidRPr="00322410" w:rsidR="5CEC012F" w:rsidP="5CEC012F" w:rsidRDefault="5CEC012F" w14:paraId="7D109A92" w14:textId="2F13D23F">
            <w:pPr>
              <w:rPr>
                <w:rFonts w:eastAsia="Arial" w:cs="Arial"/>
                <w:color w:val="000000" w:themeColor="text1"/>
                <w:sz w:val="20"/>
                <w:szCs w:val="20"/>
              </w:rPr>
            </w:pPr>
            <w:r w:rsidRPr="00322410">
              <w:rPr>
                <w:rFonts w:eastAsia="Arial" w:cs="Arial"/>
                <w:b/>
                <w:bCs/>
                <w:i/>
                <w:iCs/>
                <w:color w:val="000000" w:themeColor="text1"/>
                <w:sz w:val="20"/>
                <w:szCs w:val="20"/>
              </w:rPr>
              <w:t xml:space="preserve"> </w:t>
            </w:r>
          </w:p>
        </w:tc>
        <w:tc>
          <w:tcPr>
            <w:tcW w:w="300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cPr>
          <w:p w:rsidRPr="00322410" w:rsidR="5CEC012F" w:rsidP="3432CEB4" w:rsidRDefault="5CEC012F" w14:paraId="39B315D6" w14:textId="54D72B51">
            <w:pPr>
              <w:rPr>
                <w:rFonts w:eastAsia="Arial" w:cs="Arial"/>
                <w:color w:val="000000" w:themeColor="text1"/>
                <w:sz w:val="20"/>
                <w:szCs w:val="20"/>
              </w:rPr>
            </w:pPr>
            <w:r w:rsidRPr="00322410">
              <w:rPr>
                <w:rFonts w:eastAsia="Arial" w:cs="Arial"/>
                <w:color w:val="000000" w:themeColor="text1"/>
                <w:sz w:val="20"/>
                <w:szCs w:val="20"/>
              </w:rPr>
              <w:t>Encourage WB to consider compliance opportunities for FCPF and increase transparency of adjusting standards to meet requirements</w:t>
            </w:r>
            <w:r w:rsidRPr="00322410">
              <w:br/>
            </w:r>
            <w:r w:rsidRPr="00322410">
              <w:rPr>
                <w:rFonts w:eastAsia="Arial" w:cs="Arial"/>
                <w:color w:val="000000" w:themeColor="text1"/>
                <w:sz w:val="20"/>
                <w:szCs w:val="20"/>
              </w:rPr>
              <w:t xml:space="preserve"> </w:t>
            </w:r>
            <w:r w:rsidRPr="00322410">
              <w:br/>
            </w:r>
            <w:r w:rsidRPr="00322410">
              <w:rPr>
                <w:rFonts w:eastAsia="Arial" w:cs="Arial"/>
                <w:color w:val="000000" w:themeColor="text1"/>
                <w:sz w:val="20"/>
                <w:szCs w:val="20"/>
              </w:rPr>
              <w:t>Use wider stakeholder networks to gather PS assumptions on FCPF</w:t>
            </w:r>
            <w:r w:rsidRPr="00322410">
              <w:br/>
            </w:r>
            <w:r w:rsidRPr="00322410">
              <w:rPr>
                <w:rFonts w:eastAsia="Arial" w:cs="Arial"/>
                <w:color w:val="000000" w:themeColor="text1"/>
                <w:sz w:val="20"/>
                <w:szCs w:val="20"/>
              </w:rPr>
              <w:t xml:space="preserve"> </w:t>
            </w:r>
            <w:r w:rsidRPr="00322410">
              <w:br/>
            </w:r>
            <w:r w:rsidRPr="00322410">
              <w:rPr>
                <w:rFonts w:eastAsia="Arial" w:cs="Arial"/>
                <w:color w:val="000000" w:themeColor="text1"/>
                <w:sz w:val="20"/>
                <w:szCs w:val="20"/>
              </w:rPr>
              <w:t xml:space="preserve">Opening up fund for direct PS interest - however, awareness that this exacerbates reputational risk of programme. </w:t>
            </w:r>
          </w:p>
          <w:p w:rsidRPr="00322410" w:rsidR="5CEC012F" w:rsidP="3432CEB4" w:rsidRDefault="5CEC012F" w14:paraId="0D8644CA" w14:textId="71B3FEA1">
            <w:pPr>
              <w:rPr>
                <w:rFonts w:eastAsia="Arial" w:cs="Arial"/>
                <w:color w:val="000000" w:themeColor="text1"/>
                <w:sz w:val="20"/>
                <w:szCs w:val="20"/>
              </w:rPr>
            </w:pPr>
          </w:p>
          <w:p w:rsidRPr="00322410" w:rsidR="5CEC012F" w:rsidP="3E9BCF7D" w:rsidRDefault="57B129FA" w14:paraId="209CC82E" w14:textId="608F9DF5">
            <w:pPr>
              <w:rPr>
                <w:rFonts w:eastAsia="Arial" w:cs="Arial"/>
                <w:color w:val="000000" w:themeColor="text1"/>
                <w:sz w:val="20"/>
                <w:szCs w:val="20"/>
              </w:rPr>
            </w:pPr>
            <w:r w:rsidRPr="00322410">
              <w:rPr>
                <w:rFonts w:eastAsia="Arial" w:cs="Arial"/>
                <w:color w:val="000000" w:themeColor="text1"/>
                <w:sz w:val="20"/>
                <w:szCs w:val="20"/>
              </w:rPr>
              <w:t>The WB, DESNZ and the ART Secretariat are discussing transition pathways within the draft TREES</w:t>
            </w:r>
            <w:r w:rsidRPr="00322410" w:rsidR="6E4F7674">
              <w:rPr>
                <w:rFonts w:eastAsia="Arial" w:cs="Arial"/>
                <w:color w:val="000000" w:themeColor="text1"/>
                <w:sz w:val="20"/>
                <w:szCs w:val="20"/>
              </w:rPr>
              <w:t xml:space="preserve"> 3.0 proposal.</w:t>
            </w:r>
          </w:p>
        </w:tc>
        <w:tc>
          <w:tcPr>
            <w:tcW w:w="297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E599" w:themeFill="accent4" w:themeFillTint="66"/>
            <w:tcMar/>
          </w:tcPr>
          <w:p w:rsidRPr="00322410" w:rsidR="5CEC012F" w:rsidP="5CEC012F" w:rsidRDefault="5CEC012F" w14:paraId="5DB59AC4" w14:textId="5DA44A42">
            <w:pPr>
              <w:rPr>
                <w:rFonts w:eastAsia="Arial" w:cs="Arial"/>
                <w:color w:val="000000" w:themeColor="text1"/>
                <w:sz w:val="20"/>
                <w:szCs w:val="20"/>
              </w:rPr>
            </w:pPr>
            <w:r w:rsidRPr="00322410">
              <w:rPr>
                <w:rFonts w:eastAsia="Arial" w:cs="Arial"/>
                <w:b/>
                <w:bCs/>
                <w:color w:val="000000" w:themeColor="text1"/>
                <w:sz w:val="20"/>
                <w:szCs w:val="20"/>
              </w:rPr>
              <w:t xml:space="preserve">Moderate </w:t>
            </w:r>
          </w:p>
          <w:p w:rsidRPr="00322410" w:rsidR="5CEC012F" w:rsidP="5CEC012F" w:rsidRDefault="5CEC012F" w14:paraId="0114F3E1" w14:textId="3FD686B8">
            <w:pPr>
              <w:rPr>
                <w:rFonts w:eastAsia="Arial" w:cs="Arial"/>
                <w:color w:val="000000" w:themeColor="text1"/>
                <w:sz w:val="20"/>
                <w:szCs w:val="20"/>
              </w:rPr>
            </w:pPr>
          </w:p>
          <w:p w:rsidRPr="00322410" w:rsidR="0048213A" w:rsidP="5CEC012F" w:rsidRDefault="0048213A" w14:paraId="51E04860" w14:textId="3B1615A8">
            <w:pPr>
              <w:rPr>
                <w:rFonts w:eastAsia="Arial" w:cs="Arial"/>
                <w:color w:val="000000" w:themeColor="text1"/>
                <w:sz w:val="20"/>
                <w:szCs w:val="20"/>
              </w:rPr>
            </w:pPr>
            <w:r w:rsidRPr="00322410">
              <w:rPr>
                <w:rFonts w:eastAsia="Arial" w:cs="Arial"/>
                <w:color w:val="000000" w:themeColor="text1"/>
                <w:sz w:val="20"/>
                <w:szCs w:val="20"/>
              </w:rPr>
              <w:t xml:space="preserve">The first third-party purchase of FCPF credits (Costa Rica) demonstrates that there is </w:t>
            </w:r>
            <w:r w:rsidRPr="00322410" w:rsidR="00896058">
              <w:rPr>
                <w:rFonts w:eastAsia="Arial" w:cs="Arial"/>
                <w:color w:val="000000" w:themeColor="text1"/>
                <w:sz w:val="20"/>
                <w:szCs w:val="20"/>
              </w:rPr>
              <w:t>private sector demand.</w:t>
            </w:r>
          </w:p>
          <w:p w:rsidRPr="00322410" w:rsidR="00896058" w:rsidP="5CEC012F" w:rsidRDefault="00896058" w14:paraId="6DDD2ED4" w14:textId="77777777">
            <w:pPr>
              <w:rPr>
                <w:rFonts w:eastAsia="Arial" w:cs="Arial"/>
                <w:color w:val="000000" w:themeColor="text1"/>
                <w:sz w:val="20"/>
                <w:szCs w:val="20"/>
              </w:rPr>
            </w:pPr>
          </w:p>
          <w:p w:rsidRPr="00322410" w:rsidR="00896058" w:rsidP="5CEC012F" w:rsidRDefault="00111C4F" w14:paraId="222D44EB" w14:textId="0B73861C">
            <w:pPr>
              <w:rPr>
                <w:rFonts w:eastAsia="Arial" w:cs="Arial"/>
                <w:color w:val="000000" w:themeColor="text1"/>
                <w:sz w:val="20"/>
                <w:szCs w:val="20"/>
              </w:rPr>
            </w:pPr>
            <w:r w:rsidRPr="00322410">
              <w:rPr>
                <w:rFonts w:eastAsia="Arial" w:cs="Arial"/>
                <w:color w:val="000000" w:themeColor="text1"/>
                <w:sz w:val="20"/>
                <w:szCs w:val="20"/>
              </w:rPr>
              <w:t>The lack of full CORSIA approval remains a risk.</w:t>
            </w:r>
          </w:p>
          <w:p w:rsidRPr="00322410" w:rsidR="0048213A" w:rsidP="5CEC012F" w:rsidRDefault="0048213A" w14:paraId="534278BF" w14:textId="77777777">
            <w:pPr>
              <w:rPr>
                <w:rFonts w:eastAsia="Arial" w:cs="Arial"/>
                <w:color w:val="000000" w:themeColor="text1"/>
                <w:sz w:val="20"/>
                <w:szCs w:val="20"/>
              </w:rPr>
            </w:pPr>
          </w:p>
          <w:p w:rsidRPr="00322410" w:rsidR="5CEC012F" w:rsidP="5CEC012F" w:rsidRDefault="5CEC012F" w14:paraId="32E3CD27" w14:textId="1AB5646B">
            <w:pPr>
              <w:rPr>
                <w:rFonts w:eastAsia="Arial" w:cs="Arial"/>
                <w:color w:val="000000" w:themeColor="text1"/>
                <w:sz w:val="20"/>
                <w:szCs w:val="20"/>
              </w:rPr>
            </w:pPr>
            <w:r w:rsidRPr="2C0DF5FE" w:rsidR="5CEC012F">
              <w:rPr>
                <w:rFonts w:eastAsia="Arial" w:cs="Arial"/>
                <w:color w:val="000000" w:themeColor="text1" w:themeTint="FF" w:themeShade="FF"/>
                <w:sz w:val="20"/>
                <w:szCs w:val="20"/>
              </w:rPr>
              <w:t>No change in risk rating from last year</w:t>
            </w:r>
          </w:p>
        </w:tc>
      </w:tr>
      <w:tr w:rsidRPr="00322410" w:rsidR="5CEC012F" w:rsidTr="2C0DF5FE" w14:paraId="6EF56E0A" w14:textId="77777777">
        <w:trPr>
          <w:trHeight w:val="300"/>
          <w:jc w:val="center"/>
        </w:trPr>
        <w:tc>
          <w:tcPr>
            <w:tcW w:w="3035"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cPr>
          <w:p w:rsidRPr="00322410" w:rsidR="5CEC012F" w:rsidP="3E9BCF7D" w:rsidRDefault="5CEC012F" w14:paraId="4D4D4605" w14:textId="28507880">
            <w:pPr>
              <w:rPr>
                <w:rFonts w:eastAsia="Arial" w:cs="Arial"/>
                <w:color w:val="000000" w:themeColor="text1"/>
                <w:sz w:val="20"/>
                <w:szCs w:val="20"/>
              </w:rPr>
            </w:pPr>
            <w:r w:rsidRPr="00322410">
              <w:rPr>
                <w:rFonts w:eastAsia="Arial" w:cs="Arial"/>
                <w:b/>
                <w:bCs/>
                <w:color w:val="000000" w:themeColor="text1"/>
                <w:sz w:val="20"/>
                <w:szCs w:val="20"/>
              </w:rPr>
              <w:t>M</w:t>
            </w:r>
            <w:r w:rsidRPr="00322410" w:rsidR="24A06B0B">
              <w:rPr>
                <w:rFonts w:eastAsia="Arial" w:cs="Arial"/>
                <w:b/>
                <w:bCs/>
                <w:color w:val="000000" w:themeColor="text1"/>
                <w:sz w:val="20"/>
                <w:szCs w:val="20"/>
              </w:rPr>
              <w:t>easurement</w:t>
            </w:r>
            <w:r w:rsidRPr="00322410">
              <w:rPr>
                <w:rFonts w:eastAsia="Arial" w:cs="Arial"/>
                <w:b/>
                <w:bCs/>
                <w:color w:val="000000" w:themeColor="text1"/>
                <w:sz w:val="20"/>
                <w:szCs w:val="20"/>
              </w:rPr>
              <w:t xml:space="preserve">, Reporting and Verification: </w:t>
            </w:r>
            <w:r w:rsidRPr="00322410">
              <w:rPr>
                <w:rFonts w:eastAsia="Arial" w:cs="Arial"/>
                <w:color w:val="000000" w:themeColor="text1"/>
                <w:sz w:val="20"/>
                <w:szCs w:val="20"/>
              </w:rPr>
              <w:t>MRV slow, challenging, and therefore delaying key stage in ERPA progress (becomes increasingly relevant post ERPA - reporting/verifying difficulties as it is untested)</w:t>
            </w:r>
          </w:p>
          <w:p w:rsidRPr="00322410" w:rsidR="5CEC012F" w:rsidP="5CEC012F" w:rsidRDefault="5CEC012F" w14:paraId="54C30766" w14:textId="7CB7CD0D">
            <w:pPr>
              <w:rPr>
                <w:rFonts w:eastAsia="Arial" w:cs="Arial"/>
                <w:color w:val="000000" w:themeColor="text1"/>
                <w:sz w:val="20"/>
                <w:szCs w:val="20"/>
              </w:rPr>
            </w:pPr>
            <w:r w:rsidRPr="00322410">
              <w:rPr>
                <w:rFonts w:eastAsia="Arial" w:cs="Arial"/>
                <w:b/>
                <w:bCs/>
                <w:i/>
                <w:iCs/>
                <w:color w:val="000000" w:themeColor="text1"/>
                <w:sz w:val="20"/>
                <w:szCs w:val="20"/>
              </w:rPr>
              <w:t xml:space="preserve"> </w:t>
            </w:r>
          </w:p>
        </w:tc>
        <w:tc>
          <w:tcPr>
            <w:tcW w:w="300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cPr>
          <w:p w:rsidRPr="00322410" w:rsidR="5CEC012F" w:rsidP="5CEC012F" w:rsidRDefault="5CEC012F" w14:paraId="5BB59DDD" w14:textId="4532F95A">
            <w:pPr>
              <w:rPr>
                <w:rFonts w:eastAsia="Arial" w:cs="Arial"/>
                <w:color w:val="000000" w:themeColor="text1"/>
                <w:sz w:val="20"/>
                <w:szCs w:val="20"/>
              </w:rPr>
            </w:pPr>
            <w:r w:rsidRPr="00322410">
              <w:rPr>
                <w:rFonts w:eastAsia="Arial" w:cs="Arial"/>
                <w:color w:val="000000" w:themeColor="text1"/>
                <w:sz w:val="20"/>
                <w:szCs w:val="20"/>
              </w:rPr>
              <w:t>Engage sufficient World Bank in-country staff with a broad enough mandate to complete MRV requirements. Ensure MRV structure is agreed with countries before projects commence.</w:t>
            </w:r>
            <w:r w:rsidRPr="00322410">
              <w:br/>
            </w:r>
            <w:r w:rsidRPr="00322410">
              <w:rPr>
                <w:rFonts w:eastAsia="Arial" w:cs="Arial"/>
                <w:color w:val="000000" w:themeColor="text1"/>
                <w:sz w:val="20"/>
                <w:szCs w:val="20"/>
              </w:rPr>
              <w:t xml:space="preserve"> </w:t>
            </w:r>
            <w:r w:rsidRPr="00322410">
              <w:br/>
            </w:r>
            <w:r w:rsidRPr="00322410">
              <w:rPr>
                <w:rFonts w:eastAsia="Arial" w:cs="Arial"/>
                <w:color w:val="000000" w:themeColor="text1"/>
                <w:sz w:val="20"/>
                <w:szCs w:val="20"/>
              </w:rPr>
              <w:t>This will become increasingly relevant post ERPA signatures as delivery is contingent on speed of MRV (which could be slow).</w:t>
            </w:r>
            <w:r w:rsidRPr="00322410">
              <w:br/>
            </w:r>
            <w:r w:rsidRPr="00322410">
              <w:rPr>
                <w:rFonts w:eastAsia="Arial" w:cs="Arial"/>
                <w:color w:val="000000" w:themeColor="text1"/>
                <w:sz w:val="20"/>
                <w:szCs w:val="20"/>
              </w:rPr>
              <w:t xml:space="preserve"> </w:t>
            </w:r>
            <w:r w:rsidRPr="00322410">
              <w:br/>
            </w:r>
            <w:r w:rsidRPr="00322410">
              <w:rPr>
                <w:rFonts w:eastAsia="Arial" w:cs="Arial"/>
                <w:color w:val="000000" w:themeColor="text1"/>
                <w:sz w:val="20"/>
                <w:szCs w:val="20"/>
              </w:rPr>
              <w:t>UK could consider new forms of support for MRV.</w:t>
            </w:r>
          </w:p>
          <w:p w:rsidRPr="00322410" w:rsidR="5CEC012F" w:rsidP="5CEC012F" w:rsidRDefault="5CEC012F" w14:paraId="545AB145" w14:textId="2B2F6119">
            <w:pPr>
              <w:rPr>
                <w:rFonts w:eastAsia="Arial" w:cs="Arial"/>
                <w:color w:val="000000" w:themeColor="text1"/>
                <w:sz w:val="20"/>
                <w:szCs w:val="20"/>
              </w:rPr>
            </w:pPr>
            <w:r w:rsidRPr="00322410">
              <w:rPr>
                <w:rFonts w:eastAsia="Arial" w:cs="Arial"/>
                <w:b/>
                <w:bCs/>
                <w:color w:val="000000" w:themeColor="text1"/>
                <w:sz w:val="20"/>
                <w:szCs w:val="20"/>
              </w:rPr>
              <w:t xml:space="preserve"> </w:t>
            </w:r>
          </w:p>
        </w:tc>
        <w:tc>
          <w:tcPr>
            <w:tcW w:w="297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E599" w:themeFill="accent4" w:themeFillTint="66"/>
            <w:tcMar/>
          </w:tcPr>
          <w:p w:rsidRPr="00322410" w:rsidR="5CEC012F" w:rsidP="5CEC012F" w:rsidRDefault="5CEC012F" w14:paraId="5B30A509" w14:textId="46FA05DC">
            <w:pPr>
              <w:rPr>
                <w:rFonts w:eastAsia="Arial" w:cs="Arial"/>
                <w:color w:val="000000" w:themeColor="text1"/>
                <w:sz w:val="20"/>
                <w:szCs w:val="20"/>
              </w:rPr>
            </w:pPr>
            <w:r w:rsidRPr="00322410">
              <w:rPr>
                <w:rFonts w:eastAsia="Arial" w:cs="Arial"/>
                <w:b/>
                <w:bCs/>
                <w:color w:val="000000" w:themeColor="text1"/>
                <w:sz w:val="20"/>
                <w:szCs w:val="20"/>
              </w:rPr>
              <w:t>Moderate</w:t>
            </w:r>
          </w:p>
          <w:p w:rsidRPr="00322410" w:rsidR="5CEC012F" w:rsidP="5CEC012F" w:rsidRDefault="5CEC012F" w14:paraId="0204D0C3" w14:textId="79D568E4">
            <w:pPr>
              <w:rPr>
                <w:rFonts w:eastAsia="Arial" w:cs="Arial"/>
                <w:color w:val="000000" w:themeColor="text1"/>
                <w:sz w:val="20"/>
                <w:szCs w:val="20"/>
              </w:rPr>
            </w:pPr>
            <w:r w:rsidRPr="00322410">
              <w:rPr>
                <w:rFonts w:eastAsia="Arial" w:cs="Arial"/>
                <w:b/>
                <w:bCs/>
                <w:color w:val="000000" w:themeColor="text1"/>
                <w:sz w:val="20"/>
                <w:szCs w:val="20"/>
              </w:rPr>
              <w:t xml:space="preserve"> </w:t>
            </w:r>
          </w:p>
          <w:p w:rsidRPr="00322410" w:rsidR="5CEC012F" w:rsidP="5CEC012F" w:rsidRDefault="5CEC012F" w14:paraId="0A76487A" w14:textId="02237FC6">
            <w:pPr>
              <w:rPr>
                <w:rFonts w:eastAsia="Arial" w:cs="Arial"/>
                <w:color w:val="000000" w:themeColor="text1"/>
                <w:sz w:val="20"/>
                <w:szCs w:val="20"/>
              </w:rPr>
            </w:pPr>
            <w:r w:rsidRPr="2C0DF5FE" w:rsidR="5CEC012F">
              <w:rPr>
                <w:rFonts w:eastAsia="Arial" w:cs="Arial"/>
                <w:color w:val="000000" w:themeColor="text1" w:themeTint="FF" w:themeShade="FF"/>
                <w:sz w:val="20"/>
                <w:szCs w:val="20"/>
              </w:rPr>
              <w:t xml:space="preserve">This </w:t>
            </w:r>
            <w:r w:rsidRPr="2C0DF5FE" w:rsidR="5CEC012F">
              <w:rPr>
                <w:rFonts w:eastAsia="Arial" w:cs="Arial"/>
                <w:color w:val="000000" w:themeColor="text1" w:themeTint="FF" w:themeShade="FF"/>
                <w:sz w:val="20"/>
                <w:szCs w:val="20"/>
              </w:rPr>
              <w:t>remains</w:t>
            </w:r>
            <w:r w:rsidRPr="2C0DF5FE" w:rsidR="5CEC012F">
              <w:rPr>
                <w:rFonts w:eastAsia="Arial" w:cs="Arial"/>
                <w:color w:val="000000" w:themeColor="text1" w:themeTint="FF" w:themeShade="FF"/>
                <w:sz w:val="20"/>
                <w:szCs w:val="20"/>
              </w:rPr>
              <w:t xml:space="preserve"> a large focus for World Bank and UK. World Bank is testing </w:t>
            </w:r>
            <w:r w:rsidRPr="2C0DF5FE" w:rsidR="5CEC012F">
              <w:rPr>
                <w:rFonts w:eastAsia="Arial" w:cs="Arial"/>
                <w:color w:val="000000" w:themeColor="text1" w:themeTint="FF" w:themeShade="FF"/>
                <w:sz w:val="20"/>
                <w:szCs w:val="20"/>
              </w:rPr>
              <w:t>new approaches</w:t>
            </w:r>
            <w:r w:rsidRPr="2C0DF5FE" w:rsidR="5CEC012F">
              <w:rPr>
                <w:rFonts w:eastAsia="Arial" w:cs="Arial"/>
                <w:color w:val="000000" w:themeColor="text1" w:themeTint="FF" w:themeShade="FF"/>
                <w:sz w:val="20"/>
                <w:szCs w:val="20"/>
              </w:rPr>
              <w:t xml:space="preserve"> through MRV2.0. </w:t>
            </w:r>
            <w:r w:rsidRPr="2C0DF5FE" w:rsidR="5CEC012F">
              <w:rPr>
                <w:rFonts w:eastAsia="Arial" w:cs="Arial"/>
                <w:color w:val="000000" w:themeColor="text1" w:themeTint="FF" w:themeShade="FF"/>
                <w:sz w:val="20"/>
                <w:szCs w:val="20"/>
              </w:rPr>
              <w:t>Ultimately, the</w:t>
            </w:r>
            <w:r w:rsidRPr="2C0DF5FE" w:rsidR="5CEC012F">
              <w:rPr>
                <w:rFonts w:eastAsia="Arial" w:cs="Arial"/>
                <w:color w:val="000000" w:themeColor="text1" w:themeTint="FF" w:themeShade="FF"/>
                <w:sz w:val="20"/>
                <w:szCs w:val="20"/>
              </w:rPr>
              <w:t xml:space="preserve"> FCPF has been extended to allow for completion of more monitoring and verification. </w:t>
            </w:r>
            <w:r>
              <w:br/>
            </w:r>
            <w:r>
              <w:br/>
            </w:r>
            <w:r w:rsidRPr="2C0DF5FE" w:rsidR="5CEC012F">
              <w:rPr>
                <w:rFonts w:eastAsia="Arial" w:cs="Arial"/>
                <w:color w:val="000000" w:themeColor="text1" w:themeTint="FF" w:themeShade="FF"/>
                <w:sz w:val="20"/>
                <w:szCs w:val="20"/>
              </w:rPr>
              <w:t>The UK has since funded a new dedicated MRV support programme</w:t>
            </w:r>
            <w:r w:rsidRPr="2C0DF5FE" w:rsidR="00FB0786">
              <w:rPr>
                <w:rFonts w:eastAsia="Arial" w:cs="Arial"/>
                <w:color w:val="000000" w:themeColor="text1" w:themeTint="FF" w:themeShade="FF"/>
                <w:sz w:val="20"/>
                <w:szCs w:val="20"/>
              </w:rPr>
              <w:t xml:space="preserve"> (AIM4Forests) outside of the FCPF</w:t>
            </w:r>
            <w:r w:rsidRPr="2C0DF5FE" w:rsidR="5CEC012F">
              <w:rPr>
                <w:rFonts w:eastAsia="Arial" w:cs="Arial"/>
                <w:color w:val="000000" w:themeColor="text1" w:themeTint="FF" w:themeShade="FF"/>
                <w:sz w:val="20"/>
                <w:szCs w:val="20"/>
              </w:rPr>
              <w:t xml:space="preserve">, </w:t>
            </w:r>
            <w:r w:rsidRPr="2C0DF5FE" w:rsidR="5CEC012F">
              <w:rPr>
                <w:rFonts w:eastAsia="Arial" w:cs="Arial"/>
                <w:color w:val="000000" w:themeColor="text1" w:themeTint="FF" w:themeShade="FF"/>
                <w:sz w:val="20"/>
                <w:szCs w:val="20"/>
              </w:rPr>
              <w:t xml:space="preserve">but this is unlikely to have a significant impact on FCPF at this stage. </w:t>
            </w:r>
            <w:r w:rsidRPr="2C0DF5FE" w:rsidR="6448DBFB">
              <w:rPr>
                <w:rFonts w:eastAsia="Arial" w:cs="Arial"/>
                <w:color w:val="000000" w:themeColor="text1" w:themeTint="FF" w:themeShade="FF"/>
                <w:sz w:val="20"/>
                <w:szCs w:val="20"/>
              </w:rPr>
              <w:t>AIM is not directly supporting the FCPF standard, though wider MRV/forest monitoring is supported at the nationa</w:t>
            </w:r>
            <w:r w:rsidRPr="2C0DF5FE" w:rsidR="7E9B834E">
              <w:rPr>
                <w:rFonts w:eastAsia="Arial" w:cs="Arial"/>
                <w:color w:val="000000" w:themeColor="text1" w:themeTint="FF" w:themeShade="FF"/>
                <w:sz w:val="20"/>
                <w:szCs w:val="20"/>
              </w:rPr>
              <w:t>l</w:t>
            </w:r>
            <w:r w:rsidRPr="2C0DF5FE" w:rsidR="6448DBFB">
              <w:rPr>
                <w:rFonts w:eastAsia="Arial" w:cs="Arial"/>
                <w:color w:val="000000" w:themeColor="text1" w:themeTint="FF" w:themeShade="FF"/>
                <w:sz w:val="20"/>
                <w:szCs w:val="20"/>
              </w:rPr>
              <w:t xml:space="preserve"> level in some FCPF countries.</w:t>
            </w:r>
          </w:p>
          <w:p w:rsidRPr="00322410" w:rsidR="5CEC012F" w:rsidP="5CEC012F" w:rsidRDefault="5CEC012F" w14:paraId="3BE2613B" w14:textId="6FBEFF6C">
            <w:pPr>
              <w:rPr>
                <w:rFonts w:eastAsia="Arial" w:cs="Arial"/>
                <w:color w:val="000000" w:themeColor="text1"/>
                <w:sz w:val="20"/>
                <w:szCs w:val="20"/>
              </w:rPr>
            </w:pPr>
            <w:r w:rsidRPr="00322410">
              <w:rPr>
                <w:rFonts w:eastAsia="Arial" w:cs="Arial"/>
                <w:color w:val="000000" w:themeColor="text1"/>
                <w:sz w:val="20"/>
                <w:szCs w:val="20"/>
              </w:rPr>
              <w:t xml:space="preserve"> </w:t>
            </w:r>
          </w:p>
          <w:p w:rsidRPr="00322410" w:rsidR="5CEC012F" w:rsidP="5CEC012F" w:rsidRDefault="5CEC012F" w14:paraId="26E42714" w14:textId="12378B51">
            <w:pPr>
              <w:rPr>
                <w:rFonts w:eastAsia="Arial" w:cs="Arial"/>
                <w:color w:val="000000" w:themeColor="text1"/>
                <w:sz w:val="20"/>
                <w:szCs w:val="20"/>
              </w:rPr>
            </w:pPr>
            <w:r w:rsidRPr="00322410">
              <w:rPr>
                <w:rFonts w:eastAsia="Arial" w:cs="Arial"/>
                <w:color w:val="000000" w:themeColor="text1"/>
                <w:sz w:val="20"/>
                <w:szCs w:val="20"/>
              </w:rPr>
              <w:t>No change in risk rating from last year</w:t>
            </w:r>
          </w:p>
        </w:tc>
      </w:tr>
      <w:tr w:rsidRPr="00322410" w:rsidR="5CEC012F" w:rsidTr="2C0DF5FE" w14:paraId="03FA0F0A" w14:textId="77777777">
        <w:trPr>
          <w:trHeight w:val="300"/>
          <w:jc w:val="center"/>
        </w:trPr>
        <w:tc>
          <w:tcPr>
            <w:tcW w:w="3035"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cPr>
          <w:p w:rsidRPr="00322410" w:rsidR="5CEC012F" w:rsidP="5CEC012F" w:rsidRDefault="5CEC012F" w14:paraId="5F863C6F" w14:textId="79137CF5">
            <w:pPr>
              <w:rPr>
                <w:rFonts w:eastAsia="Arial" w:cs="Arial"/>
                <w:color w:val="000000" w:themeColor="text1"/>
                <w:sz w:val="20"/>
                <w:szCs w:val="20"/>
              </w:rPr>
            </w:pPr>
            <w:r w:rsidRPr="00322410">
              <w:rPr>
                <w:rFonts w:eastAsia="Arial" w:cs="Arial"/>
                <w:b/>
                <w:bCs/>
                <w:i/>
                <w:iCs/>
                <w:color w:val="000000" w:themeColor="text1"/>
                <w:sz w:val="20"/>
                <w:szCs w:val="20"/>
              </w:rPr>
              <w:t xml:space="preserve">Safeguarding and benefit-sharing risk: </w:t>
            </w:r>
            <w:r w:rsidRPr="00322410">
              <w:rPr>
                <w:rFonts w:eastAsia="Arial" w:cs="Arial"/>
                <w:color w:val="000000" w:themeColor="text1"/>
                <w:sz w:val="20"/>
                <w:szCs w:val="20"/>
              </w:rPr>
              <w:t>Risk of perverse outcomes slipping through or benefits are not distributed adequately or equitably, particularly as this is a large jurisdictional scale programme –there needs to be jurisdictional accountability considerations, including considering adequacy and tracking of benefit sharing, safeguards, FGRM etc.</w:t>
            </w:r>
          </w:p>
        </w:tc>
        <w:tc>
          <w:tcPr>
            <w:tcW w:w="300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cPr>
          <w:p w:rsidRPr="00322410" w:rsidR="5CEC012F" w:rsidP="5CEC012F" w:rsidRDefault="5CEC012F" w14:paraId="578F4F37" w14:textId="633AB327">
            <w:pPr>
              <w:rPr>
                <w:rFonts w:eastAsia="Arial" w:cs="Arial"/>
                <w:color w:val="000000" w:themeColor="text1"/>
                <w:sz w:val="20"/>
                <w:szCs w:val="20"/>
              </w:rPr>
            </w:pPr>
            <w:r w:rsidRPr="2B42203E">
              <w:rPr>
                <w:rFonts w:eastAsia="Arial" w:cs="Arial"/>
                <w:color w:val="000000" w:themeColor="text1"/>
                <w:sz w:val="20"/>
                <w:szCs w:val="20"/>
              </w:rPr>
              <w:t>Application of World Bank safeguards. WB and MDTFs have strong safeguarding systems. Monitoring will be required to ensure these safeguards are applied consistently.</w:t>
            </w:r>
          </w:p>
          <w:p w:rsidRPr="00322410" w:rsidR="5CEC012F" w:rsidP="5CEC012F" w:rsidRDefault="5CEC012F" w14:paraId="4DBAC3DE" w14:textId="18B1389C">
            <w:pPr>
              <w:rPr>
                <w:rFonts w:eastAsia="Arial" w:cs="Arial"/>
                <w:color w:val="000000" w:themeColor="text1"/>
                <w:sz w:val="20"/>
                <w:szCs w:val="20"/>
              </w:rPr>
            </w:pPr>
          </w:p>
          <w:p w:rsidRPr="00322410" w:rsidR="5CEC012F" w:rsidP="5CEC012F" w:rsidRDefault="5CEC012F" w14:paraId="22BB0C4C" w14:textId="69762D70">
            <w:pPr>
              <w:rPr>
                <w:rFonts w:eastAsia="Arial" w:cs="Arial"/>
                <w:color w:val="000000" w:themeColor="text1"/>
                <w:sz w:val="20"/>
                <w:szCs w:val="20"/>
              </w:rPr>
            </w:pPr>
            <w:r w:rsidRPr="2B42203E">
              <w:rPr>
                <w:rFonts w:eastAsia="Arial" w:cs="Arial"/>
                <w:color w:val="000000" w:themeColor="text1"/>
                <w:sz w:val="20"/>
                <w:szCs w:val="20"/>
              </w:rPr>
              <w:t>If an issue arises, WB will investigate according to their safeguarding policies.</w:t>
            </w:r>
          </w:p>
        </w:tc>
        <w:tc>
          <w:tcPr>
            <w:tcW w:w="297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4B083" w:themeFill="accent2" w:themeFillTint="99"/>
            <w:tcMar/>
          </w:tcPr>
          <w:p w:rsidRPr="00322410" w:rsidR="5CEC012F" w:rsidP="5CEC012F" w:rsidRDefault="5CEC012F" w14:paraId="4B3C8778" w14:textId="6D2772B1">
            <w:pPr>
              <w:rPr>
                <w:rFonts w:eastAsia="Arial" w:cs="Arial"/>
                <w:color w:val="000000" w:themeColor="text1"/>
                <w:sz w:val="20"/>
                <w:szCs w:val="20"/>
              </w:rPr>
            </w:pPr>
            <w:r w:rsidRPr="00322410">
              <w:rPr>
                <w:rFonts w:eastAsia="Arial" w:cs="Arial"/>
                <w:b/>
                <w:bCs/>
                <w:color w:val="000000" w:themeColor="text1"/>
                <w:sz w:val="20"/>
                <w:szCs w:val="20"/>
              </w:rPr>
              <w:t>Major</w:t>
            </w:r>
          </w:p>
          <w:p w:rsidRPr="00322410" w:rsidR="5CEC012F" w:rsidP="5CEC012F" w:rsidRDefault="5CEC012F" w14:paraId="3121F7CA" w14:textId="1A51A4E8">
            <w:pPr>
              <w:rPr>
                <w:rFonts w:eastAsia="Arial" w:cs="Arial"/>
                <w:color w:val="000000" w:themeColor="text1"/>
                <w:sz w:val="20"/>
                <w:szCs w:val="20"/>
              </w:rPr>
            </w:pPr>
            <w:r w:rsidRPr="00322410">
              <w:rPr>
                <w:rFonts w:eastAsia="Arial" w:cs="Arial"/>
                <w:b/>
                <w:bCs/>
                <w:color w:val="000000" w:themeColor="text1"/>
                <w:sz w:val="20"/>
                <w:szCs w:val="20"/>
              </w:rPr>
              <w:t xml:space="preserve"> </w:t>
            </w:r>
          </w:p>
          <w:p w:rsidRPr="00322410" w:rsidR="5CEC012F" w:rsidP="11ED8296" w:rsidRDefault="5CEC012F" w14:paraId="635923A2" w14:textId="037795A2">
            <w:pPr>
              <w:rPr>
                <w:rFonts w:eastAsia="Arial" w:cs="Arial"/>
                <w:color w:val="000000" w:themeColor="text1"/>
                <w:sz w:val="20"/>
                <w:szCs w:val="20"/>
              </w:rPr>
            </w:pPr>
            <w:r w:rsidRPr="00322410">
              <w:rPr>
                <w:rFonts w:eastAsia="Arial" w:cs="Arial"/>
                <w:color w:val="000000" w:themeColor="text1"/>
                <w:sz w:val="20"/>
                <w:szCs w:val="20"/>
              </w:rPr>
              <w:t>We will continue to monitor adequacy and effectiveness of benefit sharing implementation.</w:t>
            </w:r>
          </w:p>
          <w:p w:rsidRPr="00322410" w:rsidR="11ED8296" w:rsidP="11ED8296" w:rsidRDefault="11ED8296" w14:paraId="286A19F2" w14:textId="04C48E5E">
            <w:pPr>
              <w:rPr>
                <w:rFonts w:eastAsia="Arial" w:cs="Arial"/>
                <w:color w:val="000000" w:themeColor="text1"/>
                <w:sz w:val="20"/>
                <w:szCs w:val="20"/>
              </w:rPr>
            </w:pPr>
          </w:p>
          <w:p w:rsidRPr="00322410" w:rsidR="587A14B6" w:rsidP="190E075E" w:rsidRDefault="587CE432" w14:paraId="75B81C44" w14:textId="04367C45">
            <w:pPr>
              <w:rPr>
                <w:rFonts w:eastAsia="Arial" w:cs="Arial"/>
                <w:color w:val="000000" w:themeColor="text1"/>
                <w:sz w:val="20"/>
                <w:szCs w:val="20"/>
              </w:rPr>
            </w:pPr>
            <w:r w:rsidRPr="00322410">
              <w:rPr>
                <w:rFonts w:eastAsia="Arial" w:cs="Arial"/>
                <w:color w:val="000000" w:themeColor="text1"/>
                <w:sz w:val="20"/>
                <w:szCs w:val="20"/>
              </w:rPr>
              <w:t xml:space="preserve">In </w:t>
            </w:r>
            <w:r w:rsidRPr="00322410" w:rsidR="10B2FE29">
              <w:rPr>
                <w:rFonts w:eastAsia="Arial" w:cs="Arial"/>
                <w:color w:val="000000" w:themeColor="text1"/>
                <w:sz w:val="20"/>
                <w:szCs w:val="20"/>
              </w:rPr>
              <w:t>RP</w:t>
            </w:r>
            <w:r w:rsidRPr="00322410" w:rsidR="51CF26E2">
              <w:rPr>
                <w:rFonts w:eastAsia="Arial" w:cs="Arial"/>
                <w:color w:val="000000" w:themeColor="text1"/>
                <w:sz w:val="20"/>
                <w:szCs w:val="20"/>
              </w:rPr>
              <w:t>24, t</w:t>
            </w:r>
            <w:r w:rsidRPr="00322410" w:rsidR="04B81B8C">
              <w:rPr>
                <w:rFonts w:eastAsia="Arial" w:cs="Arial"/>
                <w:color w:val="000000" w:themeColor="text1"/>
                <w:sz w:val="20"/>
                <w:szCs w:val="20"/>
              </w:rPr>
              <w:t>he risk rating was increased to major due to issue in East Kalimantan programme.</w:t>
            </w:r>
          </w:p>
          <w:p w:rsidRPr="00322410" w:rsidR="5CEC012F" w:rsidP="5CEC012F" w:rsidRDefault="5CEC012F" w14:paraId="1A1E4198" w14:textId="5E1F6CD1">
            <w:pPr>
              <w:rPr>
                <w:rFonts w:eastAsia="Arial" w:cs="Arial"/>
                <w:color w:val="000000" w:themeColor="text1"/>
                <w:sz w:val="20"/>
                <w:szCs w:val="20"/>
              </w:rPr>
            </w:pPr>
            <w:r w:rsidRPr="00322410">
              <w:rPr>
                <w:rFonts w:eastAsia="Arial" w:cs="Arial"/>
                <w:color w:val="000000" w:themeColor="text1"/>
                <w:sz w:val="20"/>
                <w:szCs w:val="20"/>
              </w:rPr>
              <w:t xml:space="preserve"> </w:t>
            </w:r>
          </w:p>
          <w:p w:rsidRPr="00322410" w:rsidR="5CEC012F" w:rsidP="7826E39F" w:rsidRDefault="7270EFD8" w14:paraId="4165D861" w14:textId="65BC50CC">
            <w:pPr>
              <w:rPr>
                <w:rFonts w:eastAsia="Arial" w:cs="Arial"/>
                <w:color w:val="000000" w:themeColor="text1"/>
                <w:sz w:val="20"/>
                <w:szCs w:val="20"/>
              </w:rPr>
            </w:pPr>
            <w:r w:rsidRPr="00322410">
              <w:rPr>
                <w:rFonts w:eastAsia="Arial" w:cs="Arial"/>
                <w:color w:val="000000" w:themeColor="text1"/>
                <w:sz w:val="20"/>
                <w:szCs w:val="20"/>
              </w:rPr>
              <w:t>No change in risk rating from last year.</w:t>
            </w:r>
          </w:p>
        </w:tc>
      </w:tr>
      <w:tr w:rsidRPr="00322410" w:rsidR="5CEC012F" w:rsidTr="2C0DF5FE" w14:paraId="6849380E" w14:textId="77777777">
        <w:trPr>
          <w:trHeight w:val="300"/>
          <w:jc w:val="center"/>
        </w:trPr>
        <w:tc>
          <w:tcPr>
            <w:tcW w:w="3035"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cPr>
          <w:p w:rsidRPr="00322410" w:rsidR="5CEC012F" w:rsidP="5CEC012F" w:rsidRDefault="5CEC012F" w14:paraId="5C43749B" w14:textId="3C0FBB45">
            <w:pPr>
              <w:rPr>
                <w:rFonts w:eastAsia="Arial" w:cs="Arial"/>
                <w:color w:val="000000" w:themeColor="text1"/>
                <w:sz w:val="20"/>
                <w:szCs w:val="20"/>
              </w:rPr>
            </w:pPr>
            <w:r w:rsidRPr="00322410">
              <w:rPr>
                <w:rFonts w:eastAsia="Arial" w:cs="Arial"/>
                <w:b/>
                <w:bCs/>
                <w:i/>
                <w:iCs/>
                <w:color w:val="000000" w:themeColor="text1"/>
                <w:sz w:val="20"/>
                <w:szCs w:val="20"/>
              </w:rPr>
              <w:t xml:space="preserve">Reputational: </w:t>
            </w:r>
            <w:r w:rsidRPr="00322410">
              <w:rPr>
                <w:rFonts w:eastAsia="Arial" w:cs="Arial"/>
                <w:color w:val="000000" w:themeColor="text1"/>
                <w:sz w:val="20"/>
                <w:szCs w:val="20"/>
              </w:rPr>
              <w:t>Reputation risks can arise from a lot of other risks listed above. E.g.:</w:t>
            </w:r>
            <w:r w:rsidRPr="00322410">
              <w:br/>
            </w:r>
            <w:r w:rsidRPr="00322410">
              <w:rPr>
                <w:rFonts w:eastAsia="Arial" w:cs="Arial"/>
                <w:color w:val="000000" w:themeColor="text1"/>
                <w:sz w:val="20"/>
                <w:szCs w:val="20"/>
              </w:rPr>
              <w:t xml:space="preserve"> - Rising deforestation data poses reputational risk to BEIS/UK due to negative criticism of funding programmes </w:t>
            </w:r>
            <w:r w:rsidRPr="00322410">
              <w:br/>
            </w:r>
            <w:r w:rsidRPr="00322410">
              <w:rPr>
                <w:rFonts w:eastAsia="Arial" w:cs="Arial"/>
                <w:color w:val="000000" w:themeColor="text1"/>
                <w:sz w:val="20"/>
                <w:szCs w:val="20"/>
              </w:rPr>
              <w:t xml:space="preserve">- Nesting - PS companies generating negative media </w:t>
            </w:r>
          </w:p>
        </w:tc>
        <w:tc>
          <w:tcPr>
            <w:tcW w:w="300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cPr>
          <w:p w:rsidRPr="00322410" w:rsidR="5CEC012F" w:rsidP="5CEC012F" w:rsidRDefault="5CEC012F" w14:paraId="4F829D68" w14:textId="4ACCD8F3">
            <w:pPr>
              <w:rPr>
                <w:rFonts w:eastAsia="Arial" w:cs="Arial"/>
                <w:color w:val="000000" w:themeColor="text1"/>
                <w:sz w:val="20"/>
                <w:szCs w:val="20"/>
              </w:rPr>
            </w:pPr>
            <w:r w:rsidRPr="00322410">
              <w:rPr>
                <w:rFonts w:eastAsia="Arial" w:cs="Arial"/>
                <w:color w:val="000000" w:themeColor="text1"/>
                <w:sz w:val="20"/>
                <w:szCs w:val="20"/>
              </w:rPr>
              <w:t xml:space="preserve">Should deforestation rise, this poses a reputation risk, officials will judge the appropriate response, including drafting defensive lines and engaging with key stakeholders. </w:t>
            </w:r>
            <w:r w:rsidRPr="00322410">
              <w:br/>
            </w:r>
            <w:r w:rsidRPr="00322410">
              <w:br/>
            </w:r>
            <w:r w:rsidRPr="00322410">
              <w:rPr>
                <w:rFonts w:eastAsia="Arial" w:cs="Arial"/>
                <w:color w:val="000000" w:themeColor="text1"/>
                <w:sz w:val="20"/>
                <w:szCs w:val="20"/>
              </w:rPr>
              <w:t xml:space="preserve">Track and anticipate political uncertainties within countries, and related reputational risks. </w:t>
            </w:r>
          </w:p>
        </w:tc>
        <w:tc>
          <w:tcPr>
            <w:tcW w:w="297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E599" w:themeFill="accent4" w:themeFillTint="66"/>
            <w:tcMar/>
          </w:tcPr>
          <w:p w:rsidRPr="00322410" w:rsidR="5CEC012F" w:rsidP="51504986" w:rsidRDefault="5CEC012F" w14:paraId="683973ED" w14:textId="5EF566FC">
            <w:pPr>
              <w:pStyle w:val="NoSpacing"/>
              <w:rPr>
                <w:rFonts w:eastAsia="Arial" w:cs="Arial"/>
                <w:b/>
                <w:bCs/>
                <w:color w:val="000000" w:themeColor="text1"/>
                <w:sz w:val="20"/>
                <w:szCs w:val="20"/>
              </w:rPr>
            </w:pPr>
            <w:r w:rsidRPr="00322410">
              <w:rPr>
                <w:b/>
                <w:bCs/>
                <w:sz w:val="20"/>
                <w:szCs w:val="20"/>
              </w:rPr>
              <w:t>Moderate</w:t>
            </w:r>
          </w:p>
          <w:p w:rsidRPr="00322410" w:rsidR="5CEC012F" w:rsidP="51504986" w:rsidRDefault="5CEC012F" w14:paraId="2908182E" w14:textId="02CAC1A9">
            <w:pPr>
              <w:pStyle w:val="NoSpacing"/>
              <w:rPr>
                <w:rFonts w:eastAsia="Arial" w:cs="Arial"/>
                <w:color w:val="000000" w:themeColor="text1"/>
                <w:sz w:val="20"/>
                <w:szCs w:val="20"/>
              </w:rPr>
            </w:pPr>
            <w:r w:rsidRPr="00322410">
              <w:rPr>
                <w:sz w:val="20"/>
                <w:szCs w:val="20"/>
              </w:rPr>
              <w:t xml:space="preserve"> </w:t>
            </w:r>
          </w:p>
          <w:p w:rsidRPr="00322410" w:rsidR="5CEC012F" w:rsidP="6462340B" w:rsidRDefault="7C5BAEA9" w14:paraId="0F7F301D" w14:textId="0AE9FB3F">
            <w:pPr>
              <w:pStyle w:val="NoSpacing"/>
              <w:rPr>
                <w:rFonts w:eastAsia="Arial" w:cs="Arial"/>
                <w:color w:val="000000" w:themeColor="text1"/>
                <w:sz w:val="20"/>
                <w:szCs w:val="20"/>
              </w:rPr>
            </w:pPr>
            <w:r w:rsidRPr="00322410">
              <w:rPr>
                <w:sz w:val="20"/>
                <w:szCs w:val="20"/>
              </w:rPr>
              <w:t xml:space="preserve">Negative comms on the programme can exacerbate this risk. We will continue to monitor, particularly as comms messages increase with payments made. </w:t>
            </w:r>
          </w:p>
          <w:p w:rsidRPr="00322410" w:rsidR="5CEC012F" w:rsidP="51504986" w:rsidRDefault="7C5BAEA9" w14:paraId="014E40D9" w14:textId="69EFD1E5">
            <w:pPr>
              <w:pStyle w:val="NoSpacing"/>
              <w:rPr>
                <w:rFonts w:eastAsia="Arial" w:cs="Arial"/>
                <w:color w:val="000000" w:themeColor="text1"/>
                <w:sz w:val="20"/>
                <w:szCs w:val="20"/>
              </w:rPr>
            </w:pPr>
            <w:r w:rsidRPr="00322410">
              <w:rPr>
                <w:sz w:val="20"/>
                <w:szCs w:val="20"/>
              </w:rPr>
              <w:t xml:space="preserve"> </w:t>
            </w:r>
          </w:p>
          <w:p w:rsidRPr="00322410" w:rsidR="5CEC012F" w:rsidP="51504986" w:rsidRDefault="7C5BAEA9" w14:paraId="1EC75EFD" w14:textId="6E71A5D5">
            <w:pPr>
              <w:pStyle w:val="NoSpacing"/>
              <w:rPr>
                <w:rFonts w:eastAsia="Arial" w:cs="Arial"/>
                <w:color w:val="000000" w:themeColor="text1"/>
                <w:sz w:val="20"/>
                <w:szCs w:val="20"/>
              </w:rPr>
            </w:pPr>
            <w:r w:rsidRPr="00322410">
              <w:rPr>
                <w:sz w:val="20"/>
                <w:szCs w:val="20"/>
              </w:rPr>
              <w:t>No change in risk rating from last year</w:t>
            </w:r>
          </w:p>
        </w:tc>
      </w:tr>
      <w:tr w:rsidRPr="00322410" w:rsidR="5CEC012F" w:rsidTr="2C0DF5FE" w14:paraId="6F0D5E71" w14:textId="77777777">
        <w:trPr>
          <w:trHeight w:val="300"/>
          <w:jc w:val="center"/>
        </w:trPr>
        <w:tc>
          <w:tcPr>
            <w:tcW w:w="3035"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cPr>
          <w:p w:rsidRPr="00322410" w:rsidR="5CEC012F" w:rsidP="5CEC012F" w:rsidRDefault="5CEC012F" w14:paraId="4A067CD8" w14:textId="635B90AD">
            <w:pPr>
              <w:rPr>
                <w:rFonts w:eastAsia="Arial" w:cs="Arial"/>
                <w:color w:val="000000" w:themeColor="text1"/>
                <w:sz w:val="20"/>
                <w:szCs w:val="20"/>
              </w:rPr>
            </w:pPr>
            <w:r w:rsidRPr="00322410">
              <w:rPr>
                <w:rFonts w:eastAsia="Arial" w:cs="Arial"/>
                <w:b/>
                <w:bCs/>
                <w:i/>
                <w:iCs/>
                <w:color w:val="000000" w:themeColor="text1"/>
                <w:sz w:val="20"/>
                <w:szCs w:val="20"/>
              </w:rPr>
              <w:t>Fiduciary risk (Delivery risk):</w:t>
            </w:r>
            <w:r w:rsidRPr="00322410">
              <w:br/>
            </w:r>
            <w:r w:rsidRPr="00322410">
              <w:rPr>
                <w:rFonts w:eastAsia="Arial" w:cs="Arial"/>
                <w:color w:val="000000" w:themeColor="text1"/>
                <w:sz w:val="20"/>
                <w:szCs w:val="20"/>
              </w:rPr>
              <w:t>Fraud or mis</w:t>
            </w:r>
            <w:r w:rsidRPr="00322410" w:rsidR="007744D5">
              <w:rPr>
                <w:rFonts w:eastAsia="Arial" w:cs="Arial"/>
                <w:color w:val="000000" w:themeColor="text1"/>
                <w:sz w:val="20"/>
                <w:szCs w:val="20"/>
              </w:rPr>
              <w:t>-</w:t>
            </w:r>
            <w:r w:rsidRPr="00322410">
              <w:rPr>
                <w:rFonts w:eastAsia="Arial" w:cs="Arial"/>
                <w:color w:val="000000" w:themeColor="text1"/>
                <w:sz w:val="20"/>
                <w:szCs w:val="20"/>
              </w:rPr>
              <w:t>purposed funds - UK funds are not used for the intended purpose, resulting in fiduciary and reputation impacts or underperformance on due diligence and management of approaches limits the impact of the programme or carries risk of misuse of funds.</w:t>
            </w:r>
            <w:r w:rsidRPr="00322410">
              <w:rPr>
                <w:rFonts w:eastAsia="Arial" w:cs="Arial"/>
                <w:b/>
                <w:bCs/>
                <w:i/>
                <w:iCs/>
                <w:color w:val="000000" w:themeColor="text1"/>
                <w:sz w:val="20"/>
                <w:szCs w:val="20"/>
              </w:rPr>
              <w:t xml:space="preserve"> </w:t>
            </w:r>
          </w:p>
        </w:tc>
        <w:tc>
          <w:tcPr>
            <w:tcW w:w="300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cPr>
          <w:p w:rsidRPr="00322410" w:rsidR="5CEC012F" w:rsidP="5CEC012F" w:rsidRDefault="5CEC012F" w14:paraId="18A3CA9A" w14:textId="49CA20CC">
            <w:pPr>
              <w:rPr>
                <w:rFonts w:eastAsia="Arial" w:cs="Arial"/>
                <w:color w:val="000000" w:themeColor="text1"/>
                <w:sz w:val="20"/>
                <w:szCs w:val="20"/>
              </w:rPr>
            </w:pPr>
            <w:r w:rsidRPr="00322410">
              <w:rPr>
                <w:rFonts w:eastAsia="Arial" w:cs="Arial"/>
                <w:color w:val="000000" w:themeColor="text1"/>
                <w:sz w:val="20"/>
                <w:szCs w:val="20"/>
              </w:rPr>
              <w:t>Implementation through well-established MDB trust fund structures with respected fraud checks and balances.</w:t>
            </w:r>
            <w:r w:rsidRPr="00322410">
              <w:br/>
            </w:r>
            <w:r w:rsidRPr="00322410">
              <w:rPr>
                <w:rFonts w:eastAsia="Arial" w:cs="Arial"/>
                <w:color w:val="000000" w:themeColor="text1"/>
                <w:sz w:val="20"/>
                <w:szCs w:val="20"/>
              </w:rPr>
              <w:t xml:space="preserve"> </w:t>
            </w:r>
            <w:r w:rsidRPr="00322410">
              <w:br/>
            </w:r>
            <w:r w:rsidRPr="00322410">
              <w:rPr>
                <w:rFonts w:eastAsia="Arial" w:cs="Arial"/>
                <w:color w:val="000000" w:themeColor="text1"/>
                <w:sz w:val="20"/>
                <w:szCs w:val="20"/>
              </w:rPr>
              <w:t xml:space="preserve">a) The World Bank will independently verify emissions reductions before providing payment for results. </w:t>
            </w:r>
            <w:r w:rsidRPr="00322410">
              <w:br/>
            </w:r>
            <w:r w:rsidRPr="00322410">
              <w:rPr>
                <w:rFonts w:eastAsia="Arial" w:cs="Arial"/>
                <w:color w:val="000000" w:themeColor="text1"/>
                <w:sz w:val="20"/>
                <w:szCs w:val="20"/>
              </w:rPr>
              <w:t>b) All payments will be registered publicly to avoid overlap.</w:t>
            </w:r>
            <w:r w:rsidRPr="00322410">
              <w:br/>
            </w:r>
            <w:r w:rsidRPr="00322410">
              <w:rPr>
                <w:rFonts w:eastAsia="Arial" w:cs="Arial"/>
                <w:color w:val="000000" w:themeColor="text1"/>
                <w:sz w:val="20"/>
                <w:szCs w:val="20"/>
              </w:rPr>
              <w:t xml:space="preserve"> c) Funds channelled according to agreed Benefits-Sharing Plans</w:t>
            </w:r>
          </w:p>
          <w:p w:rsidRPr="00322410" w:rsidR="5CEC012F" w:rsidP="5CEC012F" w:rsidRDefault="5CEC012F" w14:paraId="15625D88" w14:textId="7241F40B">
            <w:pPr>
              <w:rPr>
                <w:rFonts w:eastAsia="Arial" w:cs="Arial"/>
                <w:color w:val="000000" w:themeColor="text1"/>
                <w:sz w:val="20"/>
                <w:szCs w:val="20"/>
              </w:rPr>
            </w:pPr>
            <w:r w:rsidRPr="00322410">
              <w:rPr>
                <w:rFonts w:eastAsia="Arial" w:cs="Arial"/>
                <w:b/>
                <w:bCs/>
                <w:color w:val="000000" w:themeColor="text1"/>
                <w:sz w:val="20"/>
                <w:szCs w:val="20"/>
              </w:rPr>
              <w:t xml:space="preserve"> </w:t>
            </w:r>
          </w:p>
        </w:tc>
        <w:tc>
          <w:tcPr>
            <w:tcW w:w="297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C5E0B3" w:themeFill="accent6" w:themeFillTint="66"/>
            <w:tcMar/>
          </w:tcPr>
          <w:p w:rsidRPr="00322410" w:rsidR="5CEC012F" w:rsidP="5CEC012F" w:rsidRDefault="5CEC012F" w14:paraId="4EE4E6F6" w14:textId="48EE4FB9">
            <w:pPr>
              <w:rPr>
                <w:rFonts w:eastAsia="Arial" w:cs="Arial"/>
                <w:color w:val="000000" w:themeColor="text1"/>
                <w:sz w:val="20"/>
                <w:szCs w:val="20"/>
              </w:rPr>
            </w:pPr>
            <w:r w:rsidRPr="00322410">
              <w:rPr>
                <w:rFonts w:eastAsia="Arial" w:cs="Arial"/>
                <w:b/>
                <w:bCs/>
                <w:color w:val="000000" w:themeColor="text1"/>
                <w:sz w:val="20"/>
                <w:szCs w:val="20"/>
              </w:rPr>
              <w:t>Minor</w:t>
            </w:r>
          </w:p>
          <w:p w:rsidRPr="00322410" w:rsidR="5CEC012F" w:rsidP="5CEC012F" w:rsidRDefault="5CEC012F" w14:paraId="30A23DAF" w14:textId="313FCF36">
            <w:pPr>
              <w:rPr>
                <w:rFonts w:eastAsia="Arial" w:cs="Arial"/>
                <w:color w:val="000000" w:themeColor="text1"/>
                <w:sz w:val="20"/>
                <w:szCs w:val="20"/>
              </w:rPr>
            </w:pPr>
            <w:r w:rsidRPr="00322410">
              <w:rPr>
                <w:rFonts w:eastAsia="Arial" w:cs="Arial"/>
                <w:b/>
                <w:bCs/>
                <w:color w:val="000000" w:themeColor="text1"/>
                <w:sz w:val="20"/>
                <w:szCs w:val="20"/>
              </w:rPr>
              <w:t xml:space="preserve"> </w:t>
            </w:r>
          </w:p>
          <w:p w:rsidRPr="00322410" w:rsidR="5CEC012F" w:rsidP="5CEC012F" w:rsidRDefault="5CEC012F" w14:paraId="385FFE37" w14:textId="38D1294B">
            <w:pPr>
              <w:rPr>
                <w:rFonts w:eastAsia="Arial" w:cs="Arial"/>
                <w:color w:val="000000" w:themeColor="text1"/>
                <w:sz w:val="20"/>
                <w:szCs w:val="20"/>
              </w:rPr>
            </w:pPr>
            <w:r w:rsidRPr="00322410">
              <w:rPr>
                <w:rFonts w:eastAsia="Arial" w:cs="Arial"/>
                <w:color w:val="000000" w:themeColor="text1"/>
                <w:sz w:val="20"/>
                <w:szCs w:val="20"/>
              </w:rPr>
              <w:t>We continue to rely on well-established World Bank fiduciary safeguards, and we also provide scrutiny to World Bank financial reports and analyse incoming Call of Funds and funding disbursements.</w:t>
            </w:r>
          </w:p>
          <w:p w:rsidRPr="00322410" w:rsidR="5CEC012F" w:rsidP="5CEC012F" w:rsidRDefault="5CEC012F" w14:paraId="3C775FC4" w14:textId="4DAEC406">
            <w:pPr>
              <w:rPr>
                <w:rFonts w:eastAsia="Arial" w:cs="Arial"/>
                <w:color w:val="000000" w:themeColor="text1"/>
                <w:sz w:val="20"/>
                <w:szCs w:val="20"/>
              </w:rPr>
            </w:pPr>
            <w:r w:rsidRPr="00322410">
              <w:rPr>
                <w:rFonts w:eastAsia="Arial" w:cs="Arial"/>
                <w:b/>
                <w:bCs/>
                <w:color w:val="000000" w:themeColor="text1"/>
                <w:sz w:val="20"/>
                <w:szCs w:val="20"/>
              </w:rPr>
              <w:t xml:space="preserve"> </w:t>
            </w:r>
          </w:p>
          <w:p w:rsidRPr="00322410" w:rsidR="5CEC012F" w:rsidP="5CEC012F" w:rsidRDefault="5CEC012F" w14:paraId="71641827" w14:textId="55ABCA16">
            <w:pPr>
              <w:rPr>
                <w:rFonts w:eastAsia="Arial" w:cs="Arial"/>
                <w:color w:val="000000" w:themeColor="text1"/>
                <w:sz w:val="20"/>
                <w:szCs w:val="20"/>
              </w:rPr>
            </w:pPr>
            <w:r w:rsidRPr="00322410">
              <w:rPr>
                <w:rFonts w:eastAsia="Arial" w:cs="Arial"/>
                <w:color w:val="000000" w:themeColor="text1"/>
                <w:sz w:val="20"/>
                <w:szCs w:val="20"/>
              </w:rPr>
              <w:t>No change in risk rating from last year</w:t>
            </w:r>
          </w:p>
        </w:tc>
      </w:tr>
      <w:tr w:rsidRPr="00322410" w:rsidR="5CEC012F" w:rsidTr="2C0DF5FE" w14:paraId="0020E1BC" w14:textId="77777777">
        <w:trPr>
          <w:trHeight w:val="300"/>
          <w:jc w:val="center"/>
        </w:trPr>
        <w:tc>
          <w:tcPr>
            <w:tcW w:w="3035" w:type="dxa"/>
            <w:tcBorders>
              <w:top w:val="single" w:color="000000" w:themeColor="text1" w:sz="2" w:space="0"/>
            </w:tcBorders>
            <w:tcMar/>
          </w:tcPr>
          <w:p w:rsidRPr="00322410" w:rsidR="5CEC012F" w:rsidP="5CEC012F" w:rsidRDefault="5CEC012F" w14:paraId="47592A33" w14:textId="0B5A16BC">
            <w:pPr>
              <w:rPr>
                <w:rFonts w:eastAsia="Arial" w:cs="Arial"/>
                <w:color w:val="000000" w:themeColor="text1"/>
                <w:sz w:val="20"/>
                <w:szCs w:val="20"/>
              </w:rPr>
            </w:pPr>
            <w:r w:rsidRPr="00322410">
              <w:rPr>
                <w:rFonts w:eastAsia="Arial" w:cs="Arial"/>
                <w:b/>
                <w:bCs/>
                <w:i/>
                <w:iCs/>
                <w:color w:val="000000" w:themeColor="text1"/>
                <w:sz w:val="20"/>
                <w:szCs w:val="20"/>
              </w:rPr>
              <w:t xml:space="preserve">Resourcing and capacity: </w:t>
            </w:r>
            <w:r w:rsidRPr="00322410">
              <w:rPr>
                <w:rFonts w:eastAsia="Arial" w:cs="Arial"/>
                <w:color w:val="000000" w:themeColor="text1"/>
                <w:sz w:val="20"/>
                <w:szCs w:val="20"/>
              </w:rPr>
              <w:t xml:space="preserve">HMG or WB resource constraints or reduced capability </w:t>
            </w:r>
            <w:proofErr w:type="gramStart"/>
            <w:r w:rsidRPr="00322410">
              <w:rPr>
                <w:rFonts w:eastAsia="Arial" w:cs="Arial"/>
                <w:color w:val="000000" w:themeColor="text1"/>
                <w:sz w:val="20"/>
                <w:szCs w:val="20"/>
              </w:rPr>
              <w:t>lead</w:t>
            </w:r>
            <w:proofErr w:type="gramEnd"/>
            <w:r w:rsidRPr="00322410">
              <w:rPr>
                <w:rFonts w:eastAsia="Arial" w:cs="Arial"/>
                <w:color w:val="000000" w:themeColor="text1"/>
                <w:sz w:val="20"/>
                <w:szCs w:val="20"/>
              </w:rPr>
              <w:t xml:space="preserve"> to lower capacity to manage and influence funds</w:t>
            </w:r>
          </w:p>
          <w:p w:rsidRPr="00322410" w:rsidR="5CEC012F" w:rsidP="5CEC012F" w:rsidRDefault="5CEC012F" w14:paraId="25941D6C" w14:textId="48EEF82E">
            <w:pPr>
              <w:rPr>
                <w:rFonts w:eastAsia="Arial" w:cs="Arial"/>
                <w:color w:val="000000" w:themeColor="text1"/>
                <w:sz w:val="20"/>
                <w:szCs w:val="20"/>
              </w:rPr>
            </w:pPr>
            <w:r w:rsidRPr="00322410">
              <w:rPr>
                <w:rFonts w:eastAsia="Arial" w:cs="Arial"/>
                <w:b/>
                <w:bCs/>
                <w:i/>
                <w:iCs/>
                <w:color w:val="000000" w:themeColor="text1"/>
                <w:sz w:val="20"/>
                <w:szCs w:val="20"/>
              </w:rPr>
              <w:t xml:space="preserve"> </w:t>
            </w:r>
          </w:p>
        </w:tc>
        <w:tc>
          <w:tcPr>
            <w:tcW w:w="3000" w:type="dxa"/>
            <w:tcBorders>
              <w:top w:val="single" w:color="000000" w:themeColor="text1" w:sz="2" w:space="0"/>
            </w:tcBorders>
            <w:tcMar/>
          </w:tcPr>
          <w:p w:rsidRPr="00322410" w:rsidR="5CEC012F" w:rsidP="6462340B" w:rsidRDefault="5CEC012F" w14:paraId="097D7656" w14:textId="6EDF79D8">
            <w:pPr>
              <w:rPr>
                <w:rFonts w:eastAsia="Arial" w:cs="Arial"/>
                <w:color w:val="000000" w:themeColor="text1"/>
                <w:sz w:val="20"/>
                <w:szCs w:val="20"/>
              </w:rPr>
            </w:pPr>
            <w:r w:rsidRPr="00322410">
              <w:rPr>
                <w:rFonts w:eastAsia="Arial" w:cs="Arial"/>
                <w:color w:val="000000" w:themeColor="text1"/>
                <w:sz w:val="20"/>
                <w:szCs w:val="20"/>
              </w:rPr>
              <w:t>a) Ensure staffing levels adequately maintained</w:t>
            </w:r>
            <w:r w:rsidRPr="00322410">
              <w:br/>
            </w:r>
            <w:r w:rsidRPr="00322410">
              <w:rPr>
                <w:rFonts w:eastAsia="Arial" w:cs="Arial"/>
                <w:color w:val="000000" w:themeColor="text1"/>
                <w:sz w:val="20"/>
                <w:szCs w:val="20"/>
              </w:rPr>
              <w:t>b) identify priority, impactful issues for UK to influence</w:t>
            </w:r>
          </w:p>
          <w:p w:rsidRPr="00322410" w:rsidR="5CEC012F" w:rsidP="5CEC012F" w:rsidRDefault="5CEC012F" w14:paraId="069AD5CA" w14:textId="156EAA28">
            <w:pPr>
              <w:rPr>
                <w:rFonts w:eastAsia="Arial" w:cs="Arial"/>
                <w:color w:val="000000" w:themeColor="text1"/>
                <w:sz w:val="20"/>
                <w:szCs w:val="20"/>
              </w:rPr>
            </w:pPr>
            <w:r w:rsidRPr="00322410">
              <w:rPr>
                <w:rFonts w:eastAsia="Arial" w:cs="Arial"/>
                <w:b/>
                <w:bCs/>
                <w:color w:val="000000" w:themeColor="text1"/>
                <w:sz w:val="20"/>
                <w:szCs w:val="20"/>
              </w:rPr>
              <w:t xml:space="preserve"> </w:t>
            </w:r>
          </w:p>
        </w:tc>
        <w:tc>
          <w:tcPr>
            <w:tcW w:w="2973" w:type="dxa"/>
            <w:tcBorders>
              <w:top w:val="single" w:color="000000" w:themeColor="text1" w:sz="2" w:space="0"/>
            </w:tcBorders>
            <w:shd w:val="clear" w:color="auto" w:fill="FFE599" w:themeFill="accent4" w:themeFillTint="66"/>
            <w:tcMar/>
          </w:tcPr>
          <w:p w:rsidRPr="00322410" w:rsidR="5CEC012F" w:rsidP="503CC819" w:rsidRDefault="15405FD3" w14:paraId="35E81C4C" w14:textId="1FAE74A3">
            <w:pPr>
              <w:rPr>
                <w:rFonts w:eastAsia="Arial" w:cs="Arial"/>
                <w:b/>
                <w:bCs/>
                <w:color w:val="000000" w:themeColor="text1"/>
                <w:sz w:val="20"/>
                <w:szCs w:val="20"/>
              </w:rPr>
            </w:pPr>
            <w:r w:rsidRPr="503CC819">
              <w:rPr>
                <w:rFonts w:eastAsia="Arial" w:cs="Arial"/>
                <w:b/>
                <w:bCs/>
                <w:color w:val="000000" w:themeColor="text1"/>
                <w:sz w:val="20"/>
                <w:szCs w:val="20"/>
              </w:rPr>
              <w:t>Moderate</w:t>
            </w:r>
          </w:p>
          <w:p w:rsidRPr="00322410" w:rsidR="5CEC012F" w:rsidP="5CEC012F" w:rsidRDefault="5CEC012F" w14:paraId="7E9C9C12" w14:textId="1FBAA20A">
            <w:pPr>
              <w:rPr>
                <w:rFonts w:eastAsia="Arial" w:cs="Arial"/>
                <w:color w:val="000000" w:themeColor="text1"/>
                <w:sz w:val="20"/>
                <w:szCs w:val="20"/>
              </w:rPr>
            </w:pPr>
            <w:r w:rsidRPr="503CC819">
              <w:rPr>
                <w:rFonts w:eastAsia="Arial" w:cs="Arial"/>
                <w:b/>
                <w:bCs/>
                <w:color w:val="000000" w:themeColor="text1"/>
                <w:sz w:val="20"/>
                <w:szCs w:val="20"/>
              </w:rPr>
              <w:t xml:space="preserve"> </w:t>
            </w:r>
          </w:p>
          <w:p w:rsidRPr="00322410" w:rsidR="5CEC012F" w:rsidP="503CC819" w:rsidRDefault="7AAB730E" w14:paraId="508CC5A1" w14:textId="0AE3DCD9">
            <w:r w:rsidRPr="5FD27174">
              <w:rPr>
                <w:rFonts w:eastAsia="Arial" w:cs="Arial"/>
                <w:color w:val="000000" w:themeColor="text1"/>
                <w:sz w:val="20"/>
                <w:szCs w:val="20"/>
              </w:rPr>
              <w:t>The risk has increased from minor to moderate. This is because there is a risk that new World Bank restrictions on contracts and consultants may impact the FCPF.</w:t>
            </w:r>
          </w:p>
        </w:tc>
      </w:tr>
    </w:tbl>
    <w:p w:rsidRPr="00322410" w:rsidR="00D0302B" w:rsidP="004D5FD5" w:rsidRDefault="00D0302B" w14:paraId="68B30AF7" w14:textId="2A19E291">
      <w:pPr>
        <w:contextualSpacing/>
        <w:jc w:val="both"/>
        <w:rPr>
          <w:rStyle w:val="Heading2Char"/>
        </w:rPr>
      </w:pPr>
    </w:p>
    <w:p w:rsidRPr="00322410" w:rsidR="00CB2873" w:rsidP="004D5FD5" w:rsidRDefault="00CB2873" w14:paraId="4ED4E9FA" w14:textId="59210279">
      <w:pPr>
        <w:jc w:val="both"/>
        <w:rPr>
          <w:rFonts w:cs="Arial"/>
          <w:bCs/>
          <w:sz w:val="22"/>
          <w:szCs w:val="22"/>
        </w:rPr>
      </w:pPr>
    </w:p>
    <w:tbl>
      <w:tblPr>
        <w:tblStyle w:val="TableGrid"/>
        <w:tblW w:w="0" w:type="auto"/>
        <w:tblLook w:val="04A0" w:firstRow="1" w:lastRow="0" w:firstColumn="1" w:lastColumn="0" w:noHBand="0" w:noVBand="1"/>
      </w:tblPr>
      <w:tblGrid>
        <w:gridCol w:w="9016"/>
      </w:tblGrid>
      <w:tr w:rsidRPr="00322410" w:rsidR="00CB2873" w:rsidTr="190E075E" w14:paraId="3775346F" w14:textId="77777777">
        <w:tc>
          <w:tcPr>
            <w:tcW w:w="9016" w:type="dxa"/>
            <w:shd w:val="clear" w:color="auto" w:fill="DEEAF6" w:themeFill="accent5" w:themeFillTint="33"/>
          </w:tcPr>
          <w:p w:rsidRPr="00322410" w:rsidR="00CB2873" w:rsidP="004D5FD5" w:rsidRDefault="2C7057B1" w14:paraId="64B9656F" w14:textId="1750865F">
            <w:pPr>
              <w:jc w:val="both"/>
            </w:pPr>
            <w:bookmarkStart w:name="_Toc219130993" w:id="96"/>
            <w:r w:rsidRPr="00322410">
              <w:rPr>
                <w:rStyle w:val="Heading1Char"/>
                <w:rFonts w:ascii="Arial" w:hAnsi="Arial" w:cs="Arial"/>
                <w:b/>
                <w:bCs/>
                <w:color w:val="auto"/>
              </w:rPr>
              <w:t xml:space="preserve">Section F: Programme management: delivery, </w:t>
            </w:r>
            <w:proofErr w:type="spellStart"/>
            <w:r w:rsidRPr="00322410">
              <w:rPr>
                <w:rStyle w:val="Heading1Char"/>
                <w:rFonts w:ascii="Arial" w:hAnsi="Arial" w:cs="Arial"/>
                <w:b/>
                <w:bCs/>
                <w:color w:val="auto"/>
              </w:rPr>
              <w:t>VfM</w:t>
            </w:r>
            <w:proofErr w:type="spellEnd"/>
            <w:r w:rsidRPr="00322410">
              <w:rPr>
                <w:rStyle w:val="Heading1Char"/>
                <w:rFonts w:ascii="Arial" w:hAnsi="Arial" w:cs="Arial"/>
                <w:b/>
                <w:bCs/>
                <w:color w:val="auto"/>
              </w:rPr>
              <w:t>, commercial and financial performance</w:t>
            </w:r>
            <w:bookmarkEnd w:id="96"/>
          </w:p>
        </w:tc>
      </w:tr>
    </w:tbl>
    <w:p w:rsidRPr="00322410" w:rsidR="00CB2873" w:rsidP="004D5FD5" w:rsidRDefault="00CB2873" w14:paraId="6268AFF3" w14:textId="7623B8C4">
      <w:pPr>
        <w:jc w:val="both"/>
        <w:rPr>
          <w:rFonts w:cs="Arial"/>
          <w:bCs/>
          <w:sz w:val="22"/>
          <w:szCs w:val="22"/>
        </w:rPr>
      </w:pPr>
    </w:p>
    <w:p w:rsidRPr="00322410" w:rsidR="003D222C" w:rsidP="57AE08A7" w:rsidRDefault="003D222C" w14:paraId="3B873EA5" w14:textId="1358E373">
      <w:pPr>
        <w:jc w:val="both"/>
        <w:rPr>
          <w:rFonts w:cs="Arial"/>
          <w:sz w:val="22"/>
          <w:szCs w:val="22"/>
        </w:rPr>
      </w:pPr>
      <w:bookmarkStart w:name="_Toc219130994" w:id="97"/>
      <w:r w:rsidRPr="57AE08A7">
        <w:rPr>
          <w:rStyle w:val="Heading2Char"/>
        </w:rPr>
        <w:t>Summa</w:t>
      </w:r>
      <w:r w:rsidRPr="57AE08A7" w:rsidR="15181C7A">
        <w:rPr>
          <w:rStyle w:val="Heading2Char"/>
        </w:rPr>
        <w:t>ry of</w:t>
      </w:r>
      <w:r w:rsidRPr="57AE08A7">
        <w:rPr>
          <w:rStyle w:val="Heading2Char"/>
        </w:rPr>
        <w:t xml:space="preserve"> the performance of partners and </w:t>
      </w:r>
      <w:r w:rsidRPr="57AE08A7" w:rsidR="5E43D106">
        <w:rPr>
          <w:rStyle w:val="Heading2Char"/>
        </w:rPr>
        <w:t>DESNZ</w:t>
      </w:r>
      <w:r w:rsidRPr="57AE08A7">
        <w:rPr>
          <w:rStyle w:val="Heading2Char"/>
        </w:rPr>
        <w:t xml:space="preserve">, notably on commercial and financial issues, and including consideration of </w:t>
      </w:r>
      <w:proofErr w:type="spellStart"/>
      <w:r w:rsidRPr="57AE08A7">
        <w:rPr>
          <w:rStyle w:val="Heading2Char"/>
        </w:rPr>
        <w:t>VfM</w:t>
      </w:r>
      <w:proofErr w:type="spellEnd"/>
      <w:r w:rsidRPr="57AE08A7">
        <w:rPr>
          <w:rStyle w:val="Heading2Char"/>
        </w:rPr>
        <w:t>.</w:t>
      </w:r>
      <w:bookmarkEnd w:id="97"/>
      <w:r w:rsidRPr="57AE08A7">
        <w:rPr>
          <w:rFonts w:cs="Arial"/>
          <w:b/>
          <w:bCs/>
          <w:sz w:val="22"/>
          <w:szCs w:val="22"/>
        </w:rPr>
        <w:t xml:space="preserve"> </w:t>
      </w:r>
    </w:p>
    <w:p w:rsidRPr="00322410" w:rsidR="00D0302B" w:rsidP="57AE08A7" w:rsidRDefault="00D0302B" w14:paraId="2C3EF177" w14:textId="3EF0C8C2">
      <w:pPr>
        <w:jc w:val="both"/>
        <w:rPr>
          <w:rFonts w:cs="Arial"/>
          <w:sz w:val="22"/>
          <w:szCs w:val="22"/>
        </w:rPr>
      </w:pPr>
    </w:p>
    <w:p w:rsidR="5F024060" w:rsidP="57AE08A7" w:rsidRDefault="5F024060" w14:paraId="5D7F85FD" w14:textId="331F407D">
      <w:pPr>
        <w:tabs>
          <w:tab w:val="left" w:pos="0"/>
          <w:tab w:val="left" w:leader="dot" w:pos="9710"/>
        </w:tabs>
        <w:spacing w:after="40"/>
        <w:jc w:val="both"/>
      </w:pPr>
      <w:r w:rsidRPr="57AE08A7">
        <w:rPr>
          <w:rFonts w:eastAsia="Arial" w:cs="Arial"/>
          <w:b/>
          <w:bCs/>
          <w:color w:val="000000" w:themeColor="text1"/>
          <w:sz w:val="22"/>
          <w:szCs w:val="22"/>
          <w:u w:val="single"/>
        </w:rPr>
        <w:t>Key cost drivers and performance</w:t>
      </w:r>
      <w:r w:rsidRPr="57AE08A7">
        <w:rPr>
          <w:rFonts w:eastAsia="Arial" w:cs="Arial"/>
          <w:b/>
          <w:bCs/>
          <w:color w:val="000000" w:themeColor="text1"/>
          <w:sz w:val="22"/>
          <w:szCs w:val="22"/>
        </w:rPr>
        <w:t xml:space="preserve"> </w:t>
      </w:r>
    </w:p>
    <w:p w:rsidR="5F024060" w:rsidP="57AE08A7" w:rsidRDefault="5F024060" w14:paraId="46071765" w14:textId="523FEF96">
      <w:pPr>
        <w:pStyle w:val="ListParagraph"/>
        <w:numPr>
          <w:ilvl w:val="0"/>
          <w:numId w:val="4"/>
        </w:numPr>
        <w:spacing w:after="0"/>
        <w:jc w:val="both"/>
        <w:rPr>
          <w:rFonts w:eastAsia="Arial" w:cs="Arial"/>
          <w:color w:val="000000" w:themeColor="text1"/>
          <w:sz w:val="22"/>
          <w:szCs w:val="22"/>
        </w:rPr>
      </w:pPr>
      <w:r w:rsidRPr="57AE08A7">
        <w:rPr>
          <w:rFonts w:eastAsia="Arial" w:cs="Arial"/>
          <w:color w:val="000000" w:themeColor="text1"/>
          <w:sz w:val="22"/>
          <w:szCs w:val="22"/>
        </w:rPr>
        <w:t>The initial underestimation of set-up time and perceived delays in the Carbon Fund were discussed at length in the Extension Business Case (2015). While earlier reviews noted challenges in signing ERPAs, the programme has now progressed significantly. As of reporting period 2023/24, all 15 participating countries have signed ERPAs, fulfilled their conditions of effectiveness, and are actively monitoring emission reductions. The extension to December 2028 ensures more time for verification, payments and benefit-sharing. This mitigates concerns about early closure and allows for further progress in monetizing excess emission reductions.</w:t>
      </w:r>
    </w:p>
    <w:p w:rsidR="5F024060" w:rsidP="57AE08A7" w:rsidRDefault="5F024060" w14:paraId="21362278" w14:textId="052A83BB">
      <w:pPr>
        <w:pStyle w:val="ListParagraph"/>
        <w:numPr>
          <w:ilvl w:val="0"/>
          <w:numId w:val="4"/>
        </w:numPr>
        <w:spacing w:after="0"/>
        <w:jc w:val="both"/>
        <w:rPr>
          <w:rFonts w:eastAsia="Arial" w:cs="Arial"/>
          <w:color w:val="000000" w:themeColor="text1"/>
          <w:sz w:val="22"/>
          <w:szCs w:val="22"/>
        </w:rPr>
      </w:pPr>
      <w:r w:rsidRPr="57AE08A7">
        <w:rPr>
          <w:rFonts w:eastAsia="Arial" w:cs="Arial"/>
          <w:color w:val="000000" w:themeColor="text1"/>
          <w:sz w:val="22"/>
          <w:szCs w:val="22"/>
        </w:rPr>
        <w:t>The Carbon Fund at the end of June 2025 had a fund balance of $</w:t>
      </w:r>
      <w:r w:rsidRPr="57AE08A7">
        <w:rPr>
          <w:rFonts w:eastAsia="Arial" w:cs="Arial"/>
          <w:szCs w:val="24"/>
        </w:rPr>
        <w:t>662.8</w:t>
      </w:r>
      <w:r w:rsidRPr="57AE08A7">
        <w:rPr>
          <w:rFonts w:eastAsia="Arial" w:cs="Arial"/>
          <w:color w:val="000000" w:themeColor="text1"/>
          <w:sz w:val="22"/>
          <w:szCs w:val="22"/>
        </w:rPr>
        <w:t xml:space="preserve"> million and a cash balance of $659.4 million. The outstanding balances on promissory notes account for the $3.3 million difference. </w:t>
      </w:r>
    </w:p>
    <w:p w:rsidR="5F024060" w:rsidP="57AE08A7" w:rsidRDefault="5F024060" w14:paraId="49AEF5FB" w14:textId="1ACB941C">
      <w:pPr>
        <w:pStyle w:val="ListParagraph"/>
        <w:numPr>
          <w:ilvl w:val="0"/>
          <w:numId w:val="4"/>
        </w:numPr>
        <w:spacing w:after="0"/>
        <w:jc w:val="both"/>
        <w:rPr>
          <w:rFonts w:eastAsia="Arial" w:cs="Arial"/>
          <w:sz w:val="22"/>
          <w:szCs w:val="22"/>
        </w:rPr>
      </w:pPr>
      <w:r w:rsidRPr="57AE08A7">
        <w:rPr>
          <w:rFonts w:eastAsia="Arial" w:cs="Arial"/>
          <w:sz w:val="22"/>
          <w:szCs w:val="22"/>
        </w:rPr>
        <w:t>Cumulative donor contributions received through the end of the RP25, which refers to 1 July 2024 to 30 June 2025, amounted to $874.5 million, while total disbursements over the same period totalled $320 million, made up of cash disbursements, administration fees and ER payments.</w:t>
      </w:r>
    </w:p>
    <w:p w:rsidR="5F024060" w:rsidP="57AE08A7" w:rsidRDefault="5F024060" w14:paraId="5BB2DD0D" w14:textId="31FB2AA6">
      <w:pPr>
        <w:pStyle w:val="ListParagraph"/>
        <w:numPr>
          <w:ilvl w:val="0"/>
          <w:numId w:val="4"/>
        </w:numPr>
        <w:spacing w:after="0"/>
        <w:jc w:val="both"/>
        <w:rPr>
          <w:rFonts w:eastAsia="Arial" w:cs="Arial"/>
          <w:sz w:val="22"/>
          <w:szCs w:val="22"/>
        </w:rPr>
      </w:pPr>
      <w:r w:rsidRPr="57AE08A7">
        <w:rPr>
          <w:rFonts w:eastAsia="Arial" w:cs="Arial"/>
          <w:sz w:val="22"/>
          <w:szCs w:val="22"/>
        </w:rPr>
        <w:t>Investment income generated from the contributions held in the Carbon Fund was channelled to the Readiness Fund up until reporting period 2021/22, but with the closure of the Readiness Fund, any interest generated form the Carbon Fund contributions began being channelled to the Carbon Fund in reporting period 2022/23. The cumulative total investment income deposited into the Carbon Fund (through the end of RP25) is $108.3 million.</w:t>
      </w:r>
    </w:p>
    <w:p w:rsidR="5F024060" w:rsidP="57AE08A7" w:rsidRDefault="5F024060" w14:paraId="5D0CE62A" w14:textId="32B00F33">
      <w:pPr>
        <w:pStyle w:val="ListParagraph"/>
        <w:numPr>
          <w:ilvl w:val="0"/>
          <w:numId w:val="4"/>
        </w:numPr>
        <w:spacing w:after="0"/>
        <w:jc w:val="both"/>
        <w:rPr>
          <w:rFonts w:eastAsia="Arial" w:cs="Arial"/>
          <w:color w:val="000000" w:themeColor="text1"/>
          <w:sz w:val="22"/>
          <w:szCs w:val="22"/>
        </w:rPr>
      </w:pPr>
      <w:r w:rsidRPr="57AE08A7">
        <w:rPr>
          <w:rFonts w:eastAsia="Arial" w:cs="Arial"/>
          <w:color w:val="000000" w:themeColor="text1"/>
          <w:sz w:val="22"/>
          <w:szCs w:val="22"/>
        </w:rPr>
        <w:t>The UK’s £141.5m investment in the Carbon Fund has been committed via Promissory Notes which have now been fully encashed.</w:t>
      </w:r>
    </w:p>
    <w:p w:rsidR="5F024060" w:rsidP="57AE08A7" w:rsidRDefault="5F024060" w14:paraId="04AFF3CC" w14:textId="5E526777">
      <w:pPr>
        <w:spacing w:after="40"/>
        <w:jc w:val="both"/>
      </w:pPr>
      <w:r w:rsidRPr="57AE08A7">
        <w:rPr>
          <w:rFonts w:eastAsia="Arial" w:cs="Arial"/>
          <w:color w:val="000000" w:themeColor="text1"/>
          <w:sz w:val="22"/>
          <w:szCs w:val="22"/>
        </w:rPr>
        <w:t xml:space="preserve"> </w:t>
      </w:r>
    </w:p>
    <w:p w:rsidR="5F024060" w:rsidP="57AE08A7" w:rsidRDefault="5F024060" w14:paraId="60FBF816" w14:textId="2F5276B2">
      <w:pPr>
        <w:spacing w:after="40"/>
        <w:jc w:val="both"/>
      </w:pPr>
      <w:r w:rsidRPr="57AE08A7">
        <w:rPr>
          <w:rFonts w:eastAsia="Arial" w:cs="Arial"/>
          <w:b/>
          <w:bCs/>
          <w:color w:val="000000" w:themeColor="text1"/>
          <w:sz w:val="22"/>
          <w:szCs w:val="22"/>
          <w:u w:val="single"/>
        </w:rPr>
        <w:t xml:space="preserve">Value for money </w:t>
      </w:r>
    </w:p>
    <w:p w:rsidR="5F024060" w:rsidP="57AE08A7" w:rsidRDefault="5F024060" w14:paraId="3C2B542B" w14:textId="58B0B06F">
      <w:pPr>
        <w:spacing w:after="40"/>
        <w:jc w:val="both"/>
      </w:pPr>
      <w:r w:rsidRPr="57AE08A7">
        <w:rPr>
          <w:rFonts w:eastAsia="Arial" w:cs="Arial"/>
          <w:color w:val="000000" w:themeColor="text1"/>
          <w:sz w:val="22"/>
          <w:szCs w:val="22"/>
        </w:rPr>
        <w:t xml:space="preserve"> </w:t>
      </w:r>
    </w:p>
    <w:p w:rsidR="5F024060" w:rsidP="57AE08A7" w:rsidRDefault="5F024060" w14:paraId="4D159CD9" w14:textId="015BB14A">
      <w:pPr>
        <w:spacing w:after="40"/>
        <w:jc w:val="both"/>
        <w:rPr>
          <w:rFonts w:eastAsia="Arial" w:cs="Arial"/>
          <w:color w:val="000000" w:themeColor="text1"/>
          <w:sz w:val="22"/>
          <w:szCs w:val="22"/>
        </w:rPr>
      </w:pPr>
      <w:r w:rsidRPr="57AE08A7">
        <w:rPr>
          <w:rFonts w:eastAsia="Arial" w:cs="Arial"/>
          <w:color w:val="000000" w:themeColor="text1"/>
          <w:sz w:val="22"/>
          <w:szCs w:val="22"/>
        </w:rPr>
        <w:t>Value for money is assessed in accordance with the FCDO’s 5Es framework outlined below: economy, efficiency, effectiveness, cost-effectiveness, and equity.</w:t>
      </w:r>
    </w:p>
    <w:p w:rsidR="5F024060" w:rsidP="57AE08A7" w:rsidRDefault="5F024060" w14:paraId="04508510" w14:textId="2F82E11B">
      <w:pPr>
        <w:spacing w:after="40"/>
        <w:jc w:val="both"/>
      </w:pPr>
      <w:r w:rsidRPr="57AE08A7">
        <w:rPr>
          <w:rFonts w:eastAsia="Arial" w:cs="Arial"/>
          <w:b/>
          <w:bCs/>
          <w:color w:val="000000" w:themeColor="text1"/>
        </w:rPr>
        <w:t xml:space="preserve"> </w:t>
      </w:r>
    </w:p>
    <w:p w:rsidR="5F024060" w:rsidP="57AE08A7" w:rsidRDefault="5F024060" w14:paraId="4B71ACB3" w14:textId="4C564F3C">
      <w:pPr>
        <w:spacing w:after="40"/>
        <w:jc w:val="both"/>
      </w:pPr>
      <w:r w:rsidRPr="57AE08A7">
        <w:rPr>
          <w:rFonts w:eastAsia="Arial" w:cs="Arial"/>
          <w:b/>
          <w:bCs/>
          <w:i/>
          <w:iCs/>
          <w:color w:val="000000" w:themeColor="text1"/>
          <w:sz w:val="22"/>
          <w:szCs w:val="22"/>
          <w:lang w:val="en"/>
        </w:rPr>
        <w:t>Economy:</w:t>
      </w:r>
    </w:p>
    <w:p w:rsidR="5F024060" w:rsidP="57AE08A7" w:rsidRDefault="5F024060" w14:paraId="5C749C08" w14:textId="27091CC6">
      <w:pPr>
        <w:spacing w:after="40"/>
        <w:jc w:val="both"/>
      </w:pPr>
      <w:r w:rsidRPr="57AE08A7">
        <w:rPr>
          <w:rFonts w:eastAsia="Arial" w:cs="Arial"/>
          <w:sz w:val="22"/>
          <w:szCs w:val="22"/>
        </w:rPr>
        <w:t xml:space="preserve"> </w:t>
      </w:r>
    </w:p>
    <w:p w:rsidR="5F024060" w:rsidP="57AE08A7" w:rsidRDefault="5F024060" w14:paraId="0F86837A" w14:textId="208A153F">
      <w:pPr>
        <w:spacing w:after="40"/>
        <w:jc w:val="both"/>
        <w:rPr>
          <w:rFonts w:eastAsia="Arial" w:cs="Arial"/>
          <w:sz w:val="22"/>
          <w:szCs w:val="22"/>
        </w:rPr>
      </w:pPr>
      <w:r w:rsidRPr="57AE08A7">
        <w:rPr>
          <w:rFonts w:eastAsia="Arial" w:cs="Arial"/>
          <w:sz w:val="22"/>
          <w:szCs w:val="22"/>
        </w:rPr>
        <w:t>The total cash disbursement for the Carbon Fund in RP25 was approximately $9.6 million, which represents 84 percent of the approved budget of $11.5 million. This continues the trend of underspending, though at a smaller scale than last year’s 26 percent shortfall. The underspend is mainly due to lower-than-anticipated costs for validation and verification due to delays to these processes, which amounted to $1.1 million against a budget of $2 million (a 44 percent underspend), and registry costs, which totalled $0.67 million compared to the $0.86 million budget (a 21 percent underspend). Administrative fees for RP25 totalled $2.9 million, or 84 percent of the $3.5 million budget, bringing cumulative administrative costs since the programme’s inception to $17.9 million. Although the budget accounted for 12 ER programmes undergoing validation and verification, progress on key milestones has been slower than projected.</w:t>
      </w:r>
    </w:p>
    <w:p w:rsidR="5F024060" w:rsidP="57AE08A7" w:rsidRDefault="5F024060" w14:paraId="58B9C43B" w14:textId="46B5F219">
      <w:pPr>
        <w:spacing w:after="40"/>
        <w:jc w:val="both"/>
        <w:rPr>
          <w:rFonts w:eastAsia="Arial" w:cs="Arial"/>
          <w:sz w:val="22"/>
          <w:szCs w:val="22"/>
        </w:rPr>
      </w:pPr>
    </w:p>
    <w:p w:rsidR="5F024060" w:rsidP="57AE08A7" w:rsidRDefault="5F024060" w14:paraId="77ABC96B" w14:textId="43C7A73C">
      <w:pPr>
        <w:spacing w:after="40"/>
        <w:jc w:val="both"/>
        <w:rPr>
          <w:rFonts w:eastAsia="Arial" w:cs="Arial"/>
          <w:sz w:val="22"/>
          <w:szCs w:val="22"/>
        </w:rPr>
      </w:pPr>
      <w:r w:rsidRPr="57AE08A7">
        <w:rPr>
          <w:rFonts w:eastAsia="Arial" w:cs="Arial"/>
          <w:sz w:val="22"/>
          <w:szCs w:val="22"/>
        </w:rPr>
        <w:t>The implications of underspend remain uncertain. The World Bank may choose to reallocate funds within the programme, anticipate increased activity in future years, or leave the gap unaddressed.</w:t>
      </w:r>
    </w:p>
    <w:p w:rsidR="5F024060" w:rsidP="57AE08A7" w:rsidRDefault="5F024060" w14:paraId="3EE34829" w14:textId="27ADBAEA">
      <w:pPr>
        <w:spacing w:after="40"/>
        <w:jc w:val="both"/>
      </w:pPr>
      <w:r w:rsidRPr="57AE08A7">
        <w:rPr>
          <w:rFonts w:eastAsia="Arial" w:cs="Arial"/>
          <w:color w:val="000000" w:themeColor="text1"/>
          <w:sz w:val="22"/>
          <w:szCs w:val="22"/>
        </w:rPr>
        <w:t xml:space="preserve"> </w:t>
      </w:r>
    </w:p>
    <w:p w:rsidR="5F024060" w:rsidP="57AE08A7" w:rsidRDefault="5F024060" w14:paraId="33E30258" w14:textId="1271A1A0">
      <w:pPr>
        <w:spacing w:after="40"/>
        <w:jc w:val="both"/>
      </w:pPr>
      <w:r w:rsidRPr="57AE08A7">
        <w:rPr>
          <w:rFonts w:eastAsia="Arial" w:cs="Arial"/>
          <w:b/>
          <w:bCs/>
          <w:i/>
          <w:iCs/>
          <w:color w:val="000000" w:themeColor="text1"/>
          <w:sz w:val="22"/>
          <w:szCs w:val="22"/>
          <w:lang w:val="en"/>
        </w:rPr>
        <w:t>Efficiency:</w:t>
      </w:r>
    </w:p>
    <w:p w:rsidR="5F024060" w:rsidP="57AE08A7" w:rsidRDefault="5F024060" w14:paraId="454D9575" w14:textId="512A396A">
      <w:pPr>
        <w:spacing w:after="40"/>
        <w:jc w:val="both"/>
      </w:pPr>
      <w:r w:rsidRPr="57AE08A7">
        <w:rPr>
          <w:rFonts w:eastAsia="Arial" w:cs="Arial"/>
          <w:sz w:val="22"/>
          <w:szCs w:val="22"/>
          <w:lang w:val="en-US"/>
        </w:rPr>
        <w:t xml:space="preserve"> </w:t>
      </w:r>
    </w:p>
    <w:p w:rsidR="5F024060" w:rsidP="57AE08A7" w:rsidRDefault="5F024060" w14:paraId="44069A25" w14:textId="41C76979">
      <w:pPr>
        <w:spacing w:after="40"/>
        <w:jc w:val="both"/>
        <w:rPr>
          <w:rFonts w:eastAsia="Arial" w:cs="Arial"/>
          <w:sz w:val="22"/>
          <w:szCs w:val="22"/>
          <w:lang w:val="en-US"/>
        </w:rPr>
      </w:pPr>
      <w:r w:rsidRPr="57AE08A7">
        <w:rPr>
          <w:rFonts w:eastAsia="Arial" w:cs="Arial"/>
          <w:sz w:val="22"/>
          <w:szCs w:val="22"/>
          <w:lang w:val="en-US"/>
        </w:rPr>
        <w:t xml:space="preserve">Five countries accessed results-based payments for verified emission reductions in RP25, representing 11.4 million tons of emissions. All 15 ER </w:t>
      </w:r>
      <w:proofErr w:type="spellStart"/>
      <w:r w:rsidRPr="57AE08A7">
        <w:rPr>
          <w:rFonts w:eastAsia="Arial" w:cs="Arial"/>
          <w:sz w:val="22"/>
          <w:szCs w:val="22"/>
          <w:lang w:val="en-US"/>
        </w:rPr>
        <w:t>programmes</w:t>
      </w:r>
      <w:proofErr w:type="spellEnd"/>
      <w:r w:rsidRPr="57AE08A7">
        <w:rPr>
          <w:rFonts w:eastAsia="Arial" w:cs="Arial"/>
          <w:sz w:val="22"/>
          <w:szCs w:val="22"/>
          <w:lang w:val="en-US"/>
        </w:rPr>
        <w:t xml:space="preserve"> submitted monitoring reports, and nine </w:t>
      </w:r>
      <w:proofErr w:type="spellStart"/>
      <w:r w:rsidRPr="57AE08A7">
        <w:rPr>
          <w:rFonts w:eastAsia="Arial" w:cs="Arial"/>
          <w:sz w:val="22"/>
          <w:szCs w:val="22"/>
          <w:lang w:val="en-US"/>
        </w:rPr>
        <w:t>programmes</w:t>
      </w:r>
      <w:proofErr w:type="spellEnd"/>
      <w:r w:rsidRPr="57AE08A7">
        <w:rPr>
          <w:rFonts w:eastAsia="Arial" w:cs="Arial"/>
          <w:sz w:val="22"/>
          <w:szCs w:val="22"/>
          <w:lang w:val="en-US"/>
        </w:rPr>
        <w:t xml:space="preserve"> completed at least one full cycle of measurement, reporting, third-party verification, and payment. Additionally, the CATS platform, now the largest jurisdictional REDD+ transaction platform, reduces duplication and mitigates the risk of double counting.</w:t>
      </w:r>
    </w:p>
    <w:p w:rsidR="5F024060" w:rsidP="57AE08A7" w:rsidRDefault="5F024060" w14:paraId="12BA0A27" w14:textId="61D5F257">
      <w:pPr>
        <w:spacing w:after="40"/>
        <w:jc w:val="both"/>
      </w:pPr>
      <w:r w:rsidRPr="57AE08A7">
        <w:rPr>
          <w:rFonts w:eastAsia="Arial" w:cs="Arial"/>
          <w:sz w:val="22"/>
          <w:szCs w:val="22"/>
          <w:lang w:val="en-US"/>
        </w:rPr>
        <w:t xml:space="preserve"> </w:t>
      </w:r>
    </w:p>
    <w:p w:rsidR="5F024060" w:rsidP="57AE08A7" w:rsidRDefault="5F024060" w14:paraId="23BE9836" w14:textId="6F6E9513">
      <w:pPr>
        <w:spacing w:after="40"/>
        <w:jc w:val="both"/>
        <w:rPr>
          <w:rFonts w:eastAsia="Arial" w:cs="Arial"/>
          <w:sz w:val="22"/>
          <w:szCs w:val="22"/>
          <w:lang w:val="en-US"/>
        </w:rPr>
      </w:pPr>
      <w:r w:rsidRPr="57AE08A7">
        <w:rPr>
          <w:rFonts w:eastAsia="Arial" w:cs="Arial"/>
          <w:sz w:val="22"/>
          <w:szCs w:val="22"/>
          <w:lang w:val="en-US"/>
        </w:rPr>
        <w:t xml:space="preserve">Most recommendations from the previous review have been achieved or partially achieved. Notably, ERPA flexibility was successfully implemented, with Costa Rica piloting the sale of 100,000 credits to the LEAF Coalition, enabling </w:t>
      </w:r>
      <w:proofErr w:type="spellStart"/>
      <w:r w:rsidRPr="57AE08A7">
        <w:rPr>
          <w:rFonts w:eastAsia="Arial" w:cs="Arial"/>
          <w:sz w:val="22"/>
          <w:szCs w:val="22"/>
          <w:lang w:val="en-US"/>
        </w:rPr>
        <w:t>monetisation</w:t>
      </w:r>
      <w:proofErr w:type="spellEnd"/>
      <w:r w:rsidRPr="57AE08A7">
        <w:rPr>
          <w:rFonts w:eastAsia="Arial" w:cs="Arial"/>
          <w:sz w:val="22"/>
          <w:szCs w:val="22"/>
          <w:lang w:val="en-US"/>
        </w:rPr>
        <w:t xml:space="preserve"> of excess ERs.</w:t>
      </w:r>
    </w:p>
    <w:p w:rsidR="5F024060" w:rsidP="57AE08A7" w:rsidRDefault="5F024060" w14:paraId="08721541" w14:textId="25E6E570">
      <w:pPr>
        <w:spacing w:after="40"/>
        <w:jc w:val="both"/>
      </w:pPr>
      <w:r w:rsidRPr="57AE08A7">
        <w:rPr>
          <w:rFonts w:eastAsia="Arial" w:cs="Arial"/>
          <w:sz w:val="22"/>
          <w:szCs w:val="22"/>
          <w:lang w:val="en-US"/>
        </w:rPr>
        <w:t xml:space="preserve"> </w:t>
      </w:r>
    </w:p>
    <w:p w:rsidR="5F024060" w:rsidP="57AE08A7" w:rsidRDefault="5F024060" w14:paraId="56769CEC" w14:textId="372E2C82">
      <w:pPr>
        <w:spacing w:after="40"/>
        <w:jc w:val="both"/>
        <w:rPr>
          <w:rFonts w:eastAsia="Arial" w:cs="Arial"/>
          <w:sz w:val="22"/>
          <w:szCs w:val="22"/>
          <w:lang w:val="en-US"/>
        </w:rPr>
      </w:pPr>
      <w:r w:rsidRPr="57AE08A7">
        <w:rPr>
          <w:rFonts w:eastAsia="Arial" w:cs="Arial"/>
          <w:sz w:val="22"/>
          <w:szCs w:val="22"/>
          <w:lang w:val="en-US"/>
        </w:rPr>
        <w:t xml:space="preserve">However, the underperformance against some is primarily due to reduced efficiency. Progress has been slower than expected, reflecting verification delays, underperformance by some countries, and legal or administrative bottlenecks, including delays in BSP implementation. These challenges have </w:t>
      </w:r>
      <w:proofErr w:type="gramStart"/>
      <w:r w:rsidRPr="57AE08A7">
        <w:rPr>
          <w:rFonts w:eastAsia="Arial" w:cs="Arial"/>
          <w:sz w:val="22"/>
          <w:szCs w:val="22"/>
          <w:lang w:val="en-US"/>
        </w:rPr>
        <w:t>impacted</w:t>
      </w:r>
      <w:proofErr w:type="gramEnd"/>
      <w:r w:rsidRPr="57AE08A7">
        <w:rPr>
          <w:rFonts w:eastAsia="Arial" w:cs="Arial"/>
          <w:sz w:val="22"/>
          <w:szCs w:val="22"/>
          <w:lang w:val="en-US"/>
        </w:rPr>
        <w:t xml:space="preserve"> multiple output indicators, such as the efficient implementation of ER </w:t>
      </w:r>
      <w:proofErr w:type="spellStart"/>
      <w:r w:rsidRPr="57AE08A7">
        <w:rPr>
          <w:rFonts w:eastAsia="Arial" w:cs="Arial"/>
          <w:sz w:val="22"/>
          <w:szCs w:val="22"/>
          <w:lang w:val="en-US"/>
        </w:rPr>
        <w:t>programmes</w:t>
      </w:r>
      <w:proofErr w:type="spellEnd"/>
      <w:r w:rsidRPr="57AE08A7">
        <w:rPr>
          <w:rFonts w:eastAsia="Arial" w:cs="Arial"/>
          <w:sz w:val="22"/>
          <w:szCs w:val="22"/>
          <w:lang w:val="en-US"/>
        </w:rPr>
        <w:t xml:space="preserve"> (output indicator 1.2) and the number of BSPs implemented (output indicator 2.3). Several outputs have failed to meet their milestones for this review period, and these issues must be addressed to keep the </w:t>
      </w:r>
      <w:proofErr w:type="spellStart"/>
      <w:r w:rsidRPr="57AE08A7">
        <w:rPr>
          <w:rFonts w:eastAsia="Arial" w:cs="Arial"/>
          <w:sz w:val="22"/>
          <w:szCs w:val="22"/>
          <w:lang w:val="en-US"/>
        </w:rPr>
        <w:t>programme</w:t>
      </w:r>
      <w:proofErr w:type="spellEnd"/>
      <w:r w:rsidRPr="57AE08A7">
        <w:rPr>
          <w:rFonts w:eastAsia="Arial" w:cs="Arial"/>
          <w:sz w:val="22"/>
          <w:szCs w:val="22"/>
          <w:lang w:val="en-US"/>
        </w:rPr>
        <w:t xml:space="preserve"> on track for long-term efficiency.</w:t>
      </w:r>
    </w:p>
    <w:p w:rsidR="5F024060" w:rsidP="57AE08A7" w:rsidRDefault="5F024060" w14:paraId="4A7B7D33" w14:textId="491E168A">
      <w:pPr>
        <w:spacing w:after="40"/>
        <w:jc w:val="both"/>
      </w:pPr>
      <w:r w:rsidRPr="57AE08A7">
        <w:rPr>
          <w:rFonts w:eastAsia="Arial" w:cs="Arial"/>
          <w:sz w:val="22"/>
          <w:szCs w:val="22"/>
          <w:lang w:val="en-US"/>
        </w:rPr>
        <w:t xml:space="preserve"> </w:t>
      </w:r>
    </w:p>
    <w:p w:rsidR="5F024060" w:rsidP="57AE08A7" w:rsidRDefault="5F024060" w14:paraId="7FB78910" w14:textId="52F559AF">
      <w:pPr>
        <w:spacing w:after="40"/>
        <w:jc w:val="both"/>
        <w:rPr>
          <w:rFonts w:eastAsia="Arial" w:cs="Arial"/>
          <w:sz w:val="22"/>
          <w:szCs w:val="22"/>
          <w:lang w:val="en-US"/>
        </w:rPr>
      </w:pPr>
      <w:r w:rsidRPr="57AE08A7">
        <w:rPr>
          <w:rFonts w:eastAsia="Arial" w:cs="Arial"/>
          <w:sz w:val="22"/>
          <w:szCs w:val="22"/>
          <w:lang w:val="en-US"/>
        </w:rPr>
        <w:t xml:space="preserve">This decline is partly offset by strong performance on outputs related to testing approaches to enhancing livelihoods and conserving biodiversity and knowledge sharing, which have met or exceeded their milestones and demonstrate the Carbon Fund’s influence on REDD+ practice globally. Furthermore, the </w:t>
      </w:r>
      <w:proofErr w:type="spellStart"/>
      <w:r w:rsidRPr="57AE08A7">
        <w:rPr>
          <w:rFonts w:eastAsia="Arial" w:cs="Arial"/>
          <w:sz w:val="22"/>
          <w:szCs w:val="22"/>
          <w:lang w:val="en-US"/>
        </w:rPr>
        <w:t>programme</w:t>
      </w:r>
      <w:proofErr w:type="spellEnd"/>
      <w:r w:rsidRPr="57AE08A7">
        <w:rPr>
          <w:rFonts w:eastAsia="Arial" w:cs="Arial"/>
          <w:sz w:val="22"/>
          <w:szCs w:val="22"/>
          <w:lang w:val="en-US"/>
        </w:rPr>
        <w:t xml:space="preserve"> continues to show positive progress, and its extension to 2028 mitigates delivery delays and provides additional time for verification and benefit-sharing, helping maintain long-term </w:t>
      </w:r>
      <w:proofErr w:type="spellStart"/>
      <w:r w:rsidRPr="57AE08A7">
        <w:rPr>
          <w:rFonts w:eastAsia="Arial" w:cs="Arial"/>
          <w:sz w:val="22"/>
          <w:szCs w:val="22"/>
          <w:lang w:val="en-US"/>
        </w:rPr>
        <w:t>VfM</w:t>
      </w:r>
      <w:proofErr w:type="spellEnd"/>
      <w:r w:rsidRPr="57AE08A7">
        <w:rPr>
          <w:rFonts w:eastAsia="Arial" w:cs="Arial"/>
          <w:sz w:val="22"/>
          <w:szCs w:val="22"/>
          <w:lang w:val="en-US"/>
        </w:rPr>
        <w:t>.</w:t>
      </w:r>
    </w:p>
    <w:p w:rsidR="5F024060" w:rsidP="57AE08A7" w:rsidRDefault="5F024060" w14:paraId="5D19CA48" w14:textId="2FDDBDD6">
      <w:pPr>
        <w:pStyle w:val="NoSpacing"/>
        <w:jc w:val="both"/>
      </w:pPr>
      <w:r w:rsidRPr="57AE08A7">
        <w:rPr>
          <w:rFonts w:eastAsia="Arial" w:cs="Arial"/>
          <w:sz w:val="22"/>
          <w:szCs w:val="22"/>
          <w:lang w:val="en"/>
        </w:rPr>
        <w:t xml:space="preserve"> </w:t>
      </w:r>
    </w:p>
    <w:p w:rsidR="5F024060" w:rsidP="57AE08A7" w:rsidRDefault="5F024060" w14:paraId="35F7D99C" w14:textId="3878E44E">
      <w:pPr>
        <w:pStyle w:val="NoSpacing"/>
        <w:jc w:val="both"/>
      </w:pPr>
      <w:r w:rsidRPr="57AE08A7">
        <w:rPr>
          <w:rFonts w:eastAsia="Arial" w:cs="Arial"/>
          <w:b/>
          <w:bCs/>
          <w:i/>
          <w:iCs/>
          <w:sz w:val="22"/>
          <w:szCs w:val="22"/>
          <w:lang w:val="en"/>
        </w:rPr>
        <w:t>Effectiveness:</w:t>
      </w:r>
    </w:p>
    <w:p w:rsidR="5F024060" w:rsidP="57AE08A7" w:rsidRDefault="5F024060" w14:paraId="56ECE3D2" w14:textId="338B4073">
      <w:pPr>
        <w:pStyle w:val="NoSpacing"/>
        <w:jc w:val="both"/>
      </w:pPr>
      <w:r w:rsidRPr="57AE08A7">
        <w:rPr>
          <w:rFonts w:eastAsia="Arial" w:cs="Arial"/>
          <w:sz w:val="22"/>
          <w:szCs w:val="22"/>
        </w:rPr>
        <w:t xml:space="preserve"> </w:t>
      </w:r>
    </w:p>
    <w:p w:rsidR="5F024060" w:rsidP="57AE08A7" w:rsidRDefault="5F024060" w14:paraId="6999FE24" w14:textId="7CE2548F">
      <w:pPr>
        <w:pStyle w:val="NoSpacing"/>
        <w:jc w:val="both"/>
        <w:rPr>
          <w:rFonts w:eastAsia="Arial" w:cs="Arial"/>
          <w:sz w:val="22"/>
          <w:szCs w:val="22"/>
        </w:rPr>
      </w:pPr>
      <w:r w:rsidRPr="57AE08A7">
        <w:rPr>
          <w:rFonts w:eastAsia="Arial" w:cs="Arial"/>
          <w:sz w:val="22"/>
          <w:szCs w:val="22"/>
        </w:rPr>
        <w:t xml:space="preserve">By the end of RP25, cumulative verified ERs reached 123.7 million </w:t>
      </w:r>
      <w:proofErr w:type="spellStart"/>
      <w:r w:rsidRPr="57AE08A7">
        <w:rPr>
          <w:rFonts w:eastAsia="Arial" w:cs="Arial"/>
          <w:sz w:val="22"/>
          <w:szCs w:val="22"/>
        </w:rPr>
        <w:t>tCO</w:t>
      </w:r>
      <w:r w:rsidRPr="57AE08A7">
        <w:rPr>
          <w:rFonts w:ascii="Cambria Math" w:hAnsi="Cambria Math" w:eastAsia="Cambria Math" w:cs="Cambria Math"/>
          <w:sz w:val="22"/>
          <w:szCs w:val="22"/>
        </w:rPr>
        <w:t>₂</w:t>
      </w:r>
      <w:r w:rsidRPr="57AE08A7">
        <w:rPr>
          <w:rFonts w:eastAsia="Arial" w:cs="Arial"/>
          <w:sz w:val="22"/>
          <w:szCs w:val="22"/>
        </w:rPr>
        <w:t>e</w:t>
      </w:r>
      <w:proofErr w:type="spellEnd"/>
      <w:r w:rsidRPr="57AE08A7">
        <w:rPr>
          <w:rFonts w:eastAsia="Arial" w:cs="Arial"/>
          <w:sz w:val="22"/>
          <w:szCs w:val="22"/>
        </w:rPr>
        <w:t>, surpassing the RP25 milestone of 121.63 million and moving toward the end-of-programme target of 170 million. This achievement reflects strong progress in delivering results under the Carbon Fund.</w:t>
      </w:r>
    </w:p>
    <w:p w:rsidR="5F024060" w:rsidP="57AE08A7" w:rsidRDefault="5F024060" w14:paraId="180E08BB" w14:textId="330030C1">
      <w:pPr>
        <w:pStyle w:val="NoSpacing"/>
        <w:jc w:val="both"/>
      </w:pPr>
      <w:r w:rsidRPr="57AE08A7">
        <w:rPr>
          <w:rFonts w:eastAsia="Arial" w:cs="Arial"/>
          <w:sz w:val="22"/>
          <w:szCs w:val="22"/>
        </w:rPr>
        <w:t xml:space="preserve"> </w:t>
      </w:r>
    </w:p>
    <w:p w:rsidR="5F024060" w:rsidP="57AE08A7" w:rsidRDefault="5F024060" w14:paraId="72E2C7D2" w14:textId="5A59A4D4">
      <w:pPr>
        <w:pStyle w:val="NoSpacing"/>
        <w:jc w:val="both"/>
        <w:rPr>
          <w:rFonts w:eastAsia="Arial" w:cs="Arial"/>
          <w:sz w:val="22"/>
          <w:szCs w:val="22"/>
        </w:rPr>
      </w:pPr>
      <w:r w:rsidRPr="57AE08A7">
        <w:rPr>
          <w:rFonts w:eastAsia="Arial" w:cs="Arial"/>
          <w:sz w:val="22"/>
          <w:szCs w:val="22"/>
        </w:rPr>
        <w:t>Payments were made for 14.6 million ERs to Chile, Costa Rica, Côte d’Ivoire, the Democratic Republic of Congo, and Lao PDR. This represents 16 percent of global nature-based solution credits issued in 2024, underscoring the programme’s significant contribution to global climate finance markets. Côte d’Ivoire and Viet Nam delivered their full contracted ER volumes, while Costa Rica, Côte d’Ivoire, DRC, and Viet Nam generated additional ERs beyond their ERPAs.</w:t>
      </w:r>
    </w:p>
    <w:p w:rsidR="5F024060" w:rsidP="57AE08A7" w:rsidRDefault="5F024060" w14:paraId="1BE7D38B" w14:textId="69116A00">
      <w:pPr>
        <w:pStyle w:val="NoSpacing"/>
        <w:jc w:val="both"/>
      </w:pPr>
      <w:r w:rsidRPr="57AE08A7">
        <w:rPr>
          <w:rFonts w:eastAsia="Arial" w:cs="Arial"/>
          <w:sz w:val="22"/>
          <w:szCs w:val="22"/>
        </w:rPr>
        <w:t xml:space="preserve"> </w:t>
      </w:r>
    </w:p>
    <w:p w:rsidR="5F024060" w:rsidP="57AE08A7" w:rsidRDefault="5F024060" w14:paraId="3CDE7971" w14:textId="06269FE3">
      <w:pPr>
        <w:pStyle w:val="NoSpacing"/>
        <w:jc w:val="both"/>
      </w:pPr>
      <w:r w:rsidRPr="57AE08A7">
        <w:rPr>
          <w:rFonts w:eastAsia="Arial" w:cs="Arial"/>
          <w:sz w:val="22"/>
          <w:szCs w:val="22"/>
        </w:rPr>
        <w:t>The programme also has also secured $859 million in committed finance up to the end of RP25, with 96 percent from public sources and 4 percent from private finance. Private finance is expected to increase in future years as more countries sell excess ERs to private buyers.</w:t>
      </w:r>
    </w:p>
    <w:p w:rsidR="5F024060" w:rsidP="57AE08A7" w:rsidRDefault="5F024060" w14:paraId="7C4BA16C" w14:textId="3F1EA6BE">
      <w:pPr>
        <w:pStyle w:val="NoSpacing"/>
        <w:jc w:val="both"/>
      </w:pPr>
      <w:r w:rsidRPr="57AE08A7">
        <w:rPr>
          <w:rFonts w:eastAsia="Arial" w:cs="Arial"/>
          <w:sz w:val="22"/>
          <w:szCs w:val="22"/>
        </w:rPr>
        <w:t xml:space="preserve"> </w:t>
      </w:r>
    </w:p>
    <w:p w:rsidR="5F024060" w:rsidP="57AE08A7" w:rsidRDefault="5F024060" w14:paraId="68F38010" w14:textId="778A0B94">
      <w:pPr>
        <w:pStyle w:val="NoSpacing"/>
        <w:jc w:val="both"/>
        <w:rPr>
          <w:rFonts w:eastAsia="Arial" w:cs="Arial"/>
          <w:sz w:val="22"/>
          <w:szCs w:val="22"/>
        </w:rPr>
      </w:pPr>
      <w:r w:rsidRPr="57AE08A7">
        <w:rPr>
          <w:rFonts w:eastAsia="Arial" w:cs="Arial"/>
          <w:sz w:val="22"/>
          <w:szCs w:val="22"/>
        </w:rPr>
        <w:t>During the latest results collection period, the programme scored 4 for KPI 15, which measures the extent to which FCPF will lead to transformational change. This indicates partial evidence that transformational change is likely, showing positive progress toward the final target of 5 (strong evidence of transformational change).</w:t>
      </w:r>
    </w:p>
    <w:p w:rsidR="5F024060" w:rsidP="57AE08A7" w:rsidRDefault="5F024060" w14:paraId="7E17A993" w14:textId="25002C09">
      <w:pPr>
        <w:pStyle w:val="NoSpacing"/>
        <w:jc w:val="both"/>
      </w:pPr>
      <w:r w:rsidRPr="57AE08A7">
        <w:rPr>
          <w:rFonts w:eastAsia="Arial" w:cs="Arial"/>
          <w:sz w:val="22"/>
          <w:szCs w:val="22"/>
        </w:rPr>
        <w:t xml:space="preserve"> </w:t>
      </w:r>
    </w:p>
    <w:p w:rsidR="5F024060" w:rsidP="57AE08A7" w:rsidRDefault="5F024060" w14:paraId="07E6366D" w14:textId="3C391676">
      <w:pPr>
        <w:pStyle w:val="NoSpacing"/>
        <w:jc w:val="both"/>
        <w:rPr>
          <w:rFonts w:eastAsia="Arial" w:cs="Arial"/>
          <w:sz w:val="22"/>
          <w:szCs w:val="22"/>
        </w:rPr>
      </w:pPr>
      <w:r w:rsidRPr="57AE08A7">
        <w:rPr>
          <w:rFonts w:eastAsia="Arial" w:cs="Arial"/>
          <w:sz w:val="22"/>
          <w:szCs w:val="22"/>
        </w:rPr>
        <w:t>Overall, the Carbon Fund’s effectiveness is demonstrated by its ability to exceed emission reduction milestones, deliver payments for a substantial share of global nature-based credits, and shape international REDD+ standards.</w:t>
      </w:r>
    </w:p>
    <w:p w:rsidR="5F024060" w:rsidP="57AE08A7" w:rsidRDefault="5F024060" w14:paraId="4DBC6B15" w14:textId="1507ED2F">
      <w:pPr>
        <w:pStyle w:val="NoSpacing"/>
        <w:jc w:val="both"/>
      </w:pPr>
      <w:r w:rsidRPr="57AE08A7">
        <w:rPr>
          <w:rFonts w:eastAsia="Arial" w:cs="Arial"/>
          <w:sz w:val="22"/>
          <w:szCs w:val="22"/>
        </w:rPr>
        <w:t xml:space="preserve"> </w:t>
      </w:r>
    </w:p>
    <w:p w:rsidR="5F024060" w:rsidP="57AE08A7" w:rsidRDefault="5F024060" w14:paraId="56AD6F7F" w14:textId="20FF9311">
      <w:pPr>
        <w:pStyle w:val="NoSpacing"/>
        <w:jc w:val="both"/>
      </w:pPr>
      <w:r w:rsidRPr="57AE08A7">
        <w:rPr>
          <w:rFonts w:eastAsia="Arial" w:cs="Arial"/>
          <w:b/>
          <w:bCs/>
          <w:i/>
          <w:iCs/>
          <w:sz w:val="22"/>
          <w:szCs w:val="22"/>
          <w:lang w:val="en"/>
        </w:rPr>
        <w:t>Cost-Effectiveness:</w:t>
      </w:r>
    </w:p>
    <w:p w:rsidR="5F024060" w:rsidP="57AE08A7" w:rsidRDefault="5F024060" w14:paraId="4F3E8037" w14:textId="7DC7729D">
      <w:pPr>
        <w:pStyle w:val="NoSpacing"/>
        <w:jc w:val="both"/>
      </w:pPr>
      <w:r w:rsidRPr="57AE08A7">
        <w:rPr>
          <w:rFonts w:eastAsia="Arial" w:cs="Arial"/>
          <w:sz w:val="22"/>
          <w:szCs w:val="22"/>
          <w:lang w:val="en-US"/>
        </w:rPr>
        <w:t xml:space="preserve"> </w:t>
      </w:r>
    </w:p>
    <w:p w:rsidR="5F024060" w:rsidP="57AE08A7" w:rsidRDefault="5F024060" w14:paraId="19320AFC" w14:textId="092AE836">
      <w:pPr>
        <w:pStyle w:val="NoSpacing"/>
        <w:jc w:val="both"/>
        <w:rPr>
          <w:rFonts w:eastAsia="Arial" w:cs="Arial"/>
          <w:sz w:val="22"/>
          <w:szCs w:val="22"/>
          <w:lang w:val="en-US"/>
        </w:rPr>
      </w:pPr>
      <w:proofErr w:type="spellStart"/>
      <w:r w:rsidRPr="57AE08A7">
        <w:rPr>
          <w:rFonts w:eastAsia="Arial" w:cs="Arial"/>
          <w:sz w:val="22"/>
          <w:szCs w:val="22"/>
          <w:lang w:val="en-US"/>
        </w:rPr>
        <w:t>VfM</w:t>
      </w:r>
      <w:proofErr w:type="spellEnd"/>
      <w:r w:rsidRPr="57AE08A7">
        <w:rPr>
          <w:rFonts w:eastAsia="Arial" w:cs="Arial"/>
          <w:sz w:val="22"/>
          <w:szCs w:val="22"/>
          <w:lang w:val="en-US"/>
        </w:rPr>
        <w:t xml:space="preserve"> metrics demonstrate strong cost-effectiveness across the </w:t>
      </w:r>
      <w:proofErr w:type="spellStart"/>
      <w:r w:rsidRPr="57AE08A7">
        <w:rPr>
          <w:rFonts w:eastAsia="Arial" w:cs="Arial"/>
          <w:sz w:val="22"/>
          <w:szCs w:val="22"/>
          <w:lang w:val="en-US"/>
        </w:rPr>
        <w:t>programme</w:t>
      </w:r>
      <w:proofErr w:type="spellEnd"/>
      <w:r w:rsidRPr="57AE08A7">
        <w:rPr>
          <w:rFonts w:eastAsia="Arial" w:cs="Arial"/>
          <w:sz w:val="22"/>
          <w:szCs w:val="22"/>
          <w:lang w:val="en-US"/>
        </w:rPr>
        <w:t xml:space="preserve">. Over the last year, the cost per </w:t>
      </w:r>
      <w:proofErr w:type="spellStart"/>
      <w:r w:rsidRPr="57AE08A7">
        <w:rPr>
          <w:rFonts w:eastAsia="Arial" w:cs="Arial"/>
          <w:sz w:val="22"/>
          <w:szCs w:val="22"/>
          <w:lang w:val="en-US"/>
        </w:rPr>
        <w:t>tonne</w:t>
      </w:r>
      <w:proofErr w:type="spellEnd"/>
      <w:r w:rsidRPr="57AE08A7">
        <w:rPr>
          <w:rFonts w:eastAsia="Arial" w:cs="Arial"/>
          <w:sz w:val="22"/>
          <w:szCs w:val="22"/>
          <w:lang w:val="en-US"/>
        </w:rPr>
        <w:t xml:space="preserve"> of </w:t>
      </w:r>
      <w:proofErr w:type="spellStart"/>
      <w:r w:rsidRPr="57AE08A7">
        <w:rPr>
          <w:rFonts w:eastAsia="Arial" w:cs="Arial"/>
          <w:sz w:val="22"/>
          <w:szCs w:val="22"/>
          <w:lang w:val="en-US"/>
        </w:rPr>
        <w:t>CO</w:t>
      </w:r>
      <w:r w:rsidRPr="57AE08A7">
        <w:rPr>
          <w:rFonts w:ascii="Cambria Math" w:hAnsi="Cambria Math" w:eastAsia="Cambria Math" w:cs="Cambria Math"/>
          <w:sz w:val="22"/>
          <w:szCs w:val="22"/>
          <w:lang w:val="en-US"/>
        </w:rPr>
        <w:t>₂e</w:t>
      </w:r>
      <w:proofErr w:type="spellEnd"/>
      <w:r w:rsidRPr="57AE08A7">
        <w:rPr>
          <w:rFonts w:eastAsia="Arial" w:cs="Arial"/>
          <w:sz w:val="22"/>
          <w:szCs w:val="22"/>
          <w:lang w:val="en-US"/>
        </w:rPr>
        <w:t xml:space="preserve"> reduced or avoided has decreased from £12.92/</w:t>
      </w:r>
      <w:proofErr w:type="spellStart"/>
      <w:r w:rsidRPr="57AE08A7">
        <w:rPr>
          <w:rFonts w:eastAsia="Arial" w:cs="Arial"/>
          <w:sz w:val="22"/>
          <w:szCs w:val="22"/>
          <w:lang w:val="en-US"/>
        </w:rPr>
        <w:t>tCO</w:t>
      </w:r>
      <w:r w:rsidRPr="57AE08A7">
        <w:rPr>
          <w:rFonts w:ascii="Cambria Math" w:hAnsi="Cambria Math" w:eastAsia="Cambria Math" w:cs="Cambria Math"/>
          <w:sz w:val="22"/>
          <w:szCs w:val="22"/>
          <w:lang w:val="en-US"/>
        </w:rPr>
        <w:t>₂</w:t>
      </w:r>
      <w:r w:rsidRPr="57AE08A7">
        <w:rPr>
          <w:rFonts w:eastAsia="Arial" w:cs="Arial"/>
          <w:sz w:val="22"/>
          <w:szCs w:val="22"/>
          <w:lang w:val="en-US"/>
        </w:rPr>
        <w:t>e</w:t>
      </w:r>
      <w:proofErr w:type="spellEnd"/>
      <w:r w:rsidRPr="57AE08A7">
        <w:rPr>
          <w:rFonts w:eastAsia="Arial" w:cs="Arial"/>
          <w:sz w:val="22"/>
          <w:szCs w:val="22"/>
          <w:lang w:val="en-US"/>
        </w:rPr>
        <w:t xml:space="preserve"> to £11.02/</w:t>
      </w:r>
      <w:proofErr w:type="spellStart"/>
      <w:r w:rsidRPr="57AE08A7">
        <w:rPr>
          <w:rFonts w:eastAsia="Arial" w:cs="Arial"/>
          <w:sz w:val="22"/>
          <w:szCs w:val="22"/>
          <w:lang w:val="en-US"/>
        </w:rPr>
        <w:t>tCO</w:t>
      </w:r>
      <w:r w:rsidRPr="57AE08A7">
        <w:rPr>
          <w:rFonts w:ascii="Cambria Math" w:hAnsi="Cambria Math" w:eastAsia="Cambria Math" w:cs="Cambria Math"/>
          <w:sz w:val="22"/>
          <w:szCs w:val="22"/>
          <w:lang w:val="en-US"/>
        </w:rPr>
        <w:t>₂</w:t>
      </w:r>
      <w:r w:rsidRPr="57AE08A7">
        <w:rPr>
          <w:rFonts w:eastAsia="Arial" w:cs="Arial"/>
          <w:sz w:val="22"/>
          <w:szCs w:val="22"/>
          <w:lang w:val="en-US"/>
        </w:rPr>
        <w:t>e</w:t>
      </w:r>
      <w:proofErr w:type="spellEnd"/>
      <w:r w:rsidRPr="57AE08A7">
        <w:rPr>
          <w:rFonts w:eastAsia="Arial" w:cs="Arial"/>
          <w:sz w:val="22"/>
          <w:szCs w:val="22"/>
          <w:lang w:val="en-US"/>
        </w:rPr>
        <w:t xml:space="preserve">, while the cost per hectare of land under sustainable management has fallen from £93.80/ha to £67.74/ha - both broadly in line with, </w:t>
      </w:r>
      <w:proofErr w:type="gramStart"/>
      <w:r w:rsidRPr="57AE08A7">
        <w:rPr>
          <w:rFonts w:eastAsia="Arial" w:cs="Arial"/>
          <w:sz w:val="22"/>
          <w:szCs w:val="22"/>
          <w:lang w:val="en-US"/>
        </w:rPr>
        <w:t>or</w:t>
      </w:r>
      <w:proofErr w:type="gramEnd"/>
      <w:r w:rsidRPr="57AE08A7">
        <w:rPr>
          <w:rFonts w:eastAsia="Arial" w:cs="Arial"/>
          <w:sz w:val="22"/>
          <w:szCs w:val="22"/>
          <w:lang w:val="en-US"/>
        </w:rPr>
        <w:t xml:space="preserve"> slightly below, portfolio averages. The cost per hectare of ecosystem loss avoided has dropped significantly from £4,707/ha to £2,297/ha, which is well below average and reflects substantial progress. These improvements have been </w:t>
      </w:r>
      <w:proofErr w:type="gramStart"/>
      <w:r w:rsidRPr="57AE08A7">
        <w:rPr>
          <w:rFonts w:eastAsia="Arial" w:cs="Arial"/>
          <w:sz w:val="22"/>
          <w:szCs w:val="22"/>
          <w:lang w:val="en-US"/>
        </w:rPr>
        <w:t>achieved</w:t>
      </w:r>
      <w:proofErr w:type="gramEnd"/>
      <w:r w:rsidRPr="57AE08A7">
        <w:rPr>
          <w:rFonts w:eastAsia="Arial" w:cs="Arial"/>
          <w:sz w:val="22"/>
          <w:szCs w:val="22"/>
          <w:lang w:val="en-US"/>
        </w:rPr>
        <w:t xml:space="preserve"> under constant costs, highlighting gains in key performance indicators. Public and private leverage ratios are 0.57 and 0.46 respectively, meaning that for every £1 we spend, we attract £0.57 in public finance and £0.46 in private finance. These ratios remain unchanged from the previous year, indicating that </w:t>
      </w:r>
      <w:proofErr w:type="spellStart"/>
      <w:r w:rsidRPr="57AE08A7">
        <w:rPr>
          <w:rFonts w:eastAsia="Arial" w:cs="Arial"/>
          <w:sz w:val="22"/>
          <w:szCs w:val="22"/>
          <w:lang w:val="en-US"/>
        </w:rPr>
        <w:t>VfM</w:t>
      </w:r>
      <w:proofErr w:type="spellEnd"/>
      <w:r w:rsidRPr="57AE08A7">
        <w:rPr>
          <w:rFonts w:eastAsia="Arial" w:cs="Arial"/>
          <w:sz w:val="22"/>
          <w:szCs w:val="22"/>
          <w:lang w:val="en-US"/>
        </w:rPr>
        <w:t xml:space="preserve"> has been maintained in this area. Overall, these results underscore the </w:t>
      </w:r>
      <w:proofErr w:type="spellStart"/>
      <w:r w:rsidRPr="57AE08A7">
        <w:rPr>
          <w:rFonts w:eastAsia="Arial" w:cs="Arial"/>
          <w:sz w:val="22"/>
          <w:szCs w:val="22"/>
          <w:lang w:val="en-US"/>
        </w:rPr>
        <w:t>programme’s</w:t>
      </w:r>
      <w:proofErr w:type="spellEnd"/>
      <w:r w:rsidRPr="57AE08A7">
        <w:rPr>
          <w:rFonts w:eastAsia="Arial" w:cs="Arial"/>
          <w:sz w:val="22"/>
          <w:szCs w:val="22"/>
          <w:lang w:val="en-US"/>
        </w:rPr>
        <w:t xml:space="preserve"> cost-effectiveness and continued progress. </w:t>
      </w:r>
    </w:p>
    <w:p w:rsidR="5F024060" w:rsidP="57AE08A7" w:rsidRDefault="5F024060" w14:paraId="61EF68EB" w14:textId="0329325D">
      <w:pPr>
        <w:pStyle w:val="NoSpacing"/>
        <w:jc w:val="both"/>
      </w:pPr>
      <w:r w:rsidRPr="57AE08A7">
        <w:rPr>
          <w:rFonts w:eastAsia="Arial" w:cs="Arial"/>
          <w:sz w:val="22"/>
          <w:szCs w:val="22"/>
          <w:lang w:val="en-US"/>
        </w:rPr>
        <w:t xml:space="preserve"> </w:t>
      </w:r>
    </w:p>
    <w:p w:rsidR="5F024060" w:rsidP="57AE08A7" w:rsidRDefault="5F024060" w14:paraId="0000A378" w14:textId="0E4F4609">
      <w:pPr>
        <w:pStyle w:val="NoSpacing"/>
        <w:jc w:val="both"/>
      </w:pPr>
      <w:r w:rsidRPr="57AE08A7">
        <w:rPr>
          <w:rFonts w:eastAsia="Arial" w:cs="Arial"/>
          <w:sz w:val="22"/>
          <w:szCs w:val="22"/>
          <w:lang w:val="en-US"/>
        </w:rPr>
        <w:t xml:space="preserve">The </w:t>
      </w:r>
      <w:proofErr w:type="spellStart"/>
      <w:r w:rsidRPr="57AE08A7">
        <w:rPr>
          <w:rFonts w:eastAsia="Arial" w:cs="Arial"/>
          <w:sz w:val="22"/>
          <w:szCs w:val="22"/>
          <w:lang w:val="en-US"/>
        </w:rPr>
        <w:t>programme</w:t>
      </w:r>
      <w:proofErr w:type="spellEnd"/>
      <w:r w:rsidRPr="57AE08A7">
        <w:rPr>
          <w:rFonts w:eastAsia="Arial" w:cs="Arial"/>
          <w:sz w:val="22"/>
          <w:szCs w:val="22"/>
          <w:lang w:val="en-US"/>
        </w:rPr>
        <w:t xml:space="preserve"> also demonstrates strong cost-effectiveness through varied financing mechanisms and shared infrastructure. Building on lessons from the FCPF, the SCALE </w:t>
      </w:r>
      <w:proofErr w:type="spellStart"/>
      <w:r w:rsidRPr="57AE08A7">
        <w:rPr>
          <w:rFonts w:eastAsia="Arial" w:cs="Arial"/>
          <w:sz w:val="22"/>
          <w:szCs w:val="22"/>
          <w:lang w:val="en-US"/>
        </w:rPr>
        <w:t>programme</w:t>
      </w:r>
      <w:proofErr w:type="spellEnd"/>
      <w:r w:rsidRPr="57AE08A7">
        <w:rPr>
          <w:rFonts w:eastAsia="Arial" w:cs="Arial"/>
          <w:sz w:val="22"/>
          <w:szCs w:val="22"/>
          <w:lang w:val="en-US"/>
        </w:rPr>
        <w:t xml:space="preserve"> was launched to support future high-integrity carbon credits. Costa Rica’s pilot </w:t>
      </w:r>
      <w:proofErr w:type="gramStart"/>
      <w:r w:rsidRPr="57AE08A7">
        <w:rPr>
          <w:rFonts w:eastAsia="Arial" w:cs="Arial"/>
          <w:sz w:val="22"/>
          <w:szCs w:val="22"/>
          <w:lang w:val="en-US"/>
        </w:rPr>
        <w:t>sale</w:t>
      </w:r>
      <w:proofErr w:type="gramEnd"/>
      <w:r w:rsidRPr="57AE08A7">
        <w:rPr>
          <w:rFonts w:eastAsia="Arial" w:cs="Arial"/>
          <w:sz w:val="22"/>
          <w:szCs w:val="22"/>
          <w:lang w:val="en-US"/>
        </w:rPr>
        <w:t xml:space="preserve"> of excess ERs illustrates the potential for additional revenue streams beyond ERPAs, paving the way for higher value carbon transactions and reducing reliance on public finance. </w:t>
      </w:r>
    </w:p>
    <w:p w:rsidR="5F024060" w:rsidP="57AE08A7" w:rsidRDefault="5F024060" w14:paraId="17B7048B" w14:textId="19E9C67F">
      <w:pPr>
        <w:pStyle w:val="NoSpacing"/>
        <w:jc w:val="both"/>
        <w:rPr>
          <w:rFonts w:eastAsia="Arial" w:cs="Arial"/>
          <w:sz w:val="22"/>
          <w:szCs w:val="22"/>
          <w:lang w:val="en-US"/>
        </w:rPr>
      </w:pPr>
      <w:r w:rsidRPr="57AE08A7">
        <w:rPr>
          <w:rFonts w:eastAsia="Arial" w:cs="Arial"/>
          <w:sz w:val="22"/>
          <w:szCs w:val="22"/>
          <w:lang w:val="en-US"/>
        </w:rPr>
        <w:t xml:space="preserve"> </w:t>
      </w:r>
    </w:p>
    <w:p w:rsidR="5F024060" w:rsidP="57AE08A7" w:rsidRDefault="5F024060" w14:paraId="7512F9AF" w14:textId="574A3647">
      <w:pPr>
        <w:pStyle w:val="NoSpacing"/>
        <w:jc w:val="both"/>
      </w:pPr>
      <w:r w:rsidRPr="57AE08A7">
        <w:rPr>
          <w:rFonts w:eastAsia="Arial" w:cs="Arial"/>
          <w:b/>
          <w:bCs/>
          <w:i/>
          <w:iCs/>
          <w:sz w:val="22"/>
          <w:szCs w:val="22"/>
          <w:lang w:val="en"/>
        </w:rPr>
        <w:t>Equity:</w:t>
      </w:r>
    </w:p>
    <w:p w:rsidR="5F024060" w:rsidP="57AE08A7" w:rsidRDefault="5F024060" w14:paraId="08A9BCA6" w14:textId="41359730">
      <w:pPr>
        <w:pStyle w:val="NoSpacing"/>
        <w:jc w:val="both"/>
      </w:pPr>
      <w:r w:rsidRPr="57AE08A7">
        <w:rPr>
          <w:rFonts w:eastAsia="Arial" w:cs="Arial"/>
          <w:sz w:val="22"/>
          <w:szCs w:val="22"/>
        </w:rPr>
        <w:t xml:space="preserve"> </w:t>
      </w:r>
    </w:p>
    <w:p w:rsidR="5F024060" w:rsidP="57AE08A7" w:rsidRDefault="5F024060" w14:paraId="588224F7" w14:textId="4B97CB2C">
      <w:pPr>
        <w:pStyle w:val="NoSpacing"/>
        <w:jc w:val="both"/>
        <w:rPr>
          <w:rFonts w:eastAsia="Arial" w:cs="Arial"/>
          <w:sz w:val="22"/>
          <w:szCs w:val="22"/>
        </w:rPr>
      </w:pPr>
      <w:r w:rsidRPr="57AE08A7">
        <w:rPr>
          <w:rFonts w:eastAsia="Arial" w:cs="Arial"/>
          <w:sz w:val="22"/>
          <w:szCs w:val="22"/>
        </w:rPr>
        <w:t>Participating countries are required to develop BSPs to ensure that carbon payments reach local communities and marginalised groups. Whilst payments to countries have increased, implementing BSPs remains challenging due to administrative and legal barriers in some jurisdictions, causing delays in delivery.</w:t>
      </w:r>
    </w:p>
    <w:p w:rsidR="5F024060" w:rsidP="57AE08A7" w:rsidRDefault="5F024060" w14:paraId="08990E99" w14:textId="2219D049">
      <w:pPr>
        <w:pStyle w:val="NoSpacing"/>
        <w:jc w:val="both"/>
      </w:pPr>
      <w:r w:rsidRPr="57AE08A7">
        <w:rPr>
          <w:rFonts w:eastAsia="Arial" w:cs="Arial"/>
          <w:sz w:val="22"/>
          <w:szCs w:val="22"/>
        </w:rPr>
        <w:t xml:space="preserve"> </w:t>
      </w:r>
    </w:p>
    <w:p w:rsidR="5F024060" w:rsidP="57AE08A7" w:rsidRDefault="5F024060" w14:paraId="2C8F748F" w14:textId="3CB3DC23">
      <w:pPr>
        <w:pStyle w:val="NoSpacing"/>
        <w:jc w:val="both"/>
        <w:rPr>
          <w:rFonts w:eastAsia="Arial" w:cs="Arial"/>
          <w:sz w:val="22"/>
          <w:szCs w:val="22"/>
        </w:rPr>
      </w:pPr>
      <w:r w:rsidRPr="57AE08A7">
        <w:rPr>
          <w:rFonts w:eastAsia="Arial" w:cs="Arial"/>
          <w:sz w:val="22"/>
          <w:szCs w:val="22"/>
        </w:rPr>
        <w:t xml:space="preserve">Despite these challenges, the programme maintains a strong focus on equity through social inclusion and engagement with gender and Indigenous groups. Countries including Madagascar, Vietnam, and Côte d’Ivoire have reported positive progress. BSP implementation has advanced, with twelve plans now operational. However, this falls short of the milestone of fifteen. </w:t>
      </w:r>
    </w:p>
    <w:p w:rsidR="5F024060" w:rsidP="57AE08A7" w:rsidRDefault="5F024060" w14:paraId="6CB72919" w14:textId="4D38C9CB">
      <w:pPr>
        <w:pStyle w:val="NoSpacing"/>
        <w:jc w:val="both"/>
      </w:pPr>
      <w:r w:rsidRPr="57AE08A7">
        <w:rPr>
          <w:rFonts w:eastAsia="Arial" w:cs="Arial"/>
          <w:sz w:val="22"/>
          <w:szCs w:val="22"/>
        </w:rPr>
        <w:t xml:space="preserve"> </w:t>
      </w:r>
    </w:p>
    <w:p w:rsidR="5F024060" w:rsidP="57AE08A7" w:rsidRDefault="5F024060" w14:paraId="47B63BF5" w14:textId="281C52F1">
      <w:pPr>
        <w:pStyle w:val="NoSpacing"/>
        <w:jc w:val="both"/>
        <w:rPr>
          <w:rFonts w:eastAsia="Arial" w:cs="Arial"/>
          <w:sz w:val="22"/>
          <w:szCs w:val="22"/>
        </w:rPr>
      </w:pPr>
      <w:r w:rsidRPr="57AE08A7">
        <w:rPr>
          <w:rFonts w:eastAsia="Arial" w:cs="Arial"/>
          <w:sz w:val="22"/>
          <w:szCs w:val="22"/>
        </w:rPr>
        <w:t>Additionally, the Enabling Access to Benefits while Lowering Emissions (</w:t>
      </w:r>
      <w:proofErr w:type="spellStart"/>
      <w:r w:rsidRPr="57AE08A7">
        <w:rPr>
          <w:rFonts w:eastAsia="Arial" w:cs="Arial"/>
          <w:sz w:val="22"/>
          <w:szCs w:val="22"/>
        </w:rPr>
        <w:t>EnABLE</w:t>
      </w:r>
      <w:proofErr w:type="spellEnd"/>
      <w:r w:rsidRPr="57AE08A7">
        <w:rPr>
          <w:rFonts w:eastAsia="Arial" w:cs="Arial"/>
          <w:sz w:val="22"/>
          <w:szCs w:val="22"/>
        </w:rPr>
        <w:t xml:space="preserve">) programme was created to continue the Readiness Fund’s capacity-building work. It provides direct financing to local CSOs to ensure BSP benefits reach Indigenous Peoples and marginalised groups, helping address delays and strengthen equity. Germany currently funds </w:t>
      </w:r>
      <w:proofErr w:type="spellStart"/>
      <w:r w:rsidRPr="57AE08A7">
        <w:rPr>
          <w:rFonts w:eastAsia="Arial" w:cs="Arial"/>
          <w:sz w:val="22"/>
          <w:szCs w:val="22"/>
        </w:rPr>
        <w:t>EnABLE</w:t>
      </w:r>
      <w:proofErr w:type="spellEnd"/>
      <w:r w:rsidRPr="57AE08A7">
        <w:rPr>
          <w:rFonts w:eastAsia="Arial" w:cs="Arial"/>
          <w:sz w:val="22"/>
          <w:szCs w:val="22"/>
        </w:rPr>
        <w:t xml:space="preserve"> support for FCPF programmes.</w:t>
      </w:r>
    </w:p>
    <w:p w:rsidR="5F024060" w:rsidP="57AE08A7" w:rsidRDefault="5F024060" w14:paraId="01D32AD2" w14:textId="39E1792C">
      <w:pPr>
        <w:pStyle w:val="NoSpacing"/>
        <w:jc w:val="both"/>
      </w:pPr>
      <w:r w:rsidRPr="57AE08A7">
        <w:rPr>
          <w:rFonts w:eastAsia="Arial" w:cs="Arial"/>
          <w:sz w:val="22"/>
          <w:szCs w:val="22"/>
        </w:rPr>
        <w:t xml:space="preserve"> </w:t>
      </w:r>
    </w:p>
    <w:p w:rsidR="5F024060" w:rsidP="57AE08A7" w:rsidRDefault="5F024060" w14:paraId="1A628D63" w14:textId="7FB35B33">
      <w:pPr>
        <w:pStyle w:val="NoSpacing"/>
        <w:jc w:val="both"/>
        <w:rPr>
          <w:rFonts w:eastAsia="Arial" w:cs="Arial"/>
          <w:sz w:val="22"/>
          <w:szCs w:val="22"/>
        </w:rPr>
      </w:pPr>
      <w:r w:rsidRPr="57AE08A7">
        <w:rPr>
          <w:rFonts w:eastAsia="Arial" w:cs="Arial"/>
          <w:sz w:val="22"/>
          <w:szCs w:val="22"/>
        </w:rPr>
        <w:t>Resolving delays and ensuring benefits reach marginalised communities remains essential and must continue to be a key focus for the Carbon Fund. Clear evidence of timely resolution and benefit delivery will be critical to maintain programme equity.</w:t>
      </w:r>
    </w:p>
    <w:p w:rsidR="5F024060" w:rsidP="57AE08A7" w:rsidRDefault="5F024060" w14:paraId="75224572" w14:textId="300BA716">
      <w:pPr>
        <w:pStyle w:val="NoSpacing"/>
        <w:jc w:val="both"/>
      </w:pPr>
      <w:r w:rsidRPr="57AE08A7">
        <w:rPr>
          <w:rFonts w:eastAsia="Arial" w:cs="Arial"/>
          <w:sz w:val="22"/>
          <w:szCs w:val="22"/>
        </w:rPr>
        <w:t xml:space="preserve"> </w:t>
      </w:r>
    </w:p>
    <w:p w:rsidR="5F024060" w:rsidP="57AE08A7" w:rsidRDefault="5F024060" w14:paraId="54E981CB" w14:textId="3C5F803F">
      <w:pPr>
        <w:pStyle w:val="NoSpacing"/>
        <w:jc w:val="both"/>
      </w:pPr>
      <w:r w:rsidRPr="57AE08A7">
        <w:rPr>
          <w:rFonts w:eastAsia="Arial" w:cs="Arial"/>
          <w:b/>
          <w:bCs/>
          <w:i/>
          <w:iCs/>
          <w:sz w:val="22"/>
          <w:szCs w:val="22"/>
          <w:lang w:val="en-US"/>
        </w:rPr>
        <w:t>Overall Value-for-Money Assessment:</w:t>
      </w:r>
    </w:p>
    <w:p w:rsidR="5F024060" w:rsidP="57AE08A7" w:rsidRDefault="5F024060" w14:paraId="22D6151E" w14:textId="4EE617B9">
      <w:pPr>
        <w:pStyle w:val="NoSpacing"/>
        <w:jc w:val="both"/>
      </w:pPr>
      <w:r w:rsidRPr="57AE08A7">
        <w:rPr>
          <w:rFonts w:eastAsia="Arial" w:cs="Arial"/>
          <w:sz w:val="22"/>
          <w:szCs w:val="22"/>
          <w:lang w:val="en-US"/>
        </w:rPr>
        <w:t xml:space="preserve"> </w:t>
      </w:r>
    </w:p>
    <w:p w:rsidR="5F024060" w:rsidP="57AE08A7" w:rsidRDefault="5F024060" w14:paraId="0C8D3960" w14:textId="7D061BB8">
      <w:pPr>
        <w:pStyle w:val="NoSpacing"/>
        <w:jc w:val="both"/>
        <w:rPr>
          <w:rFonts w:eastAsia="Arial" w:cs="Arial"/>
          <w:sz w:val="22"/>
          <w:szCs w:val="22"/>
          <w:lang w:val="en-US"/>
        </w:rPr>
      </w:pPr>
      <w:r w:rsidRPr="57AE08A7">
        <w:rPr>
          <w:rFonts w:eastAsia="Arial" w:cs="Arial"/>
          <w:sz w:val="22"/>
          <w:szCs w:val="22"/>
          <w:lang w:val="en-US"/>
        </w:rPr>
        <w:t xml:space="preserve">The Carbon Fund continues to deliver strong Value for Money overall, with spending under budget and major milestones on emission reductions and </w:t>
      </w:r>
      <w:proofErr w:type="spellStart"/>
      <w:r w:rsidRPr="57AE08A7">
        <w:rPr>
          <w:rFonts w:eastAsia="Arial" w:cs="Arial"/>
          <w:sz w:val="22"/>
          <w:szCs w:val="22"/>
          <w:lang w:val="en-US"/>
        </w:rPr>
        <w:t>mobilised</w:t>
      </w:r>
      <w:proofErr w:type="spellEnd"/>
      <w:r w:rsidRPr="57AE08A7">
        <w:rPr>
          <w:rFonts w:eastAsia="Arial" w:cs="Arial"/>
          <w:sz w:val="22"/>
          <w:szCs w:val="22"/>
          <w:lang w:val="en-US"/>
        </w:rPr>
        <w:t xml:space="preserve"> finance exceeded. Payments have been made to ten countries, and knowledge-sharing activities are helping to strengthen REDD+ practices globally. The </w:t>
      </w:r>
      <w:proofErr w:type="spellStart"/>
      <w:r w:rsidRPr="57AE08A7">
        <w:rPr>
          <w:rFonts w:eastAsia="Arial" w:cs="Arial"/>
          <w:sz w:val="22"/>
          <w:szCs w:val="22"/>
          <w:lang w:val="en-US"/>
        </w:rPr>
        <w:t>programme</w:t>
      </w:r>
      <w:proofErr w:type="spellEnd"/>
      <w:r w:rsidRPr="57AE08A7">
        <w:rPr>
          <w:rFonts w:eastAsia="Arial" w:cs="Arial"/>
          <w:sz w:val="22"/>
          <w:szCs w:val="22"/>
          <w:lang w:val="en-US"/>
        </w:rPr>
        <w:t xml:space="preserve"> remains on track to deliver transformational </w:t>
      </w:r>
      <w:proofErr w:type="gramStart"/>
      <w:r w:rsidRPr="57AE08A7">
        <w:rPr>
          <w:rFonts w:eastAsia="Arial" w:cs="Arial"/>
          <w:sz w:val="22"/>
          <w:szCs w:val="22"/>
          <w:lang w:val="en-US"/>
        </w:rPr>
        <w:t>change</w:t>
      </w:r>
      <w:proofErr w:type="gramEnd"/>
      <w:r w:rsidRPr="57AE08A7">
        <w:rPr>
          <w:rFonts w:eastAsia="Arial" w:cs="Arial"/>
          <w:sz w:val="22"/>
          <w:szCs w:val="22"/>
          <w:lang w:val="en-US"/>
        </w:rPr>
        <w:t xml:space="preserve">, reinforcing its significant contribution to global climate finance and REDD+ standards. </w:t>
      </w:r>
    </w:p>
    <w:p w:rsidR="5F024060" w:rsidP="57AE08A7" w:rsidRDefault="5F024060" w14:paraId="7EA22C2A" w14:textId="609092B5">
      <w:pPr>
        <w:pStyle w:val="NoSpacing"/>
        <w:jc w:val="both"/>
      </w:pPr>
      <w:r w:rsidRPr="57AE08A7">
        <w:rPr>
          <w:rFonts w:eastAsia="Arial" w:cs="Arial"/>
          <w:sz w:val="22"/>
          <w:szCs w:val="22"/>
          <w:lang w:val="en-US"/>
        </w:rPr>
        <w:t xml:space="preserve"> </w:t>
      </w:r>
    </w:p>
    <w:p w:rsidR="5F024060" w:rsidP="57AE08A7" w:rsidRDefault="5F024060" w14:paraId="2659271D" w14:textId="5218800D">
      <w:pPr>
        <w:pStyle w:val="NoSpacing"/>
        <w:jc w:val="both"/>
        <w:rPr>
          <w:rFonts w:eastAsia="Arial" w:cs="Arial"/>
          <w:sz w:val="22"/>
          <w:szCs w:val="22"/>
          <w:lang w:val="en-US"/>
        </w:rPr>
      </w:pPr>
      <w:r w:rsidRPr="57AE08A7">
        <w:rPr>
          <w:rFonts w:eastAsia="Arial" w:cs="Arial"/>
          <w:sz w:val="22"/>
          <w:szCs w:val="22"/>
          <w:lang w:val="en-US"/>
        </w:rPr>
        <w:t xml:space="preserve">However, delivery challenges persist. Delays in verification, benefit-sharing plan implementation, and administrative bottlenecks have slowed progress, impacting efficiency and equity. Only a portion of benefits have reached </w:t>
      </w:r>
      <w:proofErr w:type="spellStart"/>
      <w:r w:rsidRPr="57AE08A7">
        <w:rPr>
          <w:rFonts w:eastAsia="Arial" w:cs="Arial"/>
          <w:sz w:val="22"/>
          <w:szCs w:val="22"/>
          <w:lang w:val="en-US"/>
        </w:rPr>
        <w:t>marginalised</w:t>
      </w:r>
      <w:proofErr w:type="spellEnd"/>
      <w:r w:rsidRPr="57AE08A7">
        <w:rPr>
          <w:rFonts w:eastAsia="Arial" w:cs="Arial"/>
          <w:sz w:val="22"/>
          <w:szCs w:val="22"/>
          <w:lang w:val="en-US"/>
        </w:rPr>
        <w:t xml:space="preserve"> communities, making it critical to accelerate implementation and ensure timely benefit distribution. Overall, the </w:t>
      </w:r>
      <w:proofErr w:type="spellStart"/>
      <w:r w:rsidRPr="57AE08A7">
        <w:rPr>
          <w:rFonts w:eastAsia="Arial" w:cs="Arial"/>
          <w:sz w:val="22"/>
          <w:szCs w:val="22"/>
          <w:lang w:val="en-US"/>
        </w:rPr>
        <w:t>programme</w:t>
      </w:r>
      <w:proofErr w:type="spellEnd"/>
      <w:r w:rsidRPr="57AE08A7">
        <w:rPr>
          <w:rFonts w:eastAsia="Arial" w:cs="Arial"/>
          <w:sz w:val="22"/>
          <w:szCs w:val="22"/>
          <w:lang w:val="en-US"/>
        </w:rPr>
        <w:t xml:space="preserve"> demonstrates strong climate impact and cost-effectiveness but must address these operational and equity gaps to achieve long-term </w:t>
      </w:r>
      <w:proofErr w:type="spellStart"/>
      <w:r w:rsidRPr="57AE08A7">
        <w:rPr>
          <w:rFonts w:eastAsia="Arial" w:cs="Arial"/>
          <w:sz w:val="22"/>
          <w:szCs w:val="22"/>
          <w:lang w:val="en-US"/>
        </w:rPr>
        <w:t>VfM</w:t>
      </w:r>
      <w:proofErr w:type="spellEnd"/>
      <w:r w:rsidRPr="57AE08A7">
        <w:rPr>
          <w:rFonts w:eastAsia="Arial" w:cs="Arial"/>
          <w:sz w:val="22"/>
          <w:szCs w:val="22"/>
          <w:lang w:val="en-US"/>
        </w:rPr>
        <w:t>.</w:t>
      </w:r>
    </w:p>
    <w:p w:rsidR="5F024060" w:rsidP="57AE08A7" w:rsidRDefault="5F024060" w14:paraId="0B57361E" w14:textId="6D9FE390">
      <w:pPr>
        <w:jc w:val="both"/>
      </w:pPr>
      <w:r w:rsidRPr="57AE08A7">
        <w:rPr>
          <w:rFonts w:eastAsia="Arial" w:cs="Arial"/>
          <w:sz w:val="22"/>
          <w:szCs w:val="22"/>
        </w:rPr>
        <w:t xml:space="preserve"> </w:t>
      </w:r>
    </w:p>
    <w:p w:rsidR="5F024060" w:rsidP="57AE08A7" w:rsidRDefault="5F024060" w14:paraId="4C87923F" w14:textId="361AD18B">
      <w:pPr>
        <w:jc w:val="both"/>
      </w:pPr>
      <w:r w:rsidRPr="57AE08A7">
        <w:rPr>
          <w:rFonts w:eastAsia="Arial" w:cs="Arial"/>
          <w:b/>
          <w:bCs/>
          <w:color w:val="000000" w:themeColor="text1"/>
          <w:sz w:val="22"/>
          <w:szCs w:val="22"/>
          <w:u w:val="single"/>
        </w:rPr>
        <w:t>Monitoring and evaluation</w:t>
      </w:r>
      <w:r w:rsidRPr="57AE08A7">
        <w:rPr>
          <w:rFonts w:eastAsia="Arial" w:cs="Arial"/>
          <w:color w:val="000000" w:themeColor="text1"/>
          <w:sz w:val="22"/>
          <w:szCs w:val="22"/>
          <w:u w:val="single"/>
        </w:rPr>
        <w:t xml:space="preserve"> </w:t>
      </w:r>
    </w:p>
    <w:p w:rsidR="5F024060" w:rsidP="57AE08A7" w:rsidRDefault="5F024060" w14:paraId="7EFB1FCC" w14:textId="467326EE">
      <w:pPr>
        <w:jc w:val="both"/>
      </w:pPr>
      <w:r w:rsidRPr="57AE08A7">
        <w:rPr>
          <w:rFonts w:eastAsia="Arial" w:cs="Arial"/>
          <w:b/>
          <w:bCs/>
          <w:color w:val="000000" w:themeColor="text1"/>
          <w:sz w:val="20"/>
          <w:szCs w:val="20"/>
        </w:rPr>
        <w:t xml:space="preserve"> </w:t>
      </w:r>
    </w:p>
    <w:p w:rsidR="5F024060" w:rsidP="57AE08A7" w:rsidRDefault="5F024060" w14:paraId="7ECAB57D" w14:textId="258CD2B0">
      <w:pPr>
        <w:jc w:val="both"/>
      </w:pPr>
      <w:r w:rsidRPr="57AE08A7">
        <w:rPr>
          <w:rFonts w:eastAsia="Arial" w:cs="Arial"/>
          <w:color w:val="000000" w:themeColor="text1"/>
          <w:sz w:val="22"/>
          <w:szCs w:val="22"/>
        </w:rPr>
        <w:t xml:space="preserve">The evidence used to compile this Annual Review is as follows: </w:t>
      </w:r>
    </w:p>
    <w:p w:rsidR="5F024060" w:rsidP="57AE08A7" w:rsidRDefault="5F024060" w14:paraId="62BD8758" w14:textId="511E1F7C">
      <w:pPr>
        <w:pStyle w:val="ListParagraph"/>
        <w:numPr>
          <w:ilvl w:val="0"/>
          <w:numId w:val="3"/>
        </w:numPr>
        <w:spacing w:after="0"/>
        <w:jc w:val="both"/>
        <w:rPr>
          <w:rFonts w:eastAsia="Arial" w:cs="Arial"/>
          <w:color w:val="000000" w:themeColor="text1"/>
          <w:sz w:val="22"/>
          <w:szCs w:val="22"/>
        </w:rPr>
      </w:pPr>
      <w:r w:rsidRPr="57AE08A7">
        <w:rPr>
          <w:rFonts w:eastAsia="Arial" w:cs="Arial"/>
          <w:color w:val="000000" w:themeColor="text1"/>
          <w:sz w:val="22"/>
          <w:szCs w:val="22"/>
        </w:rPr>
        <w:t xml:space="preserve">FCPF 2025 Annual </w:t>
      </w:r>
      <w:proofErr w:type="gramStart"/>
      <w:r w:rsidRPr="57AE08A7">
        <w:rPr>
          <w:rFonts w:eastAsia="Arial" w:cs="Arial"/>
          <w:color w:val="000000" w:themeColor="text1"/>
          <w:sz w:val="22"/>
          <w:szCs w:val="22"/>
        </w:rPr>
        <w:t>Report;</w:t>
      </w:r>
      <w:proofErr w:type="gramEnd"/>
    </w:p>
    <w:p w:rsidR="5F024060" w:rsidP="57AE08A7" w:rsidRDefault="5F024060" w14:paraId="1CA3E4BF" w14:textId="43E7A9ED">
      <w:pPr>
        <w:pStyle w:val="ListParagraph"/>
        <w:numPr>
          <w:ilvl w:val="0"/>
          <w:numId w:val="3"/>
        </w:numPr>
        <w:spacing w:after="0"/>
        <w:jc w:val="both"/>
        <w:rPr>
          <w:rFonts w:eastAsia="Arial" w:cs="Arial"/>
          <w:color w:val="000000" w:themeColor="text1"/>
          <w:sz w:val="22"/>
          <w:szCs w:val="22"/>
        </w:rPr>
      </w:pPr>
      <w:r w:rsidRPr="57AE08A7">
        <w:rPr>
          <w:rFonts w:eastAsia="Arial" w:cs="Arial"/>
          <w:color w:val="000000" w:themeColor="text1"/>
          <w:sz w:val="22"/>
          <w:szCs w:val="22"/>
        </w:rPr>
        <w:t xml:space="preserve">Presentations and updates from FCPF Carbon Fund </w:t>
      </w:r>
      <w:proofErr w:type="gramStart"/>
      <w:r w:rsidRPr="57AE08A7">
        <w:rPr>
          <w:rFonts w:eastAsia="Arial" w:cs="Arial"/>
          <w:color w:val="000000" w:themeColor="text1"/>
          <w:sz w:val="22"/>
          <w:szCs w:val="22"/>
        </w:rPr>
        <w:t>Meetings;</w:t>
      </w:r>
      <w:proofErr w:type="gramEnd"/>
    </w:p>
    <w:p w:rsidR="5F024060" w:rsidP="57AE08A7" w:rsidRDefault="5F024060" w14:paraId="2133617E" w14:textId="562C932B">
      <w:pPr>
        <w:pStyle w:val="ListParagraph"/>
        <w:numPr>
          <w:ilvl w:val="0"/>
          <w:numId w:val="3"/>
        </w:numPr>
        <w:spacing w:after="0"/>
        <w:jc w:val="both"/>
        <w:rPr>
          <w:rFonts w:eastAsia="Arial" w:cs="Arial"/>
          <w:color w:val="000000" w:themeColor="text1"/>
          <w:sz w:val="22"/>
          <w:szCs w:val="22"/>
        </w:rPr>
      </w:pPr>
      <w:r w:rsidRPr="57AE08A7">
        <w:rPr>
          <w:rFonts w:eastAsia="Arial" w:cs="Arial"/>
          <w:color w:val="000000" w:themeColor="text1"/>
          <w:sz w:val="22"/>
          <w:szCs w:val="22"/>
        </w:rPr>
        <w:t xml:space="preserve">DESNZ internal programme documents, including risk register and results collection </w:t>
      </w:r>
      <w:proofErr w:type="gramStart"/>
      <w:r w:rsidRPr="57AE08A7">
        <w:rPr>
          <w:rFonts w:eastAsia="Arial" w:cs="Arial"/>
          <w:color w:val="000000" w:themeColor="text1"/>
          <w:sz w:val="22"/>
          <w:szCs w:val="22"/>
        </w:rPr>
        <w:t>note;</w:t>
      </w:r>
      <w:proofErr w:type="gramEnd"/>
    </w:p>
    <w:p w:rsidR="5F024060" w:rsidP="57AE08A7" w:rsidRDefault="5F024060" w14:paraId="55B1FBF7" w14:textId="15A020B3">
      <w:pPr>
        <w:pStyle w:val="ListParagraph"/>
        <w:numPr>
          <w:ilvl w:val="0"/>
          <w:numId w:val="3"/>
        </w:numPr>
        <w:spacing w:after="0"/>
        <w:jc w:val="both"/>
        <w:rPr>
          <w:rFonts w:eastAsia="Arial" w:cs="Arial"/>
          <w:color w:val="000000" w:themeColor="text1"/>
          <w:sz w:val="22"/>
          <w:szCs w:val="22"/>
        </w:rPr>
      </w:pPr>
      <w:r w:rsidRPr="57AE08A7">
        <w:rPr>
          <w:rFonts w:eastAsia="Arial" w:cs="Arial"/>
          <w:color w:val="000000" w:themeColor="text1"/>
          <w:sz w:val="22"/>
          <w:szCs w:val="22"/>
        </w:rPr>
        <w:t xml:space="preserve">Third Programme </w:t>
      </w:r>
      <w:proofErr w:type="gramStart"/>
      <w:r w:rsidRPr="57AE08A7">
        <w:rPr>
          <w:rFonts w:eastAsia="Arial" w:cs="Arial"/>
          <w:color w:val="000000" w:themeColor="text1"/>
          <w:sz w:val="22"/>
          <w:szCs w:val="22"/>
        </w:rPr>
        <w:t>Evaluation;</w:t>
      </w:r>
      <w:proofErr w:type="gramEnd"/>
    </w:p>
    <w:p w:rsidR="5F024060" w:rsidP="57AE08A7" w:rsidRDefault="5F024060" w14:paraId="32F422D4" w14:textId="3CEA92EE">
      <w:pPr>
        <w:pStyle w:val="ListParagraph"/>
        <w:numPr>
          <w:ilvl w:val="0"/>
          <w:numId w:val="3"/>
        </w:numPr>
        <w:spacing w:after="0"/>
        <w:jc w:val="both"/>
        <w:rPr>
          <w:rFonts w:eastAsia="Arial" w:cs="Arial"/>
          <w:color w:val="000000" w:themeColor="text1"/>
          <w:sz w:val="22"/>
          <w:szCs w:val="22"/>
        </w:rPr>
      </w:pPr>
      <w:r w:rsidRPr="57AE08A7">
        <w:rPr>
          <w:rFonts w:eastAsia="Arial" w:cs="Arial"/>
          <w:color w:val="000000" w:themeColor="text1"/>
          <w:sz w:val="22"/>
          <w:szCs w:val="22"/>
        </w:rPr>
        <w:t xml:space="preserve">Additional qualitative information shared by delivery partners and other stakeholders via calls and meetings. </w:t>
      </w:r>
    </w:p>
    <w:p w:rsidR="5F024060" w:rsidP="57AE08A7" w:rsidRDefault="5F024060" w14:paraId="533A4369" w14:textId="79FE88B5">
      <w:pPr>
        <w:spacing w:after="40"/>
        <w:jc w:val="both"/>
      </w:pPr>
      <w:r w:rsidRPr="57AE08A7">
        <w:rPr>
          <w:rFonts w:eastAsia="Arial" w:cs="Arial"/>
          <w:color w:val="000000" w:themeColor="text1"/>
          <w:sz w:val="22"/>
          <w:szCs w:val="22"/>
        </w:rPr>
        <w:t xml:space="preserve"> </w:t>
      </w:r>
    </w:p>
    <w:p w:rsidR="5F024060" w:rsidP="57AE08A7" w:rsidRDefault="5F024060" w14:paraId="6CF61AAD" w14:textId="54211D86">
      <w:pPr>
        <w:jc w:val="both"/>
        <w:rPr>
          <w:rFonts w:eastAsia="Arial" w:cs="Arial"/>
          <w:color w:val="000000" w:themeColor="text1"/>
          <w:sz w:val="22"/>
          <w:szCs w:val="22"/>
        </w:rPr>
      </w:pPr>
      <w:r w:rsidRPr="57AE08A7">
        <w:rPr>
          <w:rFonts w:eastAsia="Arial" w:cs="Arial"/>
          <w:color w:val="000000" w:themeColor="text1"/>
          <w:sz w:val="22"/>
          <w:szCs w:val="22"/>
        </w:rPr>
        <w:t xml:space="preserve">The FMT published a revised Monitoring and Evaluation Framework in 2019. This includes the version of the results framework developed in 2018 and adds in additional information such as an evaluation plan. The framework meets the UK’s priorities, for example in that it utilises both quantitative and qualitative measures of progress where appropriate and has included more flexibility in the evaluation component to respond to themes and issues as they arise. The Theory of Change continues to hold. In general, the assumptions continue to hold, although in some cases there is variable evidence. In particular, the assumption that the external context for ER programmes remains supportive and conducive to ER programme implementation, is subject to change depending upon the political and socio-economic context in individual countries, including administrative shifts. </w:t>
      </w:r>
    </w:p>
    <w:p w:rsidR="5F024060" w:rsidP="57AE08A7" w:rsidRDefault="5F024060" w14:paraId="6BF46C61" w14:textId="29540C3C">
      <w:pPr>
        <w:jc w:val="both"/>
      </w:pPr>
      <w:r w:rsidRPr="57AE08A7">
        <w:rPr>
          <w:rFonts w:eastAsia="Arial" w:cs="Arial"/>
          <w:color w:val="000000" w:themeColor="text1"/>
          <w:sz w:val="22"/>
          <w:szCs w:val="22"/>
        </w:rPr>
        <w:t xml:space="preserve"> </w:t>
      </w:r>
    </w:p>
    <w:p w:rsidR="5F024060" w:rsidP="57AE08A7" w:rsidRDefault="5F024060" w14:paraId="7E363E34" w14:textId="2DE57556">
      <w:pPr>
        <w:jc w:val="both"/>
        <w:rPr>
          <w:rFonts w:eastAsia="Arial" w:cs="Arial"/>
          <w:color w:val="000000" w:themeColor="text1"/>
          <w:sz w:val="22"/>
          <w:szCs w:val="22"/>
        </w:rPr>
      </w:pPr>
      <w:r w:rsidRPr="57AE08A7">
        <w:rPr>
          <w:rFonts w:eastAsia="Arial" w:cs="Arial"/>
          <w:color w:val="000000" w:themeColor="text1"/>
          <w:sz w:val="22"/>
          <w:szCs w:val="22"/>
        </w:rPr>
        <w:t>The bi-annual Carbon Fund meetings provide the opportunity to monitor progress throughout the year. DESNZ seeks additional information from its networks in-country, including FCDO colleagues working in embassies and non-government stakeholders.</w:t>
      </w:r>
    </w:p>
    <w:p w:rsidR="5F024060" w:rsidP="57AE08A7" w:rsidRDefault="5F024060" w14:paraId="5A50C022" w14:textId="01C5A15D">
      <w:pPr>
        <w:jc w:val="both"/>
      </w:pPr>
      <w:r w:rsidRPr="57AE08A7">
        <w:rPr>
          <w:rFonts w:eastAsia="Arial" w:cs="Arial"/>
          <w:color w:val="000000" w:themeColor="text1"/>
          <w:sz w:val="22"/>
          <w:szCs w:val="22"/>
        </w:rPr>
        <w:t xml:space="preserve"> </w:t>
      </w:r>
    </w:p>
    <w:p w:rsidR="5F024060" w:rsidP="57AE08A7" w:rsidRDefault="5F024060" w14:paraId="1B9F8576" w14:textId="034E8087">
      <w:pPr>
        <w:jc w:val="both"/>
        <w:rPr>
          <w:rFonts w:eastAsia="Arial" w:cs="Arial"/>
          <w:color w:val="000000" w:themeColor="text1"/>
          <w:sz w:val="22"/>
          <w:szCs w:val="22"/>
        </w:rPr>
      </w:pPr>
      <w:r w:rsidRPr="48C459F6">
        <w:rPr>
          <w:rFonts w:eastAsia="Arial" w:cs="Arial"/>
          <w:color w:val="000000" w:themeColor="text1"/>
          <w:sz w:val="22"/>
          <w:szCs w:val="22"/>
        </w:rPr>
        <w:t>The Third Programme Evaluation occurred in the previous reporting period and published results are available.</w:t>
      </w:r>
      <w:r w:rsidRPr="48C459F6">
        <w:rPr>
          <w:rStyle w:val="FootnoteReference"/>
          <w:rFonts w:eastAsia="Arial" w:cs="Arial"/>
          <w:color w:val="000000" w:themeColor="text1"/>
          <w:sz w:val="22"/>
          <w:szCs w:val="22"/>
        </w:rPr>
        <w:footnoteReference w:id="9"/>
      </w:r>
      <w:r w:rsidRPr="48C459F6">
        <w:rPr>
          <w:rFonts w:eastAsia="Arial" w:cs="Arial"/>
          <w:color w:val="000000" w:themeColor="text1"/>
          <w:sz w:val="22"/>
          <w:szCs w:val="22"/>
        </w:rPr>
        <w:t xml:space="preserve"> Formal evaluative evidence has been used for this Annual Review. </w:t>
      </w:r>
    </w:p>
    <w:p w:rsidR="5F024060" w:rsidP="57AE08A7" w:rsidRDefault="5F024060" w14:paraId="7A9A92EC" w14:textId="1E8D778E">
      <w:pPr>
        <w:jc w:val="both"/>
      </w:pPr>
      <w:r w:rsidRPr="57AE08A7">
        <w:rPr>
          <w:rFonts w:eastAsia="Arial" w:cs="Arial"/>
          <w:color w:val="000000" w:themeColor="text1"/>
          <w:sz w:val="22"/>
          <w:szCs w:val="22"/>
        </w:rPr>
        <w:t xml:space="preserve"> </w:t>
      </w:r>
    </w:p>
    <w:p w:rsidR="5F024060" w:rsidP="57AE08A7" w:rsidRDefault="5F024060" w14:paraId="1A3652B3" w14:textId="359C545E">
      <w:pPr>
        <w:jc w:val="both"/>
        <w:rPr>
          <w:rFonts w:eastAsia="Arial" w:cs="Arial"/>
          <w:b/>
          <w:bCs/>
          <w:color w:val="000000" w:themeColor="text1"/>
          <w:sz w:val="22"/>
          <w:szCs w:val="22"/>
          <w:u w:val="single"/>
        </w:rPr>
      </w:pPr>
      <w:r w:rsidRPr="57AE08A7">
        <w:rPr>
          <w:rFonts w:eastAsia="Arial" w:cs="Arial"/>
          <w:b/>
          <w:bCs/>
          <w:color w:val="000000" w:themeColor="text1"/>
          <w:sz w:val="22"/>
          <w:szCs w:val="22"/>
          <w:u w:val="single"/>
        </w:rPr>
        <w:t>Quality of financial management</w:t>
      </w:r>
    </w:p>
    <w:p w:rsidR="5F024060" w:rsidP="57AE08A7" w:rsidRDefault="5F024060" w14:paraId="53B486A9" w14:textId="233CE8F5">
      <w:pPr>
        <w:jc w:val="both"/>
      </w:pPr>
      <w:r w:rsidRPr="57AE08A7">
        <w:rPr>
          <w:rFonts w:eastAsia="Arial" w:cs="Arial"/>
          <w:color w:val="000000" w:themeColor="text1"/>
          <w:sz w:val="22"/>
          <w:szCs w:val="22"/>
        </w:rPr>
        <w:t xml:space="preserve"> </w:t>
      </w:r>
    </w:p>
    <w:p w:rsidR="5F024060" w:rsidP="57AE08A7" w:rsidRDefault="5F024060" w14:paraId="16C26020" w14:textId="17315B17">
      <w:pPr>
        <w:jc w:val="both"/>
        <w:rPr>
          <w:rFonts w:eastAsia="Arial" w:cs="Arial"/>
          <w:color w:val="000000" w:themeColor="text1"/>
          <w:sz w:val="22"/>
          <w:szCs w:val="22"/>
        </w:rPr>
      </w:pPr>
      <w:r w:rsidRPr="57AE08A7">
        <w:rPr>
          <w:rFonts w:eastAsia="Arial" w:cs="Arial"/>
          <w:color w:val="000000" w:themeColor="text1"/>
          <w:sz w:val="22"/>
          <w:szCs w:val="22"/>
        </w:rPr>
        <w:t>The World Bank is a trusted partner for financial management. The FCPF reports budgets for the following financial year at each Annual Meeting. Actual spend against forecast is monitored and updated regularly by the World Bank and reported at each Annual Meeting. All contributors’ funds have been fully committed and called, and we will therefore have no further Call of Funds (for Promissory Note drawdowns) requested. We receive Annual Budgets at summer Carbon Fund Meetings. We will continue to provide scrutiny on Annual Budgets when received.</w:t>
      </w:r>
    </w:p>
    <w:p w:rsidR="48C459F6" w:rsidP="48C459F6" w:rsidRDefault="48C459F6" w14:paraId="074CC05C" w14:textId="25B6CFB4">
      <w:pPr>
        <w:spacing w:after="40"/>
        <w:contextualSpacing/>
        <w:jc w:val="both"/>
        <w:rPr>
          <w:rFonts w:eastAsia="Arial" w:cs="Arial"/>
          <w:color w:val="000000" w:themeColor="text1"/>
          <w:sz w:val="22"/>
          <w:szCs w:val="22"/>
        </w:rPr>
      </w:pPr>
    </w:p>
    <w:p w:rsidRPr="00322410" w:rsidR="3F76CE01" w:rsidP="30C77F09" w:rsidRDefault="3F76CE01" w14:paraId="4F23DEC2" w14:textId="0BE0963B">
      <w:pPr>
        <w:tabs>
          <w:tab w:val="right" w:leader="dot" w:pos="9710"/>
        </w:tabs>
        <w:contextualSpacing/>
        <w:jc w:val="both"/>
        <w:rPr>
          <w:rFonts w:eastAsia="Arial" w:cs="Arial"/>
          <w:color w:val="000000" w:themeColor="text1"/>
          <w:sz w:val="22"/>
          <w:szCs w:val="22"/>
        </w:rPr>
      </w:pPr>
    </w:p>
    <w:tbl>
      <w:tblPr>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4508"/>
        <w:gridCol w:w="4508"/>
      </w:tblGrid>
      <w:tr w:rsidRPr="00322410" w:rsidR="24958D28" w:rsidTr="30C77F09" w14:paraId="74634EF1" w14:textId="77777777">
        <w:trPr>
          <w:trHeight w:val="300"/>
        </w:trPr>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322410" w:rsidR="24958D28" w:rsidP="662399CC" w:rsidRDefault="24958D28" w14:paraId="74026F1A" w14:textId="628C2CE7">
            <w:pPr>
              <w:spacing w:line="276" w:lineRule="auto"/>
              <w:rPr>
                <w:rFonts w:eastAsia="Arial" w:cs="Arial"/>
                <w:color w:val="212121"/>
                <w:sz w:val="22"/>
                <w:szCs w:val="22"/>
              </w:rPr>
            </w:pPr>
            <w:r w:rsidRPr="00322410">
              <w:rPr>
                <w:rFonts w:eastAsia="Arial" w:cs="Arial"/>
                <w:color w:val="212121"/>
                <w:sz w:val="22"/>
                <w:szCs w:val="22"/>
              </w:rPr>
              <w:t>How have you taken a proportional approach to climate and environment risk assurance?</w:t>
            </w:r>
          </w:p>
        </w:tc>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322410" w:rsidR="24958D28" w:rsidP="662399CC" w:rsidRDefault="24958D28" w14:paraId="206AEC96" w14:textId="1D53A84F">
            <w:pPr>
              <w:spacing w:line="276" w:lineRule="auto"/>
              <w:rPr>
                <w:rFonts w:eastAsia="Arial" w:cs="Arial"/>
                <w:color w:val="212121"/>
                <w:sz w:val="22"/>
                <w:szCs w:val="22"/>
              </w:rPr>
            </w:pPr>
            <w:r w:rsidRPr="00322410">
              <w:rPr>
                <w:rFonts w:eastAsia="Arial" w:cs="Arial"/>
                <w:color w:val="212121"/>
                <w:sz w:val="22"/>
                <w:szCs w:val="22"/>
              </w:rPr>
              <w:t xml:space="preserve"> </w:t>
            </w:r>
            <w:r w:rsidRPr="00322410" w:rsidR="7F2A1D7B">
              <w:rPr>
                <w:rFonts w:eastAsia="Arial" w:cs="Arial"/>
                <w:color w:val="212121"/>
                <w:sz w:val="22"/>
                <w:szCs w:val="22"/>
              </w:rPr>
              <w:t>Yes. A Climate and Environmental Risk Screening has been conducted. The Climate Risk Screening was Moderate</w:t>
            </w:r>
            <w:r w:rsidRPr="00322410">
              <w:rPr>
                <w:rStyle w:val="FootnoteReference"/>
                <w:rFonts w:eastAsia="Arial" w:cs="Arial"/>
                <w:color w:val="212121"/>
                <w:sz w:val="22"/>
                <w:szCs w:val="22"/>
              </w:rPr>
              <w:footnoteReference w:id="10"/>
            </w:r>
            <w:r w:rsidRPr="00322410" w:rsidR="7F2A1D7B">
              <w:rPr>
                <w:rFonts w:eastAsia="Arial" w:cs="Arial"/>
                <w:color w:val="212121"/>
                <w:sz w:val="22"/>
                <w:szCs w:val="22"/>
              </w:rPr>
              <w:t>, and the Environmental Risk Screening was Low</w:t>
            </w:r>
            <w:r w:rsidRPr="00322410">
              <w:rPr>
                <w:rStyle w:val="FootnoteReference"/>
                <w:rFonts w:eastAsia="Arial" w:cs="Arial"/>
                <w:color w:val="212121"/>
                <w:sz w:val="22"/>
                <w:szCs w:val="22"/>
              </w:rPr>
              <w:footnoteReference w:id="11"/>
            </w:r>
            <w:r w:rsidRPr="00322410" w:rsidR="7F2A1D7B">
              <w:rPr>
                <w:rFonts w:eastAsia="Arial" w:cs="Arial"/>
                <w:color w:val="212121"/>
                <w:sz w:val="22"/>
                <w:szCs w:val="22"/>
              </w:rPr>
              <w:t>. Risks will be monitored through the normal ICF risk management processes</w:t>
            </w:r>
            <w:r w:rsidRPr="00322410" w:rsidR="62733BF2">
              <w:rPr>
                <w:rFonts w:eastAsia="Arial" w:cs="Arial"/>
                <w:color w:val="212121"/>
                <w:sz w:val="22"/>
                <w:szCs w:val="22"/>
              </w:rPr>
              <w:t>.</w:t>
            </w:r>
          </w:p>
        </w:tc>
      </w:tr>
      <w:tr w:rsidRPr="00322410" w:rsidR="24958D28" w:rsidTr="30C77F09" w14:paraId="24F160CD" w14:textId="77777777">
        <w:trPr>
          <w:trHeight w:val="300"/>
        </w:trPr>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322410" w:rsidR="24958D28" w:rsidP="662399CC" w:rsidRDefault="24958D28" w14:paraId="37F94F6E" w14:textId="4E36E106">
            <w:pPr>
              <w:spacing w:line="276" w:lineRule="auto"/>
              <w:rPr>
                <w:rFonts w:eastAsia="Arial" w:cs="Arial"/>
                <w:color w:val="212121"/>
                <w:sz w:val="22"/>
                <w:szCs w:val="22"/>
              </w:rPr>
            </w:pPr>
            <w:r w:rsidRPr="00322410">
              <w:rPr>
                <w:rFonts w:eastAsia="Arial" w:cs="Arial"/>
                <w:color w:val="212121"/>
                <w:sz w:val="22"/>
                <w:szCs w:val="22"/>
              </w:rPr>
              <w:t>How have you taken a proportional approach to using shadow carbon pricing?</w:t>
            </w:r>
          </w:p>
        </w:tc>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322410" w:rsidR="24958D28" w:rsidP="338D4536" w:rsidRDefault="2A16FFE4" w14:paraId="1043457E" w14:textId="2E8B4180">
            <w:pPr>
              <w:spacing w:line="276" w:lineRule="auto"/>
              <w:rPr>
                <w:rFonts w:eastAsia="Arial" w:cs="Arial"/>
                <w:color w:val="212121"/>
                <w:sz w:val="22"/>
                <w:szCs w:val="22"/>
              </w:rPr>
            </w:pPr>
            <w:r w:rsidRPr="00322410">
              <w:rPr>
                <w:rFonts w:eastAsia="Arial" w:cs="Arial"/>
                <w:color w:val="212121"/>
                <w:sz w:val="22"/>
                <w:szCs w:val="22"/>
              </w:rPr>
              <w:t xml:space="preserve">Yes. All FCPF ERPAs have been finalised with consistent carbon pricing ($5/tonne). For </w:t>
            </w:r>
            <w:r w:rsidRPr="00322410" w:rsidR="6DA3B8DC">
              <w:rPr>
                <w:rFonts w:eastAsia="Arial" w:cs="Arial"/>
                <w:color w:val="212121"/>
                <w:sz w:val="22"/>
                <w:szCs w:val="22"/>
              </w:rPr>
              <w:t>potential call options and third-party transactions, pricing is negotiated between buyer and seller. The FCPF supports on mechanisms to support price ambition/discovery (i.e., through an auction mechanism).</w:t>
            </w:r>
          </w:p>
        </w:tc>
      </w:tr>
      <w:tr w:rsidRPr="00322410" w:rsidR="24958D28" w:rsidTr="30C77F09" w14:paraId="3A0589D5" w14:textId="77777777">
        <w:trPr>
          <w:trHeight w:val="300"/>
        </w:trPr>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322410" w:rsidR="24958D28" w:rsidP="662399CC" w:rsidRDefault="24958D28" w14:paraId="51F4163E" w14:textId="6044FA6D">
            <w:pPr>
              <w:spacing w:line="276" w:lineRule="auto"/>
              <w:rPr>
                <w:rFonts w:eastAsia="Arial" w:cs="Arial"/>
                <w:color w:val="212121"/>
                <w:sz w:val="22"/>
                <w:szCs w:val="22"/>
              </w:rPr>
            </w:pPr>
            <w:r w:rsidRPr="00322410">
              <w:rPr>
                <w:rFonts w:eastAsia="Arial" w:cs="Arial"/>
                <w:color w:val="212121"/>
                <w:sz w:val="22"/>
                <w:szCs w:val="22"/>
              </w:rPr>
              <w:t>Does the programme adhere to HMG’s fossil fuel policy?</w:t>
            </w:r>
          </w:p>
        </w:tc>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322410" w:rsidR="24958D28" w:rsidP="49791989" w:rsidRDefault="0DF77234" w14:paraId="4D99C99B" w14:textId="2A3B204E">
            <w:pPr>
              <w:spacing w:line="276" w:lineRule="auto"/>
              <w:rPr>
                <w:rFonts w:eastAsia="Arial" w:cs="Arial"/>
                <w:color w:val="212121"/>
                <w:sz w:val="22"/>
                <w:szCs w:val="22"/>
              </w:rPr>
            </w:pPr>
            <w:r w:rsidRPr="00322410">
              <w:rPr>
                <w:rFonts w:eastAsia="Arial" w:cs="Arial"/>
                <w:color w:val="212121"/>
                <w:sz w:val="22"/>
                <w:szCs w:val="22"/>
              </w:rPr>
              <w:t>Yes. This is existing support unrelated to fossil fuel policy and adheres to HMG “no new overseas fossil fuel financial or promotional support other than limited circumstances”.</w:t>
            </w:r>
          </w:p>
        </w:tc>
      </w:tr>
      <w:tr w:rsidRPr="00322410" w:rsidR="24958D28" w:rsidTr="30C77F09" w14:paraId="5AFB0C88" w14:textId="77777777">
        <w:trPr>
          <w:trHeight w:val="990"/>
        </w:trPr>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322410" w:rsidR="24958D28" w:rsidP="662399CC" w:rsidRDefault="24958D28" w14:paraId="046BB519" w14:textId="0AF09318">
            <w:pPr>
              <w:spacing w:line="276" w:lineRule="auto"/>
              <w:rPr>
                <w:rFonts w:eastAsia="Arial" w:cs="Arial"/>
                <w:color w:val="212121"/>
                <w:sz w:val="22"/>
                <w:szCs w:val="22"/>
              </w:rPr>
            </w:pPr>
            <w:r w:rsidRPr="00322410">
              <w:rPr>
                <w:rFonts w:eastAsia="Arial" w:cs="Arial"/>
                <w:color w:val="212121"/>
                <w:sz w:val="22"/>
                <w:szCs w:val="22"/>
              </w:rPr>
              <w:t>Are you ensuring the programme does not undermine impacted countries climate plans?</w:t>
            </w:r>
          </w:p>
        </w:tc>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322410" w:rsidR="24958D28" w:rsidP="662399CC" w:rsidRDefault="2DE9AD01" w14:paraId="6B3574C7" w14:textId="5AE9FFBB">
            <w:pPr>
              <w:spacing w:line="276" w:lineRule="auto"/>
              <w:rPr>
                <w:rFonts w:eastAsia="Arial" w:cs="Arial"/>
                <w:color w:val="212121"/>
                <w:sz w:val="22"/>
                <w:szCs w:val="22"/>
              </w:rPr>
            </w:pPr>
            <w:r w:rsidRPr="00322410">
              <w:rPr>
                <w:rFonts w:eastAsia="Arial" w:cs="Arial"/>
                <w:color w:val="212121"/>
                <w:sz w:val="22"/>
                <w:szCs w:val="22"/>
              </w:rPr>
              <w:t>Yes. FCPF country ERPs are aligned with, and support, forest country climate plans. The programmes are delivered by governments. Additionally, 95% of the fund goes directly towards supporting countries pr</w:t>
            </w:r>
            <w:r w:rsidRPr="00322410" w:rsidR="0BA2E102">
              <w:rPr>
                <w:rFonts w:eastAsia="Arial" w:cs="Arial"/>
                <w:color w:val="212121"/>
                <w:sz w:val="22"/>
                <w:szCs w:val="22"/>
              </w:rPr>
              <w:t>oduce ERs that would be available for use against their NDCs.</w:t>
            </w:r>
          </w:p>
        </w:tc>
      </w:tr>
    </w:tbl>
    <w:p w:rsidRPr="00322410" w:rsidR="24958D28" w:rsidP="24958D28" w:rsidRDefault="24958D28" w14:paraId="54553C26" w14:textId="50981ECF">
      <w:pPr>
        <w:jc w:val="both"/>
        <w:rPr>
          <w:rFonts w:cs="Arial"/>
          <w:sz w:val="22"/>
          <w:szCs w:val="22"/>
        </w:rPr>
      </w:pPr>
    </w:p>
    <w:p w:rsidRPr="00322410" w:rsidR="24958D28" w:rsidP="24958D28" w:rsidRDefault="24958D28" w14:paraId="31875769" w14:textId="07D42045">
      <w:pPr>
        <w:jc w:val="both"/>
        <w:rPr>
          <w:rFonts w:cs="Arial"/>
          <w:sz w:val="22"/>
          <w:szCs w:val="22"/>
        </w:rPr>
      </w:pPr>
    </w:p>
    <w:tbl>
      <w:tblPr>
        <w:tblStyle w:val="TableGrid"/>
        <w:tblW w:w="0" w:type="auto"/>
        <w:tblInd w:w="-5" w:type="dxa"/>
        <w:tblLook w:val="04A0" w:firstRow="1" w:lastRow="0" w:firstColumn="1" w:lastColumn="0" w:noHBand="0" w:noVBand="1"/>
      </w:tblPr>
      <w:tblGrid>
        <w:gridCol w:w="4508"/>
        <w:gridCol w:w="2268"/>
      </w:tblGrid>
      <w:tr w:rsidRPr="00322410" w:rsidR="003D222C" w:rsidTr="2C0DF5FE" w14:paraId="237FE329" w14:textId="77777777">
        <w:tc>
          <w:tcPr>
            <w:tcW w:w="4508" w:type="dxa"/>
            <w:tcBorders>
              <w:top w:val="single" w:color="auto" w:sz="4" w:space="0"/>
              <w:left w:val="single" w:color="auto" w:sz="4" w:space="0"/>
              <w:bottom w:val="single" w:color="auto" w:sz="4" w:space="0"/>
              <w:right w:val="single" w:color="auto" w:sz="4" w:space="0"/>
            </w:tcBorders>
            <w:shd w:val="clear" w:color="auto" w:fill="DEEAF6" w:themeFill="accent5" w:themeFillTint="33"/>
            <w:tcMar/>
            <w:hideMark/>
          </w:tcPr>
          <w:p w:rsidRPr="00322410" w:rsidR="003D222C" w:rsidP="004D5FD5" w:rsidRDefault="003D222C" w14:paraId="31FF5132" w14:textId="77777777">
            <w:pPr>
              <w:jc w:val="both"/>
              <w:rPr>
                <w:rFonts w:cs="Arial"/>
                <w:sz w:val="22"/>
                <w:szCs w:val="22"/>
              </w:rPr>
            </w:pPr>
            <w:r w:rsidRPr="00322410">
              <w:rPr>
                <w:rFonts w:cs="Arial"/>
                <w:sz w:val="22"/>
                <w:szCs w:val="22"/>
              </w:rPr>
              <w:t>Date of last narrative financial report</w:t>
            </w:r>
          </w:p>
        </w:tc>
        <w:tc>
          <w:tcPr>
            <w:tcW w:w="2268" w:type="dxa"/>
            <w:tcBorders>
              <w:top w:val="single" w:color="auto" w:sz="4" w:space="0"/>
              <w:left w:val="single" w:color="auto" w:sz="4" w:space="0"/>
              <w:bottom w:val="single" w:color="auto" w:sz="4" w:space="0"/>
              <w:right w:val="single" w:color="auto" w:sz="4" w:space="0"/>
            </w:tcBorders>
            <w:tcMar/>
          </w:tcPr>
          <w:p w:rsidRPr="00322410" w:rsidR="003D222C" w:rsidP="004D5FD5" w:rsidRDefault="62930BE3" w14:paraId="2ADAB5DF" w14:textId="614F7737">
            <w:pPr>
              <w:jc w:val="both"/>
              <w:rPr>
                <w:rFonts w:cs="Arial"/>
                <w:sz w:val="22"/>
                <w:szCs w:val="22"/>
              </w:rPr>
            </w:pPr>
            <w:r w:rsidRPr="5FD27174">
              <w:rPr>
                <w:rFonts w:cs="Arial"/>
                <w:sz w:val="22"/>
                <w:szCs w:val="22"/>
              </w:rPr>
              <w:t>June 2025</w:t>
            </w:r>
          </w:p>
        </w:tc>
      </w:tr>
      <w:tr w:rsidRPr="00D80C6C" w:rsidR="003D222C" w:rsidTr="2C0DF5FE" w14:paraId="1FE89B21" w14:textId="77777777">
        <w:tc>
          <w:tcPr>
            <w:tcW w:w="4508" w:type="dxa"/>
            <w:tcBorders>
              <w:top w:val="single" w:color="auto" w:sz="4" w:space="0"/>
              <w:left w:val="single" w:color="auto" w:sz="4" w:space="0"/>
              <w:bottom w:val="single" w:color="auto" w:sz="4" w:space="0"/>
              <w:right w:val="single" w:color="auto" w:sz="4" w:space="0"/>
            </w:tcBorders>
            <w:shd w:val="clear" w:color="auto" w:fill="DEEAF6" w:themeFill="accent5" w:themeFillTint="33"/>
            <w:tcMar/>
            <w:hideMark/>
          </w:tcPr>
          <w:p w:rsidRPr="00D80C6C" w:rsidR="003D222C" w:rsidP="004D5FD5" w:rsidRDefault="003D222C" w14:paraId="7C3A69BE" w14:textId="77777777">
            <w:pPr>
              <w:jc w:val="both"/>
              <w:rPr>
                <w:rFonts w:cs="Arial"/>
                <w:sz w:val="22"/>
                <w:szCs w:val="22"/>
              </w:rPr>
            </w:pPr>
            <w:r w:rsidRPr="2C0DF5FE" w:rsidR="003D222C">
              <w:rPr>
                <w:rFonts w:cs="Arial"/>
                <w:sz w:val="22"/>
                <w:szCs w:val="22"/>
              </w:rPr>
              <w:t>Date of last audited annual statement</w:t>
            </w:r>
          </w:p>
        </w:tc>
        <w:tc>
          <w:tcPr>
            <w:tcW w:w="2268" w:type="dxa"/>
            <w:tcBorders>
              <w:top w:val="single" w:color="auto" w:sz="4" w:space="0"/>
              <w:left w:val="single" w:color="auto" w:sz="4" w:space="0"/>
              <w:bottom w:val="single" w:color="auto" w:sz="4" w:space="0"/>
              <w:right w:val="single" w:color="auto" w:sz="4" w:space="0"/>
            </w:tcBorders>
            <w:tcMar/>
          </w:tcPr>
          <w:p w:rsidRPr="00D80C6C" w:rsidR="003D222C" w:rsidP="004D5FD5" w:rsidRDefault="4D1A6FEB" w14:paraId="67F793A9" w14:textId="5A0203E3">
            <w:pPr>
              <w:jc w:val="both"/>
              <w:rPr>
                <w:rFonts w:cs="Arial"/>
                <w:sz w:val="22"/>
                <w:szCs w:val="22"/>
              </w:rPr>
            </w:pPr>
            <w:r w:rsidRPr="5FD27174">
              <w:rPr>
                <w:rFonts w:cs="Arial"/>
                <w:sz w:val="22"/>
                <w:szCs w:val="22"/>
              </w:rPr>
              <w:t>June 2025</w:t>
            </w:r>
          </w:p>
        </w:tc>
      </w:tr>
    </w:tbl>
    <w:p w:rsidRPr="00D80C6C" w:rsidR="003D222C" w:rsidP="003D0399" w:rsidRDefault="003D222C" w14:paraId="4AB97E44" w14:textId="77777777">
      <w:pPr>
        <w:jc w:val="both"/>
        <w:rPr>
          <w:rFonts w:cs="Arial"/>
          <w:sz w:val="22"/>
          <w:szCs w:val="22"/>
        </w:rPr>
      </w:pPr>
    </w:p>
    <w:sectPr w:rsidRPr="00D80C6C" w:rsidR="003D222C" w:rsidSect="001C6CE4">
      <w:headerReference w:type="default" r:id="rId24"/>
      <w:footerReference w:type="default" r:id="rId25"/>
      <w:headerReference w:type="first" r:id="rId26"/>
      <w:footerReference w:type="first" r:id="rId27"/>
      <w:pgSz w:w="11906" w:h="16838" w:orient="portrait"/>
      <w:pgMar w:top="709" w:right="1440" w:bottom="709" w:left="1440" w:header="708" w:footer="708" w:gutter="0"/>
      <w:pgBorders w:offsetFrom="page">
        <w:top w:val="single" w:color="auto" w:sz="4" w:space="24"/>
        <w:left w:val="single" w:color="auto" w:sz="4" w:space="24"/>
        <w:bottom w:val="single" w:color="auto" w:sz="4" w:space="24"/>
        <w:right w:val="single" w:color="auto" w:sz="4" w:space="24"/>
      </w:pgBorders>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638B" w:rsidP="003D222C" w:rsidRDefault="0067638B" w14:paraId="7ACCBBE1" w14:textId="77777777">
      <w:r>
        <w:separator/>
      </w:r>
    </w:p>
  </w:endnote>
  <w:endnote w:type="continuationSeparator" w:id="0">
    <w:p w:rsidR="0067638B" w:rsidP="003D222C" w:rsidRDefault="0067638B" w14:paraId="01B3AB32" w14:textId="77777777">
      <w:r>
        <w:continuationSeparator/>
      </w:r>
    </w:p>
  </w:endnote>
  <w:endnote w:type="continuationNotice" w:id="1">
    <w:p w:rsidR="0067638B" w:rsidRDefault="0067638B" w14:paraId="01D20C9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779427"/>
      <w:docPartObj>
        <w:docPartGallery w:val="Page Numbers (Bottom of Page)"/>
        <w:docPartUnique/>
      </w:docPartObj>
    </w:sdtPr>
    <w:sdtEndPr>
      <w:rPr>
        <w:noProof/>
      </w:rPr>
    </w:sdtEndPr>
    <w:sdtContent>
      <w:p w:rsidR="00920D19" w:rsidRDefault="00920D19" w14:paraId="6505D46B" w14:textId="26A3B6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20D19" w:rsidRDefault="00920D19" w14:paraId="1D8727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217" w:rsidP="00090217" w:rsidRDefault="0C1544B3" w14:paraId="368DDCA5" w14:textId="1516DBCD">
    <w:pPr>
      <w:pStyle w:val="BEISDate"/>
    </w:pPr>
    <w:r>
      <w:t>November 2025</w:t>
    </w:r>
  </w:p>
  <w:p w:rsidR="00090217" w:rsidRDefault="00090217" w14:paraId="4E83EFA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638B" w:rsidP="003D222C" w:rsidRDefault="0067638B" w14:paraId="13E67C49" w14:textId="77777777">
      <w:r>
        <w:separator/>
      </w:r>
    </w:p>
  </w:footnote>
  <w:footnote w:type="continuationSeparator" w:id="0">
    <w:p w:rsidR="0067638B" w:rsidP="003D222C" w:rsidRDefault="0067638B" w14:paraId="43B7ED36" w14:textId="77777777">
      <w:r>
        <w:continuationSeparator/>
      </w:r>
    </w:p>
  </w:footnote>
  <w:footnote w:type="continuationNotice" w:id="1">
    <w:p w:rsidR="0067638B" w:rsidRDefault="0067638B" w14:paraId="577D09AE" w14:textId="77777777"/>
  </w:footnote>
  <w:footnote w:id="2">
    <w:p w:rsidRPr="00CD2EE0" w:rsidR="002043AE" w:rsidP="5934B3AB" w:rsidRDefault="002043AE" w14:paraId="370F1B25" w14:textId="0C1C6277">
      <w:pPr>
        <w:pStyle w:val="FootnoteText"/>
        <w:rPr>
          <w:sz w:val="18"/>
          <w:szCs w:val="18"/>
        </w:rPr>
      </w:pPr>
      <w:r w:rsidRPr="5934B3AB">
        <w:rPr>
          <w:rStyle w:val="FootnoteReference"/>
          <w:rFonts w:eastAsia="Arial" w:cs="Arial"/>
          <w:sz w:val="18"/>
          <w:szCs w:val="18"/>
        </w:rPr>
        <w:footnoteRef/>
      </w:r>
      <w:r w:rsidRPr="5934B3AB" w:rsidR="0E56E5FF">
        <w:rPr>
          <w:rFonts w:eastAsia="Arial" w:cs="Arial"/>
          <w:sz w:val="18"/>
          <w:szCs w:val="18"/>
        </w:rPr>
        <w:t xml:space="preserve"> From 2015, FCPF ICF Annual Reviews focus on the Carbon Fund. Previous reviews 2012-2014 were assessed on the basis of slightly different criteria (including progress of the Readiness Fund). Therefore, direct comparisons to earlier reviews are not possible. The decision to not review the Readiness Fund was taken given that UK investment in the Readiness Fund has been utilised and is no longer producing significant measurable or attributable results, and to efficiently manage the Forest Team portfolio.</w:t>
      </w:r>
    </w:p>
  </w:footnote>
  <w:footnote w:id="3">
    <w:p w:rsidR="00CD2EE0" w:rsidP="5934B3AB" w:rsidRDefault="00CD2EE0" w14:paraId="6B696E53" w14:textId="7BBB9643">
      <w:pPr>
        <w:pStyle w:val="FootnoteText"/>
        <w:rPr>
          <w:rFonts w:eastAsia="Arial" w:cs="Arial"/>
          <w:sz w:val="18"/>
          <w:szCs w:val="18"/>
        </w:rPr>
      </w:pPr>
      <w:r w:rsidRPr="5934B3AB">
        <w:rPr>
          <w:rStyle w:val="FootnoteReference"/>
          <w:rFonts w:eastAsia="Arial" w:cs="Arial"/>
          <w:sz w:val="18"/>
          <w:szCs w:val="18"/>
        </w:rPr>
        <w:footnoteRef/>
      </w:r>
      <w:r w:rsidRPr="5934B3AB" w:rsidR="29E2D638">
        <w:rPr>
          <w:rFonts w:eastAsia="Arial" w:cs="Arial"/>
          <w:sz w:val="18"/>
          <w:szCs w:val="18"/>
        </w:rPr>
        <w:t xml:space="preserve"> </w:t>
      </w:r>
      <w:r w:rsidRPr="5934B3AB" w:rsidR="62BECE96">
        <w:rPr>
          <w:rFonts w:eastAsia="Arial" w:cs="Arial"/>
          <w:sz w:val="18"/>
          <w:szCs w:val="18"/>
        </w:rPr>
        <w:t>From</w:t>
      </w:r>
      <w:r w:rsidRPr="5934B3AB" w:rsidR="29E2D638">
        <w:rPr>
          <w:rFonts w:eastAsia="Arial" w:cs="Arial"/>
          <w:sz w:val="18"/>
          <w:szCs w:val="18"/>
        </w:rPr>
        <w:t xml:space="preserve"> </w:t>
      </w:r>
      <w:bookmarkStart w:name="_Int_WYv1u0wG" w:id="3"/>
      <w:r w:rsidRPr="5934B3AB" w:rsidR="29E2D638">
        <w:rPr>
          <w:rFonts w:eastAsia="Arial" w:cs="Arial"/>
          <w:sz w:val="18"/>
          <w:szCs w:val="18"/>
        </w:rPr>
        <w:t>hereon</w:t>
      </w:r>
      <w:bookmarkEnd w:id="3"/>
      <w:r w:rsidRPr="5934B3AB" w:rsidR="29E2D638">
        <w:rPr>
          <w:rFonts w:eastAsia="Arial" w:cs="Arial"/>
          <w:sz w:val="18"/>
          <w:szCs w:val="18"/>
        </w:rPr>
        <w:t xml:space="preserve"> in, FCPF and Carbon Fund will be used interchangeably to discuss the FCPF Carbon Fund. The only time where this will not happen is when discussion focuses on the Readiness Fund – and this will be noted within the text.</w:t>
      </w:r>
    </w:p>
  </w:footnote>
  <w:footnote w:id="4">
    <w:p w:rsidRPr="00D07BB3" w:rsidR="009E7395" w:rsidP="5934B3AB" w:rsidRDefault="009E7395" w14:paraId="0F173FDA" w14:textId="4F6E9CB4">
      <w:pPr>
        <w:pStyle w:val="FootnoteText"/>
        <w:rPr>
          <w:sz w:val="18"/>
          <w:szCs w:val="18"/>
        </w:rPr>
      </w:pPr>
      <w:r w:rsidRPr="5934B3AB">
        <w:rPr>
          <w:rStyle w:val="FootnoteReference"/>
          <w:rFonts w:eastAsia="Arial" w:cs="Arial"/>
          <w:sz w:val="18"/>
          <w:szCs w:val="18"/>
        </w:rPr>
        <w:footnoteRef/>
      </w:r>
      <w:r w:rsidRPr="5934B3AB" w:rsidR="0E56E5FF">
        <w:rPr>
          <w:rFonts w:eastAsia="Arial" w:cs="Arial"/>
          <w:sz w:val="18"/>
          <w:szCs w:val="18"/>
        </w:rPr>
        <w:t xml:space="preserve"> Chile, Costa Rica, Cote d’Ivoire, Democratic Republic of Congo, Dominican Republic, Fiji, Ghana, Guatemala, Indonesia, Lao PDR, Madagascar, Mozambique, Mexico, Nepal, Nicaragua, Peru, Republic of Congo, and Vietnam. Mexico, Peru and Nicaragua have since left the Carbon Fund.</w:t>
      </w:r>
    </w:p>
  </w:footnote>
  <w:footnote w:id="5">
    <w:p w:rsidRPr="006E1992" w:rsidR="7450B0AD" w:rsidP="7450B0AD" w:rsidRDefault="7450B0AD" w14:paraId="5A63B229" w14:textId="321A6D8A">
      <w:pPr>
        <w:pStyle w:val="FootnoteText"/>
        <w:rPr>
          <w:sz w:val="18"/>
          <w:szCs w:val="18"/>
        </w:rPr>
      </w:pPr>
      <w:r w:rsidRPr="006E1992">
        <w:rPr>
          <w:rStyle w:val="FootnoteReference"/>
          <w:sz w:val="18"/>
          <w:szCs w:val="18"/>
        </w:rPr>
        <w:footnoteRef/>
      </w:r>
      <w:r w:rsidRPr="006E1992" w:rsidR="27C60553">
        <w:rPr>
          <w:sz w:val="18"/>
          <w:szCs w:val="18"/>
        </w:rPr>
        <w:t xml:space="preserve"> In RP25, results for RP23 and RP24 were revised from $571m and $918m to $385m and $563m respectively due to an error found in the calculations.</w:t>
      </w:r>
    </w:p>
  </w:footnote>
  <w:footnote w:id="6">
    <w:p w:rsidRPr="006E1992" w:rsidR="22512D3D" w:rsidP="22512D3D" w:rsidRDefault="22512D3D" w14:paraId="3A732797" w14:textId="0DF5E500">
      <w:pPr>
        <w:pStyle w:val="FootnoteText"/>
        <w:rPr>
          <w:sz w:val="18"/>
          <w:szCs w:val="18"/>
        </w:rPr>
      </w:pPr>
      <w:r w:rsidRPr="006E1992">
        <w:rPr>
          <w:rStyle w:val="FootnoteReference"/>
          <w:sz w:val="18"/>
          <w:szCs w:val="18"/>
        </w:rPr>
        <w:footnoteRef/>
      </w:r>
      <w:r w:rsidRPr="006E1992">
        <w:rPr>
          <w:sz w:val="18"/>
          <w:szCs w:val="18"/>
        </w:rPr>
        <w:t xml:space="preserve"> The </w:t>
      </w:r>
      <w:r w:rsidRPr="006E1992">
        <w:rPr>
          <w:rFonts w:eastAsia="Arial" w:cs="Arial"/>
          <w:sz w:val="18"/>
          <w:szCs w:val="18"/>
        </w:rPr>
        <w:t>FCPF has a reversal management mechanism, which consists of a buffer made up of excess emission reductions produced across the 15 FCPF programmes. As the buffer (22 million ERs) currently greatly exceeds Mozambique’s potential reversals (~1.7 million ERs), these reversals have not impacted the integrity of the FCPF programme more widely.</w:t>
      </w:r>
    </w:p>
  </w:footnote>
  <w:footnote w:id="20911">
    <w:p w:rsidR="0023332A" w:rsidP="0023332A" w:rsidRDefault="0023332A" w14:paraId="08EE205E" w14:textId="77777777">
      <w:pPr>
        <w:pStyle w:val="FootnoteText"/>
      </w:pPr>
      <w:r w:rsidRPr="0C815E8A">
        <w:rPr>
          <w:rStyle w:val="FootnoteReference"/>
        </w:rPr>
        <w:footnoteRef/>
      </w:r>
      <w:r>
        <w:t xml:space="preserve"> The result recorded in the World Bank’s Annual Report is 10. The World Bank reports on this indicator based on Annex 3 of published ER monitoring reports. Annexes 1, 2 and 3 of monitoring reports are published together to avoid fragmented or partial disclosure. For several countries, Annex 3 had been completed by 30 June 2025, but publication was pending due to delays to Annex 1 or Annex 2. The results reported in this Annual Review are therefore taken from Annex 3 of countries’ ER monitoring reports, including where these had not been published by 30 June 2025.</w:t>
      </w:r>
    </w:p>
  </w:footnote>
  <w:footnote w:id="8">
    <w:p w:rsidR="00914280" w:rsidP="00914280" w:rsidRDefault="00914280" w14:paraId="270D5882" w14:textId="77777777">
      <w:pPr>
        <w:pStyle w:val="FootnoteText"/>
      </w:pPr>
      <w:r w:rsidRPr="784EAB3E">
        <w:rPr>
          <w:rStyle w:val="FootnoteReference"/>
        </w:rPr>
        <w:footnoteRef/>
      </w:r>
      <w:r>
        <w:t xml:space="preserve"> As above.</w:t>
      </w:r>
    </w:p>
  </w:footnote>
  <w:footnote w:id="9">
    <w:p w:rsidR="48C459F6" w:rsidP="48C459F6" w:rsidRDefault="48C459F6" w14:paraId="1B71D88F" w14:textId="53239D71">
      <w:pPr>
        <w:pStyle w:val="FootnoteText"/>
        <w:jc w:val="both"/>
      </w:pPr>
      <w:r w:rsidRPr="48C459F6">
        <w:rPr>
          <w:rStyle w:val="FootnoteReference"/>
        </w:rPr>
        <w:footnoteRef/>
      </w:r>
      <w:r>
        <w:t xml:space="preserve"> </w:t>
      </w:r>
      <w:hyperlink r:id="rId1">
        <w:r w:rsidRPr="48C459F6">
          <w:rPr>
            <w:rStyle w:val="Hyperlink"/>
            <w:rFonts w:eastAsia="Arial" w:cs="Arial"/>
            <w:color w:val="0563C1"/>
            <w:sz w:val="18"/>
            <w:szCs w:val="18"/>
          </w:rPr>
          <w:t>fcpf_final_evaluation_report_vol_1_05_june_2024_final.pdf</w:t>
        </w:r>
      </w:hyperlink>
    </w:p>
  </w:footnote>
  <w:footnote w:id="10">
    <w:p w:rsidRPr="003D0399" w:rsidR="5934B3AB" w:rsidP="5934B3AB" w:rsidRDefault="5934B3AB" w14:paraId="1BC347B9" w14:textId="1232874C">
      <w:pPr>
        <w:pStyle w:val="FootnoteText"/>
        <w:rPr>
          <w:sz w:val="18"/>
          <w:szCs w:val="18"/>
        </w:rPr>
      </w:pPr>
      <w:r w:rsidRPr="003D0399">
        <w:rPr>
          <w:rStyle w:val="FootnoteReference"/>
          <w:rFonts w:eastAsia="Arial" w:cs="Arial"/>
          <w:sz w:val="18"/>
          <w:szCs w:val="18"/>
        </w:rPr>
        <w:footnoteRef/>
      </w:r>
      <w:r w:rsidRPr="003D0399" w:rsidR="0E56E5FF">
        <w:rPr>
          <w:rFonts w:eastAsia="Arial" w:cs="Arial"/>
          <w:sz w:val="18"/>
          <w:szCs w:val="18"/>
        </w:rPr>
        <w:t xml:space="preserve"> </w:t>
      </w:r>
      <w:r w:rsidRPr="003D0399" w:rsidR="0E56E5FF">
        <w:rPr>
          <w:rFonts w:eastAsia="Arial" w:cs="Arial"/>
          <w:color w:val="000000" w:themeColor="text1"/>
          <w:sz w:val="18"/>
          <w:szCs w:val="18"/>
        </w:rPr>
        <w:t>Climate related risks could possibly impact on the programme success, and at least light touch risk reduction measures should be incorporated into project design and activities.</w:t>
      </w:r>
    </w:p>
  </w:footnote>
  <w:footnote w:id="11">
    <w:p w:rsidR="5934B3AB" w:rsidP="0E56E5FF" w:rsidRDefault="5934B3AB" w14:paraId="0A1BE725" w14:textId="3A6B0C2C">
      <w:pPr>
        <w:pStyle w:val="FootnoteText"/>
        <w:spacing w:after="40"/>
        <w:contextualSpacing/>
        <w:jc w:val="both"/>
      </w:pPr>
      <w:r w:rsidRPr="003D0399">
        <w:rPr>
          <w:rStyle w:val="FootnoteReference"/>
          <w:rFonts w:eastAsia="Arial" w:cs="Arial"/>
          <w:sz w:val="18"/>
          <w:szCs w:val="18"/>
        </w:rPr>
        <w:footnoteRef/>
      </w:r>
      <w:r w:rsidRPr="003D0399" w:rsidR="0E56E5FF">
        <w:rPr>
          <w:rFonts w:eastAsia="Arial" w:cs="Arial"/>
          <w:sz w:val="18"/>
          <w:szCs w:val="18"/>
        </w:rPr>
        <w:t xml:space="preserve"> </w:t>
      </w:r>
      <w:r w:rsidRPr="003D0399" w:rsidR="0E56E5FF">
        <w:rPr>
          <w:rFonts w:eastAsia="Arial" w:cs="Arial"/>
          <w:color w:val="000000" w:themeColor="text1"/>
          <w:sz w:val="18"/>
          <w:szCs w:val="18"/>
        </w:rPr>
        <w:t>This range indicates the programme is either very low risk, or the proposal has considered risk management measures to minimize hazard impacts and associated risks, and that the programme may therefore have a potentially higher threshold against current and anticipated risks.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6044A8B1" w:rsidP="6044A8B1" w:rsidRDefault="6044A8B1" w14:paraId="158642AD" w14:textId="66E71E91">
    <w:pPr>
      <w:pStyle w:val="Header"/>
      <w:pBdr>
        <w:bottom w:val="single" w:color="2B7EE2" w:sz="2" w:space="3"/>
      </w:pBdr>
    </w:pPr>
    <w:r w:rsidRPr="6044A8B1">
      <w:rPr>
        <w:color w:val="041E42"/>
        <w:sz w:val="22"/>
        <w:szCs w:val="22"/>
      </w:rPr>
      <w:t>FCPF Carbon Fund Annual Review 2024-25</w:t>
    </w:r>
  </w:p>
  <w:p w:rsidR="00164467" w:rsidRDefault="00164467" w14:paraId="0FC91CB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67FEB" w:rsidRDefault="00E64702" w14:paraId="227BA78C" w14:textId="2ECCA5CD">
    <w:pPr>
      <w:pStyle w:val="Header"/>
    </w:pPr>
    <w:r>
      <w:rPr>
        <w:noProof/>
      </w:rPr>
      <w:drawing>
        <wp:inline distT="0" distB="0" distL="0" distR="0" wp14:anchorId="653BEA8C" wp14:editId="2F7827DB">
          <wp:extent cx="2131029" cy="936702"/>
          <wp:effectExtent l="0" t="0" r="0" b="0"/>
          <wp:docPr id="1165208529" name="Picture 116520852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208529"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7930" cy="944131"/>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WDmbccZTCkjrSx" int2:id="Yfjj2Ist">
      <int2:state int2:value="Rejected" int2:type="spell"/>
    </int2:textHash>
    <int2:bookmark int2:bookmarkName="_Int_WYv1u0wG" int2:invalidationBookmarkName="" int2:hashCode="WSJz02HkC/Gw1u" int2:id="3IgJ230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1904"/>
    <w:multiLevelType w:val="hybridMultilevel"/>
    <w:tmpl w:val="AD647EEC"/>
    <w:lvl w:ilvl="0" w:tplc="582276B2">
      <w:start w:val="1"/>
      <w:numFmt w:val="bullet"/>
      <w:lvlText w:val=""/>
      <w:lvlJc w:val="left"/>
      <w:pPr>
        <w:ind w:left="720" w:hanging="360"/>
      </w:pPr>
      <w:rPr>
        <w:rFonts w:hint="default" w:ascii="Symbol" w:hAnsi="Symbol"/>
      </w:rPr>
    </w:lvl>
    <w:lvl w:ilvl="1" w:tplc="E640A7F2">
      <w:start w:val="1"/>
      <w:numFmt w:val="bullet"/>
      <w:lvlText w:val="o"/>
      <w:lvlJc w:val="left"/>
      <w:pPr>
        <w:ind w:left="1440" w:hanging="360"/>
      </w:pPr>
      <w:rPr>
        <w:rFonts w:hint="default" w:ascii="Courier New" w:hAnsi="Courier New"/>
      </w:rPr>
    </w:lvl>
    <w:lvl w:ilvl="2" w:tplc="936C3D36">
      <w:start w:val="1"/>
      <w:numFmt w:val="bullet"/>
      <w:lvlText w:val=""/>
      <w:lvlJc w:val="left"/>
      <w:pPr>
        <w:ind w:left="2160" w:hanging="360"/>
      </w:pPr>
      <w:rPr>
        <w:rFonts w:hint="default" w:ascii="Wingdings" w:hAnsi="Wingdings"/>
      </w:rPr>
    </w:lvl>
    <w:lvl w:ilvl="3" w:tplc="B4B0534A">
      <w:start w:val="1"/>
      <w:numFmt w:val="bullet"/>
      <w:lvlText w:val=""/>
      <w:lvlJc w:val="left"/>
      <w:pPr>
        <w:ind w:left="2880" w:hanging="360"/>
      </w:pPr>
      <w:rPr>
        <w:rFonts w:hint="default" w:ascii="Symbol" w:hAnsi="Symbol"/>
      </w:rPr>
    </w:lvl>
    <w:lvl w:ilvl="4" w:tplc="D4A8DD78">
      <w:start w:val="1"/>
      <w:numFmt w:val="bullet"/>
      <w:lvlText w:val="o"/>
      <w:lvlJc w:val="left"/>
      <w:pPr>
        <w:ind w:left="3600" w:hanging="360"/>
      </w:pPr>
      <w:rPr>
        <w:rFonts w:hint="default" w:ascii="Courier New" w:hAnsi="Courier New"/>
      </w:rPr>
    </w:lvl>
    <w:lvl w:ilvl="5" w:tplc="EC9807EC">
      <w:start w:val="1"/>
      <w:numFmt w:val="bullet"/>
      <w:lvlText w:val=""/>
      <w:lvlJc w:val="left"/>
      <w:pPr>
        <w:ind w:left="4320" w:hanging="360"/>
      </w:pPr>
      <w:rPr>
        <w:rFonts w:hint="default" w:ascii="Wingdings" w:hAnsi="Wingdings"/>
      </w:rPr>
    </w:lvl>
    <w:lvl w:ilvl="6" w:tplc="368E6F5A">
      <w:start w:val="1"/>
      <w:numFmt w:val="bullet"/>
      <w:lvlText w:val=""/>
      <w:lvlJc w:val="left"/>
      <w:pPr>
        <w:ind w:left="5040" w:hanging="360"/>
      </w:pPr>
      <w:rPr>
        <w:rFonts w:hint="default" w:ascii="Symbol" w:hAnsi="Symbol"/>
      </w:rPr>
    </w:lvl>
    <w:lvl w:ilvl="7" w:tplc="6E0C4204">
      <w:start w:val="1"/>
      <w:numFmt w:val="bullet"/>
      <w:lvlText w:val="o"/>
      <w:lvlJc w:val="left"/>
      <w:pPr>
        <w:ind w:left="5760" w:hanging="360"/>
      </w:pPr>
      <w:rPr>
        <w:rFonts w:hint="default" w:ascii="Courier New" w:hAnsi="Courier New"/>
      </w:rPr>
    </w:lvl>
    <w:lvl w:ilvl="8" w:tplc="052477CC">
      <w:start w:val="1"/>
      <w:numFmt w:val="bullet"/>
      <w:lvlText w:val=""/>
      <w:lvlJc w:val="left"/>
      <w:pPr>
        <w:ind w:left="6480" w:hanging="360"/>
      </w:pPr>
      <w:rPr>
        <w:rFonts w:hint="default" w:ascii="Wingdings" w:hAnsi="Wingdings"/>
      </w:rPr>
    </w:lvl>
  </w:abstractNum>
  <w:abstractNum w:abstractNumId="1" w15:restartNumberingAfterBreak="0">
    <w:nsid w:val="052D456B"/>
    <w:multiLevelType w:val="multilevel"/>
    <w:tmpl w:val="D870C69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5C5B88"/>
    <w:multiLevelType w:val="hybridMultilevel"/>
    <w:tmpl w:val="5E4A9A18"/>
    <w:lvl w:ilvl="0" w:tplc="4566C69C">
      <w:start w:val="1"/>
      <w:numFmt w:val="decimal"/>
      <w:lvlText w:val="%1."/>
      <w:lvlJc w:val="left"/>
      <w:pPr>
        <w:ind w:left="720" w:hanging="360"/>
      </w:pPr>
    </w:lvl>
    <w:lvl w:ilvl="1" w:tplc="CAAEF654" w:tentative="1">
      <w:start w:val="1"/>
      <w:numFmt w:val="lowerLetter"/>
      <w:lvlText w:val="%2."/>
      <w:lvlJc w:val="left"/>
      <w:pPr>
        <w:ind w:left="1440" w:hanging="360"/>
      </w:pPr>
    </w:lvl>
    <w:lvl w:ilvl="2" w:tplc="74F8C232" w:tentative="1">
      <w:start w:val="1"/>
      <w:numFmt w:val="lowerRoman"/>
      <w:lvlText w:val="%3."/>
      <w:lvlJc w:val="right"/>
      <w:pPr>
        <w:ind w:left="2160" w:hanging="180"/>
      </w:pPr>
    </w:lvl>
    <w:lvl w:ilvl="3" w:tplc="74EAB9B8" w:tentative="1">
      <w:start w:val="1"/>
      <w:numFmt w:val="decimal"/>
      <w:lvlText w:val="%4."/>
      <w:lvlJc w:val="left"/>
      <w:pPr>
        <w:ind w:left="2880" w:hanging="360"/>
      </w:pPr>
    </w:lvl>
    <w:lvl w:ilvl="4" w:tplc="3AD8CF12" w:tentative="1">
      <w:start w:val="1"/>
      <w:numFmt w:val="lowerLetter"/>
      <w:lvlText w:val="%5."/>
      <w:lvlJc w:val="left"/>
      <w:pPr>
        <w:ind w:left="3600" w:hanging="360"/>
      </w:pPr>
    </w:lvl>
    <w:lvl w:ilvl="5" w:tplc="8A5C4CAC" w:tentative="1">
      <w:start w:val="1"/>
      <w:numFmt w:val="lowerRoman"/>
      <w:lvlText w:val="%6."/>
      <w:lvlJc w:val="right"/>
      <w:pPr>
        <w:ind w:left="4320" w:hanging="180"/>
      </w:pPr>
    </w:lvl>
    <w:lvl w:ilvl="6" w:tplc="BBFE79F8" w:tentative="1">
      <w:start w:val="1"/>
      <w:numFmt w:val="decimal"/>
      <w:lvlText w:val="%7."/>
      <w:lvlJc w:val="left"/>
      <w:pPr>
        <w:ind w:left="5040" w:hanging="360"/>
      </w:pPr>
    </w:lvl>
    <w:lvl w:ilvl="7" w:tplc="B3DC6E22" w:tentative="1">
      <w:start w:val="1"/>
      <w:numFmt w:val="lowerLetter"/>
      <w:lvlText w:val="%8."/>
      <w:lvlJc w:val="left"/>
      <w:pPr>
        <w:ind w:left="5760" w:hanging="360"/>
      </w:pPr>
    </w:lvl>
    <w:lvl w:ilvl="8" w:tplc="7004C14E" w:tentative="1">
      <w:start w:val="1"/>
      <w:numFmt w:val="lowerRoman"/>
      <w:lvlText w:val="%9."/>
      <w:lvlJc w:val="right"/>
      <w:pPr>
        <w:ind w:left="6480" w:hanging="180"/>
      </w:pPr>
    </w:lvl>
  </w:abstractNum>
  <w:abstractNum w:abstractNumId="3" w15:restartNumberingAfterBreak="0">
    <w:nsid w:val="069383B3"/>
    <w:multiLevelType w:val="hybridMultilevel"/>
    <w:tmpl w:val="B742D178"/>
    <w:lvl w:ilvl="0" w:tplc="DB2E0434">
      <w:start w:val="1"/>
      <w:numFmt w:val="bullet"/>
      <w:lvlText w:val=""/>
      <w:lvlJc w:val="left"/>
      <w:pPr>
        <w:ind w:left="720" w:hanging="360"/>
      </w:pPr>
      <w:rPr>
        <w:rFonts w:hint="default" w:ascii="Symbol" w:hAnsi="Symbol"/>
      </w:rPr>
    </w:lvl>
    <w:lvl w:ilvl="1" w:tplc="B2C228E2">
      <w:start w:val="1"/>
      <w:numFmt w:val="bullet"/>
      <w:lvlText w:val="o"/>
      <w:lvlJc w:val="left"/>
      <w:pPr>
        <w:ind w:left="1440" w:hanging="360"/>
      </w:pPr>
      <w:rPr>
        <w:rFonts w:hint="default" w:ascii="Courier New" w:hAnsi="Courier New"/>
      </w:rPr>
    </w:lvl>
    <w:lvl w:ilvl="2" w:tplc="BC9892A0">
      <w:start w:val="1"/>
      <w:numFmt w:val="bullet"/>
      <w:lvlText w:val=""/>
      <w:lvlJc w:val="left"/>
      <w:pPr>
        <w:ind w:left="2160" w:hanging="360"/>
      </w:pPr>
      <w:rPr>
        <w:rFonts w:hint="default" w:ascii="Wingdings" w:hAnsi="Wingdings"/>
      </w:rPr>
    </w:lvl>
    <w:lvl w:ilvl="3" w:tplc="8F8C6B42">
      <w:start w:val="1"/>
      <w:numFmt w:val="bullet"/>
      <w:lvlText w:val=""/>
      <w:lvlJc w:val="left"/>
      <w:pPr>
        <w:ind w:left="2880" w:hanging="360"/>
      </w:pPr>
      <w:rPr>
        <w:rFonts w:hint="default" w:ascii="Symbol" w:hAnsi="Symbol"/>
      </w:rPr>
    </w:lvl>
    <w:lvl w:ilvl="4" w:tplc="5BF8B874">
      <w:start w:val="1"/>
      <w:numFmt w:val="bullet"/>
      <w:lvlText w:val="o"/>
      <w:lvlJc w:val="left"/>
      <w:pPr>
        <w:ind w:left="3600" w:hanging="360"/>
      </w:pPr>
      <w:rPr>
        <w:rFonts w:hint="default" w:ascii="Courier New" w:hAnsi="Courier New"/>
      </w:rPr>
    </w:lvl>
    <w:lvl w:ilvl="5" w:tplc="B87029B2">
      <w:start w:val="1"/>
      <w:numFmt w:val="bullet"/>
      <w:lvlText w:val=""/>
      <w:lvlJc w:val="left"/>
      <w:pPr>
        <w:ind w:left="4320" w:hanging="360"/>
      </w:pPr>
      <w:rPr>
        <w:rFonts w:hint="default" w:ascii="Wingdings" w:hAnsi="Wingdings"/>
      </w:rPr>
    </w:lvl>
    <w:lvl w:ilvl="6" w:tplc="D71CF6C0">
      <w:start w:val="1"/>
      <w:numFmt w:val="bullet"/>
      <w:lvlText w:val=""/>
      <w:lvlJc w:val="left"/>
      <w:pPr>
        <w:ind w:left="5040" w:hanging="360"/>
      </w:pPr>
      <w:rPr>
        <w:rFonts w:hint="default" w:ascii="Symbol" w:hAnsi="Symbol"/>
      </w:rPr>
    </w:lvl>
    <w:lvl w:ilvl="7" w:tplc="BC721A94">
      <w:start w:val="1"/>
      <w:numFmt w:val="bullet"/>
      <w:lvlText w:val="o"/>
      <w:lvlJc w:val="left"/>
      <w:pPr>
        <w:ind w:left="5760" w:hanging="360"/>
      </w:pPr>
      <w:rPr>
        <w:rFonts w:hint="default" w:ascii="Courier New" w:hAnsi="Courier New"/>
      </w:rPr>
    </w:lvl>
    <w:lvl w:ilvl="8" w:tplc="F104A5CA">
      <w:start w:val="1"/>
      <w:numFmt w:val="bullet"/>
      <w:lvlText w:val=""/>
      <w:lvlJc w:val="left"/>
      <w:pPr>
        <w:ind w:left="6480" w:hanging="360"/>
      </w:pPr>
      <w:rPr>
        <w:rFonts w:hint="default" w:ascii="Wingdings" w:hAnsi="Wingdings"/>
      </w:rPr>
    </w:lvl>
  </w:abstractNum>
  <w:abstractNum w:abstractNumId="4" w15:restartNumberingAfterBreak="0">
    <w:nsid w:val="089314B5"/>
    <w:multiLevelType w:val="hybridMultilevel"/>
    <w:tmpl w:val="D500EFCA"/>
    <w:lvl w:ilvl="0" w:tplc="2DF2E3FA">
      <w:start w:val="1"/>
      <w:numFmt w:val="bullet"/>
      <w:lvlText w:val=""/>
      <w:lvlJc w:val="left"/>
      <w:pPr>
        <w:ind w:left="720" w:hanging="360"/>
      </w:pPr>
      <w:rPr>
        <w:rFonts w:hint="default" w:ascii="Symbol" w:hAnsi="Symbol"/>
      </w:rPr>
    </w:lvl>
    <w:lvl w:ilvl="1" w:tplc="7F52F320">
      <w:start w:val="1"/>
      <w:numFmt w:val="bullet"/>
      <w:lvlText w:val="o"/>
      <w:lvlJc w:val="left"/>
      <w:pPr>
        <w:ind w:left="1440" w:hanging="360"/>
      </w:pPr>
      <w:rPr>
        <w:rFonts w:hint="default" w:ascii="Courier New" w:hAnsi="Courier New"/>
      </w:rPr>
    </w:lvl>
    <w:lvl w:ilvl="2" w:tplc="A01A8288">
      <w:start w:val="1"/>
      <w:numFmt w:val="bullet"/>
      <w:lvlText w:val=""/>
      <w:lvlJc w:val="left"/>
      <w:pPr>
        <w:ind w:left="2160" w:hanging="360"/>
      </w:pPr>
      <w:rPr>
        <w:rFonts w:hint="default" w:ascii="Wingdings" w:hAnsi="Wingdings"/>
      </w:rPr>
    </w:lvl>
    <w:lvl w:ilvl="3" w:tplc="39CA737E">
      <w:start w:val="1"/>
      <w:numFmt w:val="bullet"/>
      <w:lvlText w:val=""/>
      <w:lvlJc w:val="left"/>
      <w:pPr>
        <w:ind w:left="2880" w:hanging="360"/>
      </w:pPr>
      <w:rPr>
        <w:rFonts w:hint="default" w:ascii="Symbol" w:hAnsi="Symbol"/>
      </w:rPr>
    </w:lvl>
    <w:lvl w:ilvl="4" w:tplc="36B64280">
      <w:start w:val="1"/>
      <w:numFmt w:val="bullet"/>
      <w:lvlText w:val="o"/>
      <w:lvlJc w:val="left"/>
      <w:pPr>
        <w:ind w:left="3600" w:hanging="360"/>
      </w:pPr>
      <w:rPr>
        <w:rFonts w:hint="default" w:ascii="Courier New" w:hAnsi="Courier New"/>
      </w:rPr>
    </w:lvl>
    <w:lvl w:ilvl="5" w:tplc="958ED026">
      <w:start w:val="1"/>
      <w:numFmt w:val="bullet"/>
      <w:lvlText w:val=""/>
      <w:lvlJc w:val="left"/>
      <w:pPr>
        <w:ind w:left="4320" w:hanging="360"/>
      </w:pPr>
      <w:rPr>
        <w:rFonts w:hint="default" w:ascii="Wingdings" w:hAnsi="Wingdings"/>
      </w:rPr>
    </w:lvl>
    <w:lvl w:ilvl="6" w:tplc="C2A23C6A">
      <w:start w:val="1"/>
      <w:numFmt w:val="bullet"/>
      <w:lvlText w:val=""/>
      <w:lvlJc w:val="left"/>
      <w:pPr>
        <w:ind w:left="5040" w:hanging="360"/>
      </w:pPr>
      <w:rPr>
        <w:rFonts w:hint="default" w:ascii="Symbol" w:hAnsi="Symbol"/>
      </w:rPr>
    </w:lvl>
    <w:lvl w:ilvl="7" w:tplc="20745A2A">
      <w:start w:val="1"/>
      <w:numFmt w:val="bullet"/>
      <w:lvlText w:val="o"/>
      <w:lvlJc w:val="left"/>
      <w:pPr>
        <w:ind w:left="5760" w:hanging="360"/>
      </w:pPr>
      <w:rPr>
        <w:rFonts w:hint="default" w:ascii="Courier New" w:hAnsi="Courier New"/>
      </w:rPr>
    </w:lvl>
    <w:lvl w:ilvl="8" w:tplc="9AF88C86">
      <w:start w:val="1"/>
      <w:numFmt w:val="bullet"/>
      <w:lvlText w:val=""/>
      <w:lvlJc w:val="left"/>
      <w:pPr>
        <w:ind w:left="6480" w:hanging="360"/>
      </w:pPr>
      <w:rPr>
        <w:rFonts w:hint="default" w:ascii="Wingdings" w:hAnsi="Wingdings"/>
      </w:rPr>
    </w:lvl>
  </w:abstractNum>
  <w:abstractNum w:abstractNumId="5" w15:restartNumberingAfterBreak="0">
    <w:nsid w:val="0E5624B0"/>
    <w:multiLevelType w:val="multilevel"/>
    <w:tmpl w:val="7EEA679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F7B22A8"/>
    <w:multiLevelType w:val="multilevel"/>
    <w:tmpl w:val="E3968146"/>
    <w:lvl w:ilvl="0">
      <w:start w:val="1"/>
      <w:numFmt w:val="lowerLetter"/>
      <w:lvlText w:val="%1)"/>
      <w:lvlJc w:val="left"/>
      <w:pPr>
        <w:tabs>
          <w:tab w:val="num" w:pos="720"/>
        </w:tabs>
        <w:ind w:left="720" w:hanging="360"/>
      </w:pPr>
      <w:rPr>
        <w:sz w:val="20"/>
      </w:rPr>
    </w:lvl>
    <w:lvl w:ilvl="1">
      <w:start w:val="1"/>
      <w:numFmt w:val="lowerLetter"/>
      <w:lvlText w:val="%2)"/>
      <w:lvlJc w:val="left"/>
      <w:pPr>
        <w:ind w:left="1440" w:hanging="360"/>
      </w:p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175312BF"/>
    <w:multiLevelType w:val="hybridMultilevel"/>
    <w:tmpl w:val="788066F8"/>
    <w:lvl w:ilvl="0" w:tplc="218C7140">
      <w:start w:val="7"/>
      <w:numFmt w:val="lowerLetter"/>
      <w:lvlText w:val="%1)"/>
      <w:lvlJc w:val="left"/>
      <w:pPr>
        <w:ind w:left="720" w:hanging="360"/>
      </w:pPr>
    </w:lvl>
    <w:lvl w:ilvl="1" w:tplc="20CA60F6" w:tentative="1">
      <w:start w:val="1"/>
      <w:numFmt w:val="lowerLetter"/>
      <w:lvlText w:val="%2."/>
      <w:lvlJc w:val="left"/>
      <w:pPr>
        <w:ind w:left="1440" w:hanging="360"/>
      </w:pPr>
    </w:lvl>
    <w:lvl w:ilvl="2" w:tplc="1800F8D0" w:tentative="1">
      <w:start w:val="1"/>
      <w:numFmt w:val="lowerRoman"/>
      <w:lvlText w:val="%3."/>
      <w:lvlJc w:val="right"/>
      <w:pPr>
        <w:ind w:left="2160" w:hanging="180"/>
      </w:pPr>
    </w:lvl>
    <w:lvl w:ilvl="3" w:tplc="E2962D66" w:tentative="1">
      <w:start w:val="1"/>
      <w:numFmt w:val="decimal"/>
      <w:lvlText w:val="%4."/>
      <w:lvlJc w:val="left"/>
      <w:pPr>
        <w:ind w:left="2880" w:hanging="360"/>
      </w:pPr>
    </w:lvl>
    <w:lvl w:ilvl="4" w:tplc="137CE160" w:tentative="1">
      <w:start w:val="1"/>
      <w:numFmt w:val="lowerLetter"/>
      <w:lvlText w:val="%5."/>
      <w:lvlJc w:val="left"/>
      <w:pPr>
        <w:ind w:left="3600" w:hanging="360"/>
      </w:pPr>
    </w:lvl>
    <w:lvl w:ilvl="5" w:tplc="E348BDA2" w:tentative="1">
      <w:start w:val="1"/>
      <w:numFmt w:val="lowerRoman"/>
      <w:lvlText w:val="%6."/>
      <w:lvlJc w:val="right"/>
      <w:pPr>
        <w:ind w:left="4320" w:hanging="180"/>
      </w:pPr>
    </w:lvl>
    <w:lvl w:ilvl="6" w:tplc="8238FC76" w:tentative="1">
      <w:start w:val="1"/>
      <w:numFmt w:val="decimal"/>
      <w:lvlText w:val="%7."/>
      <w:lvlJc w:val="left"/>
      <w:pPr>
        <w:ind w:left="5040" w:hanging="360"/>
      </w:pPr>
    </w:lvl>
    <w:lvl w:ilvl="7" w:tplc="072C841E" w:tentative="1">
      <w:start w:val="1"/>
      <w:numFmt w:val="lowerLetter"/>
      <w:lvlText w:val="%8."/>
      <w:lvlJc w:val="left"/>
      <w:pPr>
        <w:ind w:left="5760" w:hanging="360"/>
      </w:pPr>
    </w:lvl>
    <w:lvl w:ilvl="8" w:tplc="DB90B4F2" w:tentative="1">
      <w:start w:val="1"/>
      <w:numFmt w:val="lowerRoman"/>
      <w:lvlText w:val="%9."/>
      <w:lvlJc w:val="right"/>
      <w:pPr>
        <w:ind w:left="6480" w:hanging="180"/>
      </w:pPr>
    </w:lvl>
  </w:abstractNum>
  <w:abstractNum w:abstractNumId="8" w15:restartNumberingAfterBreak="0">
    <w:nsid w:val="1ABD9CFA"/>
    <w:multiLevelType w:val="hybridMultilevel"/>
    <w:tmpl w:val="B608C78E"/>
    <w:lvl w:ilvl="0" w:tplc="49D85F50">
      <w:start w:val="1"/>
      <w:numFmt w:val="bullet"/>
      <w:lvlText w:val=""/>
      <w:lvlJc w:val="left"/>
      <w:pPr>
        <w:ind w:left="720" w:hanging="360"/>
      </w:pPr>
      <w:rPr>
        <w:rFonts w:hint="default" w:ascii="Symbol" w:hAnsi="Symbol"/>
      </w:rPr>
    </w:lvl>
    <w:lvl w:ilvl="1" w:tplc="D408C1D4">
      <w:start w:val="1"/>
      <w:numFmt w:val="bullet"/>
      <w:lvlText w:val="o"/>
      <w:lvlJc w:val="left"/>
      <w:pPr>
        <w:ind w:left="1440" w:hanging="360"/>
      </w:pPr>
      <w:rPr>
        <w:rFonts w:hint="default" w:ascii="Courier New" w:hAnsi="Courier New"/>
      </w:rPr>
    </w:lvl>
    <w:lvl w:ilvl="2" w:tplc="893E83E8">
      <w:start w:val="1"/>
      <w:numFmt w:val="bullet"/>
      <w:lvlText w:val=""/>
      <w:lvlJc w:val="left"/>
      <w:pPr>
        <w:ind w:left="2160" w:hanging="360"/>
      </w:pPr>
      <w:rPr>
        <w:rFonts w:hint="default" w:ascii="Wingdings" w:hAnsi="Wingdings"/>
      </w:rPr>
    </w:lvl>
    <w:lvl w:ilvl="3" w:tplc="CEB8FCCA">
      <w:start w:val="1"/>
      <w:numFmt w:val="bullet"/>
      <w:lvlText w:val=""/>
      <w:lvlJc w:val="left"/>
      <w:pPr>
        <w:ind w:left="2880" w:hanging="360"/>
      </w:pPr>
      <w:rPr>
        <w:rFonts w:hint="default" w:ascii="Symbol" w:hAnsi="Symbol"/>
      </w:rPr>
    </w:lvl>
    <w:lvl w:ilvl="4" w:tplc="77AEC24E">
      <w:start w:val="1"/>
      <w:numFmt w:val="bullet"/>
      <w:lvlText w:val="o"/>
      <w:lvlJc w:val="left"/>
      <w:pPr>
        <w:ind w:left="3600" w:hanging="360"/>
      </w:pPr>
      <w:rPr>
        <w:rFonts w:hint="default" w:ascii="Courier New" w:hAnsi="Courier New"/>
      </w:rPr>
    </w:lvl>
    <w:lvl w:ilvl="5" w:tplc="E2D6A764">
      <w:start w:val="1"/>
      <w:numFmt w:val="bullet"/>
      <w:lvlText w:val=""/>
      <w:lvlJc w:val="left"/>
      <w:pPr>
        <w:ind w:left="4320" w:hanging="360"/>
      </w:pPr>
      <w:rPr>
        <w:rFonts w:hint="default" w:ascii="Wingdings" w:hAnsi="Wingdings"/>
      </w:rPr>
    </w:lvl>
    <w:lvl w:ilvl="6" w:tplc="30B4D39E">
      <w:start w:val="1"/>
      <w:numFmt w:val="bullet"/>
      <w:lvlText w:val=""/>
      <w:lvlJc w:val="left"/>
      <w:pPr>
        <w:ind w:left="5040" w:hanging="360"/>
      </w:pPr>
      <w:rPr>
        <w:rFonts w:hint="default" w:ascii="Symbol" w:hAnsi="Symbol"/>
      </w:rPr>
    </w:lvl>
    <w:lvl w:ilvl="7" w:tplc="EEB2C3A2">
      <w:start w:val="1"/>
      <w:numFmt w:val="bullet"/>
      <w:lvlText w:val="o"/>
      <w:lvlJc w:val="left"/>
      <w:pPr>
        <w:ind w:left="5760" w:hanging="360"/>
      </w:pPr>
      <w:rPr>
        <w:rFonts w:hint="default" w:ascii="Courier New" w:hAnsi="Courier New"/>
      </w:rPr>
    </w:lvl>
    <w:lvl w:ilvl="8" w:tplc="B9208902">
      <w:start w:val="1"/>
      <w:numFmt w:val="bullet"/>
      <w:lvlText w:val=""/>
      <w:lvlJc w:val="left"/>
      <w:pPr>
        <w:ind w:left="6480" w:hanging="360"/>
      </w:pPr>
      <w:rPr>
        <w:rFonts w:hint="default" w:ascii="Wingdings" w:hAnsi="Wingdings"/>
      </w:rPr>
    </w:lvl>
  </w:abstractNum>
  <w:abstractNum w:abstractNumId="9" w15:restartNumberingAfterBreak="0">
    <w:nsid w:val="22623647"/>
    <w:multiLevelType w:val="hybridMultilevel"/>
    <w:tmpl w:val="2312D384"/>
    <w:lvl w:ilvl="0" w:tplc="EBDCEB0E">
      <w:start w:val="1"/>
      <w:numFmt w:val="bullet"/>
      <w:lvlText w:val=""/>
      <w:lvlJc w:val="left"/>
      <w:pPr>
        <w:ind w:left="720" w:hanging="360"/>
      </w:pPr>
      <w:rPr>
        <w:rFonts w:hint="default" w:ascii="Symbol" w:hAnsi="Symbol"/>
      </w:rPr>
    </w:lvl>
    <w:lvl w:ilvl="1" w:tplc="2528DDC8" w:tentative="1">
      <w:start w:val="1"/>
      <w:numFmt w:val="bullet"/>
      <w:lvlText w:val="o"/>
      <w:lvlJc w:val="left"/>
      <w:pPr>
        <w:ind w:left="1440" w:hanging="360"/>
      </w:pPr>
      <w:rPr>
        <w:rFonts w:hint="default" w:ascii="Courier New" w:hAnsi="Courier New"/>
      </w:rPr>
    </w:lvl>
    <w:lvl w:ilvl="2" w:tplc="BC4AD9A4" w:tentative="1">
      <w:start w:val="1"/>
      <w:numFmt w:val="bullet"/>
      <w:lvlText w:val=""/>
      <w:lvlJc w:val="left"/>
      <w:pPr>
        <w:ind w:left="2160" w:hanging="360"/>
      </w:pPr>
      <w:rPr>
        <w:rFonts w:hint="default" w:ascii="Wingdings" w:hAnsi="Wingdings"/>
      </w:rPr>
    </w:lvl>
    <w:lvl w:ilvl="3" w:tplc="E01C52A4" w:tentative="1">
      <w:start w:val="1"/>
      <w:numFmt w:val="bullet"/>
      <w:lvlText w:val=""/>
      <w:lvlJc w:val="left"/>
      <w:pPr>
        <w:ind w:left="2880" w:hanging="360"/>
      </w:pPr>
      <w:rPr>
        <w:rFonts w:hint="default" w:ascii="Symbol" w:hAnsi="Symbol"/>
      </w:rPr>
    </w:lvl>
    <w:lvl w:ilvl="4" w:tplc="D9DEBD8A" w:tentative="1">
      <w:start w:val="1"/>
      <w:numFmt w:val="bullet"/>
      <w:lvlText w:val="o"/>
      <w:lvlJc w:val="left"/>
      <w:pPr>
        <w:ind w:left="3600" w:hanging="360"/>
      </w:pPr>
      <w:rPr>
        <w:rFonts w:hint="default" w:ascii="Courier New" w:hAnsi="Courier New"/>
      </w:rPr>
    </w:lvl>
    <w:lvl w:ilvl="5" w:tplc="CAB066CC" w:tentative="1">
      <w:start w:val="1"/>
      <w:numFmt w:val="bullet"/>
      <w:lvlText w:val=""/>
      <w:lvlJc w:val="left"/>
      <w:pPr>
        <w:ind w:left="4320" w:hanging="360"/>
      </w:pPr>
      <w:rPr>
        <w:rFonts w:hint="default" w:ascii="Wingdings" w:hAnsi="Wingdings"/>
      </w:rPr>
    </w:lvl>
    <w:lvl w:ilvl="6" w:tplc="1E7CE508" w:tentative="1">
      <w:start w:val="1"/>
      <w:numFmt w:val="bullet"/>
      <w:lvlText w:val=""/>
      <w:lvlJc w:val="left"/>
      <w:pPr>
        <w:ind w:left="5040" w:hanging="360"/>
      </w:pPr>
      <w:rPr>
        <w:rFonts w:hint="default" w:ascii="Symbol" w:hAnsi="Symbol"/>
      </w:rPr>
    </w:lvl>
    <w:lvl w:ilvl="7" w:tplc="0E1474F0" w:tentative="1">
      <w:start w:val="1"/>
      <w:numFmt w:val="bullet"/>
      <w:lvlText w:val="o"/>
      <w:lvlJc w:val="left"/>
      <w:pPr>
        <w:ind w:left="5760" w:hanging="360"/>
      </w:pPr>
      <w:rPr>
        <w:rFonts w:hint="default" w:ascii="Courier New" w:hAnsi="Courier New"/>
      </w:rPr>
    </w:lvl>
    <w:lvl w:ilvl="8" w:tplc="7CAC5E2E" w:tentative="1">
      <w:start w:val="1"/>
      <w:numFmt w:val="bullet"/>
      <w:lvlText w:val=""/>
      <w:lvlJc w:val="left"/>
      <w:pPr>
        <w:ind w:left="6480" w:hanging="360"/>
      </w:pPr>
      <w:rPr>
        <w:rFonts w:hint="default" w:ascii="Wingdings" w:hAnsi="Wingdings"/>
      </w:rPr>
    </w:lvl>
  </w:abstractNum>
  <w:abstractNum w:abstractNumId="10" w15:restartNumberingAfterBreak="0">
    <w:nsid w:val="260724A2"/>
    <w:multiLevelType w:val="hybridMultilevel"/>
    <w:tmpl w:val="F3468A1E"/>
    <w:lvl w:ilvl="0" w:tplc="DC22C47E">
      <w:start w:val="1"/>
      <w:numFmt w:val="bullet"/>
      <w:lvlText w:val="·"/>
      <w:lvlJc w:val="left"/>
      <w:pPr>
        <w:ind w:left="720" w:hanging="360"/>
      </w:pPr>
      <w:rPr>
        <w:rFonts w:hint="default" w:ascii="Symbol" w:hAnsi="Symbol"/>
      </w:rPr>
    </w:lvl>
    <w:lvl w:ilvl="1" w:tplc="AF04C41A">
      <w:start w:val="1"/>
      <w:numFmt w:val="bullet"/>
      <w:lvlText w:val="o"/>
      <w:lvlJc w:val="left"/>
      <w:pPr>
        <w:ind w:left="1440" w:hanging="360"/>
      </w:pPr>
      <w:rPr>
        <w:rFonts w:hint="default" w:ascii="Courier New" w:hAnsi="Courier New"/>
      </w:rPr>
    </w:lvl>
    <w:lvl w:ilvl="2" w:tplc="C58619A4">
      <w:start w:val="1"/>
      <w:numFmt w:val="bullet"/>
      <w:lvlText w:val=""/>
      <w:lvlJc w:val="left"/>
      <w:pPr>
        <w:ind w:left="2160" w:hanging="360"/>
      </w:pPr>
      <w:rPr>
        <w:rFonts w:hint="default" w:ascii="Wingdings" w:hAnsi="Wingdings"/>
      </w:rPr>
    </w:lvl>
    <w:lvl w:ilvl="3" w:tplc="159C506A">
      <w:start w:val="1"/>
      <w:numFmt w:val="bullet"/>
      <w:lvlText w:val=""/>
      <w:lvlJc w:val="left"/>
      <w:pPr>
        <w:ind w:left="2880" w:hanging="360"/>
      </w:pPr>
      <w:rPr>
        <w:rFonts w:hint="default" w:ascii="Symbol" w:hAnsi="Symbol"/>
      </w:rPr>
    </w:lvl>
    <w:lvl w:ilvl="4" w:tplc="7BE0C8FA">
      <w:start w:val="1"/>
      <w:numFmt w:val="bullet"/>
      <w:lvlText w:val="o"/>
      <w:lvlJc w:val="left"/>
      <w:pPr>
        <w:ind w:left="3600" w:hanging="360"/>
      </w:pPr>
      <w:rPr>
        <w:rFonts w:hint="default" w:ascii="Courier New" w:hAnsi="Courier New"/>
      </w:rPr>
    </w:lvl>
    <w:lvl w:ilvl="5" w:tplc="BC64FCFA">
      <w:start w:val="1"/>
      <w:numFmt w:val="bullet"/>
      <w:lvlText w:val=""/>
      <w:lvlJc w:val="left"/>
      <w:pPr>
        <w:ind w:left="4320" w:hanging="360"/>
      </w:pPr>
      <w:rPr>
        <w:rFonts w:hint="default" w:ascii="Wingdings" w:hAnsi="Wingdings"/>
      </w:rPr>
    </w:lvl>
    <w:lvl w:ilvl="6" w:tplc="BA1C7994">
      <w:start w:val="1"/>
      <w:numFmt w:val="bullet"/>
      <w:lvlText w:val=""/>
      <w:lvlJc w:val="left"/>
      <w:pPr>
        <w:ind w:left="5040" w:hanging="360"/>
      </w:pPr>
      <w:rPr>
        <w:rFonts w:hint="default" w:ascii="Symbol" w:hAnsi="Symbol"/>
      </w:rPr>
    </w:lvl>
    <w:lvl w:ilvl="7" w:tplc="C764DFD6">
      <w:start w:val="1"/>
      <w:numFmt w:val="bullet"/>
      <w:lvlText w:val="o"/>
      <w:lvlJc w:val="left"/>
      <w:pPr>
        <w:ind w:left="5760" w:hanging="360"/>
      </w:pPr>
      <w:rPr>
        <w:rFonts w:hint="default" w:ascii="Courier New" w:hAnsi="Courier New"/>
      </w:rPr>
    </w:lvl>
    <w:lvl w:ilvl="8" w:tplc="C6FE8F20">
      <w:start w:val="1"/>
      <w:numFmt w:val="bullet"/>
      <w:lvlText w:val=""/>
      <w:lvlJc w:val="left"/>
      <w:pPr>
        <w:ind w:left="6480" w:hanging="360"/>
      </w:pPr>
      <w:rPr>
        <w:rFonts w:hint="default" w:ascii="Wingdings" w:hAnsi="Wingdings"/>
      </w:rPr>
    </w:lvl>
  </w:abstractNum>
  <w:abstractNum w:abstractNumId="11" w15:restartNumberingAfterBreak="0">
    <w:nsid w:val="28307D57"/>
    <w:multiLevelType w:val="multilevel"/>
    <w:tmpl w:val="7A4E73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FE2FBEE"/>
    <w:multiLevelType w:val="hybridMultilevel"/>
    <w:tmpl w:val="B0FE9C26"/>
    <w:lvl w:ilvl="0" w:tplc="86F86510">
      <w:start w:val="1"/>
      <w:numFmt w:val="lowerLetter"/>
      <w:lvlText w:val="%1)"/>
      <w:lvlJc w:val="left"/>
      <w:pPr>
        <w:ind w:left="720" w:hanging="360"/>
      </w:pPr>
    </w:lvl>
    <w:lvl w:ilvl="1" w:tplc="B5E0FE34">
      <w:start w:val="1"/>
      <w:numFmt w:val="lowerLetter"/>
      <w:lvlText w:val="%2."/>
      <w:lvlJc w:val="left"/>
      <w:pPr>
        <w:ind w:left="1440" w:hanging="360"/>
      </w:pPr>
    </w:lvl>
    <w:lvl w:ilvl="2" w:tplc="DDEA0880">
      <w:start w:val="1"/>
      <w:numFmt w:val="lowerRoman"/>
      <w:lvlText w:val="%3."/>
      <w:lvlJc w:val="right"/>
      <w:pPr>
        <w:ind w:left="2160" w:hanging="180"/>
      </w:pPr>
    </w:lvl>
    <w:lvl w:ilvl="3" w:tplc="7CBA69FC">
      <w:start w:val="1"/>
      <w:numFmt w:val="decimal"/>
      <w:lvlText w:val="%4."/>
      <w:lvlJc w:val="left"/>
      <w:pPr>
        <w:ind w:left="2880" w:hanging="360"/>
      </w:pPr>
    </w:lvl>
    <w:lvl w:ilvl="4" w:tplc="8698D856">
      <w:start w:val="1"/>
      <w:numFmt w:val="lowerLetter"/>
      <w:lvlText w:val="%5."/>
      <w:lvlJc w:val="left"/>
      <w:pPr>
        <w:ind w:left="3600" w:hanging="360"/>
      </w:pPr>
    </w:lvl>
    <w:lvl w:ilvl="5" w:tplc="031238C0">
      <w:start w:val="1"/>
      <w:numFmt w:val="lowerRoman"/>
      <w:lvlText w:val="%6."/>
      <w:lvlJc w:val="right"/>
      <w:pPr>
        <w:ind w:left="4320" w:hanging="180"/>
      </w:pPr>
    </w:lvl>
    <w:lvl w:ilvl="6" w:tplc="A1AE2CD2">
      <w:start w:val="1"/>
      <w:numFmt w:val="decimal"/>
      <w:lvlText w:val="%7."/>
      <w:lvlJc w:val="left"/>
      <w:pPr>
        <w:ind w:left="5040" w:hanging="360"/>
      </w:pPr>
    </w:lvl>
    <w:lvl w:ilvl="7" w:tplc="FFA62A68">
      <w:start w:val="1"/>
      <w:numFmt w:val="lowerLetter"/>
      <w:lvlText w:val="%8."/>
      <w:lvlJc w:val="left"/>
      <w:pPr>
        <w:ind w:left="5760" w:hanging="360"/>
      </w:pPr>
    </w:lvl>
    <w:lvl w:ilvl="8" w:tplc="406E4C92">
      <w:start w:val="1"/>
      <w:numFmt w:val="lowerRoman"/>
      <w:lvlText w:val="%9."/>
      <w:lvlJc w:val="right"/>
      <w:pPr>
        <w:ind w:left="6480" w:hanging="180"/>
      </w:pPr>
    </w:lvl>
  </w:abstractNum>
  <w:abstractNum w:abstractNumId="13" w15:restartNumberingAfterBreak="0">
    <w:nsid w:val="32581EF7"/>
    <w:multiLevelType w:val="multilevel"/>
    <w:tmpl w:val="55F613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398B8AE"/>
    <w:multiLevelType w:val="multilevel"/>
    <w:tmpl w:val="20D605D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34211D97"/>
    <w:multiLevelType w:val="multilevel"/>
    <w:tmpl w:val="E042C24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4403939"/>
    <w:multiLevelType w:val="multilevel"/>
    <w:tmpl w:val="D4A0BC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45426D5"/>
    <w:multiLevelType w:val="hybridMultilevel"/>
    <w:tmpl w:val="8B26B1C2"/>
    <w:lvl w:ilvl="0" w:tplc="DC5A0BDC">
      <w:start w:val="1"/>
      <w:numFmt w:val="bullet"/>
      <w:lvlText w:val=""/>
      <w:lvlJc w:val="left"/>
      <w:pPr>
        <w:ind w:left="720" w:hanging="360"/>
      </w:pPr>
      <w:rPr>
        <w:rFonts w:hint="default" w:ascii="Symbol" w:hAnsi="Symbol"/>
      </w:rPr>
    </w:lvl>
    <w:lvl w:ilvl="1" w:tplc="42703150">
      <w:start w:val="1"/>
      <w:numFmt w:val="bullet"/>
      <w:lvlText w:val="o"/>
      <w:lvlJc w:val="left"/>
      <w:pPr>
        <w:ind w:left="1440" w:hanging="360"/>
      </w:pPr>
      <w:rPr>
        <w:rFonts w:hint="default" w:ascii="Courier New" w:hAnsi="Courier New"/>
      </w:rPr>
    </w:lvl>
    <w:lvl w:ilvl="2" w:tplc="1DF00262" w:tentative="1">
      <w:start w:val="1"/>
      <w:numFmt w:val="bullet"/>
      <w:lvlText w:val=""/>
      <w:lvlJc w:val="left"/>
      <w:pPr>
        <w:ind w:left="2160" w:hanging="360"/>
      </w:pPr>
      <w:rPr>
        <w:rFonts w:hint="default" w:ascii="Wingdings" w:hAnsi="Wingdings"/>
      </w:rPr>
    </w:lvl>
    <w:lvl w:ilvl="3" w:tplc="E36E8A7A" w:tentative="1">
      <w:start w:val="1"/>
      <w:numFmt w:val="bullet"/>
      <w:lvlText w:val=""/>
      <w:lvlJc w:val="left"/>
      <w:pPr>
        <w:ind w:left="2880" w:hanging="360"/>
      </w:pPr>
      <w:rPr>
        <w:rFonts w:hint="default" w:ascii="Symbol" w:hAnsi="Symbol"/>
      </w:rPr>
    </w:lvl>
    <w:lvl w:ilvl="4" w:tplc="01B498AE" w:tentative="1">
      <w:start w:val="1"/>
      <w:numFmt w:val="bullet"/>
      <w:lvlText w:val="o"/>
      <w:lvlJc w:val="left"/>
      <w:pPr>
        <w:ind w:left="3600" w:hanging="360"/>
      </w:pPr>
      <w:rPr>
        <w:rFonts w:hint="default" w:ascii="Courier New" w:hAnsi="Courier New"/>
      </w:rPr>
    </w:lvl>
    <w:lvl w:ilvl="5" w:tplc="E0D0378E" w:tentative="1">
      <w:start w:val="1"/>
      <w:numFmt w:val="bullet"/>
      <w:lvlText w:val=""/>
      <w:lvlJc w:val="left"/>
      <w:pPr>
        <w:ind w:left="4320" w:hanging="360"/>
      </w:pPr>
      <w:rPr>
        <w:rFonts w:hint="default" w:ascii="Wingdings" w:hAnsi="Wingdings"/>
      </w:rPr>
    </w:lvl>
    <w:lvl w:ilvl="6" w:tplc="D3E23184" w:tentative="1">
      <w:start w:val="1"/>
      <w:numFmt w:val="bullet"/>
      <w:lvlText w:val=""/>
      <w:lvlJc w:val="left"/>
      <w:pPr>
        <w:ind w:left="5040" w:hanging="360"/>
      </w:pPr>
      <w:rPr>
        <w:rFonts w:hint="default" w:ascii="Symbol" w:hAnsi="Symbol"/>
      </w:rPr>
    </w:lvl>
    <w:lvl w:ilvl="7" w:tplc="23E43F8A" w:tentative="1">
      <w:start w:val="1"/>
      <w:numFmt w:val="bullet"/>
      <w:lvlText w:val="o"/>
      <w:lvlJc w:val="left"/>
      <w:pPr>
        <w:ind w:left="5760" w:hanging="360"/>
      </w:pPr>
      <w:rPr>
        <w:rFonts w:hint="default" w:ascii="Courier New" w:hAnsi="Courier New"/>
      </w:rPr>
    </w:lvl>
    <w:lvl w:ilvl="8" w:tplc="0E82E146" w:tentative="1">
      <w:start w:val="1"/>
      <w:numFmt w:val="bullet"/>
      <w:lvlText w:val=""/>
      <w:lvlJc w:val="left"/>
      <w:pPr>
        <w:ind w:left="6480" w:hanging="360"/>
      </w:pPr>
      <w:rPr>
        <w:rFonts w:hint="default" w:ascii="Wingdings" w:hAnsi="Wingdings"/>
      </w:rPr>
    </w:lvl>
  </w:abstractNum>
  <w:abstractNum w:abstractNumId="18" w15:restartNumberingAfterBreak="0">
    <w:nsid w:val="3B8D6611"/>
    <w:multiLevelType w:val="hybridMultilevel"/>
    <w:tmpl w:val="A28EC1CC"/>
    <w:lvl w:ilvl="0" w:tplc="86F8576C">
      <w:start w:val="1"/>
      <w:numFmt w:val="lowerLetter"/>
      <w:lvlText w:val="%1)"/>
      <w:lvlJc w:val="left"/>
      <w:pPr>
        <w:ind w:left="720" w:hanging="360"/>
      </w:pPr>
    </w:lvl>
    <w:lvl w:ilvl="1" w:tplc="4608ED52">
      <w:start w:val="1"/>
      <w:numFmt w:val="lowerLetter"/>
      <w:lvlText w:val="%2."/>
      <w:lvlJc w:val="left"/>
      <w:pPr>
        <w:ind w:left="1440" w:hanging="360"/>
      </w:pPr>
    </w:lvl>
    <w:lvl w:ilvl="2" w:tplc="EFB44CB2">
      <w:start w:val="1"/>
      <w:numFmt w:val="lowerRoman"/>
      <w:lvlText w:val="%3."/>
      <w:lvlJc w:val="right"/>
      <w:pPr>
        <w:ind w:left="2160" w:hanging="180"/>
      </w:pPr>
    </w:lvl>
    <w:lvl w:ilvl="3" w:tplc="CFF81BF8">
      <w:start w:val="1"/>
      <w:numFmt w:val="decimal"/>
      <w:lvlText w:val="%4."/>
      <w:lvlJc w:val="left"/>
      <w:pPr>
        <w:ind w:left="2880" w:hanging="360"/>
      </w:pPr>
    </w:lvl>
    <w:lvl w:ilvl="4" w:tplc="58AC58AE">
      <w:start w:val="1"/>
      <w:numFmt w:val="lowerLetter"/>
      <w:lvlText w:val="%5."/>
      <w:lvlJc w:val="left"/>
      <w:pPr>
        <w:ind w:left="3600" w:hanging="360"/>
      </w:pPr>
    </w:lvl>
    <w:lvl w:ilvl="5" w:tplc="7ED66634">
      <w:start w:val="1"/>
      <w:numFmt w:val="lowerRoman"/>
      <w:lvlText w:val="%6."/>
      <w:lvlJc w:val="right"/>
      <w:pPr>
        <w:ind w:left="4320" w:hanging="180"/>
      </w:pPr>
    </w:lvl>
    <w:lvl w:ilvl="6" w:tplc="54F4A37E">
      <w:start w:val="1"/>
      <w:numFmt w:val="decimal"/>
      <w:lvlText w:val="%7."/>
      <w:lvlJc w:val="left"/>
      <w:pPr>
        <w:ind w:left="5040" w:hanging="360"/>
      </w:pPr>
    </w:lvl>
    <w:lvl w:ilvl="7" w:tplc="C7F234D4">
      <w:start w:val="1"/>
      <w:numFmt w:val="lowerLetter"/>
      <w:lvlText w:val="%8."/>
      <w:lvlJc w:val="left"/>
      <w:pPr>
        <w:ind w:left="5760" w:hanging="360"/>
      </w:pPr>
    </w:lvl>
    <w:lvl w:ilvl="8" w:tplc="F9D27ED8">
      <w:start w:val="1"/>
      <w:numFmt w:val="lowerRoman"/>
      <w:lvlText w:val="%9."/>
      <w:lvlJc w:val="right"/>
      <w:pPr>
        <w:ind w:left="6480" w:hanging="180"/>
      </w:pPr>
    </w:lvl>
  </w:abstractNum>
  <w:abstractNum w:abstractNumId="19" w15:restartNumberingAfterBreak="0">
    <w:nsid w:val="3C37B962"/>
    <w:multiLevelType w:val="hybridMultilevel"/>
    <w:tmpl w:val="3B1C3502"/>
    <w:lvl w:ilvl="0" w:tplc="CE5C21CA">
      <w:start w:val="1"/>
      <w:numFmt w:val="lowerLetter"/>
      <w:lvlText w:val="%1)"/>
      <w:lvlJc w:val="left"/>
      <w:pPr>
        <w:ind w:left="720" w:hanging="360"/>
      </w:pPr>
    </w:lvl>
    <w:lvl w:ilvl="1" w:tplc="C22EF7AC">
      <w:start w:val="1"/>
      <w:numFmt w:val="lowerLetter"/>
      <w:lvlText w:val="%2."/>
      <w:lvlJc w:val="left"/>
      <w:pPr>
        <w:ind w:left="1440" w:hanging="360"/>
      </w:pPr>
    </w:lvl>
    <w:lvl w:ilvl="2" w:tplc="13A64DBC">
      <w:start w:val="1"/>
      <w:numFmt w:val="lowerRoman"/>
      <w:lvlText w:val="%3."/>
      <w:lvlJc w:val="right"/>
      <w:pPr>
        <w:ind w:left="2160" w:hanging="180"/>
      </w:pPr>
    </w:lvl>
    <w:lvl w:ilvl="3" w:tplc="85BE4B08">
      <w:start w:val="1"/>
      <w:numFmt w:val="decimal"/>
      <w:lvlText w:val="%4."/>
      <w:lvlJc w:val="left"/>
      <w:pPr>
        <w:ind w:left="2880" w:hanging="360"/>
      </w:pPr>
    </w:lvl>
    <w:lvl w:ilvl="4" w:tplc="DA7EB40C">
      <w:start w:val="1"/>
      <w:numFmt w:val="lowerLetter"/>
      <w:lvlText w:val="%5."/>
      <w:lvlJc w:val="left"/>
      <w:pPr>
        <w:ind w:left="3600" w:hanging="360"/>
      </w:pPr>
    </w:lvl>
    <w:lvl w:ilvl="5" w:tplc="C3DED6E2">
      <w:start w:val="1"/>
      <w:numFmt w:val="lowerRoman"/>
      <w:lvlText w:val="%6."/>
      <w:lvlJc w:val="right"/>
      <w:pPr>
        <w:ind w:left="4320" w:hanging="180"/>
      </w:pPr>
    </w:lvl>
    <w:lvl w:ilvl="6" w:tplc="4E52102A">
      <w:start w:val="1"/>
      <w:numFmt w:val="decimal"/>
      <w:lvlText w:val="%7."/>
      <w:lvlJc w:val="left"/>
      <w:pPr>
        <w:ind w:left="5040" w:hanging="360"/>
      </w:pPr>
    </w:lvl>
    <w:lvl w:ilvl="7" w:tplc="5DFE2C7E">
      <w:start w:val="1"/>
      <w:numFmt w:val="lowerLetter"/>
      <w:lvlText w:val="%8."/>
      <w:lvlJc w:val="left"/>
      <w:pPr>
        <w:ind w:left="5760" w:hanging="360"/>
      </w:pPr>
    </w:lvl>
    <w:lvl w:ilvl="8" w:tplc="58CAD586">
      <w:start w:val="1"/>
      <w:numFmt w:val="lowerRoman"/>
      <w:lvlText w:val="%9."/>
      <w:lvlJc w:val="right"/>
      <w:pPr>
        <w:ind w:left="6480" w:hanging="180"/>
      </w:pPr>
    </w:lvl>
  </w:abstractNum>
  <w:abstractNum w:abstractNumId="20" w15:restartNumberingAfterBreak="0">
    <w:nsid w:val="3CBA5AAB"/>
    <w:multiLevelType w:val="multilevel"/>
    <w:tmpl w:val="330A547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F3F1F62"/>
    <w:multiLevelType w:val="multilevel"/>
    <w:tmpl w:val="52D663E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AEFC9B1"/>
    <w:multiLevelType w:val="hybridMultilevel"/>
    <w:tmpl w:val="DBF4C48A"/>
    <w:lvl w:ilvl="0" w:tplc="5BF2E134">
      <w:start w:val="1"/>
      <w:numFmt w:val="bullet"/>
      <w:lvlText w:val=""/>
      <w:lvlJc w:val="left"/>
      <w:pPr>
        <w:ind w:left="720" w:hanging="360"/>
      </w:pPr>
      <w:rPr>
        <w:rFonts w:hint="default" w:ascii="Symbol" w:hAnsi="Symbol"/>
      </w:rPr>
    </w:lvl>
    <w:lvl w:ilvl="1" w:tplc="2B828906">
      <w:start w:val="1"/>
      <w:numFmt w:val="bullet"/>
      <w:lvlText w:val="o"/>
      <w:lvlJc w:val="left"/>
      <w:pPr>
        <w:ind w:left="1440" w:hanging="360"/>
      </w:pPr>
      <w:rPr>
        <w:rFonts w:hint="default" w:ascii="Courier New" w:hAnsi="Courier New"/>
      </w:rPr>
    </w:lvl>
    <w:lvl w:ilvl="2" w:tplc="348C36D8">
      <w:start w:val="1"/>
      <w:numFmt w:val="bullet"/>
      <w:lvlText w:val=""/>
      <w:lvlJc w:val="left"/>
      <w:pPr>
        <w:ind w:left="2160" w:hanging="360"/>
      </w:pPr>
      <w:rPr>
        <w:rFonts w:hint="default" w:ascii="Wingdings" w:hAnsi="Wingdings"/>
      </w:rPr>
    </w:lvl>
    <w:lvl w:ilvl="3" w:tplc="84762F94">
      <w:start w:val="1"/>
      <w:numFmt w:val="bullet"/>
      <w:lvlText w:val=""/>
      <w:lvlJc w:val="left"/>
      <w:pPr>
        <w:ind w:left="2880" w:hanging="360"/>
      </w:pPr>
      <w:rPr>
        <w:rFonts w:hint="default" w:ascii="Symbol" w:hAnsi="Symbol"/>
      </w:rPr>
    </w:lvl>
    <w:lvl w:ilvl="4" w:tplc="960E2F2A">
      <w:start w:val="1"/>
      <w:numFmt w:val="bullet"/>
      <w:lvlText w:val="o"/>
      <w:lvlJc w:val="left"/>
      <w:pPr>
        <w:ind w:left="3600" w:hanging="360"/>
      </w:pPr>
      <w:rPr>
        <w:rFonts w:hint="default" w:ascii="Courier New" w:hAnsi="Courier New"/>
      </w:rPr>
    </w:lvl>
    <w:lvl w:ilvl="5" w:tplc="C330A644">
      <w:start w:val="1"/>
      <w:numFmt w:val="bullet"/>
      <w:lvlText w:val=""/>
      <w:lvlJc w:val="left"/>
      <w:pPr>
        <w:ind w:left="4320" w:hanging="360"/>
      </w:pPr>
      <w:rPr>
        <w:rFonts w:hint="default" w:ascii="Wingdings" w:hAnsi="Wingdings"/>
      </w:rPr>
    </w:lvl>
    <w:lvl w:ilvl="6" w:tplc="F14A4A2C">
      <w:start w:val="1"/>
      <w:numFmt w:val="bullet"/>
      <w:lvlText w:val=""/>
      <w:lvlJc w:val="left"/>
      <w:pPr>
        <w:ind w:left="5040" w:hanging="360"/>
      </w:pPr>
      <w:rPr>
        <w:rFonts w:hint="default" w:ascii="Symbol" w:hAnsi="Symbol"/>
      </w:rPr>
    </w:lvl>
    <w:lvl w:ilvl="7" w:tplc="C7BE3698">
      <w:start w:val="1"/>
      <w:numFmt w:val="bullet"/>
      <w:lvlText w:val="o"/>
      <w:lvlJc w:val="left"/>
      <w:pPr>
        <w:ind w:left="5760" w:hanging="360"/>
      </w:pPr>
      <w:rPr>
        <w:rFonts w:hint="default" w:ascii="Courier New" w:hAnsi="Courier New"/>
      </w:rPr>
    </w:lvl>
    <w:lvl w:ilvl="8" w:tplc="BCFA3486">
      <w:start w:val="1"/>
      <w:numFmt w:val="bullet"/>
      <w:lvlText w:val=""/>
      <w:lvlJc w:val="left"/>
      <w:pPr>
        <w:ind w:left="6480" w:hanging="360"/>
      </w:pPr>
      <w:rPr>
        <w:rFonts w:hint="default" w:ascii="Wingdings" w:hAnsi="Wingdings"/>
      </w:rPr>
    </w:lvl>
  </w:abstractNum>
  <w:abstractNum w:abstractNumId="23" w15:restartNumberingAfterBreak="0">
    <w:nsid w:val="4C4250CB"/>
    <w:multiLevelType w:val="hybridMultilevel"/>
    <w:tmpl w:val="C54C666E"/>
    <w:lvl w:ilvl="0" w:tplc="BD3C2B1E">
      <w:start w:val="1"/>
      <w:numFmt w:val="bullet"/>
      <w:lvlText w:val=""/>
      <w:lvlJc w:val="left"/>
      <w:pPr>
        <w:ind w:left="720" w:hanging="360"/>
      </w:pPr>
      <w:rPr>
        <w:rFonts w:hint="default" w:ascii="Symbol" w:hAnsi="Symbol"/>
      </w:rPr>
    </w:lvl>
    <w:lvl w:ilvl="1" w:tplc="7F0A40A6">
      <w:start w:val="1"/>
      <w:numFmt w:val="bullet"/>
      <w:lvlText w:val="o"/>
      <w:lvlJc w:val="left"/>
      <w:pPr>
        <w:ind w:left="1440" w:hanging="360"/>
      </w:pPr>
      <w:rPr>
        <w:rFonts w:hint="default" w:ascii="Courier New" w:hAnsi="Courier New"/>
      </w:rPr>
    </w:lvl>
    <w:lvl w:ilvl="2" w:tplc="6AE42152">
      <w:start w:val="1"/>
      <w:numFmt w:val="bullet"/>
      <w:lvlText w:val=""/>
      <w:lvlJc w:val="left"/>
      <w:pPr>
        <w:ind w:left="2160" w:hanging="360"/>
      </w:pPr>
      <w:rPr>
        <w:rFonts w:hint="default" w:ascii="Wingdings" w:hAnsi="Wingdings"/>
      </w:rPr>
    </w:lvl>
    <w:lvl w:ilvl="3" w:tplc="C1E621DE">
      <w:start w:val="1"/>
      <w:numFmt w:val="bullet"/>
      <w:lvlText w:val=""/>
      <w:lvlJc w:val="left"/>
      <w:pPr>
        <w:ind w:left="2880" w:hanging="360"/>
      </w:pPr>
      <w:rPr>
        <w:rFonts w:hint="default" w:ascii="Symbol" w:hAnsi="Symbol"/>
      </w:rPr>
    </w:lvl>
    <w:lvl w:ilvl="4" w:tplc="BF6C2F1E">
      <w:start w:val="1"/>
      <w:numFmt w:val="bullet"/>
      <w:lvlText w:val="o"/>
      <w:lvlJc w:val="left"/>
      <w:pPr>
        <w:ind w:left="3600" w:hanging="360"/>
      </w:pPr>
      <w:rPr>
        <w:rFonts w:hint="default" w:ascii="Courier New" w:hAnsi="Courier New"/>
      </w:rPr>
    </w:lvl>
    <w:lvl w:ilvl="5" w:tplc="030C3D24">
      <w:start w:val="1"/>
      <w:numFmt w:val="bullet"/>
      <w:lvlText w:val=""/>
      <w:lvlJc w:val="left"/>
      <w:pPr>
        <w:ind w:left="4320" w:hanging="360"/>
      </w:pPr>
      <w:rPr>
        <w:rFonts w:hint="default" w:ascii="Wingdings" w:hAnsi="Wingdings"/>
      </w:rPr>
    </w:lvl>
    <w:lvl w:ilvl="6" w:tplc="231EB74C">
      <w:start w:val="1"/>
      <w:numFmt w:val="bullet"/>
      <w:lvlText w:val=""/>
      <w:lvlJc w:val="left"/>
      <w:pPr>
        <w:ind w:left="5040" w:hanging="360"/>
      </w:pPr>
      <w:rPr>
        <w:rFonts w:hint="default" w:ascii="Symbol" w:hAnsi="Symbol"/>
      </w:rPr>
    </w:lvl>
    <w:lvl w:ilvl="7" w:tplc="5B32157E">
      <w:start w:val="1"/>
      <w:numFmt w:val="bullet"/>
      <w:lvlText w:val="o"/>
      <w:lvlJc w:val="left"/>
      <w:pPr>
        <w:ind w:left="5760" w:hanging="360"/>
      </w:pPr>
      <w:rPr>
        <w:rFonts w:hint="default" w:ascii="Courier New" w:hAnsi="Courier New"/>
      </w:rPr>
    </w:lvl>
    <w:lvl w:ilvl="8" w:tplc="FD9AC048">
      <w:start w:val="1"/>
      <w:numFmt w:val="bullet"/>
      <w:lvlText w:val=""/>
      <w:lvlJc w:val="left"/>
      <w:pPr>
        <w:ind w:left="6480" w:hanging="360"/>
      </w:pPr>
      <w:rPr>
        <w:rFonts w:hint="default" w:ascii="Wingdings" w:hAnsi="Wingdings"/>
      </w:rPr>
    </w:lvl>
  </w:abstractNum>
  <w:abstractNum w:abstractNumId="24" w15:restartNumberingAfterBreak="0">
    <w:nsid w:val="4CB57868"/>
    <w:multiLevelType w:val="multilevel"/>
    <w:tmpl w:val="09BA79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E1A02C5"/>
    <w:multiLevelType w:val="hybridMultilevel"/>
    <w:tmpl w:val="FC9A28A0"/>
    <w:lvl w:ilvl="0" w:tplc="D474E292">
      <w:start w:val="1"/>
      <w:numFmt w:val="bullet"/>
      <w:lvlText w:val=""/>
      <w:lvlJc w:val="left"/>
      <w:pPr>
        <w:ind w:left="720" w:hanging="360"/>
      </w:pPr>
      <w:rPr>
        <w:rFonts w:hint="default" w:ascii="Symbol" w:hAnsi="Symbol"/>
      </w:rPr>
    </w:lvl>
    <w:lvl w:ilvl="1" w:tplc="B3FAEE34" w:tentative="1">
      <w:start w:val="1"/>
      <w:numFmt w:val="bullet"/>
      <w:lvlText w:val="o"/>
      <w:lvlJc w:val="left"/>
      <w:pPr>
        <w:ind w:left="1440" w:hanging="360"/>
      </w:pPr>
      <w:rPr>
        <w:rFonts w:hint="default" w:ascii="Courier New" w:hAnsi="Courier New"/>
      </w:rPr>
    </w:lvl>
    <w:lvl w:ilvl="2" w:tplc="D1CC3368" w:tentative="1">
      <w:start w:val="1"/>
      <w:numFmt w:val="bullet"/>
      <w:lvlText w:val=""/>
      <w:lvlJc w:val="left"/>
      <w:pPr>
        <w:ind w:left="2160" w:hanging="360"/>
      </w:pPr>
      <w:rPr>
        <w:rFonts w:hint="default" w:ascii="Wingdings" w:hAnsi="Wingdings"/>
      </w:rPr>
    </w:lvl>
    <w:lvl w:ilvl="3" w:tplc="AB903EFE" w:tentative="1">
      <w:start w:val="1"/>
      <w:numFmt w:val="bullet"/>
      <w:lvlText w:val=""/>
      <w:lvlJc w:val="left"/>
      <w:pPr>
        <w:ind w:left="2880" w:hanging="360"/>
      </w:pPr>
      <w:rPr>
        <w:rFonts w:hint="default" w:ascii="Symbol" w:hAnsi="Symbol"/>
      </w:rPr>
    </w:lvl>
    <w:lvl w:ilvl="4" w:tplc="1C263B76" w:tentative="1">
      <w:start w:val="1"/>
      <w:numFmt w:val="bullet"/>
      <w:lvlText w:val="o"/>
      <w:lvlJc w:val="left"/>
      <w:pPr>
        <w:ind w:left="3600" w:hanging="360"/>
      </w:pPr>
      <w:rPr>
        <w:rFonts w:hint="default" w:ascii="Courier New" w:hAnsi="Courier New"/>
      </w:rPr>
    </w:lvl>
    <w:lvl w:ilvl="5" w:tplc="773E1066" w:tentative="1">
      <w:start w:val="1"/>
      <w:numFmt w:val="bullet"/>
      <w:lvlText w:val=""/>
      <w:lvlJc w:val="left"/>
      <w:pPr>
        <w:ind w:left="4320" w:hanging="360"/>
      </w:pPr>
      <w:rPr>
        <w:rFonts w:hint="default" w:ascii="Wingdings" w:hAnsi="Wingdings"/>
      </w:rPr>
    </w:lvl>
    <w:lvl w:ilvl="6" w:tplc="7298A3F4" w:tentative="1">
      <w:start w:val="1"/>
      <w:numFmt w:val="bullet"/>
      <w:lvlText w:val=""/>
      <w:lvlJc w:val="left"/>
      <w:pPr>
        <w:ind w:left="5040" w:hanging="360"/>
      </w:pPr>
      <w:rPr>
        <w:rFonts w:hint="default" w:ascii="Symbol" w:hAnsi="Symbol"/>
      </w:rPr>
    </w:lvl>
    <w:lvl w:ilvl="7" w:tplc="71820F92" w:tentative="1">
      <w:start w:val="1"/>
      <w:numFmt w:val="bullet"/>
      <w:lvlText w:val="o"/>
      <w:lvlJc w:val="left"/>
      <w:pPr>
        <w:ind w:left="5760" w:hanging="360"/>
      </w:pPr>
      <w:rPr>
        <w:rFonts w:hint="default" w:ascii="Courier New" w:hAnsi="Courier New"/>
      </w:rPr>
    </w:lvl>
    <w:lvl w:ilvl="8" w:tplc="92B489A6" w:tentative="1">
      <w:start w:val="1"/>
      <w:numFmt w:val="bullet"/>
      <w:lvlText w:val=""/>
      <w:lvlJc w:val="left"/>
      <w:pPr>
        <w:ind w:left="6480" w:hanging="360"/>
      </w:pPr>
      <w:rPr>
        <w:rFonts w:hint="default" w:ascii="Wingdings" w:hAnsi="Wingdings"/>
      </w:rPr>
    </w:lvl>
  </w:abstractNum>
  <w:abstractNum w:abstractNumId="26" w15:restartNumberingAfterBreak="0">
    <w:nsid w:val="51031620"/>
    <w:multiLevelType w:val="hybridMultilevel"/>
    <w:tmpl w:val="D82CB786"/>
    <w:lvl w:ilvl="0" w:tplc="2F3A2058">
      <w:start w:val="1"/>
      <w:numFmt w:val="bullet"/>
      <w:lvlText w:val=""/>
      <w:lvlJc w:val="left"/>
      <w:pPr>
        <w:ind w:left="720" w:hanging="360"/>
      </w:pPr>
      <w:rPr>
        <w:rFonts w:hint="default" w:ascii="Symbol" w:hAnsi="Symbol"/>
      </w:rPr>
    </w:lvl>
    <w:lvl w:ilvl="1" w:tplc="1D52129C" w:tentative="1">
      <w:start w:val="1"/>
      <w:numFmt w:val="bullet"/>
      <w:lvlText w:val="o"/>
      <w:lvlJc w:val="left"/>
      <w:pPr>
        <w:ind w:left="1440" w:hanging="360"/>
      </w:pPr>
      <w:rPr>
        <w:rFonts w:hint="default" w:ascii="Courier New" w:hAnsi="Courier New"/>
      </w:rPr>
    </w:lvl>
    <w:lvl w:ilvl="2" w:tplc="5704CAC8" w:tentative="1">
      <w:start w:val="1"/>
      <w:numFmt w:val="bullet"/>
      <w:lvlText w:val=""/>
      <w:lvlJc w:val="left"/>
      <w:pPr>
        <w:ind w:left="2160" w:hanging="360"/>
      </w:pPr>
      <w:rPr>
        <w:rFonts w:hint="default" w:ascii="Wingdings" w:hAnsi="Wingdings"/>
      </w:rPr>
    </w:lvl>
    <w:lvl w:ilvl="3" w:tplc="02E204C4" w:tentative="1">
      <w:start w:val="1"/>
      <w:numFmt w:val="bullet"/>
      <w:lvlText w:val=""/>
      <w:lvlJc w:val="left"/>
      <w:pPr>
        <w:ind w:left="2880" w:hanging="360"/>
      </w:pPr>
      <w:rPr>
        <w:rFonts w:hint="default" w:ascii="Symbol" w:hAnsi="Symbol"/>
      </w:rPr>
    </w:lvl>
    <w:lvl w:ilvl="4" w:tplc="2996E504" w:tentative="1">
      <w:start w:val="1"/>
      <w:numFmt w:val="bullet"/>
      <w:lvlText w:val="o"/>
      <w:lvlJc w:val="left"/>
      <w:pPr>
        <w:ind w:left="3600" w:hanging="360"/>
      </w:pPr>
      <w:rPr>
        <w:rFonts w:hint="default" w:ascii="Courier New" w:hAnsi="Courier New"/>
      </w:rPr>
    </w:lvl>
    <w:lvl w:ilvl="5" w:tplc="5B58A128" w:tentative="1">
      <w:start w:val="1"/>
      <w:numFmt w:val="bullet"/>
      <w:lvlText w:val=""/>
      <w:lvlJc w:val="left"/>
      <w:pPr>
        <w:ind w:left="4320" w:hanging="360"/>
      </w:pPr>
      <w:rPr>
        <w:rFonts w:hint="default" w:ascii="Wingdings" w:hAnsi="Wingdings"/>
      </w:rPr>
    </w:lvl>
    <w:lvl w:ilvl="6" w:tplc="094639B8" w:tentative="1">
      <w:start w:val="1"/>
      <w:numFmt w:val="bullet"/>
      <w:lvlText w:val=""/>
      <w:lvlJc w:val="left"/>
      <w:pPr>
        <w:ind w:left="5040" w:hanging="360"/>
      </w:pPr>
      <w:rPr>
        <w:rFonts w:hint="default" w:ascii="Symbol" w:hAnsi="Symbol"/>
      </w:rPr>
    </w:lvl>
    <w:lvl w:ilvl="7" w:tplc="A8983AE8" w:tentative="1">
      <w:start w:val="1"/>
      <w:numFmt w:val="bullet"/>
      <w:lvlText w:val="o"/>
      <w:lvlJc w:val="left"/>
      <w:pPr>
        <w:ind w:left="5760" w:hanging="360"/>
      </w:pPr>
      <w:rPr>
        <w:rFonts w:hint="default" w:ascii="Courier New" w:hAnsi="Courier New"/>
      </w:rPr>
    </w:lvl>
    <w:lvl w:ilvl="8" w:tplc="386A9888" w:tentative="1">
      <w:start w:val="1"/>
      <w:numFmt w:val="bullet"/>
      <w:lvlText w:val=""/>
      <w:lvlJc w:val="left"/>
      <w:pPr>
        <w:ind w:left="6480" w:hanging="360"/>
      </w:pPr>
      <w:rPr>
        <w:rFonts w:hint="default" w:ascii="Wingdings" w:hAnsi="Wingdings"/>
      </w:rPr>
    </w:lvl>
  </w:abstractNum>
  <w:abstractNum w:abstractNumId="27" w15:restartNumberingAfterBreak="0">
    <w:nsid w:val="5219A3B0"/>
    <w:multiLevelType w:val="multilevel"/>
    <w:tmpl w:val="6972C3A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8" w15:restartNumberingAfterBreak="0">
    <w:nsid w:val="54674B16"/>
    <w:multiLevelType w:val="multilevel"/>
    <w:tmpl w:val="97DC4F0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5E87EBF"/>
    <w:multiLevelType w:val="hybridMultilevel"/>
    <w:tmpl w:val="805E0652"/>
    <w:lvl w:ilvl="0" w:tplc="286E6540">
      <w:start w:val="1"/>
      <w:numFmt w:val="bullet"/>
      <w:lvlText w:val=""/>
      <w:lvlJc w:val="left"/>
      <w:pPr>
        <w:ind w:left="720" w:hanging="360"/>
      </w:pPr>
      <w:rPr>
        <w:rFonts w:hint="default" w:ascii="Symbol" w:hAnsi="Symbol"/>
      </w:rPr>
    </w:lvl>
    <w:lvl w:ilvl="1" w:tplc="BC7A406C">
      <w:start w:val="1"/>
      <w:numFmt w:val="bullet"/>
      <w:lvlText w:val="o"/>
      <w:lvlJc w:val="left"/>
      <w:pPr>
        <w:ind w:left="1440" w:hanging="360"/>
      </w:pPr>
      <w:rPr>
        <w:rFonts w:hint="default" w:ascii="Courier New" w:hAnsi="Courier New"/>
      </w:rPr>
    </w:lvl>
    <w:lvl w:ilvl="2" w:tplc="D2DE3A26">
      <w:start w:val="1"/>
      <w:numFmt w:val="bullet"/>
      <w:lvlText w:val=""/>
      <w:lvlJc w:val="left"/>
      <w:pPr>
        <w:ind w:left="2160" w:hanging="360"/>
      </w:pPr>
      <w:rPr>
        <w:rFonts w:hint="default" w:ascii="Wingdings" w:hAnsi="Wingdings"/>
      </w:rPr>
    </w:lvl>
    <w:lvl w:ilvl="3" w:tplc="16620F18">
      <w:start w:val="1"/>
      <w:numFmt w:val="bullet"/>
      <w:lvlText w:val=""/>
      <w:lvlJc w:val="left"/>
      <w:pPr>
        <w:ind w:left="2880" w:hanging="360"/>
      </w:pPr>
      <w:rPr>
        <w:rFonts w:hint="default" w:ascii="Symbol" w:hAnsi="Symbol"/>
      </w:rPr>
    </w:lvl>
    <w:lvl w:ilvl="4" w:tplc="7270C614">
      <w:start w:val="1"/>
      <w:numFmt w:val="bullet"/>
      <w:lvlText w:val="o"/>
      <w:lvlJc w:val="left"/>
      <w:pPr>
        <w:ind w:left="3600" w:hanging="360"/>
      </w:pPr>
      <w:rPr>
        <w:rFonts w:hint="default" w:ascii="Courier New" w:hAnsi="Courier New"/>
      </w:rPr>
    </w:lvl>
    <w:lvl w:ilvl="5" w:tplc="A196906E">
      <w:start w:val="1"/>
      <w:numFmt w:val="bullet"/>
      <w:lvlText w:val=""/>
      <w:lvlJc w:val="left"/>
      <w:pPr>
        <w:ind w:left="4320" w:hanging="360"/>
      </w:pPr>
      <w:rPr>
        <w:rFonts w:hint="default" w:ascii="Wingdings" w:hAnsi="Wingdings"/>
      </w:rPr>
    </w:lvl>
    <w:lvl w:ilvl="6" w:tplc="4BA44370">
      <w:start w:val="1"/>
      <w:numFmt w:val="bullet"/>
      <w:lvlText w:val=""/>
      <w:lvlJc w:val="left"/>
      <w:pPr>
        <w:ind w:left="5040" w:hanging="360"/>
      </w:pPr>
      <w:rPr>
        <w:rFonts w:hint="default" w:ascii="Symbol" w:hAnsi="Symbol"/>
      </w:rPr>
    </w:lvl>
    <w:lvl w:ilvl="7" w:tplc="71F4184A">
      <w:start w:val="1"/>
      <w:numFmt w:val="bullet"/>
      <w:lvlText w:val="o"/>
      <w:lvlJc w:val="left"/>
      <w:pPr>
        <w:ind w:left="5760" w:hanging="360"/>
      </w:pPr>
      <w:rPr>
        <w:rFonts w:hint="default" w:ascii="Courier New" w:hAnsi="Courier New"/>
      </w:rPr>
    </w:lvl>
    <w:lvl w:ilvl="8" w:tplc="0D40A67E">
      <w:start w:val="1"/>
      <w:numFmt w:val="bullet"/>
      <w:lvlText w:val=""/>
      <w:lvlJc w:val="left"/>
      <w:pPr>
        <w:ind w:left="6480" w:hanging="360"/>
      </w:pPr>
      <w:rPr>
        <w:rFonts w:hint="default" w:ascii="Wingdings" w:hAnsi="Wingdings"/>
      </w:rPr>
    </w:lvl>
  </w:abstractNum>
  <w:abstractNum w:abstractNumId="30" w15:restartNumberingAfterBreak="0">
    <w:nsid w:val="5DF9C65B"/>
    <w:multiLevelType w:val="hybridMultilevel"/>
    <w:tmpl w:val="7AE040E8"/>
    <w:lvl w:ilvl="0" w:tplc="26482484">
      <w:start w:val="1"/>
      <w:numFmt w:val="bullet"/>
      <w:lvlText w:val=""/>
      <w:lvlJc w:val="left"/>
      <w:pPr>
        <w:ind w:left="720" w:hanging="360"/>
      </w:pPr>
      <w:rPr>
        <w:rFonts w:hint="default" w:ascii="Symbol" w:hAnsi="Symbol"/>
      </w:rPr>
    </w:lvl>
    <w:lvl w:ilvl="1" w:tplc="4CF6D1DE">
      <w:start w:val="1"/>
      <w:numFmt w:val="bullet"/>
      <w:lvlText w:val="o"/>
      <w:lvlJc w:val="left"/>
      <w:pPr>
        <w:ind w:left="1440" w:hanging="360"/>
      </w:pPr>
      <w:rPr>
        <w:rFonts w:hint="default" w:ascii="Courier New" w:hAnsi="Courier New"/>
      </w:rPr>
    </w:lvl>
    <w:lvl w:ilvl="2" w:tplc="A7C00608">
      <w:start w:val="1"/>
      <w:numFmt w:val="bullet"/>
      <w:lvlText w:val=""/>
      <w:lvlJc w:val="left"/>
      <w:pPr>
        <w:ind w:left="2160" w:hanging="360"/>
      </w:pPr>
      <w:rPr>
        <w:rFonts w:hint="default" w:ascii="Wingdings" w:hAnsi="Wingdings"/>
      </w:rPr>
    </w:lvl>
    <w:lvl w:ilvl="3" w:tplc="D99853E4">
      <w:start w:val="1"/>
      <w:numFmt w:val="bullet"/>
      <w:lvlText w:val=""/>
      <w:lvlJc w:val="left"/>
      <w:pPr>
        <w:ind w:left="2880" w:hanging="360"/>
      </w:pPr>
      <w:rPr>
        <w:rFonts w:hint="default" w:ascii="Symbol" w:hAnsi="Symbol"/>
      </w:rPr>
    </w:lvl>
    <w:lvl w:ilvl="4" w:tplc="B15A60C0">
      <w:start w:val="1"/>
      <w:numFmt w:val="bullet"/>
      <w:lvlText w:val="o"/>
      <w:lvlJc w:val="left"/>
      <w:pPr>
        <w:ind w:left="3600" w:hanging="360"/>
      </w:pPr>
      <w:rPr>
        <w:rFonts w:hint="default" w:ascii="Courier New" w:hAnsi="Courier New"/>
      </w:rPr>
    </w:lvl>
    <w:lvl w:ilvl="5" w:tplc="25162BC0">
      <w:start w:val="1"/>
      <w:numFmt w:val="bullet"/>
      <w:lvlText w:val=""/>
      <w:lvlJc w:val="left"/>
      <w:pPr>
        <w:ind w:left="4320" w:hanging="360"/>
      </w:pPr>
      <w:rPr>
        <w:rFonts w:hint="default" w:ascii="Wingdings" w:hAnsi="Wingdings"/>
      </w:rPr>
    </w:lvl>
    <w:lvl w:ilvl="6" w:tplc="B65446CE">
      <w:start w:val="1"/>
      <w:numFmt w:val="bullet"/>
      <w:lvlText w:val=""/>
      <w:lvlJc w:val="left"/>
      <w:pPr>
        <w:ind w:left="5040" w:hanging="360"/>
      </w:pPr>
      <w:rPr>
        <w:rFonts w:hint="default" w:ascii="Symbol" w:hAnsi="Symbol"/>
      </w:rPr>
    </w:lvl>
    <w:lvl w:ilvl="7" w:tplc="A67EAE3C">
      <w:start w:val="1"/>
      <w:numFmt w:val="bullet"/>
      <w:lvlText w:val="o"/>
      <w:lvlJc w:val="left"/>
      <w:pPr>
        <w:ind w:left="5760" w:hanging="360"/>
      </w:pPr>
      <w:rPr>
        <w:rFonts w:hint="default" w:ascii="Courier New" w:hAnsi="Courier New"/>
      </w:rPr>
    </w:lvl>
    <w:lvl w:ilvl="8" w:tplc="B51A4638">
      <w:start w:val="1"/>
      <w:numFmt w:val="bullet"/>
      <w:lvlText w:val=""/>
      <w:lvlJc w:val="left"/>
      <w:pPr>
        <w:ind w:left="6480" w:hanging="360"/>
      </w:pPr>
      <w:rPr>
        <w:rFonts w:hint="default" w:ascii="Wingdings" w:hAnsi="Wingdings"/>
      </w:rPr>
    </w:lvl>
  </w:abstractNum>
  <w:abstractNum w:abstractNumId="31" w15:restartNumberingAfterBreak="0">
    <w:nsid w:val="67B26E1B"/>
    <w:multiLevelType w:val="multilevel"/>
    <w:tmpl w:val="C28ABE4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A3987EC"/>
    <w:multiLevelType w:val="hybridMultilevel"/>
    <w:tmpl w:val="3F2AB2CE"/>
    <w:lvl w:ilvl="0" w:tplc="52342F6C">
      <w:start w:val="1"/>
      <w:numFmt w:val="bullet"/>
      <w:lvlText w:val="·"/>
      <w:lvlJc w:val="left"/>
      <w:pPr>
        <w:ind w:left="720" w:hanging="360"/>
      </w:pPr>
      <w:rPr>
        <w:rFonts w:hint="default" w:ascii="Symbol" w:hAnsi="Symbol"/>
      </w:rPr>
    </w:lvl>
    <w:lvl w:ilvl="1" w:tplc="C722F33C">
      <w:start w:val="1"/>
      <w:numFmt w:val="bullet"/>
      <w:lvlText w:val="o"/>
      <w:lvlJc w:val="left"/>
      <w:pPr>
        <w:ind w:left="1440" w:hanging="360"/>
      </w:pPr>
      <w:rPr>
        <w:rFonts w:hint="default" w:ascii="Courier New" w:hAnsi="Courier New"/>
      </w:rPr>
    </w:lvl>
    <w:lvl w:ilvl="2" w:tplc="073E10D0">
      <w:start w:val="1"/>
      <w:numFmt w:val="bullet"/>
      <w:lvlText w:val=""/>
      <w:lvlJc w:val="left"/>
      <w:pPr>
        <w:ind w:left="2160" w:hanging="360"/>
      </w:pPr>
      <w:rPr>
        <w:rFonts w:hint="default" w:ascii="Wingdings" w:hAnsi="Wingdings"/>
      </w:rPr>
    </w:lvl>
    <w:lvl w:ilvl="3" w:tplc="38AA4C7A">
      <w:start w:val="1"/>
      <w:numFmt w:val="bullet"/>
      <w:lvlText w:val=""/>
      <w:lvlJc w:val="left"/>
      <w:pPr>
        <w:ind w:left="2880" w:hanging="360"/>
      </w:pPr>
      <w:rPr>
        <w:rFonts w:hint="default" w:ascii="Symbol" w:hAnsi="Symbol"/>
      </w:rPr>
    </w:lvl>
    <w:lvl w:ilvl="4" w:tplc="504E5516">
      <w:start w:val="1"/>
      <w:numFmt w:val="bullet"/>
      <w:lvlText w:val="o"/>
      <w:lvlJc w:val="left"/>
      <w:pPr>
        <w:ind w:left="3600" w:hanging="360"/>
      </w:pPr>
      <w:rPr>
        <w:rFonts w:hint="default" w:ascii="Courier New" w:hAnsi="Courier New"/>
      </w:rPr>
    </w:lvl>
    <w:lvl w:ilvl="5" w:tplc="BCC43A7A">
      <w:start w:val="1"/>
      <w:numFmt w:val="bullet"/>
      <w:lvlText w:val=""/>
      <w:lvlJc w:val="left"/>
      <w:pPr>
        <w:ind w:left="4320" w:hanging="360"/>
      </w:pPr>
      <w:rPr>
        <w:rFonts w:hint="default" w:ascii="Wingdings" w:hAnsi="Wingdings"/>
      </w:rPr>
    </w:lvl>
    <w:lvl w:ilvl="6" w:tplc="A42E1AD0">
      <w:start w:val="1"/>
      <w:numFmt w:val="bullet"/>
      <w:lvlText w:val=""/>
      <w:lvlJc w:val="left"/>
      <w:pPr>
        <w:ind w:left="5040" w:hanging="360"/>
      </w:pPr>
      <w:rPr>
        <w:rFonts w:hint="default" w:ascii="Symbol" w:hAnsi="Symbol"/>
      </w:rPr>
    </w:lvl>
    <w:lvl w:ilvl="7" w:tplc="FB429A9C">
      <w:start w:val="1"/>
      <w:numFmt w:val="bullet"/>
      <w:lvlText w:val="o"/>
      <w:lvlJc w:val="left"/>
      <w:pPr>
        <w:ind w:left="5760" w:hanging="360"/>
      </w:pPr>
      <w:rPr>
        <w:rFonts w:hint="default" w:ascii="Courier New" w:hAnsi="Courier New"/>
      </w:rPr>
    </w:lvl>
    <w:lvl w:ilvl="8" w:tplc="0068006C">
      <w:start w:val="1"/>
      <w:numFmt w:val="bullet"/>
      <w:lvlText w:val=""/>
      <w:lvlJc w:val="left"/>
      <w:pPr>
        <w:ind w:left="6480" w:hanging="360"/>
      </w:pPr>
      <w:rPr>
        <w:rFonts w:hint="default" w:ascii="Wingdings" w:hAnsi="Wingdings"/>
      </w:rPr>
    </w:lvl>
  </w:abstractNum>
  <w:abstractNum w:abstractNumId="33" w15:restartNumberingAfterBreak="0">
    <w:nsid w:val="6C7A6571"/>
    <w:multiLevelType w:val="multilevel"/>
    <w:tmpl w:val="E684E6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D153F6E"/>
    <w:multiLevelType w:val="multilevel"/>
    <w:tmpl w:val="D898F9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F08E0D"/>
    <w:multiLevelType w:val="multilevel"/>
    <w:tmpl w:val="87A06A2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28D7AE6"/>
    <w:multiLevelType w:val="hybridMultilevel"/>
    <w:tmpl w:val="DB981946"/>
    <w:lvl w:ilvl="0" w:tplc="BEB24962">
      <w:start w:val="1"/>
      <w:numFmt w:val="decimal"/>
      <w:lvlText w:val="%1."/>
      <w:lvlJc w:val="left"/>
      <w:pPr>
        <w:ind w:left="720" w:hanging="360"/>
      </w:pPr>
    </w:lvl>
    <w:lvl w:ilvl="1" w:tplc="9752AF46">
      <w:start w:val="1"/>
      <w:numFmt w:val="lowerLetter"/>
      <w:lvlText w:val="%2."/>
      <w:lvlJc w:val="left"/>
      <w:pPr>
        <w:ind w:left="1440" w:hanging="360"/>
      </w:pPr>
    </w:lvl>
    <w:lvl w:ilvl="2" w:tplc="BDD8904C">
      <w:start w:val="1"/>
      <w:numFmt w:val="lowerRoman"/>
      <w:lvlText w:val="%3."/>
      <w:lvlJc w:val="right"/>
      <w:pPr>
        <w:ind w:left="2160" w:hanging="180"/>
      </w:pPr>
    </w:lvl>
    <w:lvl w:ilvl="3" w:tplc="3E34AF16">
      <w:start w:val="1"/>
      <w:numFmt w:val="decimal"/>
      <w:lvlText w:val="%4."/>
      <w:lvlJc w:val="left"/>
      <w:pPr>
        <w:ind w:left="2880" w:hanging="360"/>
      </w:pPr>
    </w:lvl>
    <w:lvl w:ilvl="4" w:tplc="8DA6ACD6">
      <w:start w:val="1"/>
      <w:numFmt w:val="lowerLetter"/>
      <w:lvlText w:val="%5."/>
      <w:lvlJc w:val="left"/>
      <w:pPr>
        <w:ind w:left="3600" w:hanging="360"/>
      </w:pPr>
    </w:lvl>
    <w:lvl w:ilvl="5" w:tplc="0AFCD212">
      <w:start w:val="1"/>
      <w:numFmt w:val="lowerRoman"/>
      <w:lvlText w:val="%6."/>
      <w:lvlJc w:val="right"/>
      <w:pPr>
        <w:ind w:left="4320" w:hanging="180"/>
      </w:pPr>
    </w:lvl>
    <w:lvl w:ilvl="6" w:tplc="A3CEB802">
      <w:start w:val="1"/>
      <w:numFmt w:val="decimal"/>
      <w:lvlText w:val="%7."/>
      <w:lvlJc w:val="left"/>
      <w:pPr>
        <w:ind w:left="5040" w:hanging="360"/>
      </w:pPr>
    </w:lvl>
    <w:lvl w:ilvl="7" w:tplc="9F12E5E6">
      <w:start w:val="1"/>
      <w:numFmt w:val="lowerLetter"/>
      <w:lvlText w:val="%8."/>
      <w:lvlJc w:val="left"/>
      <w:pPr>
        <w:ind w:left="5760" w:hanging="360"/>
      </w:pPr>
    </w:lvl>
    <w:lvl w:ilvl="8" w:tplc="3D428540">
      <w:start w:val="1"/>
      <w:numFmt w:val="lowerRoman"/>
      <w:lvlText w:val="%9."/>
      <w:lvlJc w:val="right"/>
      <w:pPr>
        <w:ind w:left="6480" w:hanging="180"/>
      </w:pPr>
    </w:lvl>
  </w:abstractNum>
  <w:num w:numId="1" w16cid:durableId="1115759475">
    <w:abstractNumId w:val="22"/>
  </w:num>
  <w:num w:numId="2" w16cid:durableId="1983458774">
    <w:abstractNumId w:val="8"/>
  </w:num>
  <w:num w:numId="3" w16cid:durableId="2067605621">
    <w:abstractNumId w:val="10"/>
  </w:num>
  <w:num w:numId="4" w16cid:durableId="669144251">
    <w:abstractNumId w:val="32"/>
  </w:num>
  <w:num w:numId="5" w16cid:durableId="1929996080">
    <w:abstractNumId w:val="14"/>
  </w:num>
  <w:num w:numId="6" w16cid:durableId="358555304">
    <w:abstractNumId w:val="27"/>
  </w:num>
  <w:num w:numId="7" w16cid:durableId="560749574">
    <w:abstractNumId w:val="35"/>
  </w:num>
  <w:num w:numId="8" w16cid:durableId="1252543485">
    <w:abstractNumId w:val="34"/>
  </w:num>
  <w:num w:numId="9" w16cid:durableId="2114127062">
    <w:abstractNumId w:val="18"/>
  </w:num>
  <w:num w:numId="10" w16cid:durableId="1862621960">
    <w:abstractNumId w:val="12"/>
  </w:num>
  <w:num w:numId="11" w16cid:durableId="976491635">
    <w:abstractNumId w:val="3"/>
  </w:num>
  <w:num w:numId="12" w16cid:durableId="697434873">
    <w:abstractNumId w:val="4"/>
  </w:num>
  <w:num w:numId="13" w16cid:durableId="564921722">
    <w:abstractNumId w:val="29"/>
  </w:num>
  <w:num w:numId="14" w16cid:durableId="748505300">
    <w:abstractNumId w:val="17"/>
  </w:num>
  <w:num w:numId="15" w16cid:durableId="555630871">
    <w:abstractNumId w:val="6"/>
  </w:num>
  <w:num w:numId="16" w16cid:durableId="1971979449">
    <w:abstractNumId w:val="26"/>
  </w:num>
  <w:num w:numId="17" w16cid:durableId="944993516">
    <w:abstractNumId w:val="25"/>
  </w:num>
  <w:num w:numId="18" w16cid:durableId="1931040771">
    <w:abstractNumId w:val="9"/>
  </w:num>
  <w:num w:numId="19" w16cid:durableId="930703406">
    <w:abstractNumId w:val="2"/>
  </w:num>
  <w:num w:numId="20" w16cid:durableId="1876042022">
    <w:abstractNumId w:val="0"/>
  </w:num>
  <w:num w:numId="21" w16cid:durableId="1851530958">
    <w:abstractNumId w:val="36"/>
  </w:num>
  <w:num w:numId="22" w16cid:durableId="871184656">
    <w:abstractNumId w:val="23"/>
  </w:num>
  <w:num w:numId="23" w16cid:durableId="140736717">
    <w:abstractNumId w:val="30"/>
  </w:num>
  <w:num w:numId="24" w16cid:durableId="1973167851">
    <w:abstractNumId w:val="19"/>
  </w:num>
  <w:num w:numId="25" w16cid:durableId="1803385561">
    <w:abstractNumId w:val="24"/>
  </w:num>
  <w:num w:numId="26" w16cid:durableId="1212692783">
    <w:abstractNumId w:val="11"/>
  </w:num>
  <w:num w:numId="27" w16cid:durableId="1688409286">
    <w:abstractNumId w:val="33"/>
  </w:num>
  <w:num w:numId="28" w16cid:durableId="800807115">
    <w:abstractNumId w:val="13"/>
  </w:num>
  <w:num w:numId="29" w16cid:durableId="1293752480">
    <w:abstractNumId w:val="20"/>
  </w:num>
  <w:num w:numId="30" w16cid:durableId="1642733858">
    <w:abstractNumId w:val="31"/>
  </w:num>
  <w:num w:numId="31" w16cid:durableId="812403217">
    <w:abstractNumId w:val="28"/>
  </w:num>
  <w:num w:numId="32" w16cid:durableId="1918905690">
    <w:abstractNumId w:val="15"/>
  </w:num>
  <w:num w:numId="33" w16cid:durableId="713233516">
    <w:abstractNumId w:val="1"/>
  </w:num>
  <w:num w:numId="34" w16cid:durableId="210187911">
    <w:abstractNumId w:val="21"/>
  </w:num>
  <w:num w:numId="35" w16cid:durableId="1174568689">
    <w:abstractNumId w:val="5"/>
  </w:num>
  <w:num w:numId="36" w16cid:durableId="1880045888">
    <w:abstractNumId w:val="16"/>
  </w:num>
  <w:num w:numId="37" w16cid:durableId="994143504">
    <w:abstractNumId w:val="7"/>
  </w:num>
  <w:numIdMacAtCleanup w:val="13"/>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2C"/>
    <w:rsid w:val="0000038D"/>
    <w:rsid w:val="0000238C"/>
    <w:rsid w:val="00004515"/>
    <w:rsid w:val="00004A88"/>
    <w:rsid w:val="00005248"/>
    <w:rsid w:val="0000608A"/>
    <w:rsid w:val="000069FA"/>
    <w:rsid w:val="00006DAF"/>
    <w:rsid w:val="00010B31"/>
    <w:rsid w:val="00012100"/>
    <w:rsid w:val="0001317D"/>
    <w:rsid w:val="00013AEF"/>
    <w:rsid w:val="00013B76"/>
    <w:rsid w:val="00014145"/>
    <w:rsid w:val="00014AB0"/>
    <w:rsid w:val="00015269"/>
    <w:rsid w:val="00016338"/>
    <w:rsid w:val="000168FA"/>
    <w:rsid w:val="00017F4D"/>
    <w:rsid w:val="0002047B"/>
    <w:rsid w:val="0002070A"/>
    <w:rsid w:val="000208A6"/>
    <w:rsid w:val="0002157B"/>
    <w:rsid w:val="00023069"/>
    <w:rsid w:val="00025EE2"/>
    <w:rsid w:val="00026E25"/>
    <w:rsid w:val="00030106"/>
    <w:rsid w:val="00030F0C"/>
    <w:rsid w:val="00031D03"/>
    <w:rsid w:val="0003364D"/>
    <w:rsid w:val="0003370F"/>
    <w:rsid w:val="000341FD"/>
    <w:rsid w:val="000356CB"/>
    <w:rsid w:val="000359F2"/>
    <w:rsid w:val="00037858"/>
    <w:rsid w:val="0004034A"/>
    <w:rsid w:val="00042144"/>
    <w:rsid w:val="000425EB"/>
    <w:rsid w:val="00042CDC"/>
    <w:rsid w:val="00043148"/>
    <w:rsid w:val="00044640"/>
    <w:rsid w:val="0004478C"/>
    <w:rsid w:val="000458D7"/>
    <w:rsid w:val="00046E04"/>
    <w:rsid w:val="00052419"/>
    <w:rsid w:val="000547D5"/>
    <w:rsid w:val="00054DAE"/>
    <w:rsid w:val="00056BB1"/>
    <w:rsid w:val="00057681"/>
    <w:rsid w:val="00057FD2"/>
    <w:rsid w:val="000630C0"/>
    <w:rsid w:val="00063C85"/>
    <w:rsid w:val="00065396"/>
    <w:rsid w:val="000662A7"/>
    <w:rsid w:val="00070F7C"/>
    <w:rsid w:val="00070F86"/>
    <w:rsid w:val="00071640"/>
    <w:rsid w:val="00073CD8"/>
    <w:rsid w:val="000761D3"/>
    <w:rsid w:val="00076290"/>
    <w:rsid w:val="00076988"/>
    <w:rsid w:val="00077056"/>
    <w:rsid w:val="00080399"/>
    <w:rsid w:val="00080C85"/>
    <w:rsid w:val="0008189F"/>
    <w:rsid w:val="00083E43"/>
    <w:rsid w:val="00085000"/>
    <w:rsid w:val="00087D12"/>
    <w:rsid w:val="00090217"/>
    <w:rsid w:val="000918FC"/>
    <w:rsid w:val="000944CF"/>
    <w:rsid w:val="00095CD5"/>
    <w:rsid w:val="00096729"/>
    <w:rsid w:val="00096F3A"/>
    <w:rsid w:val="000A2984"/>
    <w:rsid w:val="000A3674"/>
    <w:rsid w:val="000A4120"/>
    <w:rsid w:val="000A5D80"/>
    <w:rsid w:val="000A7FE1"/>
    <w:rsid w:val="000B07E4"/>
    <w:rsid w:val="000B2ECA"/>
    <w:rsid w:val="000B5A29"/>
    <w:rsid w:val="000C096B"/>
    <w:rsid w:val="000C0AA4"/>
    <w:rsid w:val="000C207A"/>
    <w:rsid w:val="000C2765"/>
    <w:rsid w:val="000C2E7F"/>
    <w:rsid w:val="000C32F4"/>
    <w:rsid w:val="000C4BC9"/>
    <w:rsid w:val="000C6D61"/>
    <w:rsid w:val="000D0989"/>
    <w:rsid w:val="000D0C59"/>
    <w:rsid w:val="000D14B2"/>
    <w:rsid w:val="000D2D5D"/>
    <w:rsid w:val="000D37E9"/>
    <w:rsid w:val="000D47D2"/>
    <w:rsid w:val="000D4A6E"/>
    <w:rsid w:val="000D51F8"/>
    <w:rsid w:val="000D74D0"/>
    <w:rsid w:val="000E1624"/>
    <w:rsid w:val="000E288B"/>
    <w:rsid w:val="000E3AB3"/>
    <w:rsid w:val="000E5785"/>
    <w:rsid w:val="000E6E66"/>
    <w:rsid w:val="000F04AD"/>
    <w:rsid w:val="000F0ED8"/>
    <w:rsid w:val="000F1BF1"/>
    <w:rsid w:val="000F5B24"/>
    <w:rsid w:val="000F64F3"/>
    <w:rsid w:val="000F7414"/>
    <w:rsid w:val="00102679"/>
    <w:rsid w:val="001050F9"/>
    <w:rsid w:val="00105119"/>
    <w:rsid w:val="00106E28"/>
    <w:rsid w:val="00107B79"/>
    <w:rsid w:val="00107DB2"/>
    <w:rsid w:val="0011112B"/>
    <w:rsid w:val="00111C4F"/>
    <w:rsid w:val="00112E33"/>
    <w:rsid w:val="00114113"/>
    <w:rsid w:val="001166F5"/>
    <w:rsid w:val="00116D0F"/>
    <w:rsid w:val="001206AB"/>
    <w:rsid w:val="00123F2D"/>
    <w:rsid w:val="00124187"/>
    <w:rsid w:val="00125031"/>
    <w:rsid w:val="00125931"/>
    <w:rsid w:val="00125CFC"/>
    <w:rsid w:val="001269FA"/>
    <w:rsid w:val="00127984"/>
    <w:rsid w:val="00131AFC"/>
    <w:rsid w:val="0013239A"/>
    <w:rsid w:val="001330CE"/>
    <w:rsid w:val="001348C4"/>
    <w:rsid w:val="00134C86"/>
    <w:rsid w:val="00135458"/>
    <w:rsid w:val="001356EA"/>
    <w:rsid w:val="00135B97"/>
    <w:rsid w:val="00141A60"/>
    <w:rsid w:val="00141B08"/>
    <w:rsid w:val="00142851"/>
    <w:rsid w:val="00143FFA"/>
    <w:rsid w:val="001450EE"/>
    <w:rsid w:val="0014698A"/>
    <w:rsid w:val="0015033C"/>
    <w:rsid w:val="00150573"/>
    <w:rsid w:val="001507A2"/>
    <w:rsid w:val="00150F40"/>
    <w:rsid w:val="00152714"/>
    <w:rsid w:val="00153CB1"/>
    <w:rsid w:val="00155D5A"/>
    <w:rsid w:val="001574FC"/>
    <w:rsid w:val="0015789C"/>
    <w:rsid w:val="001589B0"/>
    <w:rsid w:val="00160578"/>
    <w:rsid w:val="0016149B"/>
    <w:rsid w:val="00163381"/>
    <w:rsid w:val="0016418C"/>
    <w:rsid w:val="00164467"/>
    <w:rsid w:val="00165BDC"/>
    <w:rsid w:val="001664AC"/>
    <w:rsid w:val="00170464"/>
    <w:rsid w:val="001713F6"/>
    <w:rsid w:val="00172753"/>
    <w:rsid w:val="0017699A"/>
    <w:rsid w:val="00180D03"/>
    <w:rsid w:val="0018240A"/>
    <w:rsid w:val="0018273B"/>
    <w:rsid w:val="00183792"/>
    <w:rsid w:val="00183A96"/>
    <w:rsid w:val="0018400E"/>
    <w:rsid w:val="001843FA"/>
    <w:rsid w:val="00184DD9"/>
    <w:rsid w:val="00185BDC"/>
    <w:rsid w:val="0019076D"/>
    <w:rsid w:val="00191B07"/>
    <w:rsid w:val="00192D13"/>
    <w:rsid w:val="00194531"/>
    <w:rsid w:val="00195166"/>
    <w:rsid w:val="001A0754"/>
    <w:rsid w:val="001A146D"/>
    <w:rsid w:val="001A207E"/>
    <w:rsid w:val="001A4AA4"/>
    <w:rsid w:val="001A4C7C"/>
    <w:rsid w:val="001A5739"/>
    <w:rsid w:val="001A66C9"/>
    <w:rsid w:val="001A6800"/>
    <w:rsid w:val="001A7472"/>
    <w:rsid w:val="001B12D9"/>
    <w:rsid w:val="001B14BA"/>
    <w:rsid w:val="001B2832"/>
    <w:rsid w:val="001B5B4F"/>
    <w:rsid w:val="001B6702"/>
    <w:rsid w:val="001B6DB0"/>
    <w:rsid w:val="001C3D19"/>
    <w:rsid w:val="001C40AA"/>
    <w:rsid w:val="001C4A98"/>
    <w:rsid w:val="001C5781"/>
    <w:rsid w:val="001C6CE4"/>
    <w:rsid w:val="001C7810"/>
    <w:rsid w:val="001C7B32"/>
    <w:rsid w:val="001D2962"/>
    <w:rsid w:val="001D2FEF"/>
    <w:rsid w:val="001E0E28"/>
    <w:rsid w:val="001E1FFA"/>
    <w:rsid w:val="001E3903"/>
    <w:rsid w:val="001E3D07"/>
    <w:rsid w:val="001E3DA1"/>
    <w:rsid w:val="001E700E"/>
    <w:rsid w:val="001F07BD"/>
    <w:rsid w:val="001F2F19"/>
    <w:rsid w:val="001F32FF"/>
    <w:rsid w:val="001F3F5C"/>
    <w:rsid w:val="001F4320"/>
    <w:rsid w:val="001F5896"/>
    <w:rsid w:val="001F5A61"/>
    <w:rsid w:val="001F7E6A"/>
    <w:rsid w:val="002008E7"/>
    <w:rsid w:val="0020221E"/>
    <w:rsid w:val="00202EDF"/>
    <w:rsid w:val="002043AE"/>
    <w:rsid w:val="00204534"/>
    <w:rsid w:val="0020471B"/>
    <w:rsid w:val="002050F2"/>
    <w:rsid w:val="00205EFC"/>
    <w:rsid w:val="00205F68"/>
    <w:rsid w:val="002111CE"/>
    <w:rsid w:val="002118FE"/>
    <w:rsid w:val="002144D1"/>
    <w:rsid w:val="00215EBB"/>
    <w:rsid w:val="00216C01"/>
    <w:rsid w:val="00220FC8"/>
    <w:rsid w:val="0022156D"/>
    <w:rsid w:val="00222717"/>
    <w:rsid w:val="002230F5"/>
    <w:rsid w:val="00223B02"/>
    <w:rsid w:val="00225D4D"/>
    <w:rsid w:val="00227D33"/>
    <w:rsid w:val="00230B3B"/>
    <w:rsid w:val="00231473"/>
    <w:rsid w:val="00231F55"/>
    <w:rsid w:val="0023332A"/>
    <w:rsid w:val="00233FC4"/>
    <w:rsid w:val="00234902"/>
    <w:rsid w:val="00234F48"/>
    <w:rsid w:val="002359E9"/>
    <w:rsid w:val="00236E4E"/>
    <w:rsid w:val="002408B0"/>
    <w:rsid w:val="002408B9"/>
    <w:rsid w:val="00241E71"/>
    <w:rsid w:val="00241F75"/>
    <w:rsid w:val="0024598E"/>
    <w:rsid w:val="00246B93"/>
    <w:rsid w:val="0025108A"/>
    <w:rsid w:val="002533BE"/>
    <w:rsid w:val="00254D03"/>
    <w:rsid w:val="00257AB0"/>
    <w:rsid w:val="00257C5C"/>
    <w:rsid w:val="00257E15"/>
    <w:rsid w:val="00261779"/>
    <w:rsid w:val="00261B25"/>
    <w:rsid w:val="00262136"/>
    <w:rsid w:val="00262163"/>
    <w:rsid w:val="00262184"/>
    <w:rsid w:val="002621C4"/>
    <w:rsid w:val="00265C18"/>
    <w:rsid w:val="00265CB3"/>
    <w:rsid w:val="00266607"/>
    <w:rsid w:val="00266DB3"/>
    <w:rsid w:val="002674BF"/>
    <w:rsid w:val="002679F2"/>
    <w:rsid w:val="00271AF3"/>
    <w:rsid w:val="00272DF1"/>
    <w:rsid w:val="00273B0D"/>
    <w:rsid w:val="00274F9A"/>
    <w:rsid w:val="002763E6"/>
    <w:rsid w:val="00276517"/>
    <w:rsid w:val="002765E9"/>
    <w:rsid w:val="00276CC3"/>
    <w:rsid w:val="00277A90"/>
    <w:rsid w:val="00277DDE"/>
    <w:rsid w:val="0028496D"/>
    <w:rsid w:val="00285C1F"/>
    <w:rsid w:val="0028B12A"/>
    <w:rsid w:val="00292068"/>
    <w:rsid w:val="002924BF"/>
    <w:rsid w:val="00292560"/>
    <w:rsid w:val="00294315"/>
    <w:rsid w:val="0029494A"/>
    <w:rsid w:val="00295096"/>
    <w:rsid w:val="00295673"/>
    <w:rsid w:val="00296752"/>
    <w:rsid w:val="00296CC5"/>
    <w:rsid w:val="002A0720"/>
    <w:rsid w:val="002A0F23"/>
    <w:rsid w:val="002A25B3"/>
    <w:rsid w:val="002A5059"/>
    <w:rsid w:val="002A61B0"/>
    <w:rsid w:val="002B03A4"/>
    <w:rsid w:val="002B0DD8"/>
    <w:rsid w:val="002B0E2F"/>
    <w:rsid w:val="002B1759"/>
    <w:rsid w:val="002B181C"/>
    <w:rsid w:val="002B2195"/>
    <w:rsid w:val="002B27A2"/>
    <w:rsid w:val="002B48FF"/>
    <w:rsid w:val="002B4954"/>
    <w:rsid w:val="002B4975"/>
    <w:rsid w:val="002B4F46"/>
    <w:rsid w:val="002B5923"/>
    <w:rsid w:val="002B6ABA"/>
    <w:rsid w:val="002B77BC"/>
    <w:rsid w:val="002C192C"/>
    <w:rsid w:val="002C1977"/>
    <w:rsid w:val="002C1BF9"/>
    <w:rsid w:val="002C1D0D"/>
    <w:rsid w:val="002C20C4"/>
    <w:rsid w:val="002C51D2"/>
    <w:rsid w:val="002C69F2"/>
    <w:rsid w:val="002C6C34"/>
    <w:rsid w:val="002C6F59"/>
    <w:rsid w:val="002C70B7"/>
    <w:rsid w:val="002C722B"/>
    <w:rsid w:val="002C7238"/>
    <w:rsid w:val="002D09A5"/>
    <w:rsid w:val="002D0EFC"/>
    <w:rsid w:val="002D21BC"/>
    <w:rsid w:val="002D379A"/>
    <w:rsid w:val="002D4CD9"/>
    <w:rsid w:val="002D60A1"/>
    <w:rsid w:val="002D75E4"/>
    <w:rsid w:val="002D77C9"/>
    <w:rsid w:val="002E2CFD"/>
    <w:rsid w:val="002E34F8"/>
    <w:rsid w:val="002E47F9"/>
    <w:rsid w:val="002E5F22"/>
    <w:rsid w:val="002E5F75"/>
    <w:rsid w:val="002E6918"/>
    <w:rsid w:val="002E78B4"/>
    <w:rsid w:val="002E7988"/>
    <w:rsid w:val="002E7B90"/>
    <w:rsid w:val="002F0C1D"/>
    <w:rsid w:val="002F255D"/>
    <w:rsid w:val="002F5565"/>
    <w:rsid w:val="002F7768"/>
    <w:rsid w:val="002FCD6E"/>
    <w:rsid w:val="0030037E"/>
    <w:rsid w:val="003004B0"/>
    <w:rsid w:val="003008A7"/>
    <w:rsid w:val="00301153"/>
    <w:rsid w:val="0030117D"/>
    <w:rsid w:val="0030176F"/>
    <w:rsid w:val="00301A9E"/>
    <w:rsid w:val="003021F4"/>
    <w:rsid w:val="0030284D"/>
    <w:rsid w:val="00303C0D"/>
    <w:rsid w:val="00304FE5"/>
    <w:rsid w:val="00306874"/>
    <w:rsid w:val="003102B9"/>
    <w:rsid w:val="003104BF"/>
    <w:rsid w:val="0031359C"/>
    <w:rsid w:val="00314D4A"/>
    <w:rsid w:val="00317176"/>
    <w:rsid w:val="00320C00"/>
    <w:rsid w:val="00320EE6"/>
    <w:rsid w:val="00321EB1"/>
    <w:rsid w:val="00321F4D"/>
    <w:rsid w:val="003220EB"/>
    <w:rsid w:val="00322410"/>
    <w:rsid w:val="00323517"/>
    <w:rsid w:val="00324DAB"/>
    <w:rsid w:val="003251BB"/>
    <w:rsid w:val="00326ACB"/>
    <w:rsid w:val="00327F11"/>
    <w:rsid w:val="00331C1B"/>
    <w:rsid w:val="003331F9"/>
    <w:rsid w:val="0033370B"/>
    <w:rsid w:val="00334B47"/>
    <w:rsid w:val="00335534"/>
    <w:rsid w:val="00336699"/>
    <w:rsid w:val="003372D9"/>
    <w:rsid w:val="00344CBF"/>
    <w:rsid w:val="00344DC7"/>
    <w:rsid w:val="00345BD2"/>
    <w:rsid w:val="00346402"/>
    <w:rsid w:val="0034644A"/>
    <w:rsid w:val="00346ABA"/>
    <w:rsid w:val="00347EFC"/>
    <w:rsid w:val="003506E9"/>
    <w:rsid w:val="0035109C"/>
    <w:rsid w:val="00351576"/>
    <w:rsid w:val="003548CD"/>
    <w:rsid w:val="0035606F"/>
    <w:rsid w:val="0035610C"/>
    <w:rsid w:val="00356CF3"/>
    <w:rsid w:val="003622BC"/>
    <w:rsid w:val="00366C2B"/>
    <w:rsid w:val="003703C9"/>
    <w:rsid w:val="00370700"/>
    <w:rsid w:val="003721FA"/>
    <w:rsid w:val="00373656"/>
    <w:rsid w:val="00374BA5"/>
    <w:rsid w:val="00376877"/>
    <w:rsid w:val="00376B93"/>
    <w:rsid w:val="00383CBE"/>
    <w:rsid w:val="0038472D"/>
    <w:rsid w:val="00384C30"/>
    <w:rsid w:val="00386268"/>
    <w:rsid w:val="00386D1E"/>
    <w:rsid w:val="00386DFC"/>
    <w:rsid w:val="00391762"/>
    <w:rsid w:val="00391F13"/>
    <w:rsid w:val="003924DB"/>
    <w:rsid w:val="00392C6C"/>
    <w:rsid w:val="00392C73"/>
    <w:rsid w:val="0039396F"/>
    <w:rsid w:val="00393F6C"/>
    <w:rsid w:val="00396742"/>
    <w:rsid w:val="00396AA9"/>
    <w:rsid w:val="003A1454"/>
    <w:rsid w:val="003A194F"/>
    <w:rsid w:val="003A28AE"/>
    <w:rsid w:val="003A4191"/>
    <w:rsid w:val="003B0E1B"/>
    <w:rsid w:val="003B171D"/>
    <w:rsid w:val="003B1E4F"/>
    <w:rsid w:val="003B21B0"/>
    <w:rsid w:val="003B47D4"/>
    <w:rsid w:val="003B4AD1"/>
    <w:rsid w:val="003C067F"/>
    <w:rsid w:val="003C071B"/>
    <w:rsid w:val="003C1077"/>
    <w:rsid w:val="003C30B1"/>
    <w:rsid w:val="003C3672"/>
    <w:rsid w:val="003C36D6"/>
    <w:rsid w:val="003C5006"/>
    <w:rsid w:val="003C5E29"/>
    <w:rsid w:val="003D0399"/>
    <w:rsid w:val="003D067A"/>
    <w:rsid w:val="003D13EA"/>
    <w:rsid w:val="003D18DF"/>
    <w:rsid w:val="003D222C"/>
    <w:rsid w:val="003D239F"/>
    <w:rsid w:val="003D504F"/>
    <w:rsid w:val="003E0417"/>
    <w:rsid w:val="003E06C0"/>
    <w:rsid w:val="003E149D"/>
    <w:rsid w:val="003E368A"/>
    <w:rsid w:val="003E37BB"/>
    <w:rsid w:val="003E392E"/>
    <w:rsid w:val="003E6115"/>
    <w:rsid w:val="003F3586"/>
    <w:rsid w:val="003F35AA"/>
    <w:rsid w:val="003F587E"/>
    <w:rsid w:val="003F6641"/>
    <w:rsid w:val="00400DE0"/>
    <w:rsid w:val="00401175"/>
    <w:rsid w:val="00401217"/>
    <w:rsid w:val="0040192B"/>
    <w:rsid w:val="00401E4F"/>
    <w:rsid w:val="00401F7D"/>
    <w:rsid w:val="00402699"/>
    <w:rsid w:val="00403D2D"/>
    <w:rsid w:val="0040589C"/>
    <w:rsid w:val="00406E44"/>
    <w:rsid w:val="00411A24"/>
    <w:rsid w:val="004129E3"/>
    <w:rsid w:val="00412AD6"/>
    <w:rsid w:val="00413FCC"/>
    <w:rsid w:val="00414EC4"/>
    <w:rsid w:val="00415E8F"/>
    <w:rsid w:val="00416B1D"/>
    <w:rsid w:val="00417443"/>
    <w:rsid w:val="004209CB"/>
    <w:rsid w:val="004238F1"/>
    <w:rsid w:val="004254E6"/>
    <w:rsid w:val="004261EF"/>
    <w:rsid w:val="00427155"/>
    <w:rsid w:val="00427EBB"/>
    <w:rsid w:val="004310C2"/>
    <w:rsid w:val="00431E50"/>
    <w:rsid w:val="00431FA3"/>
    <w:rsid w:val="004329F4"/>
    <w:rsid w:val="004346A3"/>
    <w:rsid w:val="004357A3"/>
    <w:rsid w:val="004360B7"/>
    <w:rsid w:val="004372FC"/>
    <w:rsid w:val="00437877"/>
    <w:rsid w:val="00437BFD"/>
    <w:rsid w:val="0044093C"/>
    <w:rsid w:val="004461E9"/>
    <w:rsid w:val="00446273"/>
    <w:rsid w:val="004467DE"/>
    <w:rsid w:val="00447E8A"/>
    <w:rsid w:val="004522A1"/>
    <w:rsid w:val="00452CF9"/>
    <w:rsid w:val="00453BCC"/>
    <w:rsid w:val="00455946"/>
    <w:rsid w:val="00462808"/>
    <w:rsid w:val="00463053"/>
    <w:rsid w:val="00463B74"/>
    <w:rsid w:val="004645C9"/>
    <w:rsid w:val="00464ADE"/>
    <w:rsid w:val="00464CDD"/>
    <w:rsid w:val="0046596C"/>
    <w:rsid w:val="00465AAF"/>
    <w:rsid w:val="00466F97"/>
    <w:rsid w:val="004674E7"/>
    <w:rsid w:val="004702B7"/>
    <w:rsid w:val="004706DF"/>
    <w:rsid w:val="00472F3A"/>
    <w:rsid w:val="004732B6"/>
    <w:rsid w:val="00473540"/>
    <w:rsid w:val="00474281"/>
    <w:rsid w:val="004746AE"/>
    <w:rsid w:val="00475478"/>
    <w:rsid w:val="00475494"/>
    <w:rsid w:val="00475DDA"/>
    <w:rsid w:val="00480B3A"/>
    <w:rsid w:val="0048213A"/>
    <w:rsid w:val="004822DA"/>
    <w:rsid w:val="004827C1"/>
    <w:rsid w:val="00482A5E"/>
    <w:rsid w:val="00482DB8"/>
    <w:rsid w:val="004834E0"/>
    <w:rsid w:val="00483E5E"/>
    <w:rsid w:val="00485CB0"/>
    <w:rsid w:val="004915C7"/>
    <w:rsid w:val="0049333E"/>
    <w:rsid w:val="00493ABD"/>
    <w:rsid w:val="00494A71"/>
    <w:rsid w:val="00495286"/>
    <w:rsid w:val="00495742"/>
    <w:rsid w:val="00495926"/>
    <w:rsid w:val="00497D69"/>
    <w:rsid w:val="004A0BD5"/>
    <w:rsid w:val="004A367B"/>
    <w:rsid w:val="004A578C"/>
    <w:rsid w:val="004A5D49"/>
    <w:rsid w:val="004A5D7D"/>
    <w:rsid w:val="004A7090"/>
    <w:rsid w:val="004B188B"/>
    <w:rsid w:val="004B3561"/>
    <w:rsid w:val="004B4FBD"/>
    <w:rsid w:val="004B5109"/>
    <w:rsid w:val="004B7D9C"/>
    <w:rsid w:val="004B7FC6"/>
    <w:rsid w:val="004C0138"/>
    <w:rsid w:val="004C03F2"/>
    <w:rsid w:val="004C04A5"/>
    <w:rsid w:val="004C25B0"/>
    <w:rsid w:val="004C3584"/>
    <w:rsid w:val="004C6D05"/>
    <w:rsid w:val="004C7115"/>
    <w:rsid w:val="004D09CE"/>
    <w:rsid w:val="004D16B2"/>
    <w:rsid w:val="004D2202"/>
    <w:rsid w:val="004D2FC0"/>
    <w:rsid w:val="004D3301"/>
    <w:rsid w:val="004D375D"/>
    <w:rsid w:val="004D4B75"/>
    <w:rsid w:val="004D5FD5"/>
    <w:rsid w:val="004D62E3"/>
    <w:rsid w:val="004D7AE6"/>
    <w:rsid w:val="004D7E90"/>
    <w:rsid w:val="004E106C"/>
    <w:rsid w:val="004E36E5"/>
    <w:rsid w:val="004E3CE1"/>
    <w:rsid w:val="004E58C7"/>
    <w:rsid w:val="004E5D8A"/>
    <w:rsid w:val="004F1F0F"/>
    <w:rsid w:val="004F5745"/>
    <w:rsid w:val="005015A8"/>
    <w:rsid w:val="00503753"/>
    <w:rsid w:val="00504998"/>
    <w:rsid w:val="00506996"/>
    <w:rsid w:val="00506BA7"/>
    <w:rsid w:val="00506C1B"/>
    <w:rsid w:val="0050717F"/>
    <w:rsid w:val="00507BBF"/>
    <w:rsid w:val="005110AB"/>
    <w:rsid w:val="00511364"/>
    <w:rsid w:val="00512DFE"/>
    <w:rsid w:val="005150E9"/>
    <w:rsid w:val="0051685F"/>
    <w:rsid w:val="00516F57"/>
    <w:rsid w:val="00517292"/>
    <w:rsid w:val="00520FD8"/>
    <w:rsid w:val="00523527"/>
    <w:rsid w:val="00523F2C"/>
    <w:rsid w:val="00523FFD"/>
    <w:rsid w:val="00524739"/>
    <w:rsid w:val="005269F0"/>
    <w:rsid w:val="00534E2B"/>
    <w:rsid w:val="0053738A"/>
    <w:rsid w:val="005374E1"/>
    <w:rsid w:val="0053CEBA"/>
    <w:rsid w:val="00540892"/>
    <w:rsid w:val="00541511"/>
    <w:rsid w:val="00541FEB"/>
    <w:rsid w:val="005428C5"/>
    <w:rsid w:val="00545A4E"/>
    <w:rsid w:val="00545B99"/>
    <w:rsid w:val="00545FD1"/>
    <w:rsid w:val="0054629B"/>
    <w:rsid w:val="00546684"/>
    <w:rsid w:val="00546E23"/>
    <w:rsid w:val="005506F0"/>
    <w:rsid w:val="00555321"/>
    <w:rsid w:val="00560A0A"/>
    <w:rsid w:val="00561E7D"/>
    <w:rsid w:val="0056211B"/>
    <w:rsid w:val="00562653"/>
    <w:rsid w:val="00563205"/>
    <w:rsid w:val="00563783"/>
    <w:rsid w:val="0056695D"/>
    <w:rsid w:val="0056720F"/>
    <w:rsid w:val="00567FA3"/>
    <w:rsid w:val="00572520"/>
    <w:rsid w:val="00574E25"/>
    <w:rsid w:val="0057533F"/>
    <w:rsid w:val="00576FF3"/>
    <w:rsid w:val="00580BDD"/>
    <w:rsid w:val="00582364"/>
    <w:rsid w:val="00584723"/>
    <w:rsid w:val="00584F62"/>
    <w:rsid w:val="005854DB"/>
    <w:rsid w:val="00590595"/>
    <w:rsid w:val="00591644"/>
    <w:rsid w:val="00591649"/>
    <w:rsid w:val="005938E9"/>
    <w:rsid w:val="00594FE8"/>
    <w:rsid w:val="005956F6"/>
    <w:rsid w:val="0059641C"/>
    <w:rsid w:val="005976C9"/>
    <w:rsid w:val="005A0FBE"/>
    <w:rsid w:val="005A226C"/>
    <w:rsid w:val="005A563F"/>
    <w:rsid w:val="005A72B9"/>
    <w:rsid w:val="005A7E49"/>
    <w:rsid w:val="005B0586"/>
    <w:rsid w:val="005B0612"/>
    <w:rsid w:val="005B191D"/>
    <w:rsid w:val="005B27D7"/>
    <w:rsid w:val="005B4992"/>
    <w:rsid w:val="005B4D98"/>
    <w:rsid w:val="005B5369"/>
    <w:rsid w:val="005B5811"/>
    <w:rsid w:val="005B615D"/>
    <w:rsid w:val="005B6708"/>
    <w:rsid w:val="005C0268"/>
    <w:rsid w:val="005C15BC"/>
    <w:rsid w:val="005C2CD1"/>
    <w:rsid w:val="005C2E3B"/>
    <w:rsid w:val="005C337D"/>
    <w:rsid w:val="005C33CD"/>
    <w:rsid w:val="005C3C5C"/>
    <w:rsid w:val="005C5187"/>
    <w:rsid w:val="005C680E"/>
    <w:rsid w:val="005C6AB5"/>
    <w:rsid w:val="005C6F7C"/>
    <w:rsid w:val="005C6F89"/>
    <w:rsid w:val="005D096D"/>
    <w:rsid w:val="005D13B2"/>
    <w:rsid w:val="005D17CA"/>
    <w:rsid w:val="005D1F4C"/>
    <w:rsid w:val="005D21FF"/>
    <w:rsid w:val="005D2ECA"/>
    <w:rsid w:val="005D34A2"/>
    <w:rsid w:val="005D4177"/>
    <w:rsid w:val="005D4C34"/>
    <w:rsid w:val="005D5B4E"/>
    <w:rsid w:val="005D900B"/>
    <w:rsid w:val="005E1FB6"/>
    <w:rsid w:val="005E242D"/>
    <w:rsid w:val="005E2468"/>
    <w:rsid w:val="005E303A"/>
    <w:rsid w:val="005E3821"/>
    <w:rsid w:val="005E4CFD"/>
    <w:rsid w:val="005E7765"/>
    <w:rsid w:val="005F02BC"/>
    <w:rsid w:val="005F079B"/>
    <w:rsid w:val="005F0DF4"/>
    <w:rsid w:val="005F2066"/>
    <w:rsid w:val="005F2FB9"/>
    <w:rsid w:val="005F38C1"/>
    <w:rsid w:val="005F4D56"/>
    <w:rsid w:val="005F5942"/>
    <w:rsid w:val="005F6243"/>
    <w:rsid w:val="00600248"/>
    <w:rsid w:val="00600C4F"/>
    <w:rsid w:val="006023D8"/>
    <w:rsid w:val="00602756"/>
    <w:rsid w:val="00604F72"/>
    <w:rsid w:val="00605540"/>
    <w:rsid w:val="00605C37"/>
    <w:rsid w:val="00606261"/>
    <w:rsid w:val="0060685A"/>
    <w:rsid w:val="006105E9"/>
    <w:rsid w:val="00611197"/>
    <w:rsid w:val="00612D02"/>
    <w:rsid w:val="00613097"/>
    <w:rsid w:val="00613646"/>
    <w:rsid w:val="00614870"/>
    <w:rsid w:val="006150E0"/>
    <w:rsid w:val="00616A2F"/>
    <w:rsid w:val="00617F10"/>
    <w:rsid w:val="00620FCF"/>
    <w:rsid w:val="00621165"/>
    <w:rsid w:val="00621DB9"/>
    <w:rsid w:val="006243B3"/>
    <w:rsid w:val="00625306"/>
    <w:rsid w:val="006255C2"/>
    <w:rsid w:val="0062574B"/>
    <w:rsid w:val="006336B7"/>
    <w:rsid w:val="00633718"/>
    <w:rsid w:val="006338AD"/>
    <w:rsid w:val="006359D5"/>
    <w:rsid w:val="0063799D"/>
    <w:rsid w:val="00637E3B"/>
    <w:rsid w:val="0063C1A2"/>
    <w:rsid w:val="00640F0D"/>
    <w:rsid w:val="00642245"/>
    <w:rsid w:val="0064238D"/>
    <w:rsid w:val="00642653"/>
    <w:rsid w:val="006427DF"/>
    <w:rsid w:val="00642F1C"/>
    <w:rsid w:val="00647D56"/>
    <w:rsid w:val="00647EA8"/>
    <w:rsid w:val="00652294"/>
    <w:rsid w:val="00652B52"/>
    <w:rsid w:val="00653A1B"/>
    <w:rsid w:val="00653E74"/>
    <w:rsid w:val="00653FE3"/>
    <w:rsid w:val="0065503B"/>
    <w:rsid w:val="00655388"/>
    <w:rsid w:val="00655C76"/>
    <w:rsid w:val="006577DF"/>
    <w:rsid w:val="006601D6"/>
    <w:rsid w:val="00660CC8"/>
    <w:rsid w:val="006611BA"/>
    <w:rsid w:val="00661AD5"/>
    <w:rsid w:val="00663894"/>
    <w:rsid w:val="00665893"/>
    <w:rsid w:val="00667866"/>
    <w:rsid w:val="00670741"/>
    <w:rsid w:val="00670978"/>
    <w:rsid w:val="00670AB8"/>
    <w:rsid w:val="0067264F"/>
    <w:rsid w:val="006737EE"/>
    <w:rsid w:val="00674B6C"/>
    <w:rsid w:val="00675D50"/>
    <w:rsid w:val="0067638B"/>
    <w:rsid w:val="00677C9F"/>
    <w:rsid w:val="00680DC1"/>
    <w:rsid w:val="006818C5"/>
    <w:rsid w:val="00682382"/>
    <w:rsid w:val="00684787"/>
    <w:rsid w:val="00684884"/>
    <w:rsid w:val="00684D59"/>
    <w:rsid w:val="00686206"/>
    <w:rsid w:val="00686AEF"/>
    <w:rsid w:val="00690170"/>
    <w:rsid w:val="00690A7A"/>
    <w:rsid w:val="00691842"/>
    <w:rsid w:val="00692B92"/>
    <w:rsid w:val="00693916"/>
    <w:rsid w:val="00693D83"/>
    <w:rsid w:val="00694C8F"/>
    <w:rsid w:val="00694F38"/>
    <w:rsid w:val="00695604"/>
    <w:rsid w:val="006A3C30"/>
    <w:rsid w:val="006A639D"/>
    <w:rsid w:val="006A6601"/>
    <w:rsid w:val="006A6A81"/>
    <w:rsid w:val="006A7276"/>
    <w:rsid w:val="006A79E4"/>
    <w:rsid w:val="006B0CE4"/>
    <w:rsid w:val="006B4B9C"/>
    <w:rsid w:val="006B4DD5"/>
    <w:rsid w:val="006B5DA8"/>
    <w:rsid w:val="006C23E3"/>
    <w:rsid w:val="006C2F84"/>
    <w:rsid w:val="006C4C26"/>
    <w:rsid w:val="006C501B"/>
    <w:rsid w:val="006C516E"/>
    <w:rsid w:val="006C6126"/>
    <w:rsid w:val="006C63F0"/>
    <w:rsid w:val="006C65D1"/>
    <w:rsid w:val="006C6C59"/>
    <w:rsid w:val="006C73FA"/>
    <w:rsid w:val="006D032E"/>
    <w:rsid w:val="006D2C0A"/>
    <w:rsid w:val="006D2C61"/>
    <w:rsid w:val="006D4198"/>
    <w:rsid w:val="006D4A53"/>
    <w:rsid w:val="006D6518"/>
    <w:rsid w:val="006D6650"/>
    <w:rsid w:val="006D7709"/>
    <w:rsid w:val="006E1992"/>
    <w:rsid w:val="006E1DAA"/>
    <w:rsid w:val="006E2B63"/>
    <w:rsid w:val="006E3A30"/>
    <w:rsid w:val="006E4DCD"/>
    <w:rsid w:val="006E52D4"/>
    <w:rsid w:val="006E6988"/>
    <w:rsid w:val="006F0A09"/>
    <w:rsid w:val="006F108D"/>
    <w:rsid w:val="006F2F4A"/>
    <w:rsid w:val="006F3566"/>
    <w:rsid w:val="006F67B9"/>
    <w:rsid w:val="006F6B6A"/>
    <w:rsid w:val="006F7344"/>
    <w:rsid w:val="006F7361"/>
    <w:rsid w:val="00700336"/>
    <w:rsid w:val="007017FF"/>
    <w:rsid w:val="0070450A"/>
    <w:rsid w:val="00706106"/>
    <w:rsid w:val="0070637A"/>
    <w:rsid w:val="00707243"/>
    <w:rsid w:val="007104B9"/>
    <w:rsid w:val="00710537"/>
    <w:rsid w:val="00712311"/>
    <w:rsid w:val="007124AF"/>
    <w:rsid w:val="0071271B"/>
    <w:rsid w:val="007127B3"/>
    <w:rsid w:val="00713430"/>
    <w:rsid w:val="007149E5"/>
    <w:rsid w:val="007170C9"/>
    <w:rsid w:val="007235DD"/>
    <w:rsid w:val="00724264"/>
    <w:rsid w:val="007264B6"/>
    <w:rsid w:val="007268FE"/>
    <w:rsid w:val="007277C9"/>
    <w:rsid w:val="007278CC"/>
    <w:rsid w:val="00727DAC"/>
    <w:rsid w:val="0073281D"/>
    <w:rsid w:val="00733E02"/>
    <w:rsid w:val="007348EE"/>
    <w:rsid w:val="00734B0D"/>
    <w:rsid w:val="00734FA0"/>
    <w:rsid w:val="0073671F"/>
    <w:rsid w:val="00736E3B"/>
    <w:rsid w:val="00737AA8"/>
    <w:rsid w:val="00740805"/>
    <w:rsid w:val="00741531"/>
    <w:rsid w:val="00741BD5"/>
    <w:rsid w:val="00742748"/>
    <w:rsid w:val="00745602"/>
    <w:rsid w:val="0074620C"/>
    <w:rsid w:val="007462AD"/>
    <w:rsid w:val="00747778"/>
    <w:rsid w:val="00747C3C"/>
    <w:rsid w:val="00751818"/>
    <w:rsid w:val="007530EA"/>
    <w:rsid w:val="00761566"/>
    <w:rsid w:val="00762E1C"/>
    <w:rsid w:val="00763186"/>
    <w:rsid w:val="007632E2"/>
    <w:rsid w:val="007647BA"/>
    <w:rsid w:val="00765353"/>
    <w:rsid w:val="007660CE"/>
    <w:rsid w:val="00772120"/>
    <w:rsid w:val="00772A35"/>
    <w:rsid w:val="007741EB"/>
    <w:rsid w:val="007744D5"/>
    <w:rsid w:val="00774FE6"/>
    <w:rsid w:val="00775275"/>
    <w:rsid w:val="00775EE5"/>
    <w:rsid w:val="0077756C"/>
    <w:rsid w:val="00785345"/>
    <w:rsid w:val="00792B52"/>
    <w:rsid w:val="007932AE"/>
    <w:rsid w:val="00797025"/>
    <w:rsid w:val="007A15EB"/>
    <w:rsid w:val="007A26EB"/>
    <w:rsid w:val="007A3325"/>
    <w:rsid w:val="007A42B2"/>
    <w:rsid w:val="007A4478"/>
    <w:rsid w:val="007A4814"/>
    <w:rsid w:val="007A6540"/>
    <w:rsid w:val="007A6B36"/>
    <w:rsid w:val="007A6CB3"/>
    <w:rsid w:val="007A6CDD"/>
    <w:rsid w:val="007A787F"/>
    <w:rsid w:val="007B153F"/>
    <w:rsid w:val="007B2394"/>
    <w:rsid w:val="007B248C"/>
    <w:rsid w:val="007B3BFA"/>
    <w:rsid w:val="007B49A7"/>
    <w:rsid w:val="007B549C"/>
    <w:rsid w:val="007B660A"/>
    <w:rsid w:val="007B6915"/>
    <w:rsid w:val="007B79A9"/>
    <w:rsid w:val="007C16AC"/>
    <w:rsid w:val="007C1877"/>
    <w:rsid w:val="007C24AF"/>
    <w:rsid w:val="007C6CE4"/>
    <w:rsid w:val="007C7DE5"/>
    <w:rsid w:val="007C7E2B"/>
    <w:rsid w:val="007D1D64"/>
    <w:rsid w:val="007D2FC0"/>
    <w:rsid w:val="007D3950"/>
    <w:rsid w:val="007D4F71"/>
    <w:rsid w:val="007D594E"/>
    <w:rsid w:val="007D6095"/>
    <w:rsid w:val="007D66A7"/>
    <w:rsid w:val="007D6C3D"/>
    <w:rsid w:val="007E06E0"/>
    <w:rsid w:val="007E1DB7"/>
    <w:rsid w:val="007E3680"/>
    <w:rsid w:val="007E3F3C"/>
    <w:rsid w:val="007E677F"/>
    <w:rsid w:val="007F158F"/>
    <w:rsid w:val="007F2F8F"/>
    <w:rsid w:val="007F4BDB"/>
    <w:rsid w:val="007F6838"/>
    <w:rsid w:val="007F70A3"/>
    <w:rsid w:val="008007E6"/>
    <w:rsid w:val="00801F5B"/>
    <w:rsid w:val="00802C8E"/>
    <w:rsid w:val="00804A1A"/>
    <w:rsid w:val="00807A14"/>
    <w:rsid w:val="008105A2"/>
    <w:rsid w:val="008121E5"/>
    <w:rsid w:val="008136E6"/>
    <w:rsid w:val="0081444B"/>
    <w:rsid w:val="008244AD"/>
    <w:rsid w:val="00826C33"/>
    <w:rsid w:val="00826D88"/>
    <w:rsid w:val="008274FA"/>
    <w:rsid w:val="00830D08"/>
    <w:rsid w:val="008310A0"/>
    <w:rsid w:val="00832F75"/>
    <w:rsid w:val="00836127"/>
    <w:rsid w:val="008401B9"/>
    <w:rsid w:val="0084189E"/>
    <w:rsid w:val="00841B65"/>
    <w:rsid w:val="00842094"/>
    <w:rsid w:val="00842C58"/>
    <w:rsid w:val="00842EBF"/>
    <w:rsid w:val="00842EF6"/>
    <w:rsid w:val="00843587"/>
    <w:rsid w:val="0084393C"/>
    <w:rsid w:val="00843C87"/>
    <w:rsid w:val="008449E9"/>
    <w:rsid w:val="00844E1E"/>
    <w:rsid w:val="00845C4D"/>
    <w:rsid w:val="00847359"/>
    <w:rsid w:val="00847E25"/>
    <w:rsid w:val="008545EA"/>
    <w:rsid w:val="008551BA"/>
    <w:rsid w:val="00855282"/>
    <w:rsid w:val="00861277"/>
    <w:rsid w:val="008624CD"/>
    <w:rsid w:val="00863958"/>
    <w:rsid w:val="0086548F"/>
    <w:rsid w:val="0086567C"/>
    <w:rsid w:val="00865B2F"/>
    <w:rsid w:val="008677BE"/>
    <w:rsid w:val="00867A96"/>
    <w:rsid w:val="00870098"/>
    <w:rsid w:val="008706A4"/>
    <w:rsid w:val="008712FD"/>
    <w:rsid w:val="00871B2F"/>
    <w:rsid w:val="00871D47"/>
    <w:rsid w:val="00872F0F"/>
    <w:rsid w:val="00874ECE"/>
    <w:rsid w:val="00875338"/>
    <w:rsid w:val="00876565"/>
    <w:rsid w:val="00876BEE"/>
    <w:rsid w:val="00876F37"/>
    <w:rsid w:val="0088041A"/>
    <w:rsid w:val="00880D6D"/>
    <w:rsid w:val="00883917"/>
    <w:rsid w:val="00885BAF"/>
    <w:rsid w:val="00885BB9"/>
    <w:rsid w:val="008902E9"/>
    <w:rsid w:val="00890A23"/>
    <w:rsid w:val="00890E9F"/>
    <w:rsid w:val="00892BC6"/>
    <w:rsid w:val="00894DAE"/>
    <w:rsid w:val="008957CA"/>
    <w:rsid w:val="00895A10"/>
    <w:rsid w:val="00896058"/>
    <w:rsid w:val="0089618B"/>
    <w:rsid w:val="0089726E"/>
    <w:rsid w:val="00897B2B"/>
    <w:rsid w:val="008A0B31"/>
    <w:rsid w:val="008A23E5"/>
    <w:rsid w:val="008A338D"/>
    <w:rsid w:val="008A4936"/>
    <w:rsid w:val="008A6A53"/>
    <w:rsid w:val="008A6B4E"/>
    <w:rsid w:val="008A75F9"/>
    <w:rsid w:val="008B1D52"/>
    <w:rsid w:val="008B2187"/>
    <w:rsid w:val="008B48D1"/>
    <w:rsid w:val="008B4946"/>
    <w:rsid w:val="008B4B5A"/>
    <w:rsid w:val="008B54B5"/>
    <w:rsid w:val="008B7AF8"/>
    <w:rsid w:val="008C0A64"/>
    <w:rsid w:val="008C1408"/>
    <w:rsid w:val="008C149D"/>
    <w:rsid w:val="008C1833"/>
    <w:rsid w:val="008C2F45"/>
    <w:rsid w:val="008C4000"/>
    <w:rsid w:val="008C56EE"/>
    <w:rsid w:val="008C6D70"/>
    <w:rsid w:val="008C7481"/>
    <w:rsid w:val="008C76B0"/>
    <w:rsid w:val="008C7F24"/>
    <w:rsid w:val="008D07DB"/>
    <w:rsid w:val="008D16E7"/>
    <w:rsid w:val="008D27E1"/>
    <w:rsid w:val="008D3049"/>
    <w:rsid w:val="008D4224"/>
    <w:rsid w:val="008D44FB"/>
    <w:rsid w:val="008D62BF"/>
    <w:rsid w:val="008D6FA2"/>
    <w:rsid w:val="008E04C4"/>
    <w:rsid w:val="008E2F9E"/>
    <w:rsid w:val="008E4A1D"/>
    <w:rsid w:val="008E4D32"/>
    <w:rsid w:val="008E4D6C"/>
    <w:rsid w:val="008E4E17"/>
    <w:rsid w:val="008E5097"/>
    <w:rsid w:val="008E519D"/>
    <w:rsid w:val="008E56ED"/>
    <w:rsid w:val="008E5B2E"/>
    <w:rsid w:val="008E627E"/>
    <w:rsid w:val="008E6483"/>
    <w:rsid w:val="008E7886"/>
    <w:rsid w:val="008E7E90"/>
    <w:rsid w:val="008F00E8"/>
    <w:rsid w:val="008F04D2"/>
    <w:rsid w:val="008F24AA"/>
    <w:rsid w:val="008F3AC8"/>
    <w:rsid w:val="008F5472"/>
    <w:rsid w:val="008F56A7"/>
    <w:rsid w:val="008F57B0"/>
    <w:rsid w:val="008F6B6F"/>
    <w:rsid w:val="008F7376"/>
    <w:rsid w:val="00901082"/>
    <w:rsid w:val="00902F02"/>
    <w:rsid w:val="00905EB4"/>
    <w:rsid w:val="00906D52"/>
    <w:rsid w:val="009078CD"/>
    <w:rsid w:val="00911D95"/>
    <w:rsid w:val="00914280"/>
    <w:rsid w:val="00914FC3"/>
    <w:rsid w:val="00920174"/>
    <w:rsid w:val="00920195"/>
    <w:rsid w:val="00920D19"/>
    <w:rsid w:val="00920E2F"/>
    <w:rsid w:val="009218DF"/>
    <w:rsid w:val="00921C2D"/>
    <w:rsid w:val="00924112"/>
    <w:rsid w:val="00925A14"/>
    <w:rsid w:val="00926BAF"/>
    <w:rsid w:val="00927932"/>
    <w:rsid w:val="00927CA9"/>
    <w:rsid w:val="009329DE"/>
    <w:rsid w:val="00933499"/>
    <w:rsid w:val="00933C70"/>
    <w:rsid w:val="00934AB2"/>
    <w:rsid w:val="009351E1"/>
    <w:rsid w:val="00937B27"/>
    <w:rsid w:val="00937CE4"/>
    <w:rsid w:val="0094011A"/>
    <w:rsid w:val="009414EA"/>
    <w:rsid w:val="00941729"/>
    <w:rsid w:val="00945233"/>
    <w:rsid w:val="0094533C"/>
    <w:rsid w:val="00946D7D"/>
    <w:rsid w:val="00947A1C"/>
    <w:rsid w:val="00947BB4"/>
    <w:rsid w:val="00951AC0"/>
    <w:rsid w:val="00952198"/>
    <w:rsid w:val="00953846"/>
    <w:rsid w:val="00954D86"/>
    <w:rsid w:val="009568BA"/>
    <w:rsid w:val="009604B3"/>
    <w:rsid w:val="0096081C"/>
    <w:rsid w:val="009610E8"/>
    <w:rsid w:val="00962757"/>
    <w:rsid w:val="00964968"/>
    <w:rsid w:val="009663C8"/>
    <w:rsid w:val="0096681A"/>
    <w:rsid w:val="00971962"/>
    <w:rsid w:val="009726D9"/>
    <w:rsid w:val="00972968"/>
    <w:rsid w:val="00974236"/>
    <w:rsid w:val="00975DCB"/>
    <w:rsid w:val="00977343"/>
    <w:rsid w:val="00980883"/>
    <w:rsid w:val="0098153F"/>
    <w:rsid w:val="00982020"/>
    <w:rsid w:val="00982D7F"/>
    <w:rsid w:val="00982FFF"/>
    <w:rsid w:val="00983147"/>
    <w:rsid w:val="00984441"/>
    <w:rsid w:val="0099298F"/>
    <w:rsid w:val="00993C65"/>
    <w:rsid w:val="00995F8D"/>
    <w:rsid w:val="00996FA6"/>
    <w:rsid w:val="0099733B"/>
    <w:rsid w:val="009A23BE"/>
    <w:rsid w:val="009A2822"/>
    <w:rsid w:val="009A2BE8"/>
    <w:rsid w:val="009A3CB0"/>
    <w:rsid w:val="009A5B7B"/>
    <w:rsid w:val="009A5DC8"/>
    <w:rsid w:val="009A60FA"/>
    <w:rsid w:val="009A62F9"/>
    <w:rsid w:val="009A6343"/>
    <w:rsid w:val="009A7D7F"/>
    <w:rsid w:val="009B0874"/>
    <w:rsid w:val="009B0FF6"/>
    <w:rsid w:val="009B1315"/>
    <w:rsid w:val="009B18BE"/>
    <w:rsid w:val="009B27CB"/>
    <w:rsid w:val="009B3C6B"/>
    <w:rsid w:val="009B3FE0"/>
    <w:rsid w:val="009B773C"/>
    <w:rsid w:val="009C1C34"/>
    <w:rsid w:val="009C216E"/>
    <w:rsid w:val="009C22EE"/>
    <w:rsid w:val="009C692D"/>
    <w:rsid w:val="009C7E30"/>
    <w:rsid w:val="009D0CBB"/>
    <w:rsid w:val="009D1790"/>
    <w:rsid w:val="009D1D63"/>
    <w:rsid w:val="009D20B8"/>
    <w:rsid w:val="009D28E4"/>
    <w:rsid w:val="009D36E5"/>
    <w:rsid w:val="009D61AF"/>
    <w:rsid w:val="009D66EA"/>
    <w:rsid w:val="009E0664"/>
    <w:rsid w:val="009E1EAF"/>
    <w:rsid w:val="009E3DF4"/>
    <w:rsid w:val="009E3F6E"/>
    <w:rsid w:val="009E520E"/>
    <w:rsid w:val="009E5693"/>
    <w:rsid w:val="009E7395"/>
    <w:rsid w:val="009E7D8C"/>
    <w:rsid w:val="009F0E6A"/>
    <w:rsid w:val="009F2B05"/>
    <w:rsid w:val="009F3584"/>
    <w:rsid w:val="009F3894"/>
    <w:rsid w:val="009F3C12"/>
    <w:rsid w:val="009F3C86"/>
    <w:rsid w:val="009F61BD"/>
    <w:rsid w:val="009F6C76"/>
    <w:rsid w:val="009F7724"/>
    <w:rsid w:val="00A0083D"/>
    <w:rsid w:val="00A00F6B"/>
    <w:rsid w:val="00A010F3"/>
    <w:rsid w:val="00A02049"/>
    <w:rsid w:val="00A04016"/>
    <w:rsid w:val="00A05930"/>
    <w:rsid w:val="00A059A3"/>
    <w:rsid w:val="00A05A64"/>
    <w:rsid w:val="00A05E64"/>
    <w:rsid w:val="00A067E1"/>
    <w:rsid w:val="00A06D95"/>
    <w:rsid w:val="00A1067B"/>
    <w:rsid w:val="00A1098E"/>
    <w:rsid w:val="00A10BDB"/>
    <w:rsid w:val="00A116BB"/>
    <w:rsid w:val="00A12B75"/>
    <w:rsid w:val="00A132CE"/>
    <w:rsid w:val="00A1569F"/>
    <w:rsid w:val="00A15DE5"/>
    <w:rsid w:val="00A16741"/>
    <w:rsid w:val="00A1693E"/>
    <w:rsid w:val="00A171E3"/>
    <w:rsid w:val="00A21985"/>
    <w:rsid w:val="00A24FCD"/>
    <w:rsid w:val="00A25255"/>
    <w:rsid w:val="00A265D2"/>
    <w:rsid w:val="00A27C0F"/>
    <w:rsid w:val="00A33A6D"/>
    <w:rsid w:val="00A34BD0"/>
    <w:rsid w:val="00A3580E"/>
    <w:rsid w:val="00A422EB"/>
    <w:rsid w:val="00A43630"/>
    <w:rsid w:val="00A47F9D"/>
    <w:rsid w:val="00A500E0"/>
    <w:rsid w:val="00A50112"/>
    <w:rsid w:val="00A514B5"/>
    <w:rsid w:val="00A517AE"/>
    <w:rsid w:val="00A5180E"/>
    <w:rsid w:val="00A52540"/>
    <w:rsid w:val="00A52B52"/>
    <w:rsid w:val="00A52B5D"/>
    <w:rsid w:val="00A535F4"/>
    <w:rsid w:val="00A53E0C"/>
    <w:rsid w:val="00A5421D"/>
    <w:rsid w:val="00A54352"/>
    <w:rsid w:val="00A54520"/>
    <w:rsid w:val="00A54C81"/>
    <w:rsid w:val="00A55EB5"/>
    <w:rsid w:val="00A57DA2"/>
    <w:rsid w:val="00A6226E"/>
    <w:rsid w:val="00A623FA"/>
    <w:rsid w:val="00A62D44"/>
    <w:rsid w:val="00A6316B"/>
    <w:rsid w:val="00A642F1"/>
    <w:rsid w:val="00A64701"/>
    <w:rsid w:val="00A64970"/>
    <w:rsid w:val="00A66FDA"/>
    <w:rsid w:val="00A67BB6"/>
    <w:rsid w:val="00A70010"/>
    <w:rsid w:val="00A70B41"/>
    <w:rsid w:val="00A7122A"/>
    <w:rsid w:val="00A712B0"/>
    <w:rsid w:val="00A72BE3"/>
    <w:rsid w:val="00A741CE"/>
    <w:rsid w:val="00A74481"/>
    <w:rsid w:val="00A74B7A"/>
    <w:rsid w:val="00A7601B"/>
    <w:rsid w:val="00A76096"/>
    <w:rsid w:val="00A77681"/>
    <w:rsid w:val="00A815E3"/>
    <w:rsid w:val="00A818FB"/>
    <w:rsid w:val="00A81D51"/>
    <w:rsid w:val="00A83125"/>
    <w:rsid w:val="00A83459"/>
    <w:rsid w:val="00A8566A"/>
    <w:rsid w:val="00A85A85"/>
    <w:rsid w:val="00A85E0E"/>
    <w:rsid w:val="00A8603E"/>
    <w:rsid w:val="00A86616"/>
    <w:rsid w:val="00A86985"/>
    <w:rsid w:val="00A86F74"/>
    <w:rsid w:val="00A90165"/>
    <w:rsid w:val="00A91171"/>
    <w:rsid w:val="00A93CE7"/>
    <w:rsid w:val="00A9485E"/>
    <w:rsid w:val="00A95D0D"/>
    <w:rsid w:val="00A960B6"/>
    <w:rsid w:val="00A96E0D"/>
    <w:rsid w:val="00AA0001"/>
    <w:rsid w:val="00AA00C1"/>
    <w:rsid w:val="00AA028F"/>
    <w:rsid w:val="00AA0AAC"/>
    <w:rsid w:val="00AA0D67"/>
    <w:rsid w:val="00AA0DB0"/>
    <w:rsid w:val="00AA33A7"/>
    <w:rsid w:val="00AA4C17"/>
    <w:rsid w:val="00AA718D"/>
    <w:rsid w:val="00AA7826"/>
    <w:rsid w:val="00AA7E84"/>
    <w:rsid w:val="00AB0BAB"/>
    <w:rsid w:val="00AB24A5"/>
    <w:rsid w:val="00AB2A8A"/>
    <w:rsid w:val="00AB30F7"/>
    <w:rsid w:val="00AB38EC"/>
    <w:rsid w:val="00AB4B23"/>
    <w:rsid w:val="00AB505E"/>
    <w:rsid w:val="00AB6039"/>
    <w:rsid w:val="00AB63FC"/>
    <w:rsid w:val="00AC11A5"/>
    <w:rsid w:val="00AC2038"/>
    <w:rsid w:val="00AC2134"/>
    <w:rsid w:val="00AC5BC3"/>
    <w:rsid w:val="00AC72D1"/>
    <w:rsid w:val="00AD01D3"/>
    <w:rsid w:val="00AD059C"/>
    <w:rsid w:val="00AD06B4"/>
    <w:rsid w:val="00AD32DB"/>
    <w:rsid w:val="00AD45C8"/>
    <w:rsid w:val="00AD48F0"/>
    <w:rsid w:val="00AD50F1"/>
    <w:rsid w:val="00AD5790"/>
    <w:rsid w:val="00AE0C51"/>
    <w:rsid w:val="00AE4F37"/>
    <w:rsid w:val="00AE4FF6"/>
    <w:rsid w:val="00AE5BD5"/>
    <w:rsid w:val="00AE5F6E"/>
    <w:rsid w:val="00AE64B2"/>
    <w:rsid w:val="00AE70EA"/>
    <w:rsid w:val="00AEF39B"/>
    <w:rsid w:val="00AF02F4"/>
    <w:rsid w:val="00AF1FFA"/>
    <w:rsid w:val="00AF3B5F"/>
    <w:rsid w:val="00AF405F"/>
    <w:rsid w:val="00AF4BC4"/>
    <w:rsid w:val="00AF6124"/>
    <w:rsid w:val="00B04C7F"/>
    <w:rsid w:val="00B059FE"/>
    <w:rsid w:val="00B063C1"/>
    <w:rsid w:val="00B06671"/>
    <w:rsid w:val="00B07E0C"/>
    <w:rsid w:val="00B10A04"/>
    <w:rsid w:val="00B10E28"/>
    <w:rsid w:val="00B124A7"/>
    <w:rsid w:val="00B13B98"/>
    <w:rsid w:val="00B178BD"/>
    <w:rsid w:val="00B20676"/>
    <w:rsid w:val="00B219CB"/>
    <w:rsid w:val="00B22FF4"/>
    <w:rsid w:val="00B23617"/>
    <w:rsid w:val="00B236FC"/>
    <w:rsid w:val="00B23823"/>
    <w:rsid w:val="00B2681E"/>
    <w:rsid w:val="00B27E54"/>
    <w:rsid w:val="00B312C8"/>
    <w:rsid w:val="00B31A88"/>
    <w:rsid w:val="00B31C56"/>
    <w:rsid w:val="00B3366F"/>
    <w:rsid w:val="00B33BFC"/>
    <w:rsid w:val="00B3447A"/>
    <w:rsid w:val="00B348F3"/>
    <w:rsid w:val="00B34EB5"/>
    <w:rsid w:val="00B35E36"/>
    <w:rsid w:val="00B36D62"/>
    <w:rsid w:val="00B4076A"/>
    <w:rsid w:val="00B43AB1"/>
    <w:rsid w:val="00B448EA"/>
    <w:rsid w:val="00B4515B"/>
    <w:rsid w:val="00B454DF"/>
    <w:rsid w:val="00B45E36"/>
    <w:rsid w:val="00B46769"/>
    <w:rsid w:val="00B51A08"/>
    <w:rsid w:val="00B52E49"/>
    <w:rsid w:val="00B53058"/>
    <w:rsid w:val="00B557E2"/>
    <w:rsid w:val="00B602A5"/>
    <w:rsid w:val="00B604D9"/>
    <w:rsid w:val="00B60C14"/>
    <w:rsid w:val="00B63E5C"/>
    <w:rsid w:val="00B64AE7"/>
    <w:rsid w:val="00B67C15"/>
    <w:rsid w:val="00B71674"/>
    <w:rsid w:val="00B74143"/>
    <w:rsid w:val="00B75FD7"/>
    <w:rsid w:val="00B760FD"/>
    <w:rsid w:val="00B809C4"/>
    <w:rsid w:val="00B80C4E"/>
    <w:rsid w:val="00B80C9F"/>
    <w:rsid w:val="00B81400"/>
    <w:rsid w:val="00B8171C"/>
    <w:rsid w:val="00B81988"/>
    <w:rsid w:val="00B82877"/>
    <w:rsid w:val="00B82FE6"/>
    <w:rsid w:val="00B851C4"/>
    <w:rsid w:val="00B85373"/>
    <w:rsid w:val="00B85CDE"/>
    <w:rsid w:val="00B87093"/>
    <w:rsid w:val="00B874C5"/>
    <w:rsid w:val="00B929AF"/>
    <w:rsid w:val="00B92C5B"/>
    <w:rsid w:val="00B93A97"/>
    <w:rsid w:val="00B93B5A"/>
    <w:rsid w:val="00B94774"/>
    <w:rsid w:val="00B95FEB"/>
    <w:rsid w:val="00B96DD6"/>
    <w:rsid w:val="00B97714"/>
    <w:rsid w:val="00BA053A"/>
    <w:rsid w:val="00BA0FD6"/>
    <w:rsid w:val="00BA1998"/>
    <w:rsid w:val="00BA2176"/>
    <w:rsid w:val="00BA254A"/>
    <w:rsid w:val="00BA29F0"/>
    <w:rsid w:val="00BA2BCC"/>
    <w:rsid w:val="00BA33E9"/>
    <w:rsid w:val="00BA3A86"/>
    <w:rsid w:val="00BA3B9E"/>
    <w:rsid w:val="00BA4CF0"/>
    <w:rsid w:val="00BA5C8D"/>
    <w:rsid w:val="00BA6418"/>
    <w:rsid w:val="00BB008B"/>
    <w:rsid w:val="00BB15D5"/>
    <w:rsid w:val="00BB1765"/>
    <w:rsid w:val="00BB4FF2"/>
    <w:rsid w:val="00BB55B7"/>
    <w:rsid w:val="00BB7021"/>
    <w:rsid w:val="00BB709F"/>
    <w:rsid w:val="00BC007B"/>
    <w:rsid w:val="00BC20BE"/>
    <w:rsid w:val="00BC40CA"/>
    <w:rsid w:val="00BC4AD8"/>
    <w:rsid w:val="00BC5958"/>
    <w:rsid w:val="00BC6387"/>
    <w:rsid w:val="00BC659E"/>
    <w:rsid w:val="00BD1DB4"/>
    <w:rsid w:val="00BD3921"/>
    <w:rsid w:val="00BD4003"/>
    <w:rsid w:val="00BD4383"/>
    <w:rsid w:val="00BD5DE7"/>
    <w:rsid w:val="00BD5E81"/>
    <w:rsid w:val="00BD657E"/>
    <w:rsid w:val="00BD75CA"/>
    <w:rsid w:val="00BD7F68"/>
    <w:rsid w:val="00BE0A39"/>
    <w:rsid w:val="00BE1FE6"/>
    <w:rsid w:val="00BE2EA2"/>
    <w:rsid w:val="00BE39FC"/>
    <w:rsid w:val="00BE573A"/>
    <w:rsid w:val="00BE59BE"/>
    <w:rsid w:val="00BE77A2"/>
    <w:rsid w:val="00BF13DD"/>
    <w:rsid w:val="00BF1E6B"/>
    <w:rsid w:val="00BF5A99"/>
    <w:rsid w:val="00BF5FCF"/>
    <w:rsid w:val="00BF633B"/>
    <w:rsid w:val="00BF6BAC"/>
    <w:rsid w:val="00BF77C6"/>
    <w:rsid w:val="00C00B20"/>
    <w:rsid w:val="00C0150D"/>
    <w:rsid w:val="00C024B2"/>
    <w:rsid w:val="00C02966"/>
    <w:rsid w:val="00C02AE3"/>
    <w:rsid w:val="00C02DED"/>
    <w:rsid w:val="00C031FF"/>
    <w:rsid w:val="00C03E54"/>
    <w:rsid w:val="00C04924"/>
    <w:rsid w:val="00C04C39"/>
    <w:rsid w:val="00C0529D"/>
    <w:rsid w:val="00C06884"/>
    <w:rsid w:val="00C103C4"/>
    <w:rsid w:val="00C11503"/>
    <w:rsid w:val="00C12822"/>
    <w:rsid w:val="00C1329A"/>
    <w:rsid w:val="00C13B5B"/>
    <w:rsid w:val="00C13FFD"/>
    <w:rsid w:val="00C14137"/>
    <w:rsid w:val="00C14607"/>
    <w:rsid w:val="00C1501E"/>
    <w:rsid w:val="00C155CA"/>
    <w:rsid w:val="00C200D5"/>
    <w:rsid w:val="00C20492"/>
    <w:rsid w:val="00C21F89"/>
    <w:rsid w:val="00C220E8"/>
    <w:rsid w:val="00C22C27"/>
    <w:rsid w:val="00C231DE"/>
    <w:rsid w:val="00C23FF1"/>
    <w:rsid w:val="00C24C8A"/>
    <w:rsid w:val="00C279F9"/>
    <w:rsid w:val="00C305E5"/>
    <w:rsid w:val="00C31FC6"/>
    <w:rsid w:val="00C3282B"/>
    <w:rsid w:val="00C33E44"/>
    <w:rsid w:val="00C3475C"/>
    <w:rsid w:val="00C34E5E"/>
    <w:rsid w:val="00C355AB"/>
    <w:rsid w:val="00C35B82"/>
    <w:rsid w:val="00C365CF"/>
    <w:rsid w:val="00C369E8"/>
    <w:rsid w:val="00C370AC"/>
    <w:rsid w:val="00C4012C"/>
    <w:rsid w:val="00C40484"/>
    <w:rsid w:val="00C427BE"/>
    <w:rsid w:val="00C4359E"/>
    <w:rsid w:val="00C465CF"/>
    <w:rsid w:val="00C47A8E"/>
    <w:rsid w:val="00C503E2"/>
    <w:rsid w:val="00C5107D"/>
    <w:rsid w:val="00C51B84"/>
    <w:rsid w:val="00C52E98"/>
    <w:rsid w:val="00C54643"/>
    <w:rsid w:val="00C54793"/>
    <w:rsid w:val="00C551DC"/>
    <w:rsid w:val="00C55A79"/>
    <w:rsid w:val="00C55E1B"/>
    <w:rsid w:val="00C577A0"/>
    <w:rsid w:val="00C60A94"/>
    <w:rsid w:val="00C61C53"/>
    <w:rsid w:val="00C62F50"/>
    <w:rsid w:val="00C638FB"/>
    <w:rsid w:val="00C6478C"/>
    <w:rsid w:val="00C64A62"/>
    <w:rsid w:val="00C66297"/>
    <w:rsid w:val="00C67B37"/>
    <w:rsid w:val="00C67FEB"/>
    <w:rsid w:val="00C77199"/>
    <w:rsid w:val="00C84E90"/>
    <w:rsid w:val="00C9097D"/>
    <w:rsid w:val="00C93A03"/>
    <w:rsid w:val="00C94823"/>
    <w:rsid w:val="00CA002C"/>
    <w:rsid w:val="00CA1ED7"/>
    <w:rsid w:val="00CA2307"/>
    <w:rsid w:val="00CA2A31"/>
    <w:rsid w:val="00CA3883"/>
    <w:rsid w:val="00CA38CD"/>
    <w:rsid w:val="00CA3E6C"/>
    <w:rsid w:val="00CA41D9"/>
    <w:rsid w:val="00CA4ADC"/>
    <w:rsid w:val="00CA50E1"/>
    <w:rsid w:val="00CA51A4"/>
    <w:rsid w:val="00CA74A9"/>
    <w:rsid w:val="00CB0E7E"/>
    <w:rsid w:val="00CB1288"/>
    <w:rsid w:val="00CB2873"/>
    <w:rsid w:val="00CB2D92"/>
    <w:rsid w:val="00CB30D1"/>
    <w:rsid w:val="00CB3F12"/>
    <w:rsid w:val="00CB41D5"/>
    <w:rsid w:val="00CB4ACE"/>
    <w:rsid w:val="00CB4F04"/>
    <w:rsid w:val="00CB6CC4"/>
    <w:rsid w:val="00CB701F"/>
    <w:rsid w:val="00CB7A4A"/>
    <w:rsid w:val="00CC0D1E"/>
    <w:rsid w:val="00CC0D2A"/>
    <w:rsid w:val="00CC0FAA"/>
    <w:rsid w:val="00CC1102"/>
    <w:rsid w:val="00CC2D52"/>
    <w:rsid w:val="00CC2E8D"/>
    <w:rsid w:val="00CC31F2"/>
    <w:rsid w:val="00CC33A3"/>
    <w:rsid w:val="00CC7307"/>
    <w:rsid w:val="00CC76A5"/>
    <w:rsid w:val="00CD156F"/>
    <w:rsid w:val="00CD1CE9"/>
    <w:rsid w:val="00CD2EE0"/>
    <w:rsid w:val="00CD5AAB"/>
    <w:rsid w:val="00CD681F"/>
    <w:rsid w:val="00CD6DC6"/>
    <w:rsid w:val="00CD7850"/>
    <w:rsid w:val="00CD7EA8"/>
    <w:rsid w:val="00CE11ED"/>
    <w:rsid w:val="00CE16B1"/>
    <w:rsid w:val="00CE1C67"/>
    <w:rsid w:val="00CE2556"/>
    <w:rsid w:val="00CE2821"/>
    <w:rsid w:val="00CE4A02"/>
    <w:rsid w:val="00CE4DEF"/>
    <w:rsid w:val="00CE5AD0"/>
    <w:rsid w:val="00CE6B27"/>
    <w:rsid w:val="00CE6D4A"/>
    <w:rsid w:val="00CE78FF"/>
    <w:rsid w:val="00CE7A48"/>
    <w:rsid w:val="00CE7CC3"/>
    <w:rsid w:val="00CF0189"/>
    <w:rsid w:val="00CF018D"/>
    <w:rsid w:val="00CF0DB2"/>
    <w:rsid w:val="00CF225D"/>
    <w:rsid w:val="00CF2784"/>
    <w:rsid w:val="00CF345A"/>
    <w:rsid w:val="00CF5B2C"/>
    <w:rsid w:val="00CF6F5B"/>
    <w:rsid w:val="00D0183B"/>
    <w:rsid w:val="00D01910"/>
    <w:rsid w:val="00D024B7"/>
    <w:rsid w:val="00D0302B"/>
    <w:rsid w:val="00D03080"/>
    <w:rsid w:val="00D036D9"/>
    <w:rsid w:val="00D04485"/>
    <w:rsid w:val="00D04F18"/>
    <w:rsid w:val="00D06916"/>
    <w:rsid w:val="00D07BB3"/>
    <w:rsid w:val="00D10CE0"/>
    <w:rsid w:val="00D11F2A"/>
    <w:rsid w:val="00D12A70"/>
    <w:rsid w:val="00D13035"/>
    <w:rsid w:val="00D139DF"/>
    <w:rsid w:val="00D14327"/>
    <w:rsid w:val="00D14931"/>
    <w:rsid w:val="00D14A90"/>
    <w:rsid w:val="00D1525B"/>
    <w:rsid w:val="00D156BB"/>
    <w:rsid w:val="00D16B49"/>
    <w:rsid w:val="00D17762"/>
    <w:rsid w:val="00D179C3"/>
    <w:rsid w:val="00D17B37"/>
    <w:rsid w:val="00D20C09"/>
    <w:rsid w:val="00D212C8"/>
    <w:rsid w:val="00D21E07"/>
    <w:rsid w:val="00D2345B"/>
    <w:rsid w:val="00D26149"/>
    <w:rsid w:val="00D26AC7"/>
    <w:rsid w:val="00D30386"/>
    <w:rsid w:val="00D304E0"/>
    <w:rsid w:val="00D30BA6"/>
    <w:rsid w:val="00D31A5C"/>
    <w:rsid w:val="00D3487F"/>
    <w:rsid w:val="00D34D77"/>
    <w:rsid w:val="00D34F59"/>
    <w:rsid w:val="00D404AC"/>
    <w:rsid w:val="00D408DD"/>
    <w:rsid w:val="00D40967"/>
    <w:rsid w:val="00D4642B"/>
    <w:rsid w:val="00D46EB2"/>
    <w:rsid w:val="00D525DF"/>
    <w:rsid w:val="00D5329F"/>
    <w:rsid w:val="00D54A91"/>
    <w:rsid w:val="00D55F4F"/>
    <w:rsid w:val="00D568D2"/>
    <w:rsid w:val="00D56ED4"/>
    <w:rsid w:val="00D5755F"/>
    <w:rsid w:val="00D6280E"/>
    <w:rsid w:val="00D649ED"/>
    <w:rsid w:val="00D65970"/>
    <w:rsid w:val="00D67019"/>
    <w:rsid w:val="00D702E0"/>
    <w:rsid w:val="00D719DE"/>
    <w:rsid w:val="00D73C2E"/>
    <w:rsid w:val="00D73C4B"/>
    <w:rsid w:val="00D7442D"/>
    <w:rsid w:val="00D750A5"/>
    <w:rsid w:val="00D76522"/>
    <w:rsid w:val="00D80C6C"/>
    <w:rsid w:val="00D84B22"/>
    <w:rsid w:val="00D91A1B"/>
    <w:rsid w:val="00D921F8"/>
    <w:rsid w:val="00D9249B"/>
    <w:rsid w:val="00D9485C"/>
    <w:rsid w:val="00D96C08"/>
    <w:rsid w:val="00D975E5"/>
    <w:rsid w:val="00DA071A"/>
    <w:rsid w:val="00DA0813"/>
    <w:rsid w:val="00DA1587"/>
    <w:rsid w:val="00DA1766"/>
    <w:rsid w:val="00DA181C"/>
    <w:rsid w:val="00DA1CDD"/>
    <w:rsid w:val="00DA4A88"/>
    <w:rsid w:val="00DA58B7"/>
    <w:rsid w:val="00DA59E3"/>
    <w:rsid w:val="00DA6B40"/>
    <w:rsid w:val="00DA7F71"/>
    <w:rsid w:val="00DB08BD"/>
    <w:rsid w:val="00DB0E39"/>
    <w:rsid w:val="00DB2143"/>
    <w:rsid w:val="00DB2316"/>
    <w:rsid w:val="00DB2D1D"/>
    <w:rsid w:val="00DB3B57"/>
    <w:rsid w:val="00DB4AAF"/>
    <w:rsid w:val="00DB5141"/>
    <w:rsid w:val="00DB61A6"/>
    <w:rsid w:val="00DB6323"/>
    <w:rsid w:val="00DB670B"/>
    <w:rsid w:val="00DC45CF"/>
    <w:rsid w:val="00DC5738"/>
    <w:rsid w:val="00DC66C8"/>
    <w:rsid w:val="00DC7261"/>
    <w:rsid w:val="00DD3415"/>
    <w:rsid w:val="00DD397A"/>
    <w:rsid w:val="00DD5EA0"/>
    <w:rsid w:val="00DD62B3"/>
    <w:rsid w:val="00DE0266"/>
    <w:rsid w:val="00DE2B3D"/>
    <w:rsid w:val="00DE2C71"/>
    <w:rsid w:val="00DE352C"/>
    <w:rsid w:val="00DE3863"/>
    <w:rsid w:val="00DE3DB6"/>
    <w:rsid w:val="00DE47A4"/>
    <w:rsid w:val="00DE5F93"/>
    <w:rsid w:val="00DE7172"/>
    <w:rsid w:val="00DF096F"/>
    <w:rsid w:val="00DF29E0"/>
    <w:rsid w:val="00DF4379"/>
    <w:rsid w:val="00DF726A"/>
    <w:rsid w:val="00DF7330"/>
    <w:rsid w:val="00DF7C70"/>
    <w:rsid w:val="00E00AD6"/>
    <w:rsid w:val="00E01113"/>
    <w:rsid w:val="00E0147F"/>
    <w:rsid w:val="00E02281"/>
    <w:rsid w:val="00E03C56"/>
    <w:rsid w:val="00E04546"/>
    <w:rsid w:val="00E04A0C"/>
    <w:rsid w:val="00E04DED"/>
    <w:rsid w:val="00E05E65"/>
    <w:rsid w:val="00E06A83"/>
    <w:rsid w:val="00E10647"/>
    <w:rsid w:val="00E120B8"/>
    <w:rsid w:val="00E138E2"/>
    <w:rsid w:val="00E14934"/>
    <w:rsid w:val="00E15DBA"/>
    <w:rsid w:val="00E20304"/>
    <w:rsid w:val="00E22FFF"/>
    <w:rsid w:val="00E24555"/>
    <w:rsid w:val="00E24F0D"/>
    <w:rsid w:val="00E258F9"/>
    <w:rsid w:val="00E27237"/>
    <w:rsid w:val="00E27FCC"/>
    <w:rsid w:val="00E32177"/>
    <w:rsid w:val="00E329D0"/>
    <w:rsid w:val="00E3391A"/>
    <w:rsid w:val="00E35E7F"/>
    <w:rsid w:val="00E36FDD"/>
    <w:rsid w:val="00E3F9A3"/>
    <w:rsid w:val="00E4112D"/>
    <w:rsid w:val="00E42A08"/>
    <w:rsid w:val="00E4342D"/>
    <w:rsid w:val="00E44CEC"/>
    <w:rsid w:val="00E453A6"/>
    <w:rsid w:val="00E50CA6"/>
    <w:rsid w:val="00E5241D"/>
    <w:rsid w:val="00E52441"/>
    <w:rsid w:val="00E525B7"/>
    <w:rsid w:val="00E52F06"/>
    <w:rsid w:val="00E52FF2"/>
    <w:rsid w:val="00E534AE"/>
    <w:rsid w:val="00E5362D"/>
    <w:rsid w:val="00E536E8"/>
    <w:rsid w:val="00E53DBB"/>
    <w:rsid w:val="00E553F8"/>
    <w:rsid w:val="00E57E48"/>
    <w:rsid w:val="00E6044C"/>
    <w:rsid w:val="00E611F0"/>
    <w:rsid w:val="00E61DF4"/>
    <w:rsid w:val="00E64552"/>
    <w:rsid w:val="00E64702"/>
    <w:rsid w:val="00E65014"/>
    <w:rsid w:val="00E704A3"/>
    <w:rsid w:val="00E70CAE"/>
    <w:rsid w:val="00E719E6"/>
    <w:rsid w:val="00E71BDA"/>
    <w:rsid w:val="00E77476"/>
    <w:rsid w:val="00E77835"/>
    <w:rsid w:val="00E813F3"/>
    <w:rsid w:val="00E84739"/>
    <w:rsid w:val="00E87DC8"/>
    <w:rsid w:val="00E90C51"/>
    <w:rsid w:val="00E91CD0"/>
    <w:rsid w:val="00E92804"/>
    <w:rsid w:val="00E94861"/>
    <w:rsid w:val="00E963E4"/>
    <w:rsid w:val="00EA0393"/>
    <w:rsid w:val="00EA2114"/>
    <w:rsid w:val="00EA4DB7"/>
    <w:rsid w:val="00EA50D4"/>
    <w:rsid w:val="00EA6C2B"/>
    <w:rsid w:val="00EB05DA"/>
    <w:rsid w:val="00EB1B05"/>
    <w:rsid w:val="00EB1E92"/>
    <w:rsid w:val="00EB7E2E"/>
    <w:rsid w:val="00EC138A"/>
    <w:rsid w:val="00EC1E4B"/>
    <w:rsid w:val="00EC2620"/>
    <w:rsid w:val="00EC3573"/>
    <w:rsid w:val="00EC43A7"/>
    <w:rsid w:val="00EC7582"/>
    <w:rsid w:val="00ED1076"/>
    <w:rsid w:val="00ED11D3"/>
    <w:rsid w:val="00ED196B"/>
    <w:rsid w:val="00ED2261"/>
    <w:rsid w:val="00ED2F58"/>
    <w:rsid w:val="00ED313F"/>
    <w:rsid w:val="00ED32B6"/>
    <w:rsid w:val="00ED43BF"/>
    <w:rsid w:val="00ED5FD4"/>
    <w:rsid w:val="00ED6730"/>
    <w:rsid w:val="00ED7900"/>
    <w:rsid w:val="00EE0D4B"/>
    <w:rsid w:val="00EE15FA"/>
    <w:rsid w:val="00EE2588"/>
    <w:rsid w:val="00EE2D0E"/>
    <w:rsid w:val="00EE4B8E"/>
    <w:rsid w:val="00EE5C90"/>
    <w:rsid w:val="00EE6189"/>
    <w:rsid w:val="00EE6525"/>
    <w:rsid w:val="00EE6FDE"/>
    <w:rsid w:val="00EF36E9"/>
    <w:rsid w:val="00EF4E31"/>
    <w:rsid w:val="00EF4FF7"/>
    <w:rsid w:val="00EF6089"/>
    <w:rsid w:val="00EF6595"/>
    <w:rsid w:val="00EF6C08"/>
    <w:rsid w:val="00EF705D"/>
    <w:rsid w:val="00F00D30"/>
    <w:rsid w:val="00F013F9"/>
    <w:rsid w:val="00F0203A"/>
    <w:rsid w:val="00F02157"/>
    <w:rsid w:val="00F02497"/>
    <w:rsid w:val="00F02E0D"/>
    <w:rsid w:val="00F051BE"/>
    <w:rsid w:val="00F057E1"/>
    <w:rsid w:val="00F06595"/>
    <w:rsid w:val="00F10473"/>
    <w:rsid w:val="00F10FFE"/>
    <w:rsid w:val="00F1150D"/>
    <w:rsid w:val="00F11693"/>
    <w:rsid w:val="00F13C5F"/>
    <w:rsid w:val="00F13C7B"/>
    <w:rsid w:val="00F143F9"/>
    <w:rsid w:val="00F148D1"/>
    <w:rsid w:val="00F159A3"/>
    <w:rsid w:val="00F15B95"/>
    <w:rsid w:val="00F165EB"/>
    <w:rsid w:val="00F16C5E"/>
    <w:rsid w:val="00F2127D"/>
    <w:rsid w:val="00F2160D"/>
    <w:rsid w:val="00F23D38"/>
    <w:rsid w:val="00F24318"/>
    <w:rsid w:val="00F24FD9"/>
    <w:rsid w:val="00F2757D"/>
    <w:rsid w:val="00F3146C"/>
    <w:rsid w:val="00F31D2A"/>
    <w:rsid w:val="00F31DB7"/>
    <w:rsid w:val="00F32C42"/>
    <w:rsid w:val="00F33172"/>
    <w:rsid w:val="00F3403D"/>
    <w:rsid w:val="00F341C7"/>
    <w:rsid w:val="00F34295"/>
    <w:rsid w:val="00F3589F"/>
    <w:rsid w:val="00F366CC"/>
    <w:rsid w:val="00F40687"/>
    <w:rsid w:val="00F40D50"/>
    <w:rsid w:val="00F42024"/>
    <w:rsid w:val="00F430E4"/>
    <w:rsid w:val="00F4621A"/>
    <w:rsid w:val="00F4658C"/>
    <w:rsid w:val="00F46FE9"/>
    <w:rsid w:val="00F47897"/>
    <w:rsid w:val="00F55084"/>
    <w:rsid w:val="00F5568E"/>
    <w:rsid w:val="00F57ABF"/>
    <w:rsid w:val="00F60598"/>
    <w:rsid w:val="00F606ED"/>
    <w:rsid w:val="00F60B9B"/>
    <w:rsid w:val="00F620AB"/>
    <w:rsid w:val="00F62A19"/>
    <w:rsid w:val="00F64A6A"/>
    <w:rsid w:val="00F700C9"/>
    <w:rsid w:val="00F7011A"/>
    <w:rsid w:val="00F70218"/>
    <w:rsid w:val="00F77A7A"/>
    <w:rsid w:val="00F820F5"/>
    <w:rsid w:val="00F8289A"/>
    <w:rsid w:val="00F84531"/>
    <w:rsid w:val="00F90F83"/>
    <w:rsid w:val="00F97DE0"/>
    <w:rsid w:val="00FA0C8D"/>
    <w:rsid w:val="00FA1B17"/>
    <w:rsid w:val="00FA2442"/>
    <w:rsid w:val="00FA2E41"/>
    <w:rsid w:val="00FA51AF"/>
    <w:rsid w:val="00FA6EB3"/>
    <w:rsid w:val="00FA7EEE"/>
    <w:rsid w:val="00FB0786"/>
    <w:rsid w:val="00FB0826"/>
    <w:rsid w:val="00FB0C4B"/>
    <w:rsid w:val="00FB0DAD"/>
    <w:rsid w:val="00FB1319"/>
    <w:rsid w:val="00FB2415"/>
    <w:rsid w:val="00FB4942"/>
    <w:rsid w:val="00FB4C56"/>
    <w:rsid w:val="00FB6374"/>
    <w:rsid w:val="00FB7503"/>
    <w:rsid w:val="00FB77B1"/>
    <w:rsid w:val="00FB7B85"/>
    <w:rsid w:val="00FC1136"/>
    <w:rsid w:val="00FC16A6"/>
    <w:rsid w:val="00FC3578"/>
    <w:rsid w:val="00FC50EB"/>
    <w:rsid w:val="00FC5124"/>
    <w:rsid w:val="00FC5A49"/>
    <w:rsid w:val="00FD0EF9"/>
    <w:rsid w:val="00FD19F1"/>
    <w:rsid w:val="00FD3B9E"/>
    <w:rsid w:val="00FD4CDB"/>
    <w:rsid w:val="00FD5139"/>
    <w:rsid w:val="00FD5B3C"/>
    <w:rsid w:val="00FD624E"/>
    <w:rsid w:val="00FE0B59"/>
    <w:rsid w:val="00FE160F"/>
    <w:rsid w:val="00FE2105"/>
    <w:rsid w:val="00FE247A"/>
    <w:rsid w:val="00FE26D6"/>
    <w:rsid w:val="00FE37C8"/>
    <w:rsid w:val="00FE3B74"/>
    <w:rsid w:val="00FE5E6F"/>
    <w:rsid w:val="00FE6A94"/>
    <w:rsid w:val="00FE796D"/>
    <w:rsid w:val="00FF0C84"/>
    <w:rsid w:val="00FF445C"/>
    <w:rsid w:val="00FF4822"/>
    <w:rsid w:val="00FF5990"/>
    <w:rsid w:val="00FF61BC"/>
    <w:rsid w:val="00FF7E20"/>
    <w:rsid w:val="01124DE3"/>
    <w:rsid w:val="0113A822"/>
    <w:rsid w:val="0118EB38"/>
    <w:rsid w:val="0123EDAA"/>
    <w:rsid w:val="0126EA7E"/>
    <w:rsid w:val="01381038"/>
    <w:rsid w:val="01393A63"/>
    <w:rsid w:val="01468BBE"/>
    <w:rsid w:val="0158E6B7"/>
    <w:rsid w:val="015C1372"/>
    <w:rsid w:val="016B3B2B"/>
    <w:rsid w:val="016E7A31"/>
    <w:rsid w:val="01735FEA"/>
    <w:rsid w:val="0199205D"/>
    <w:rsid w:val="01AFA416"/>
    <w:rsid w:val="01B3D3FF"/>
    <w:rsid w:val="01BABB49"/>
    <w:rsid w:val="01C3FBCA"/>
    <w:rsid w:val="01D2E8A0"/>
    <w:rsid w:val="01E09EF7"/>
    <w:rsid w:val="01E3D159"/>
    <w:rsid w:val="01E5AC85"/>
    <w:rsid w:val="01EDB734"/>
    <w:rsid w:val="01EDC92E"/>
    <w:rsid w:val="01F4089D"/>
    <w:rsid w:val="020E26F3"/>
    <w:rsid w:val="021A52EC"/>
    <w:rsid w:val="0242CFE0"/>
    <w:rsid w:val="024E23E3"/>
    <w:rsid w:val="025168BA"/>
    <w:rsid w:val="0267B50C"/>
    <w:rsid w:val="02921A67"/>
    <w:rsid w:val="0294E26D"/>
    <w:rsid w:val="02A38C8D"/>
    <w:rsid w:val="02B5EC3A"/>
    <w:rsid w:val="02BDEB90"/>
    <w:rsid w:val="02C69245"/>
    <w:rsid w:val="02C91C5B"/>
    <w:rsid w:val="02DEE488"/>
    <w:rsid w:val="02F702AA"/>
    <w:rsid w:val="03015AA6"/>
    <w:rsid w:val="030A0289"/>
    <w:rsid w:val="0312C3E4"/>
    <w:rsid w:val="032202D0"/>
    <w:rsid w:val="032729D5"/>
    <w:rsid w:val="033107AE"/>
    <w:rsid w:val="033858D9"/>
    <w:rsid w:val="03405668"/>
    <w:rsid w:val="035339F6"/>
    <w:rsid w:val="0371D9B3"/>
    <w:rsid w:val="037B2450"/>
    <w:rsid w:val="039C50B4"/>
    <w:rsid w:val="03BB4FB5"/>
    <w:rsid w:val="03D095BD"/>
    <w:rsid w:val="03D8321F"/>
    <w:rsid w:val="03DD0AEA"/>
    <w:rsid w:val="03EFB576"/>
    <w:rsid w:val="03F7B908"/>
    <w:rsid w:val="03F98662"/>
    <w:rsid w:val="041E8A97"/>
    <w:rsid w:val="04273B2D"/>
    <w:rsid w:val="04288F0F"/>
    <w:rsid w:val="045E1CA3"/>
    <w:rsid w:val="0492E816"/>
    <w:rsid w:val="04AF312A"/>
    <w:rsid w:val="04B81B8C"/>
    <w:rsid w:val="04DA98F8"/>
    <w:rsid w:val="04E118B1"/>
    <w:rsid w:val="04E2D624"/>
    <w:rsid w:val="04E7B058"/>
    <w:rsid w:val="05012C0E"/>
    <w:rsid w:val="05256EDD"/>
    <w:rsid w:val="0532709E"/>
    <w:rsid w:val="053E3A1F"/>
    <w:rsid w:val="05436BEB"/>
    <w:rsid w:val="05591C48"/>
    <w:rsid w:val="055CB101"/>
    <w:rsid w:val="055F7B51"/>
    <w:rsid w:val="057316A6"/>
    <w:rsid w:val="0595153A"/>
    <w:rsid w:val="059AB8B2"/>
    <w:rsid w:val="059CA998"/>
    <w:rsid w:val="05A2F2E6"/>
    <w:rsid w:val="05E3AFD0"/>
    <w:rsid w:val="05E40E61"/>
    <w:rsid w:val="05F1399C"/>
    <w:rsid w:val="05F9B648"/>
    <w:rsid w:val="05FDA79A"/>
    <w:rsid w:val="060056D3"/>
    <w:rsid w:val="061004A0"/>
    <w:rsid w:val="06234B17"/>
    <w:rsid w:val="06274F26"/>
    <w:rsid w:val="064BA64D"/>
    <w:rsid w:val="064FA54F"/>
    <w:rsid w:val="065B4555"/>
    <w:rsid w:val="0664EB48"/>
    <w:rsid w:val="0665B4B9"/>
    <w:rsid w:val="0684AA66"/>
    <w:rsid w:val="068CC1FB"/>
    <w:rsid w:val="068E9F29"/>
    <w:rsid w:val="06AC41AB"/>
    <w:rsid w:val="06AC5C01"/>
    <w:rsid w:val="06B9168F"/>
    <w:rsid w:val="06CF4021"/>
    <w:rsid w:val="06D846F4"/>
    <w:rsid w:val="06E4C962"/>
    <w:rsid w:val="06E80632"/>
    <w:rsid w:val="06EF9D66"/>
    <w:rsid w:val="07063AB0"/>
    <w:rsid w:val="07067E20"/>
    <w:rsid w:val="070822AE"/>
    <w:rsid w:val="070D0480"/>
    <w:rsid w:val="070E27F0"/>
    <w:rsid w:val="070FEC99"/>
    <w:rsid w:val="0723064E"/>
    <w:rsid w:val="07287912"/>
    <w:rsid w:val="072D8E69"/>
    <w:rsid w:val="0735BD79"/>
    <w:rsid w:val="073EF310"/>
    <w:rsid w:val="07575FA4"/>
    <w:rsid w:val="075BD1A0"/>
    <w:rsid w:val="075C2364"/>
    <w:rsid w:val="07795BD0"/>
    <w:rsid w:val="07837BB0"/>
    <w:rsid w:val="0789295B"/>
    <w:rsid w:val="078FF18A"/>
    <w:rsid w:val="079E5B98"/>
    <w:rsid w:val="079FEEA4"/>
    <w:rsid w:val="07A60DFE"/>
    <w:rsid w:val="07BF4B4C"/>
    <w:rsid w:val="07DBC635"/>
    <w:rsid w:val="07EF025F"/>
    <w:rsid w:val="07F8ED71"/>
    <w:rsid w:val="07FACE7F"/>
    <w:rsid w:val="07FE8F05"/>
    <w:rsid w:val="080A62BA"/>
    <w:rsid w:val="080E066B"/>
    <w:rsid w:val="081C3DAB"/>
    <w:rsid w:val="0824ED9C"/>
    <w:rsid w:val="08313436"/>
    <w:rsid w:val="0831575E"/>
    <w:rsid w:val="083FDDF1"/>
    <w:rsid w:val="0841EFA7"/>
    <w:rsid w:val="084E16C9"/>
    <w:rsid w:val="08501203"/>
    <w:rsid w:val="085CB4A5"/>
    <w:rsid w:val="0863DC7E"/>
    <w:rsid w:val="08673A06"/>
    <w:rsid w:val="086B50FD"/>
    <w:rsid w:val="08705D96"/>
    <w:rsid w:val="087D1366"/>
    <w:rsid w:val="088F80CC"/>
    <w:rsid w:val="0891119F"/>
    <w:rsid w:val="08943F36"/>
    <w:rsid w:val="08AB7722"/>
    <w:rsid w:val="08B8B3E3"/>
    <w:rsid w:val="08C14DCD"/>
    <w:rsid w:val="08CC6261"/>
    <w:rsid w:val="08D5BE02"/>
    <w:rsid w:val="09190BBB"/>
    <w:rsid w:val="091EBCA9"/>
    <w:rsid w:val="09295164"/>
    <w:rsid w:val="092CD8AD"/>
    <w:rsid w:val="095327E9"/>
    <w:rsid w:val="0957455A"/>
    <w:rsid w:val="0960ECB3"/>
    <w:rsid w:val="0966255F"/>
    <w:rsid w:val="097CE255"/>
    <w:rsid w:val="097EB861"/>
    <w:rsid w:val="097F2CAD"/>
    <w:rsid w:val="0982341D"/>
    <w:rsid w:val="0983F565"/>
    <w:rsid w:val="0987993D"/>
    <w:rsid w:val="0990FE25"/>
    <w:rsid w:val="0998E323"/>
    <w:rsid w:val="09A5595E"/>
    <w:rsid w:val="09C0CBDD"/>
    <w:rsid w:val="09C2813D"/>
    <w:rsid w:val="09CA0AD1"/>
    <w:rsid w:val="09D0BBA3"/>
    <w:rsid w:val="09E4CACE"/>
    <w:rsid w:val="09F018D5"/>
    <w:rsid w:val="09F058FE"/>
    <w:rsid w:val="0A03D8F8"/>
    <w:rsid w:val="0A09F201"/>
    <w:rsid w:val="0A209A12"/>
    <w:rsid w:val="0A233197"/>
    <w:rsid w:val="0A279EC0"/>
    <w:rsid w:val="0A345955"/>
    <w:rsid w:val="0A39BA6A"/>
    <w:rsid w:val="0A3B005C"/>
    <w:rsid w:val="0A3D7CED"/>
    <w:rsid w:val="0A4CC279"/>
    <w:rsid w:val="0A810F07"/>
    <w:rsid w:val="0A8AEA7A"/>
    <w:rsid w:val="0AA07242"/>
    <w:rsid w:val="0AB3A160"/>
    <w:rsid w:val="0AC26831"/>
    <w:rsid w:val="0AD8806D"/>
    <w:rsid w:val="0ADF4540"/>
    <w:rsid w:val="0AE2FA20"/>
    <w:rsid w:val="0AE507D4"/>
    <w:rsid w:val="0AF4F677"/>
    <w:rsid w:val="0AF96EF2"/>
    <w:rsid w:val="0B09850B"/>
    <w:rsid w:val="0B1256D9"/>
    <w:rsid w:val="0B1D4153"/>
    <w:rsid w:val="0B255056"/>
    <w:rsid w:val="0B277F43"/>
    <w:rsid w:val="0B35E425"/>
    <w:rsid w:val="0B3FD66A"/>
    <w:rsid w:val="0B415415"/>
    <w:rsid w:val="0B41C5AA"/>
    <w:rsid w:val="0B5408A0"/>
    <w:rsid w:val="0B585810"/>
    <w:rsid w:val="0B58AF09"/>
    <w:rsid w:val="0B609FCE"/>
    <w:rsid w:val="0B614768"/>
    <w:rsid w:val="0B643D84"/>
    <w:rsid w:val="0B73B5C6"/>
    <w:rsid w:val="0B862419"/>
    <w:rsid w:val="0B864D69"/>
    <w:rsid w:val="0B8ACC6B"/>
    <w:rsid w:val="0B8BFCE0"/>
    <w:rsid w:val="0B8ED1AA"/>
    <w:rsid w:val="0B92EA6C"/>
    <w:rsid w:val="0B98A3C5"/>
    <w:rsid w:val="0BA17550"/>
    <w:rsid w:val="0BA2E102"/>
    <w:rsid w:val="0BA8A859"/>
    <w:rsid w:val="0BAAA7C2"/>
    <w:rsid w:val="0BC90A8F"/>
    <w:rsid w:val="0BF53F93"/>
    <w:rsid w:val="0BFFAF6A"/>
    <w:rsid w:val="0C03113F"/>
    <w:rsid w:val="0C1544B3"/>
    <w:rsid w:val="0C244708"/>
    <w:rsid w:val="0C2649D2"/>
    <w:rsid w:val="0C34ECC1"/>
    <w:rsid w:val="0C429308"/>
    <w:rsid w:val="0C445E91"/>
    <w:rsid w:val="0C560F7E"/>
    <w:rsid w:val="0C5B635B"/>
    <w:rsid w:val="0C5D4234"/>
    <w:rsid w:val="0C750051"/>
    <w:rsid w:val="0C815E8A"/>
    <w:rsid w:val="0C844872"/>
    <w:rsid w:val="0C8B80E3"/>
    <w:rsid w:val="0C902946"/>
    <w:rsid w:val="0C9BDB72"/>
    <w:rsid w:val="0CA4F113"/>
    <w:rsid w:val="0CADDCED"/>
    <w:rsid w:val="0CB2DB67"/>
    <w:rsid w:val="0CC89D0C"/>
    <w:rsid w:val="0CDD0A16"/>
    <w:rsid w:val="0CEA3EFB"/>
    <w:rsid w:val="0CF1B8E0"/>
    <w:rsid w:val="0D0C0824"/>
    <w:rsid w:val="0D0DB3E9"/>
    <w:rsid w:val="0D12069A"/>
    <w:rsid w:val="0D138977"/>
    <w:rsid w:val="0D176ECB"/>
    <w:rsid w:val="0D1B121B"/>
    <w:rsid w:val="0D253F10"/>
    <w:rsid w:val="0D263A64"/>
    <w:rsid w:val="0D3399FB"/>
    <w:rsid w:val="0D4867B6"/>
    <w:rsid w:val="0D502D63"/>
    <w:rsid w:val="0D5F707D"/>
    <w:rsid w:val="0D72E43A"/>
    <w:rsid w:val="0D79A83A"/>
    <w:rsid w:val="0D85D05D"/>
    <w:rsid w:val="0D88EB11"/>
    <w:rsid w:val="0D93D821"/>
    <w:rsid w:val="0D95B598"/>
    <w:rsid w:val="0DC05E14"/>
    <w:rsid w:val="0DC47943"/>
    <w:rsid w:val="0DE146CD"/>
    <w:rsid w:val="0DF4CB70"/>
    <w:rsid w:val="0DF77234"/>
    <w:rsid w:val="0E079913"/>
    <w:rsid w:val="0E091E97"/>
    <w:rsid w:val="0E56E5FF"/>
    <w:rsid w:val="0E56EAD9"/>
    <w:rsid w:val="0E63CA43"/>
    <w:rsid w:val="0E876CC9"/>
    <w:rsid w:val="0E8FB43C"/>
    <w:rsid w:val="0EA053D8"/>
    <w:rsid w:val="0ECAFA79"/>
    <w:rsid w:val="0EDFFCB6"/>
    <w:rsid w:val="0EEF665C"/>
    <w:rsid w:val="0EF12DF1"/>
    <w:rsid w:val="0EF2073B"/>
    <w:rsid w:val="0EFB94F5"/>
    <w:rsid w:val="0F0425ED"/>
    <w:rsid w:val="0F073CE5"/>
    <w:rsid w:val="0F18E37C"/>
    <w:rsid w:val="0F267668"/>
    <w:rsid w:val="0F357C25"/>
    <w:rsid w:val="0F384A04"/>
    <w:rsid w:val="0F417C0A"/>
    <w:rsid w:val="0F818154"/>
    <w:rsid w:val="0F84327B"/>
    <w:rsid w:val="0F99D8FF"/>
    <w:rsid w:val="0FA400E7"/>
    <w:rsid w:val="0FA61C60"/>
    <w:rsid w:val="0FBC6B26"/>
    <w:rsid w:val="0FC0EA3E"/>
    <w:rsid w:val="0FDF6651"/>
    <w:rsid w:val="0FE45DCD"/>
    <w:rsid w:val="0FEA8C7C"/>
    <w:rsid w:val="0FED6FB9"/>
    <w:rsid w:val="0FF6BC0E"/>
    <w:rsid w:val="102BCD88"/>
    <w:rsid w:val="10407376"/>
    <w:rsid w:val="104F9EB4"/>
    <w:rsid w:val="105F090E"/>
    <w:rsid w:val="1061FFB0"/>
    <w:rsid w:val="1063C2A4"/>
    <w:rsid w:val="1064F9D6"/>
    <w:rsid w:val="106F1BAE"/>
    <w:rsid w:val="107193CF"/>
    <w:rsid w:val="107411EB"/>
    <w:rsid w:val="1089E7AA"/>
    <w:rsid w:val="10922DD6"/>
    <w:rsid w:val="10945CF7"/>
    <w:rsid w:val="10B205E6"/>
    <w:rsid w:val="10B2FE29"/>
    <w:rsid w:val="10BA053D"/>
    <w:rsid w:val="10C30D11"/>
    <w:rsid w:val="10D2575E"/>
    <w:rsid w:val="1107E258"/>
    <w:rsid w:val="110972A0"/>
    <w:rsid w:val="110E4447"/>
    <w:rsid w:val="113A5A18"/>
    <w:rsid w:val="113ED33C"/>
    <w:rsid w:val="113FA5A0"/>
    <w:rsid w:val="11441B16"/>
    <w:rsid w:val="114E9472"/>
    <w:rsid w:val="115C1C83"/>
    <w:rsid w:val="116B27AD"/>
    <w:rsid w:val="11727A42"/>
    <w:rsid w:val="1178C2E6"/>
    <w:rsid w:val="1189140F"/>
    <w:rsid w:val="1197578A"/>
    <w:rsid w:val="11A40E78"/>
    <w:rsid w:val="11AD72E0"/>
    <w:rsid w:val="11B85F37"/>
    <w:rsid w:val="11BACB33"/>
    <w:rsid w:val="11BDE39F"/>
    <w:rsid w:val="11E2F6A0"/>
    <w:rsid w:val="11EB1B32"/>
    <w:rsid w:val="11EC3C85"/>
    <w:rsid w:val="11ED8296"/>
    <w:rsid w:val="1209E2F6"/>
    <w:rsid w:val="122CC199"/>
    <w:rsid w:val="1237D329"/>
    <w:rsid w:val="123943CE"/>
    <w:rsid w:val="123ED97F"/>
    <w:rsid w:val="12582F03"/>
    <w:rsid w:val="1258C397"/>
    <w:rsid w:val="1261CAEB"/>
    <w:rsid w:val="12644D8B"/>
    <w:rsid w:val="126836D2"/>
    <w:rsid w:val="126CA842"/>
    <w:rsid w:val="12806BEE"/>
    <w:rsid w:val="1287E077"/>
    <w:rsid w:val="12899290"/>
    <w:rsid w:val="128DC6E6"/>
    <w:rsid w:val="12A5F64A"/>
    <w:rsid w:val="12AB3E67"/>
    <w:rsid w:val="12B9D3D9"/>
    <w:rsid w:val="12CAE514"/>
    <w:rsid w:val="12F9BFEB"/>
    <w:rsid w:val="12FEFFAF"/>
    <w:rsid w:val="130356EF"/>
    <w:rsid w:val="130CA0D3"/>
    <w:rsid w:val="1313CB26"/>
    <w:rsid w:val="1319CBFF"/>
    <w:rsid w:val="131D073D"/>
    <w:rsid w:val="13323A99"/>
    <w:rsid w:val="135DB9DB"/>
    <w:rsid w:val="13754FDA"/>
    <w:rsid w:val="1388B73B"/>
    <w:rsid w:val="138CC9A3"/>
    <w:rsid w:val="138E425D"/>
    <w:rsid w:val="139C196C"/>
    <w:rsid w:val="13AB0065"/>
    <w:rsid w:val="13C707C8"/>
    <w:rsid w:val="13DA9B4E"/>
    <w:rsid w:val="13EB412C"/>
    <w:rsid w:val="13F2195B"/>
    <w:rsid w:val="142D517C"/>
    <w:rsid w:val="1431944A"/>
    <w:rsid w:val="143D7155"/>
    <w:rsid w:val="143F25DB"/>
    <w:rsid w:val="144886F8"/>
    <w:rsid w:val="146F924E"/>
    <w:rsid w:val="14883D14"/>
    <w:rsid w:val="14932B3C"/>
    <w:rsid w:val="149691A6"/>
    <w:rsid w:val="149C29A5"/>
    <w:rsid w:val="149F098E"/>
    <w:rsid w:val="14A8640B"/>
    <w:rsid w:val="14C0B036"/>
    <w:rsid w:val="14DD6C39"/>
    <w:rsid w:val="14DE7506"/>
    <w:rsid w:val="14DFE6AB"/>
    <w:rsid w:val="14E048C2"/>
    <w:rsid w:val="14EC8BED"/>
    <w:rsid w:val="14FB5677"/>
    <w:rsid w:val="150FCB5C"/>
    <w:rsid w:val="151269F6"/>
    <w:rsid w:val="15181C7A"/>
    <w:rsid w:val="151DD889"/>
    <w:rsid w:val="152193F2"/>
    <w:rsid w:val="1524DD52"/>
    <w:rsid w:val="15252DC3"/>
    <w:rsid w:val="152E128B"/>
    <w:rsid w:val="153BBDA8"/>
    <w:rsid w:val="15405FD3"/>
    <w:rsid w:val="1553732A"/>
    <w:rsid w:val="1564289B"/>
    <w:rsid w:val="15898CD9"/>
    <w:rsid w:val="159F08A2"/>
    <w:rsid w:val="15B856A0"/>
    <w:rsid w:val="15C34B23"/>
    <w:rsid w:val="15D2AFEE"/>
    <w:rsid w:val="15E37E4D"/>
    <w:rsid w:val="15F11D87"/>
    <w:rsid w:val="16028710"/>
    <w:rsid w:val="160D54A9"/>
    <w:rsid w:val="16129E27"/>
    <w:rsid w:val="161D353C"/>
    <w:rsid w:val="161F92C4"/>
    <w:rsid w:val="162221F9"/>
    <w:rsid w:val="1627453B"/>
    <w:rsid w:val="162B2779"/>
    <w:rsid w:val="16493AC6"/>
    <w:rsid w:val="1654590F"/>
    <w:rsid w:val="166AC3F5"/>
    <w:rsid w:val="1676E0F3"/>
    <w:rsid w:val="16843CEC"/>
    <w:rsid w:val="16903957"/>
    <w:rsid w:val="16905FA5"/>
    <w:rsid w:val="16968945"/>
    <w:rsid w:val="16E0DD32"/>
    <w:rsid w:val="16F0FD5B"/>
    <w:rsid w:val="170A13B6"/>
    <w:rsid w:val="170C8FFC"/>
    <w:rsid w:val="17122592"/>
    <w:rsid w:val="1725A6F2"/>
    <w:rsid w:val="172E2E1B"/>
    <w:rsid w:val="174B81BE"/>
    <w:rsid w:val="174C23A0"/>
    <w:rsid w:val="175DF934"/>
    <w:rsid w:val="17620490"/>
    <w:rsid w:val="17657B8F"/>
    <w:rsid w:val="17699E28"/>
    <w:rsid w:val="176FA6AD"/>
    <w:rsid w:val="1775CE8A"/>
    <w:rsid w:val="1777C1D9"/>
    <w:rsid w:val="17CB164E"/>
    <w:rsid w:val="17FB5514"/>
    <w:rsid w:val="18115BC5"/>
    <w:rsid w:val="181A2668"/>
    <w:rsid w:val="182CB543"/>
    <w:rsid w:val="183069A0"/>
    <w:rsid w:val="183D4B91"/>
    <w:rsid w:val="18406881"/>
    <w:rsid w:val="1852242A"/>
    <w:rsid w:val="185B38ED"/>
    <w:rsid w:val="18641707"/>
    <w:rsid w:val="186985C3"/>
    <w:rsid w:val="186B1BD5"/>
    <w:rsid w:val="186B4211"/>
    <w:rsid w:val="187E1D7A"/>
    <w:rsid w:val="1886F832"/>
    <w:rsid w:val="188E0E19"/>
    <w:rsid w:val="1892DFD6"/>
    <w:rsid w:val="18955546"/>
    <w:rsid w:val="189CEDBA"/>
    <w:rsid w:val="18BB79BC"/>
    <w:rsid w:val="18BFFC75"/>
    <w:rsid w:val="18CE68B2"/>
    <w:rsid w:val="18D2F139"/>
    <w:rsid w:val="18E50CFB"/>
    <w:rsid w:val="18EDE2A5"/>
    <w:rsid w:val="1903E4C5"/>
    <w:rsid w:val="190A9A90"/>
    <w:rsid w:val="190E075E"/>
    <w:rsid w:val="19116726"/>
    <w:rsid w:val="191C39D5"/>
    <w:rsid w:val="19432E7B"/>
    <w:rsid w:val="19565543"/>
    <w:rsid w:val="195FE06D"/>
    <w:rsid w:val="196DBF4E"/>
    <w:rsid w:val="19780F3B"/>
    <w:rsid w:val="19795257"/>
    <w:rsid w:val="197FA2B1"/>
    <w:rsid w:val="1981136D"/>
    <w:rsid w:val="198790D5"/>
    <w:rsid w:val="1989CCBC"/>
    <w:rsid w:val="199319A7"/>
    <w:rsid w:val="19A2A0B1"/>
    <w:rsid w:val="19B1E298"/>
    <w:rsid w:val="19B28B5D"/>
    <w:rsid w:val="19BBF963"/>
    <w:rsid w:val="19BE6146"/>
    <w:rsid w:val="19CD8ACE"/>
    <w:rsid w:val="19F3CB24"/>
    <w:rsid w:val="19FFA8CB"/>
    <w:rsid w:val="1A02A495"/>
    <w:rsid w:val="1A18480E"/>
    <w:rsid w:val="1A3423A8"/>
    <w:rsid w:val="1A3EEEAE"/>
    <w:rsid w:val="1A4047F6"/>
    <w:rsid w:val="1A576921"/>
    <w:rsid w:val="1A5A1D96"/>
    <w:rsid w:val="1A8B6678"/>
    <w:rsid w:val="1A95E715"/>
    <w:rsid w:val="1A990690"/>
    <w:rsid w:val="1AAA28E4"/>
    <w:rsid w:val="1AAE7830"/>
    <w:rsid w:val="1AB66F48"/>
    <w:rsid w:val="1AEE4EFE"/>
    <w:rsid w:val="1AF66196"/>
    <w:rsid w:val="1B06422C"/>
    <w:rsid w:val="1B227141"/>
    <w:rsid w:val="1B27CC21"/>
    <w:rsid w:val="1B2BF16F"/>
    <w:rsid w:val="1B2CF66A"/>
    <w:rsid w:val="1B3227E1"/>
    <w:rsid w:val="1B3D76BD"/>
    <w:rsid w:val="1B45DD27"/>
    <w:rsid w:val="1B4E172F"/>
    <w:rsid w:val="1B546934"/>
    <w:rsid w:val="1B614F5E"/>
    <w:rsid w:val="1B688927"/>
    <w:rsid w:val="1B7A62D0"/>
    <w:rsid w:val="1B7DD74F"/>
    <w:rsid w:val="1B8661BE"/>
    <w:rsid w:val="1B8A23D3"/>
    <w:rsid w:val="1B8F9F2F"/>
    <w:rsid w:val="1B90D90F"/>
    <w:rsid w:val="1BA23BEF"/>
    <w:rsid w:val="1BA546D2"/>
    <w:rsid w:val="1BC30962"/>
    <w:rsid w:val="1BF6A0D2"/>
    <w:rsid w:val="1BF7720D"/>
    <w:rsid w:val="1C11F5A3"/>
    <w:rsid w:val="1C22C8B5"/>
    <w:rsid w:val="1C367EF8"/>
    <w:rsid w:val="1C48F5AF"/>
    <w:rsid w:val="1C4B8D7F"/>
    <w:rsid w:val="1C5A75A9"/>
    <w:rsid w:val="1C6AFB6E"/>
    <w:rsid w:val="1C769D71"/>
    <w:rsid w:val="1C877F77"/>
    <w:rsid w:val="1C8B8F29"/>
    <w:rsid w:val="1C901684"/>
    <w:rsid w:val="1C93FC26"/>
    <w:rsid w:val="1C984633"/>
    <w:rsid w:val="1CA378F2"/>
    <w:rsid w:val="1CAC2C46"/>
    <w:rsid w:val="1CAC9153"/>
    <w:rsid w:val="1CD2D227"/>
    <w:rsid w:val="1CD98E35"/>
    <w:rsid w:val="1CEB1F35"/>
    <w:rsid w:val="1CEFE95E"/>
    <w:rsid w:val="1CF178F6"/>
    <w:rsid w:val="1CF397BB"/>
    <w:rsid w:val="1CFD7C66"/>
    <w:rsid w:val="1CFEA217"/>
    <w:rsid w:val="1D1721CC"/>
    <w:rsid w:val="1D1B01B6"/>
    <w:rsid w:val="1D4DC440"/>
    <w:rsid w:val="1D5339B3"/>
    <w:rsid w:val="1D5A238D"/>
    <w:rsid w:val="1D5E912B"/>
    <w:rsid w:val="1D61B2B6"/>
    <w:rsid w:val="1D651173"/>
    <w:rsid w:val="1D6D68A7"/>
    <w:rsid w:val="1D772F13"/>
    <w:rsid w:val="1D80F2A1"/>
    <w:rsid w:val="1D84D5CE"/>
    <w:rsid w:val="1D9748E7"/>
    <w:rsid w:val="1D974E5C"/>
    <w:rsid w:val="1DC47D91"/>
    <w:rsid w:val="1DE55ADC"/>
    <w:rsid w:val="1DE8E185"/>
    <w:rsid w:val="1E0C72A5"/>
    <w:rsid w:val="1E0DF511"/>
    <w:rsid w:val="1E160A0E"/>
    <w:rsid w:val="1E1E3014"/>
    <w:rsid w:val="1E264D79"/>
    <w:rsid w:val="1E2F23C0"/>
    <w:rsid w:val="1E36C0A8"/>
    <w:rsid w:val="1E4066CE"/>
    <w:rsid w:val="1E421AA5"/>
    <w:rsid w:val="1E599E54"/>
    <w:rsid w:val="1E59D950"/>
    <w:rsid w:val="1E5D9C93"/>
    <w:rsid w:val="1E67E7C8"/>
    <w:rsid w:val="1E82D73A"/>
    <w:rsid w:val="1E86B6B1"/>
    <w:rsid w:val="1E89B868"/>
    <w:rsid w:val="1E947CB0"/>
    <w:rsid w:val="1EAC0B35"/>
    <w:rsid w:val="1EADF6B1"/>
    <w:rsid w:val="1EC2D787"/>
    <w:rsid w:val="1EC3E28E"/>
    <w:rsid w:val="1EC9ACFB"/>
    <w:rsid w:val="1ECEC177"/>
    <w:rsid w:val="1ED36914"/>
    <w:rsid w:val="1ED811AF"/>
    <w:rsid w:val="1EED24C1"/>
    <w:rsid w:val="1EFFBFFA"/>
    <w:rsid w:val="1F1F47B8"/>
    <w:rsid w:val="1F270EBA"/>
    <w:rsid w:val="1F27EDD4"/>
    <w:rsid w:val="1F2E4B48"/>
    <w:rsid w:val="1F33A097"/>
    <w:rsid w:val="1F4B2F5F"/>
    <w:rsid w:val="1F53FC7E"/>
    <w:rsid w:val="1F5ADB06"/>
    <w:rsid w:val="1F67FCF6"/>
    <w:rsid w:val="1F6DBC07"/>
    <w:rsid w:val="1F826B6B"/>
    <w:rsid w:val="1F841333"/>
    <w:rsid w:val="1FA96469"/>
    <w:rsid w:val="1FCA6B73"/>
    <w:rsid w:val="1FD3EC22"/>
    <w:rsid w:val="1FDB6555"/>
    <w:rsid w:val="1FDC53DA"/>
    <w:rsid w:val="1FDD6BE1"/>
    <w:rsid w:val="1FE3017F"/>
    <w:rsid w:val="1FE854E0"/>
    <w:rsid w:val="201211B4"/>
    <w:rsid w:val="2012A0EA"/>
    <w:rsid w:val="20235D43"/>
    <w:rsid w:val="2025E328"/>
    <w:rsid w:val="20262009"/>
    <w:rsid w:val="202B9EE6"/>
    <w:rsid w:val="203DE22F"/>
    <w:rsid w:val="204D266E"/>
    <w:rsid w:val="204E14A4"/>
    <w:rsid w:val="2056F980"/>
    <w:rsid w:val="2062FBB6"/>
    <w:rsid w:val="20646748"/>
    <w:rsid w:val="2076F0DA"/>
    <w:rsid w:val="20780E59"/>
    <w:rsid w:val="207A7EF2"/>
    <w:rsid w:val="20B04E80"/>
    <w:rsid w:val="20B2AA5C"/>
    <w:rsid w:val="20CB690E"/>
    <w:rsid w:val="20D952EB"/>
    <w:rsid w:val="20F97BE6"/>
    <w:rsid w:val="2103BCCB"/>
    <w:rsid w:val="2112561B"/>
    <w:rsid w:val="21223E5D"/>
    <w:rsid w:val="212567FA"/>
    <w:rsid w:val="2126F42E"/>
    <w:rsid w:val="212A051D"/>
    <w:rsid w:val="213FAE8A"/>
    <w:rsid w:val="2148A341"/>
    <w:rsid w:val="214B6FB8"/>
    <w:rsid w:val="2167A57D"/>
    <w:rsid w:val="21701C1E"/>
    <w:rsid w:val="2179B75C"/>
    <w:rsid w:val="217D9B6C"/>
    <w:rsid w:val="217EF5E7"/>
    <w:rsid w:val="217F1AE1"/>
    <w:rsid w:val="21830957"/>
    <w:rsid w:val="2185C732"/>
    <w:rsid w:val="218DBC51"/>
    <w:rsid w:val="219209D6"/>
    <w:rsid w:val="21970877"/>
    <w:rsid w:val="2198BC64"/>
    <w:rsid w:val="219AE6CA"/>
    <w:rsid w:val="219FBACE"/>
    <w:rsid w:val="21AF0974"/>
    <w:rsid w:val="21B3D0D0"/>
    <w:rsid w:val="21B69B28"/>
    <w:rsid w:val="21C0C346"/>
    <w:rsid w:val="21E6DBB7"/>
    <w:rsid w:val="21E6FA6F"/>
    <w:rsid w:val="21ECDE24"/>
    <w:rsid w:val="21FF0D5B"/>
    <w:rsid w:val="220011EF"/>
    <w:rsid w:val="22080046"/>
    <w:rsid w:val="2209CC20"/>
    <w:rsid w:val="220BB6F6"/>
    <w:rsid w:val="220E08C1"/>
    <w:rsid w:val="2217021D"/>
    <w:rsid w:val="221F408C"/>
    <w:rsid w:val="22205DC1"/>
    <w:rsid w:val="2224B3A7"/>
    <w:rsid w:val="2230EDD9"/>
    <w:rsid w:val="2234D82F"/>
    <w:rsid w:val="22400792"/>
    <w:rsid w:val="2240309F"/>
    <w:rsid w:val="224A413C"/>
    <w:rsid w:val="224D54DD"/>
    <w:rsid w:val="22512D3D"/>
    <w:rsid w:val="225922F2"/>
    <w:rsid w:val="225BED83"/>
    <w:rsid w:val="227AC372"/>
    <w:rsid w:val="227D6611"/>
    <w:rsid w:val="22810DFD"/>
    <w:rsid w:val="22906E70"/>
    <w:rsid w:val="22968590"/>
    <w:rsid w:val="2299D95E"/>
    <w:rsid w:val="229AAB98"/>
    <w:rsid w:val="22B5D032"/>
    <w:rsid w:val="22BFEBB5"/>
    <w:rsid w:val="22C20610"/>
    <w:rsid w:val="22C334A2"/>
    <w:rsid w:val="22D6D1AE"/>
    <w:rsid w:val="22DBF867"/>
    <w:rsid w:val="23151DA3"/>
    <w:rsid w:val="231BC5BE"/>
    <w:rsid w:val="23282F05"/>
    <w:rsid w:val="2328D2AC"/>
    <w:rsid w:val="2340E397"/>
    <w:rsid w:val="235183CF"/>
    <w:rsid w:val="2374992A"/>
    <w:rsid w:val="237CD012"/>
    <w:rsid w:val="2395A306"/>
    <w:rsid w:val="2398C338"/>
    <w:rsid w:val="2399F6E9"/>
    <w:rsid w:val="23A139AC"/>
    <w:rsid w:val="23A68D6F"/>
    <w:rsid w:val="23A9FA00"/>
    <w:rsid w:val="23C79CEA"/>
    <w:rsid w:val="23D7C090"/>
    <w:rsid w:val="23DA7ECE"/>
    <w:rsid w:val="23E16228"/>
    <w:rsid w:val="23F6F8B6"/>
    <w:rsid w:val="2400B0BF"/>
    <w:rsid w:val="24027357"/>
    <w:rsid w:val="2411DAE5"/>
    <w:rsid w:val="2412B7D3"/>
    <w:rsid w:val="241985D5"/>
    <w:rsid w:val="241D5561"/>
    <w:rsid w:val="242022B0"/>
    <w:rsid w:val="24248019"/>
    <w:rsid w:val="242BC0CB"/>
    <w:rsid w:val="2434D21A"/>
    <w:rsid w:val="24380A66"/>
    <w:rsid w:val="243D87ED"/>
    <w:rsid w:val="2448A53B"/>
    <w:rsid w:val="24543B4A"/>
    <w:rsid w:val="24568528"/>
    <w:rsid w:val="2463E555"/>
    <w:rsid w:val="246BCEA9"/>
    <w:rsid w:val="2474C71C"/>
    <w:rsid w:val="247C4554"/>
    <w:rsid w:val="248761ED"/>
    <w:rsid w:val="24909D7F"/>
    <w:rsid w:val="24958D28"/>
    <w:rsid w:val="24A06B0B"/>
    <w:rsid w:val="24C390B3"/>
    <w:rsid w:val="24CBF61D"/>
    <w:rsid w:val="24D11565"/>
    <w:rsid w:val="24DBB21B"/>
    <w:rsid w:val="24DE839C"/>
    <w:rsid w:val="24F5D0D7"/>
    <w:rsid w:val="24FEB5EA"/>
    <w:rsid w:val="25114336"/>
    <w:rsid w:val="2520A9AD"/>
    <w:rsid w:val="252228E1"/>
    <w:rsid w:val="25377B1B"/>
    <w:rsid w:val="254176DB"/>
    <w:rsid w:val="254BAC1A"/>
    <w:rsid w:val="256F0773"/>
    <w:rsid w:val="257F435E"/>
    <w:rsid w:val="258E8E09"/>
    <w:rsid w:val="2596650B"/>
    <w:rsid w:val="259C1298"/>
    <w:rsid w:val="25A1EBE4"/>
    <w:rsid w:val="25D5EA1C"/>
    <w:rsid w:val="25D74026"/>
    <w:rsid w:val="25E09B19"/>
    <w:rsid w:val="25EF82EA"/>
    <w:rsid w:val="25FB12D0"/>
    <w:rsid w:val="2604CADD"/>
    <w:rsid w:val="26174056"/>
    <w:rsid w:val="26179928"/>
    <w:rsid w:val="261D0FD4"/>
    <w:rsid w:val="261D94CD"/>
    <w:rsid w:val="262586E4"/>
    <w:rsid w:val="2625E025"/>
    <w:rsid w:val="262862F1"/>
    <w:rsid w:val="2638EB56"/>
    <w:rsid w:val="2640796A"/>
    <w:rsid w:val="266E49DB"/>
    <w:rsid w:val="2675A58F"/>
    <w:rsid w:val="26764948"/>
    <w:rsid w:val="26932DF3"/>
    <w:rsid w:val="26952BB6"/>
    <w:rsid w:val="26970757"/>
    <w:rsid w:val="26A80248"/>
    <w:rsid w:val="26BE798D"/>
    <w:rsid w:val="26C32F66"/>
    <w:rsid w:val="26CCEAC0"/>
    <w:rsid w:val="26F1129E"/>
    <w:rsid w:val="26F9B2D0"/>
    <w:rsid w:val="26FA1FF4"/>
    <w:rsid w:val="26FC8C29"/>
    <w:rsid w:val="2703354D"/>
    <w:rsid w:val="2705613D"/>
    <w:rsid w:val="2734E7EB"/>
    <w:rsid w:val="27533F77"/>
    <w:rsid w:val="276D75C7"/>
    <w:rsid w:val="277CB026"/>
    <w:rsid w:val="2792CC67"/>
    <w:rsid w:val="27B21486"/>
    <w:rsid w:val="27BAD4D3"/>
    <w:rsid w:val="27BEB7A8"/>
    <w:rsid w:val="27C60553"/>
    <w:rsid w:val="27CA5F2D"/>
    <w:rsid w:val="27D4CFA0"/>
    <w:rsid w:val="27D51CB7"/>
    <w:rsid w:val="27D61974"/>
    <w:rsid w:val="27EEB376"/>
    <w:rsid w:val="27F3A8CF"/>
    <w:rsid w:val="27F83640"/>
    <w:rsid w:val="2809FB76"/>
    <w:rsid w:val="28119D82"/>
    <w:rsid w:val="28143431"/>
    <w:rsid w:val="28164106"/>
    <w:rsid w:val="28173DD1"/>
    <w:rsid w:val="281EA5D0"/>
    <w:rsid w:val="28430F59"/>
    <w:rsid w:val="284CCF52"/>
    <w:rsid w:val="285072A8"/>
    <w:rsid w:val="28563BF2"/>
    <w:rsid w:val="286F914B"/>
    <w:rsid w:val="28797857"/>
    <w:rsid w:val="287B2173"/>
    <w:rsid w:val="2886025B"/>
    <w:rsid w:val="28969ECD"/>
    <w:rsid w:val="2896A8AF"/>
    <w:rsid w:val="289FF1C3"/>
    <w:rsid w:val="28A1C2C1"/>
    <w:rsid w:val="28A4AC3F"/>
    <w:rsid w:val="28B24FD7"/>
    <w:rsid w:val="28BB6AA9"/>
    <w:rsid w:val="28C2A2B3"/>
    <w:rsid w:val="28D56757"/>
    <w:rsid w:val="28D95343"/>
    <w:rsid w:val="28FC14F1"/>
    <w:rsid w:val="29210973"/>
    <w:rsid w:val="292BAC52"/>
    <w:rsid w:val="292DAD56"/>
    <w:rsid w:val="294E979E"/>
    <w:rsid w:val="2957F069"/>
    <w:rsid w:val="2962D31B"/>
    <w:rsid w:val="29655C3D"/>
    <w:rsid w:val="2967BC5C"/>
    <w:rsid w:val="296FB15C"/>
    <w:rsid w:val="29705966"/>
    <w:rsid w:val="29758358"/>
    <w:rsid w:val="2983744F"/>
    <w:rsid w:val="299363B6"/>
    <w:rsid w:val="29955768"/>
    <w:rsid w:val="29A46645"/>
    <w:rsid w:val="29A7B949"/>
    <w:rsid w:val="29AC08F0"/>
    <w:rsid w:val="29B05F0C"/>
    <w:rsid w:val="29B52F80"/>
    <w:rsid w:val="29BC7357"/>
    <w:rsid w:val="29BDC64D"/>
    <w:rsid w:val="29C2CF4F"/>
    <w:rsid w:val="29C66F81"/>
    <w:rsid w:val="29CE9E0E"/>
    <w:rsid w:val="29D0450A"/>
    <w:rsid w:val="29D2B896"/>
    <w:rsid w:val="29D37326"/>
    <w:rsid w:val="29E2D638"/>
    <w:rsid w:val="29F12F8D"/>
    <w:rsid w:val="29F9D8CB"/>
    <w:rsid w:val="2A16FFE4"/>
    <w:rsid w:val="2A1D3EA3"/>
    <w:rsid w:val="2A21949B"/>
    <w:rsid w:val="2A2395E4"/>
    <w:rsid w:val="2A330AF1"/>
    <w:rsid w:val="2A393A53"/>
    <w:rsid w:val="2A5D9634"/>
    <w:rsid w:val="2A5F26D0"/>
    <w:rsid w:val="2A7BF0F7"/>
    <w:rsid w:val="2A820946"/>
    <w:rsid w:val="2AA5003A"/>
    <w:rsid w:val="2AB95684"/>
    <w:rsid w:val="2ACD23B6"/>
    <w:rsid w:val="2AD8C9C7"/>
    <w:rsid w:val="2AEAC5F1"/>
    <w:rsid w:val="2AF316B3"/>
    <w:rsid w:val="2B0BD635"/>
    <w:rsid w:val="2B0F1E5D"/>
    <w:rsid w:val="2B29E37C"/>
    <w:rsid w:val="2B42203E"/>
    <w:rsid w:val="2B4BEF4C"/>
    <w:rsid w:val="2B544610"/>
    <w:rsid w:val="2B6E7125"/>
    <w:rsid w:val="2B83A8A3"/>
    <w:rsid w:val="2B87C0D9"/>
    <w:rsid w:val="2B971B98"/>
    <w:rsid w:val="2B9ADD66"/>
    <w:rsid w:val="2B9F2172"/>
    <w:rsid w:val="2BA1BE6F"/>
    <w:rsid w:val="2BA75BB8"/>
    <w:rsid w:val="2BAF3CF9"/>
    <w:rsid w:val="2BB50497"/>
    <w:rsid w:val="2BB8FEBE"/>
    <w:rsid w:val="2BBAE540"/>
    <w:rsid w:val="2BCA5848"/>
    <w:rsid w:val="2BDC731B"/>
    <w:rsid w:val="2BE2C6AA"/>
    <w:rsid w:val="2BF310E1"/>
    <w:rsid w:val="2C0DF5FE"/>
    <w:rsid w:val="2C1BA807"/>
    <w:rsid w:val="2C4DE680"/>
    <w:rsid w:val="2C588545"/>
    <w:rsid w:val="2C652002"/>
    <w:rsid w:val="2C6CA15E"/>
    <w:rsid w:val="2C7057B1"/>
    <w:rsid w:val="2C89C174"/>
    <w:rsid w:val="2C93D07D"/>
    <w:rsid w:val="2C9AB142"/>
    <w:rsid w:val="2CABCF31"/>
    <w:rsid w:val="2CB0A93C"/>
    <w:rsid w:val="2CB70231"/>
    <w:rsid w:val="2CC73119"/>
    <w:rsid w:val="2CE275D0"/>
    <w:rsid w:val="2CE7DC57"/>
    <w:rsid w:val="2CE95411"/>
    <w:rsid w:val="2CE98141"/>
    <w:rsid w:val="2CEC2A84"/>
    <w:rsid w:val="2CEF3242"/>
    <w:rsid w:val="2CF8CF09"/>
    <w:rsid w:val="2D045BBD"/>
    <w:rsid w:val="2D1B0448"/>
    <w:rsid w:val="2D1D1EE0"/>
    <w:rsid w:val="2D20522A"/>
    <w:rsid w:val="2D2474FC"/>
    <w:rsid w:val="2D24B2DD"/>
    <w:rsid w:val="2D3974E2"/>
    <w:rsid w:val="2D466A01"/>
    <w:rsid w:val="2D4B81A1"/>
    <w:rsid w:val="2D5B4C06"/>
    <w:rsid w:val="2D60914A"/>
    <w:rsid w:val="2D63A58B"/>
    <w:rsid w:val="2D7E80D3"/>
    <w:rsid w:val="2D8035B8"/>
    <w:rsid w:val="2D81AF71"/>
    <w:rsid w:val="2D8AA727"/>
    <w:rsid w:val="2DAB2F0F"/>
    <w:rsid w:val="2DAC6312"/>
    <w:rsid w:val="2DAEA7D5"/>
    <w:rsid w:val="2DB1AD8B"/>
    <w:rsid w:val="2DDB849A"/>
    <w:rsid w:val="2DE9AD01"/>
    <w:rsid w:val="2DECB22B"/>
    <w:rsid w:val="2DEDC20D"/>
    <w:rsid w:val="2DFF57C5"/>
    <w:rsid w:val="2E1497E0"/>
    <w:rsid w:val="2E154587"/>
    <w:rsid w:val="2E2D726E"/>
    <w:rsid w:val="2E3669C6"/>
    <w:rsid w:val="2E373974"/>
    <w:rsid w:val="2E46CB63"/>
    <w:rsid w:val="2E540D76"/>
    <w:rsid w:val="2E5BF16E"/>
    <w:rsid w:val="2E5F28D6"/>
    <w:rsid w:val="2E61E88B"/>
    <w:rsid w:val="2E745F4D"/>
    <w:rsid w:val="2E7D3183"/>
    <w:rsid w:val="2E85AC30"/>
    <w:rsid w:val="2E9ED824"/>
    <w:rsid w:val="2ECBAFA1"/>
    <w:rsid w:val="2EDDB960"/>
    <w:rsid w:val="2EE64219"/>
    <w:rsid w:val="2EEDA68E"/>
    <w:rsid w:val="2EF3840F"/>
    <w:rsid w:val="2EF841B0"/>
    <w:rsid w:val="2EFAE41F"/>
    <w:rsid w:val="2F1A8307"/>
    <w:rsid w:val="2F2B3BBD"/>
    <w:rsid w:val="2F2CB8E1"/>
    <w:rsid w:val="2F3B299C"/>
    <w:rsid w:val="2F3E65D5"/>
    <w:rsid w:val="2F4F4E53"/>
    <w:rsid w:val="2F58A8A3"/>
    <w:rsid w:val="2F5DABA4"/>
    <w:rsid w:val="2F87C721"/>
    <w:rsid w:val="2F941329"/>
    <w:rsid w:val="2FA40A9C"/>
    <w:rsid w:val="2FA6B92E"/>
    <w:rsid w:val="2FA7257D"/>
    <w:rsid w:val="2FA7E830"/>
    <w:rsid w:val="2FA818CE"/>
    <w:rsid w:val="2FB7098A"/>
    <w:rsid w:val="2FC01120"/>
    <w:rsid w:val="2FC0561F"/>
    <w:rsid w:val="2FC0FCD3"/>
    <w:rsid w:val="2FD04887"/>
    <w:rsid w:val="2FE62E33"/>
    <w:rsid w:val="3008B847"/>
    <w:rsid w:val="3011F6B6"/>
    <w:rsid w:val="30120B52"/>
    <w:rsid w:val="30193D0A"/>
    <w:rsid w:val="3022503A"/>
    <w:rsid w:val="3052FC9F"/>
    <w:rsid w:val="30614BD9"/>
    <w:rsid w:val="30615C7B"/>
    <w:rsid w:val="306229C4"/>
    <w:rsid w:val="3064DE06"/>
    <w:rsid w:val="306FC38C"/>
    <w:rsid w:val="3086793D"/>
    <w:rsid w:val="308C0147"/>
    <w:rsid w:val="308FA0F1"/>
    <w:rsid w:val="309213DC"/>
    <w:rsid w:val="309A183F"/>
    <w:rsid w:val="30A23732"/>
    <w:rsid w:val="30B8DF24"/>
    <w:rsid w:val="30C77F09"/>
    <w:rsid w:val="30E07EEC"/>
    <w:rsid w:val="30E2BED3"/>
    <w:rsid w:val="30EC79CD"/>
    <w:rsid w:val="30F022F3"/>
    <w:rsid w:val="310C31E0"/>
    <w:rsid w:val="31122175"/>
    <w:rsid w:val="311868D7"/>
    <w:rsid w:val="3118E823"/>
    <w:rsid w:val="3118F9D4"/>
    <w:rsid w:val="3134963B"/>
    <w:rsid w:val="313A540F"/>
    <w:rsid w:val="313F458A"/>
    <w:rsid w:val="31474AB4"/>
    <w:rsid w:val="3147C2E0"/>
    <w:rsid w:val="31488CC7"/>
    <w:rsid w:val="3167BFFC"/>
    <w:rsid w:val="3167E2FC"/>
    <w:rsid w:val="317DA783"/>
    <w:rsid w:val="3191E37B"/>
    <w:rsid w:val="31969215"/>
    <w:rsid w:val="31A3456F"/>
    <w:rsid w:val="31AF5E3E"/>
    <w:rsid w:val="31B1E418"/>
    <w:rsid w:val="31B2ECF3"/>
    <w:rsid w:val="31BCA3C4"/>
    <w:rsid w:val="31C51EF8"/>
    <w:rsid w:val="31C888DC"/>
    <w:rsid w:val="31D11A8C"/>
    <w:rsid w:val="31D6DCA9"/>
    <w:rsid w:val="31EF9D1A"/>
    <w:rsid w:val="320629DB"/>
    <w:rsid w:val="320691FA"/>
    <w:rsid w:val="3206BDDE"/>
    <w:rsid w:val="32121F63"/>
    <w:rsid w:val="32155FD0"/>
    <w:rsid w:val="321F711A"/>
    <w:rsid w:val="32214F18"/>
    <w:rsid w:val="322DD678"/>
    <w:rsid w:val="3243B9A8"/>
    <w:rsid w:val="3244F41E"/>
    <w:rsid w:val="3249FC4C"/>
    <w:rsid w:val="324C8CC8"/>
    <w:rsid w:val="3259841C"/>
    <w:rsid w:val="325B0A27"/>
    <w:rsid w:val="32655F26"/>
    <w:rsid w:val="326705E1"/>
    <w:rsid w:val="327B6179"/>
    <w:rsid w:val="3288AF84"/>
    <w:rsid w:val="328D6447"/>
    <w:rsid w:val="3290C5E4"/>
    <w:rsid w:val="32949522"/>
    <w:rsid w:val="32966A0A"/>
    <w:rsid w:val="329863AE"/>
    <w:rsid w:val="32A1C27F"/>
    <w:rsid w:val="32AD7040"/>
    <w:rsid w:val="32B5BD6A"/>
    <w:rsid w:val="32CEDFE4"/>
    <w:rsid w:val="32E19972"/>
    <w:rsid w:val="32E21F41"/>
    <w:rsid w:val="32F10272"/>
    <w:rsid w:val="32FC7652"/>
    <w:rsid w:val="32FFBFAD"/>
    <w:rsid w:val="3318FF77"/>
    <w:rsid w:val="33277E93"/>
    <w:rsid w:val="333C0912"/>
    <w:rsid w:val="3342BB3D"/>
    <w:rsid w:val="335408DA"/>
    <w:rsid w:val="33630D93"/>
    <w:rsid w:val="33650D83"/>
    <w:rsid w:val="3367A067"/>
    <w:rsid w:val="3374FE29"/>
    <w:rsid w:val="3375CD04"/>
    <w:rsid w:val="3376EE6F"/>
    <w:rsid w:val="338D4536"/>
    <w:rsid w:val="33904266"/>
    <w:rsid w:val="33ACCE47"/>
    <w:rsid w:val="33B5E848"/>
    <w:rsid w:val="33CABA34"/>
    <w:rsid w:val="33EC70E6"/>
    <w:rsid w:val="33FD475E"/>
    <w:rsid w:val="3408F0F9"/>
    <w:rsid w:val="340D6E85"/>
    <w:rsid w:val="34135739"/>
    <w:rsid w:val="3414D2C2"/>
    <w:rsid w:val="3423A74A"/>
    <w:rsid w:val="34278171"/>
    <w:rsid w:val="3432CEB4"/>
    <w:rsid w:val="3453555F"/>
    <w:rsid w:val="3455EF91"/>
    <w:rsid w:val="345C2FF1"/>
    <w:rsid w:val="34637B0E"/>
    <w:rsid w:val="346F20E5"/>
    <w:rsid w:val="34706540"/>
    <w:rsid w:val="34911D5F"/>
    <w:rsid w:val="34B53B93"/>
    <w:rsid w:val="34D0E1AF"/>
    <w:rsid w:val="34D85376"/>
    <w:rsid w:val="34F072F5"/>
    <w:rsid w:val="34F0967D"/>
    <w:rsid w:val="35107F28"/>
    <w:rsid w:val="3511367F"/>
    <w:rsid w:val="351978F7"/>
    <w:rsid w:val="3520C7E9"/>
    <w:rsid w:val="35452D98"/>
    <w:rsid w:val="35524AC9"/>
    <w:rsid w:val="3552CF2D"/>
    <w:rsid w:val="355594B0"/>
    <w:rsid w:val="35699877"/>
    <w:rsid w:val="35730C81"/>
    <w:rsid w:val="357505CF"/>
    <w:rsid w:val="357A317C"/>
    <w:rsid w:val="3584F2DB"/>
    <w:rsid w:val="35856353"/>
    <w:rsid w:val="358F4DE0"/>
    <w:rsid w:val="35A4F0CA"/>
    <w:rsid w:val="35A89973"/>
    <w:rsid w:val="35B1691B"/>
    <w:rsid w:val="35BCEB02"/>
    <w:rsid w:val="35C22967"/>
    <w:rsid w:val="35CEB696"/>
    <w:rsid w:val="35D0F613"/>
    <w:rsid w:val="35F8C107"/>
    <w:rsid w:val="36109728"/>
    <w:rsid w:val="36127C2B"/>
    <w:rsid w:val="361B47E3"/>
    <w:rsid w:val="361EA9C7"/>
    <w:rsid w:val="362C4F8A"/>
    <w:rsid w:val="3631BABD"/>
    <w:rsid w:val="3638DE60"/>
    <w:rsid w:val="3649DDE4"/>
    <w:rsid w:val="365A4CB5"/>
    <w:rsid w:val="36783144"/>
    <w:rsid w:val="369EB839"/>
    <w:rsid w:val="36B8DAD9"/>
    <w:rsid w:val="36BB6895"/>
    <w:rsid w:val="36BD529F"/>
    <w:rsid w:val="36D0B080"/>
    <w:rsid w:val="36E1ECE4"/>
    <w:rsid w:val="36E56A78"/>
    <w:rsid w:val="36FDE6DE"/>
    <w:rsid w:val="37085B67"/>
    <w:rsid w:val="37097584"/>
    <w:rsid w:val="3732BFA9"/>
    <w:rsid w:val="3740467E"/>
    <w:rsid w:val="3748B50D"/>
    <w:rsid w:val="37571927"/>
    <w:rsid w:val="375D689D"/>
    <w:rsid w:val="375FC3CD"/>
    <w:rsid w:val="376159DF"/>
    <w:rsid w:val="37647B84"/>
    <w:rsid w:val="3771D540"/>
    <w:rsid w:val="3776BC1C"/>
    <w:rsid w:val="379692AD"/>
    <w:rsid w:val="379D23F9"/>
    <w:rsid w:val="37A19FD6"/>
    <w:rsid w:val="37A30DCA"/>
    <w:rsid w:val="37AAA856"/>
    <w:rsid w:val="37C1AAA0"/>
    <w:rsid w:val="37E130D7"/>
    <w:rsid w:val="37E2D446"/>
    <w:rsid w:val="37FDA475"/>
    <w:rsid w:val="380BCC4A"/>
    <w:rsid w:val="3815F719"/>
    <w:rsid w:val="38175C42"/>
    <w:rsid w:val="38179175"/>
    <w:rsid w:val="383497C6"/>
    <w:rsid w:val="384FA242"/>
    <w:rsid w:val="38619989"/>
    <w:rsid w:val="386360F7"/>
    <w:rsid w:val="38692FB0"/>
    <w:rsid w:val="387D8697"/>
    <w:rsid w:val="3881C1DA"/>
    <w:rsid w:val="38899991"/>
    <w:rsid w:val="388A12A5"/>
    <w:rsid w:val="389419D5"/>
    <w:rsid w:val="38A1AB38"/>
    <w:rsid w:val="38B7CBF5"/>
    <w:rsid w:val="38BF72E5"/>
    <w:rsid w:val="38DEC430"/>
    <w:rsid w:val="39058AEB"/>
    <w:rsid w:val="390D29DF"/>
    <w:rsid w:val="39136E6A"/>
    <w:rsid w:val="39168E94"/>
    <w:rsid w:val="3918ABE3"/>
    <w:rsid w:val="3920B07D"/>
    <w:rsid w:val="39342EB5"/>
    <w:rsid w:val="394D7C4B"/>
    <w:rsid w:val="395894DF"/>
    <w:rsid w:val="395D27D0"/>
    <w:rsid w:val="39630504"/>
    <w:rsid w:val="396F42D0"/>
    <w:rsid w:val="39840B24"/>
    <w:rsid w:val="398D160D"/>
    <w:rsid w:val="3992F713"/>
    <w:rsid w:val="399C3D2D"/>
    <w:rsid w:val="399D0705"/>
    <w:rsid w:val="39BB9E19"/>
    <w:rsid w:val="39BC1FEB"/>
    <w:rsid w:val="39C9E35C"/>
    <w:rsid w:val="39CA3E5F"/>
    <w:rsid w:val="39CD5202"/>
    <w:rsid w:val="39DF9E1E"/>
    <w:rsid w:val="39EDC530"/>
    <w:rsid w:val="39F3CE5E"/>
    <w:rsid w:val="39FD1A92"/>
    <w:rsid w:val="3A00D5C4"/>
    <w:rsid w:val="3A1860C5"/>
    <w:rsid w:val="3A1B03A2"/>
    <w:rsid w:val="3A214E9F"/>
    <w:rsid w:val="3A221014"/>
    <w:rsid w:val="3A244582"/>
    <w:rsid w:val="3A2E0A17"/>
    <w:rsid w:val="3A3F90AC"/>
    <w:rsid w:val="3A45DFFF"/>
    <w:rsid w:val="3A49CF75"/>
    <w:rsid w:val="3A4AF67B"/>
    <w:rsid w:val="3A4E2F8C"/>
    <w:rsid w:val="3A5BA20F"/>
    <w:rsid w:val="3A5D25FA"/>
    <w:rsid w:val="3A60D436"/>
    <w:rsid w:val="3A615836"/>
    <w:rsid w:val="3A6C4765"/>
    <w:rsid w:val="3A7403B2"/>
    <w:rsid w:val="3A86DA76"/>
    <w:rsid w:val="3A9BCB62"/>
    <w:rsid w:val="3AA99E0B"/>
    <w:rsid w:val="3AB42498"/>
    <w:rsid w:val="3AC5FD00"/>
    <w:rsid w:val="3ACA998D"/>
    <w:rsid w:val="3AE08E3D"/>
    <w:rsid w:val="3AE7CC97"/>
    <w:rsid w:val="3B051139"/>
    <w:rsid w:val="3B07184F"/>
    <w:rsid w:val="3B0ACF7C"/>
    <w:rsid w:val="3B0BE2FE"/>
    <w:rsid w:val="3B14B612"/>
    <w:rsid w:val="3B24DE9B"/>
    <w:rsid w:val="3B2CFE0F"/>
    <w:rsid w:val="3B2E515D"/>
    <w:rsid w:val="3B2EE54A"/>
    <w:rsid w:val="3B3806A6"/>
    <w:rsid w:val="3B59459A"/>
    <w:rsid w:val="3B6FD0BA"/>
    <w:rsid w:val="3B836DB3"/>
    <w:rsid w:val="3B891557"/>
    <w:rsid w:val="3B9274C1"/>
    <w:rsid w:val="3B96A7CF"/>
    <w:rsid w:val="3BA64074"/>
    <w:rsid w:val="3BA9855F"/>
    <w:rsid w:val="3BD90ECD"/>
    <w:rsid w:val="3BEB4383"/>
    <w:rsid w:val="3C0D890E"/>
    <w:rsid w:val="3C2253CD"/>
    <w:rsid w:val="3C3C0CB9"/>
    <w:rsid w:val="3C3F65EE"/>
    <w:rsid w:val="3C4B9E9E"/>
    <w:rsid w:val="3C56286A"/>
    <w:rsid w:val="3C584612"/>
    <w:rsid w:val="3C6E5222"/>
    <w:rsid w:val="3C755F25"/>
    <w:rsid w:val="3C96BBB0"/>
    <w:rsid w:val="3CA24366"/>
    <w:rsid w:val="3CA3E1C0"/>
    <w:rsid w:val="3CA58B56"/>
    <w:rsid w:val="3CB8E74E"/>
    <w:rsid w:val="3CC71156"/>
    <w:rsid w:val="3CD6E2C5"/>
    <w:rsid w:val="3D019B5C"/>
    <w:rsid w:val="3D088E14"/>
    <w:rsid w:val="3D14F7EF"/>
    <w:rsid w:val="3D238DFF"/>
    <w:rsid w:val="3D359F64"/>
    <w:rsid w:val="3D3E5516"/>
    <w:rsid w:val="3D55A840"/>
    <w:rsid w:val="3D584385"/>
    <w:rsid w:val="3D612A33"/>
    <w:rsid w:val="3D6B11DA"/>
    <w:rsid w:val="3D6B64C9"/>
    <w:rsid w:val="3D8119C8"/>
    <w:rsid w:val="3D996A9A"/>
    <w:rsid w:val="3DB8C58D"/>
    <w:rsid w:val="3DC57C16"/>
    <w:rsid w:val="3DC8BBBD"/>
    <w:rsid w:val="3DD895D7"/>
    <w:rsid w:val="3DF15CF1"/>
    <w:rsid w:val="3DF4BEE0"/>
    <w:rsid w:val="3E010191"/>
    <w:rsid w:val="3E014212"/>
    <w:rsid w:val="3E08F318"/>
    <w:rsid w:val="3E0EC2CB"/>
    <w:rsid w:val="3E12924A"/>
    <w:rsid w:val="3E281258"/>
    <w:rsid w:val="3E372AD9"/>
    <w:rsid w:val="3E3E6B0B"/>
    <w:rsid w:val="3E3FD015"/>
    <w:rsid w:val="3E4BDDFF"/>
    <w:rsid w:val="3E58EAF1"/>
    <w:rsid w:val="3E5CA390"/>
    <w:rsid w:val="3E613C35"/>
    <w:rsid w:val="3E6F15EB"/>
    <w:rsid w:val="3E78AEF2"/>
    <w:rsid w:val="3E8978FD"/>
    <w:rsid w:val="3E92A128"/>
    <w:rsid w:val="3E97C484"/>
    <w:rsid w:val="3E9BCF7D"/>
    <w:rsid w:val="3E9DB8BC"/>
    <w:rsid w:val="3E9F642D"/>
    <w:rsid w:val="3E9F674E"/>
    <w:rsid w:val="3EA0B1A6"/>
    <w:rsid w:val="3EA129BF"/>
    <w:rsid w:val="3EA5DCDA"/>
    <w:rsid w:val="3EAB0E10"/>
    <w:rsid w:val="3EABB624"/>
    <w:rsid w:val="3EBA3136"/>
    <w:rsid w:val="3EBAA3A2"/>
    <w:rsid w:val="3EBF3609"/>
    <w:rsid w:val="3EC1E5B1"/>
    <w:rsid w:val="3ED14E18"/>
    <w:rsid w:val="3EDFA0B5"/>
    <w:rsid w:val="3EE037E4"/>
    <w:rsid w:val="3EE66861"/>
    <w:rsid w:val="3EEBDE8D"/>
    <w:rsid w:val="3F00BC70"/>
    <w:rsid w:val="3F023E35"/>
    <w:rsid w:val="3F26A2EA"/>
    <w:rsid w:val="3F2E8FB7"/>
    <w:rsid w:val="3F37471F"/>
    <w:rsid w:val="3F3D5BD9"/>
    <w:rsid w:val="3F477228"/>
    <w:rsid w:val="3F5E09AC"/>
    <w:rsid w:val="3F6B28F0"/>
    <w:rsid w:val="3F76CE01"/>
    <w:rsid w:val="3F774A6F"/>
    <w:rsid w:val="3F7E2489"/>
    <w:rsid w:val="3F91B354"/>
    <w:rsid w:val="3F94090B"/>
    <w:rsid w:val="3F988898"/>
    <w:rsid w:val="3FA60934"/>
    <w:rsid w:val="3FAF61DC"/>
    <w:rsid w:val="3FC8F38F"/>
    <w:rsid w:val="3FF2B2B4"/>
    <w:rsid w:val="3FF455BA"/>
    <w:rsid w:val="400B274D"/>
    <w:rsid w:val="400F0766"/>
    <w:rsid w:val="4017E16D"/>
    <w:rsid w:val="4021197E"/>
    <w:rsid w:val="402BB7CE"/>
    <w:rsid w:val="403E2F65"/>
    <w:rsid w:val="404561CF"/>
    <w:rsid w:val="40579D01"/>
    <w:rsid w:val="405E76EE"/>
    <w:rsid w:val="4062B835"/>
    <w:rsid w:val="40665045"/>
    <w:rsid w:val="4077577C"/>
    <w:rsid w:val="407A9B7D"/>
    <w:rsid w:val="4081BACE"/>
    <w:rsid w:val="40DCEB0D"/>
    <w:rsid w:val="40E2547E"/>
    <w:rsid w:val="40ED4B3C"/>
    <w:rsid w:val="40F3D976"/>
    <w:rsid w:val="40F4366E"/>
    <w:rsid w:val="40F66594"/>
    <w:rsid w:val="40FA6940"/>
    <w:rsid w:val="410B5E38"/>
    <w:rsid w:val="411BA480"/>
    <w:rsid w:val="411E7511"/>
    <w:rsid w:val="4127BF14"/>
    <w:rsid w:val="412EEA50"/>
    <w:rsid w:val="412EFD50"/>
    <w:rsid w:val="413BEE36"/>
    <w:rsid w:val="415778C8"/>
    <w:rsid w:val="415B3461"/>
    <w:rsid w:val="415B842B"/>
    <w:rsid w:val="41667B2A"/>
    <w:rsid w:val="417CCA14"/>
    <w:rsid w:val="418752E8"/>
    <w:rsid w:val="4188D6EF"/>
    <w:rsid w:val="41AD7794"/>
    <w:rsid w:val="41AE1431"/>
    <w:rsid w:val="41BC036A"/>
    <w:rsid w:val="41C113C5"/>
    <w:rsid w:val="41C3AFF3"/>
    <w:rsid w:val="41EB1EB8"/>
    <w:rsid w:val="4218E101"/>
    <w:rsid w:val="42237E89"/>
    <w:rsid w:val="422B779B"/>
    <w:rsid w:val="42303339"/>
    <w:rsid w:val="42339631"/>
    <w:rsid w:val="423702AC"/>
    <w:rsid w:val="423B99AF"/>
    <w:rsid w:val="42453C3D"/>
    <w:rsid w:val="424F47A5"/>
    <w:rsid w:val="42559FE2"/>
    <w:rsid w:val="42589241"/>
    <w:rsid w:val="425F7E7B"/>
    <w:rsid w:val="42639DBB"/>
    <w:rsid w:val="426D2B0B"/>
    <w:rsid w:val="426F974B"/>
    <w:rsid w:val="42870C32"/>
    <w:rsid w:val="428C7E11"/>
    <w:rsid w:val="4295284A"/>
    <w:rsid w:val="429603B5"/>
    <w:rsid w:val="42C0A7AC"/>
    <w:rsid w:val="42E7ECF8"/>
    <w:rsid w:val="42EAFD03"/>
    <w:rsid w:val="42EB9B5F"/>
    <w:rsid w:val="42F51B7C"/>
    <w:rsid w:val="42F85433"/>
    <w:rsid w:val="4300FB63"/>
    <w:rsid w:val="430BAA15"/>
    <w:rsid w:val="430F83B0"/>
    <w:rsid w:val="43486761"/>
    <w:rsid w:val="436D00DC"/>
    <w:rsid w:val="436F9A7D"/>
    <w:rsid w:val="437284EE"/>
    <w:rsid w:val="4373558C"/>
    <w:rsid w:val="43802A24"/>
    <w:rsid w:val="4390E129"/>
    <w:rsid w:val="43ABD17A"/>
    <w:rsid w:val="43BC1C6B"/>
    <w:rsid w:val="43BC77C2"/>
    <w:rsid w:val="43BEBD81"/>
    <w:rsid w:val="43BFD17E"/>
    <w:rsid w:val="43C61B6E"/>
    <w:rsid w:val="43D71692"/>
    <w:rsid w:val="43DCCDBA"/>
    <w:rsid w:val="43E007DE"/>
    <w:rsid w:val="43E4C910"/>
    <w:rsid w:val="43EA15E2"/>
    <w:rsid w:val="43EADF99"/>
    <w:rsid w:val="44134FA3"/>
    <w:rsid w:val="44156A6C"/>
    <w:rsid w:val="443426B9"/>
    <w:rsid w:val="443CA69D"/>
    <w:rsid w:val="4459E2A0"/>
    <w:rsid w:val="445D6E59"/>
    <w:rsid w:val="445D8955"/>
    <w:rsid w:val="44746462"/>
    <w:rsid w:val="44875E0A"/>
    <w:rsid w:val="44A9E436"/>
    <w:rsid w:val="44B10272"/>
    <w:rsid w:val="44C54D6F"/>
    <w:rsid w:val="44CA9181"/>
    <w:rsid w:val="44CCB697"/>
    <w:rsid w:val="44CF152A"/>
    <w:rsid w:val="44EFF279"/>
    <w:rsid w:val="44FC1DCA"/>
    <w:rsid w:val="4507539D"/>
    <w:rsid w:val="45084D5B"/>
    <w:rsid w:val="450B32F9"/>
    <w:rsid w:val="450C937B"/>
    <w:rsid w:val="45322B5E"/>
    <w:rsid w:val="45326E5E"/>
    <w:rsid w:val="4537FAD9"/>
    <w:rsid w:val="455135B9"/>
    <w:rsid w:val="45703E2E"/>
    <w:rsid w:val="4571158A"/>
    <w:rsid w:val="457EF7F2"/>
    <w:rsid w:val="45849E88"/>
    <w:rsid w:val="45860DB8"/>
    <w:rsid w:val="458B4A97"/>
    <w:rsid w:val="45A8B257"/>
    <w:rsid w:val="45A96F80"/>
    <w:rsid w:val="45B4FFA3"/>
    <w:rsid w:val="45D12E3F"/>
    <w:rsid w:val="45D5C71F"/>
    <w:rsid w:val="45DA866D"/>
    <w:rsid w:val="45DDD054"/>
    <w:rsid w:val="45E2E4CF"/>
    <w:rsid w:val="45EFDFB4"/>
    <w:rsid w:val="45F3D031"/>
    <w:rsid w:val="45F5608B"/>
    <w:rsid w:val="460763FC"/>
    <w:rsid w:val="4620354B"/>
    <w:rsid w:val="4622B763"/>
    <w:rsid w:val="46235715"/>
    <w:rsid w:val="466494DD"/>
    <w:rsid w:val="46796251"/>
    <w:rsid w:val="468565C6"/>
    <w:rsid w:val="468D5F34"/>
    <w:rsid w:val="46916135"/>
    <w:rsid w:val="46B22A16"/>
    <w:rsid w:val="46B5756B"/>
    <w:rsid w:val="46B694E9"/>
    <w:rsid w:val="46BB4595"/>
    <w:rsid w:val="46BB4920"/>
    <w:rsid w:val="46C54821"/>
    <w:rsid w:val="4705FAA5"/>
    <w:rsid w:val="471038B5"/>
    <w:rsid w:val="4713231F"/>
    <w:rsid w:val="4724D770"/>
    <w:rsid w:val="473CCFD4"/>
    <w:rsid w:val="474A60B9"/>
    <w:rsid w:val="475A7413"/>
    <w:rsid w:val="475FAD5E"/>
    <w:rsid w:val="4769C4E2"/>
    <w:rsid w:val="476C675E"/>
    <w:rsid w:val="4777A5CD"/>
    <w:rsid w:val="478D1949"/>
    <w:rsid w:val="478F6218"/>
    <w:rsid w:val="47999FEE"/>
    <w:rsid w:val="47AB61EA"/>
    <w:rsid w:val="47B09F26"/>
    <w:rsid w:val="47B69072"/>
    <w:rsid w:val="47CB1C36"/>
    <w:rsid w:val="47D05CAF"/>
    <w:rsid w:val="47D78197"/>
    <w:rsid w:val="47DDE034"/>
    <w:rsid w:val="47E8F489"/>
    <w:rsid w:val="47F26206"/>
    <w:rsid w:val="47F29D40"/>
    <w:rsid w:val="4807B5AE"/>
    <w:rsid w:val="4818DBCB"/>
    <w:rsid w:val="484CF739"/>
    <w:rsid w:val="484D1E02"/>
    <w:rsid w:val="485407D3"/>
    <w:rsid w:val="4861124E"/>
    <w:rsid w:val="4885DBA5"/>
    <w:rsid w:val="489CA04E"/>
    <w:rsid w:val="489E72D9"/>
    <w:rsid w:val="489F8E0B"/>
    <w:rsid w:val="48A127C7"/>
    <w:rsid w:val="48ABC46C"/>
    <w:rsid w:val="48BA97BA"/>
    <w:rsid w:val="48C459F6"/>
    <w:rsid w:val="48D98F7B"/>
    <w:rsid w:val="48DBC43A"/>
    <w:rsid w:val="48E21DF4"/>
    <w:rsid w:val="48E59E9C"/>
    <w:rsid w:val="48F103E9"/>
    <w:rsid w:val="48F28CB3"/>
    <w:rsid w:val="48F4D49D"/>
    <w:rsid w:val="49063C7D"/>
    <w:rsid w:val="490BFEE8"/>
    <w:rsid w:val="491C9423"/>
    <w:rsid w:val="492EC5AE"/>
    <w:rsid w:val="4950E07D"/>
    <w:rsid w:val="49523A80"/>
    <w:rsid w:val="495A3F02"/>
    <w:rsid w:val="495C0BDC"/>
    <w:rsid w:val="4967EF6D"/>
    <w:rsid w:val="49695CA2"/>
    <w:rsid w:val="49791989"/>
    <w:rsid w:val="4983EC82"/>
    <w:rsid w:val="498CD338"/>
    <w:rsid w:val="498EF605"/>
    <w:rsid w:val="4994107D"/>
    <w:rsid w:val="49A6D8A0"/>
    <w:rsid w:val="49A86A99"/>
    <w:rsid w:val="49C05FC5"/>
    <w:rsid w:val="49C66085"/>
    <w:rsid w:val="49D86F52"/>
    <w:rsid w:val="49DC7E10"/>
    <w:rsid w:val="49DECAA2"/>
    <w:rsid w:val="49F4067D"/>
    <w:rsid w:val="49F4D884"/>
    <w:rsid w:val="4A2C4EE0"/>
    <w:rsid w:val="4A308B25"/>
    <w:rsid w:val="4A30CABF"/>
    <w:rsid w:val="4A320B81"/>
    <w:rsid w:val="4A4B1E15"/>
    <w:rsid w:val="4A5F3D0B"/>
    <w:rsid w:val="4A663CFD"/>
    <w:rsid w:val="4A70E203"/>
    <w:rsid w:val="4A7670E4"/>
    <w:rsid w:val="4A8B3B08"/>
    <w:rsid w:val="4A91D75B"/>
    <w:rsid w:val="4A94FAE6"/>
    <w:rsid w:val="4A9BE277"/>
    <w:rsid w:val="4AA3D60C"/>
    <w:rsid w:val="4AAF288A"/>
    <w:rsid w:val="4AB1B55F"/>
    <w:rsid w:val="4AB2A042"/>
    <w:rsid w:val="4ACAF60A"/>
    <w:rsid w:val="4ADADCF0"/>
    <w:rsid w:val="4ADE233E"/>
    <w:rsid w:val="4AEA334B"/>
    <w:rsid w:val="4AF48A92"/>
    <w:rsid w:val="4AF8130B"/>
    <w:rsid w:val="4AF9257B"/>
    <w:rsid w:val="4B04B91A"/>
    <w:rsid w:val="4B06EE0C"/>
    <w:rsid w:val="4B09BF45"/>
    <w:rsid w:val="4B0CA6EE"/>
    <w:rsid w:val="4B18B415"/>
    <w:rsid w:val="4B23B397"/>
    <w:rsid w:val="4B3AD853"/>
    <w:rsid w:val="4B3D6BEF"/>
    <w:rsid w:val="4B442DB2"/>
    <w:rsid w:val="4B473134"/>
    <w:rsid w:val="4B4AF2FF"/>
    <w:rsid w:val="4B58A7AF"/>
    <w:rsid w:val="4B654A79"/>
    <w:rsid w:val="4B83FAE5"/>
    <w:rsid w:val="4B936D63"/>
    <w:rsid w:val="4B9554B7"/>
    <w:rsid w:val="4BC62969"/>
    <w:rsid w:val="4BEDD53D"/>
    <w:rsid w:val="4BF112B0"/>
    <w:rsid w:val="4BF8E04C"/>
    <w:rsid w:val="4BFB21B9"/>
    <w:rsid w:val="4C349FCE"/>
    <w:rsid w:val="4C3A1FD0"/>
    <w:rsid w:val="4C3CE86A"/>
    <w:rsid w:val="4C459BF5"/>
    <w:rsid w:val="4C6EA09F"/>
    <w:rsid w:val="4C6F1F8B"/>
    <w:rsid w:val="4C718521"/>
    <w:rsid w:val="4C7585EB"/>
    <w:rsid w:val="4C7602D3"/>
    <w:rsid w:val="4C835A3D"/>
    <w:rsid w:val="4C95575F"/>
    <w:rsid w:val="4C97717A"/>
    <w:rsid w:val="4CC57E16"/>
    <w:rsid w:val="4CF1D26C"/>
    <w:rsid w:val="4CF5D3DE"/>
    <w:rsid w:val="4CF95BBE"/>
    <w:rsid w:val="4CFBC3D1"/>
    <w:rsid w:val="4D0BC87E"/>
    <w:rsid w:val="4D0F450A"/>
    <w:rsid w:val="4D172975"/>
    <w:rsid w:val="4D1A6FEB"/>
    <w:rsid w:val="4D20EA7A"/>
    <w:rsid w:val="4D4EEF31"/>
    <w:rsid w:val="4D57F69F"/>
    <w:rsid w:val="4D60E9C9"/>
    <w:rsid w:val="4D67AEF1"/>
    <w:rsid w:val="4D7277EA"/>
    <w:rsid w:val="4D8825FB"/>
    <w:rsid w:val="4D9DF07F"/>
    <w:rsid w:val="4DA63DA4"/>
    <w:rsid w:val="4DABE696"/>
    <w:rsid w:val="4DAE6E8E"/>
    <w:rsid w:val="4DB33E89"/>
    <w:rsid w:val="4DB93F09"/>
    <w:rsid w:val="4DC59BB9"/>
    <w:rsid w:val="4DCE989D"/>
    <w:rsid w:val="4DDB44A0"/>
    <w:rsid w:val="4DDC46E6"/>
    <w:rsid w:val="4DEA9F5C"/>
    <w:rsid w:val="4E05812D"/>
    <w:rsid w:val="4E10BB96"/>
    <w:rsid w:val="4E1378F1"/>
    <w:rsid w:val="4E1E804D"/>
    <w:rsid w:val="4E1F48D5"/>
    <w:rsid w:val="4E2995B0"/>
    <w:rsid w:val="4E3DB3C3"/>
    <w:rsid w:val="4E5FCF69"/>
    <w:rsid w:val="4E60730D"/>
    <w:rsid w:val="4E7253DD"/>
    <w:rsid w:val="4E7469B7"/>
    <w:rsid w:val="4E7B3644"/>
    <w:rsid w:val="4E97EC68"/>
    <w:rsid w:val="4EA77D4C"/>
    <w:rsid w:val="4EB33453"/>
    <w:rsid w:val="4ECE5FE2"/>
    <w:rsid w:val="4ED9CD6F"/>
    <w:rsid w:val="4EEF14C7"/>
    <w:rsid w:val="4EF67527"/>
    <w:rsid w:val="4EF998D4"/>
    <w:rsid w:val="4F1856FA"/>
    <w:rsid w:val="4F1B1973"/>
    <w:rsid w:val="4F2DABA4"/>
    <w:rsid w:val="4F2F947B"/>
    <w:rsid w:val="4F31B03B"/>
    <w:rsid w:val="4F47811B"/>
    <w:rsid w:val="4F5944F8"/>
    <w:rsid w:val="4F65072A"/>
    <w:rsid w:val="4F6975D2"/>
    <w:rsid w:val="4F6B1BC5"/>
    <w:rsid w:val="4F6D82F1"/>
    <w:rsid w:val="4F6DE4A0"/>
    <w:rsid w:val="4F8697CB"/>
    <w:rsid w:val="4F9BD5C0"/>
    <w:rsid w:val="4F9C3B54"/>
    <w:rsid w:val="4F9F796F"/>
    <w:rsid w:val="4FA1897D"/>
    <w:rsid w:val="4FB023D7"/>
    <w:rsid w:val="4FB14659"/>
    <w:rsid w:val="4FB77437"/>
    <w:rsid w:val="4FC15F2F"/>
    <w:rsid w:val="4FD4CBED"/>
    <w:rsid w:val="5016BC35"/>
    <w:rsid w:val="501B2515"/>
    <w:rsid w:val="501D1306"/>
    <w:rsid w:val="50205B77"/>
    <w:rsid w:val="5032BEAA"/>
    <w:rsid w:val="50389775"/>
    <w:rsid w:val="503CC819"/>
    <w:rsid w:val="503E47F5"/>
    <w:rsid w:val="504E7048"/>
    <w:rsid w:val="507A1081"/>
    <w:rsid w:val="5081E052"/>
    <w:rsid w:val="508A37D1"/>
    <w:rsid w:val="509BBA04"/>
    <w:rsid w:val="50A1328D"/>
    <w:rsid w:val="50A76B8F"/>
    <w:rsid w:val="50AEB4E3"/>
    <w:rsid w:val="50BC4545"/>
    <w:rsid w:val="50C80AB7"/>
    <w:rsid w:val="50C91A01"/>
    <w:rsid w:val="50CB3CA8"/>
    <w:rsid w:val="50E413E2"/>
    <w:rsid w:val="5101417B"/>
    <w:rsid w:val="5105E438"/>
    <w:rsid w:val="5125755F"/>
    <w:rsid w:val="512AF31B"/>
    <w:rsid w:val="512EC0BA"/>
    <w:rsid w:val="51308E7B"/>
    <w:rsid w:val="513F7182"/>
    <w:rsid w:val="51404572"/>
    <w:rsid w:val="51504986"/>
    <w:rsid w:val="5159BB1F"/>
    <w:rsid w:val="5169D6B2"/>
    <w:rsid w:val="516D82A2"/>
    <w:rsid w:val="516E9BE9"/>
    <w:rsid w:val="5183CA53"/>
    <w:rsid w:val="51851990"/>
    <w:rsid w:val="51919664"/>
    <w:rsid w:val="51BA965F"/>
    <w:rsid w:val="51CB1DA6"/>
    <w:rsid w:val="51CF26E2"/>
    <w:rsid w:val="51E54126"/>
    <w:rsid w:val="51E6C58A"/>
    <w:rsid w:val="51F15165"/>
    <w:rsid w:val="51F4D884"/>
    <w:rsid w:val="51F6EEAD"/>
    <w:rsid w:val="52043510"/>
    <w:rsid w:val="52049B4E"/>
    <w:rsid w:val="520651E3"/>
    <w:rsid w:val="52292632"/>
    <w:rsid w:val="522DC12C"/>
    <w:rsid w:val="52391055"/>
    <w:rsid w:val="5242FCF9"/>
    <w:rsid w:val="524C6032"/>
    <w:rsid w:val="524E90D6"/>
    <w:rsid w:val="5256FCD4"/>
    <w:rsid w:val="525980CD"/>
    <w:rsid w:val="525995B9"/>
    <w:rsid w:val="52600756"/>
    <w:rsid w:val="5274466B"/>
    <w:rsid w:val="527A8EFF"/>
    <w:rsid w:val="527ED0B4"/>
    <w:rsid w:val="5284D63F"/>
    <w:rsid w:val="52907ADB"/>
    <w:rsid w:val="5292236B"/>
    <w:rsid w:val="52A02DE0"/>
    <w:rsid w:val="52A2030A"/>
    <w:rsid w:val="52B0E5D1"/>
    <w:rsid w:val="52BD5388"/>
    <w:rsid w:val="52C921FF"/>
    <w:rsid w:val="52D96F17"/>
    <w:rsid w:val="52F60346"/>
    <w:rsid w:val="52FE6A79"/>
    <w:rsid w:val="531164CA"/>
    <w:rsid w:val="53180816"/>
    <w:rsid w:val="5323E095"/>
    <w:rsid w:val="5334CE31"/>
    <w:rsid w:val="534CACAF"/>
    <w:rsid w:val="5356DC1F"/>
    <w:rsid w:val="5363C7AA"/>
    <w:rsid w:val="53745C2B"/>
    <w:rsid w:val="53817107"/>
    <w:rsid w:val="53826347"/>
    <w:rsid w:val="53926E65"/>
    <w:rsid w:val="5398018E"/>
    <w:rsid w:val="539893D1"/>
    <w:rsid w:val="53BFA343"/>
    <w:rsid w:val="53D09C25"/>
    <w:rsid w:val="53E18023"/>
    <w:rsid w:val="53E1EF83"/>
    <w:rsid w:val="53F82BE4"/>
    <w:rsid w:val="53FF749E"/>
    <w:rsid w:val="5414D31A"/>
    <w:rsid w:val="541F285A"/>
    <w:rsid w:val="5427E02E"/>
    <w:rsid w:val="542B2B27"/>
    <w:rsid w:val="542E6108"/>
    <w:rsid w:val="54404FC9"/>
    <w:rsid w:val="5441C960"/>
    <w:rsid w:val="544FD62A"/>
    <w:rsid w:val="545D5D32"/>
    <w:rsid w:val="545FC79E"/>
    <w:rsid w:val="5465F18E"/>
    <w:rsid w:val="5491DD2D"/>
    <w:rsid w:val="54954850"/>
    <w:rsid w:val="54964CAB"/>
    <w:rsid w:val="549DE4D4"/>
    <w:rsid w:val="54A97340"/>
    <w:rsid w:val="54AEF676"/>
    <w:rsid w:val="54B906D7"/>
    <w:rsid w:val="54F2C320"/>
    <w:rsid w:val="54FF7D13"/>
    <w:rsid w:val="55111D0C"/>
    <w:rsid w:val="5525EF1B"/>
    <w:rsid w:val="5529A91A"/>
    <w:rsid w:val="55409BC9"/>
    <w:rsid w:val="554D3AB3"/>
    <w:rsid w:val="554D985B"/>
    <w:rsid w:val="5556A108"/>
    <w:rsid w:val="555DB8D9"/>
    <w:rsid w:val="5569FEC9"/>
    <w:rsid w:val="556F73E2"/>
    <w:rsid w:val="55735A67"/>
    <w:rsid w:val="55756A93"/>
    <w:rsid w:val="5594AC63"/>
    <w:rsid w:val="55A07850"/>
    <w:rsid w:val="55A2E5C4"/>
    <w:rsid w:val="55A77B9D"/>
    <w:rsid w:val="55C5EB9A"/>
    <w:rsid w:val="55C5F632"/>
    <w:rsid w:val="55D46C02"/>
    <w:rsid w:val="55E1AD92"/>
    <w:rsid w:val="55E70449"/>
    <w:rsid w:val="55ED62E1"/>
    <w:rsid w:val="55EF0207"/>
    <w:rsid w:val="55F7CA41"/>
    <w:rsid w:val="56118E10"/>
    <w:rsid w:val="5619BEA1"/>
    <w:rsid w:val="562C4AA5"/>
    <w:rsid w:val="562ECBA1"/>
    <w:rsid w:val="5645809D"/>
    <w:rsid w:val="5654EA5D"/>
    <w:rsid w:val="5662E148"/>
    <w:rsid w:val="5681631D"/>
    <w:rsid w:val="569101EF"/>
    <w:rsid w:val="569702C7"/>
    <w:rsid w:val="569C67C8"/>
    <w:rsid w:val="569EAE94"/>
    <w:rsid w:val="56AFEEBE"/>
    <w:rsid w:val="56BEF20A"/>
    <w:rsid w:val="56C5D32E"/>
    <w:rsid w:val="56C78BE2"/>
    <w:rsid w:val="56D083D3"/>
    <w:rsid w:val="56D7ED3D"/>
    <w:rsid w:val="56DC898A"/>
    <w:rsid w:val="56EF8EAA"/>
    <w:rsid w:val="56F03610"/>
    <w:rsid w:val="56F5CFD8"/>
    <w:rsid w:val="56F6E139"/>
    <w:rsid w:val="56FCFFF4"/>
    <w:rsid w:val="56FE84C4"/>
    <w:rsid w:val="56FEA82C"/>
    <w:rsid w:val="57086C55"/>
    <w:rsid w:val="57150FCB"/>
    <w:rsid w:val="571F8DC3"/>
    <w:rsid w:val="572A1026"/>
    <w:rsid w:val="57407F5B"/>
    <w:rsid w:val="575AB757"/>
    <w:rsid w:val="575B5C04"/>
    <w:rsid w:val="576F9425"/>
    <w:rsid w:val="5773BDF0"/>
    <w:rsid w:val="577B0FDB"/>
    <w:rsid w:val="579E5974"/>
    <w:rsid w:val="57AE08A7"/>
    <w:rsid w:val="57B129FA"/>
    <w:rsid w:val="57B4678B"/>
    <w:rsid w:val="57D3D6FC"/>
    <w:rsid w:val="57F1D251"/>
    <w:rsid w:val="57FE1D07"/>
    <w:rsid w:val="581041A4"/>
    <w:rsid w:val="58220765"/>
    <w:rsid w:val="58237BE1"/>
    <w:rsid w:val="58735F4D"/>
    <w:rsid w:val="587A14B6"/>
    <w:rsid w:val="587CE432"/>
    <w:rsid w:val="587DB4BB"/>
    <w:rsid w:val="58926875"/>
    <w:rsid w:val="5893190F"/>
    <w:rsid w:val="589C7DA6"/>
    <w:rsid w:val="589CC67B"/>
    <w:rsid w:val="589EDB64"/>
    <w:rsid w:val="58B0C1D7"/>
    <w:rsid w:val="58B197A9"/>
    <w:rsid w:val="58D5694F"/>
    <w:rsid w:val="58DE39C9"/>
    <w:rsid w:val="58E0D1C0"/>
    <w:rsid w:val="58E28696"/>
    <w:rsid w:val="58EE6181"/>
    <w:rsid w:val="592484E9"/>
    <w:rsid w:val="5934B3AB"/>
    <w:rsid w:val="59377106"/>
    <w:rsid w:val="5962AC7B"/>
    <w:rsid w:val="596CB212"/>
    <w:rsid w:val="59736221"/>
    <w:rsid w:val="59746FDE"/>
    <w:rsid w:val="598BCBE0"/>
    <w:rsid w:val="59A3029B"/>
    <w:rsid w:val="59A30481"/>
    <w:rsid w:val="59E33E71"/>
    <w:rsid w:val="59E49888"/>
    <w:rsid w:val="59E64844"/>
    <w:rsid w:val="59EBB593"/>
    <w:rsid w:val="5A029A22"/>
    <w:rsid w:val="5A1DA993"/>
    <w:rsid w:val="5A33FD3A"/>
    <w:rsid w:val="5A4B8327"/>
    <w:rsid w:val="5A501B9E"/>
    <w:rsid w:val="5A7C557C"/>
    <w:rsid w:val="5A83FFBF"/>
    <w:rsid w:val="5A88CEA9"/>
    <w:rsid w:val="5A9170D6"/>
    <w:rsid w:val="5A933B00"/>
    <w:rsid w:val="5A96EA74"/>
    <w:rsid w:val="5AA7F347"/>
    <w:rsid w:val="5AAE8FF2"/>
    <w:rsid w:val="5AAFD796"/>
    <w:rsid w:val="5AD520B0"/>
    <w:rsid w:val="5AE2255A"/>
    <w:rsid w:val="5AE52603"/>
    <w:rsid w:val="5AE90156"/>
    <w:rsid w:val="5B03CAB1"/>
    <w:rsid w:val="5B11103B"/>
    <w:rsid w:val="5B131788"/>
    <w:rsid w:val="5B1D5154"/>
    <w:rsid w:val="5B20F4DE"/>
    <w:rsid w:val="5B2156FD"/>
    <w:rsid w:val="5B23329A"/>
    <w:rsid w:val="5B370249"/>
    <w:rsid w:val="5B471018"/>
    <w:rsid w:val="5B4A06B8"/>
    <w:rsid w:val="5B4CFF44"/>
    <w:rsid w:val="5B4E0A82"/>
    <w:rsid w:val="5B4E2A00"/>
    <w:rsid w:val="5B553C61"/>
    <w:rsid w:val="5B618C04"/>
    <w:rsid w:val="5B61E021"/>
    <w:rsid w:val="5B62CA9E"/>
    <w:rsid w:val="5B801356"/>
    <w:rsid w:val="5B86EE5B"/>
    <w:rsid w:val="5B90CA71"/>
    <w:rsid w:val="5B94A9BF"/>
    <w:rsid w:val="5B985BC6"/>
    <w:rsid w:val="5B9C9EA0"/>
    <w:rsid w:val="5BA4E5A4"/>
    <w:rsid w:val="5BB26F33"/>
    <w:rsid w:val="5BB7309E"/>
    <w:rsid w:val="5BB7DEA1"/>
    <w:rsid w:val="5BB8CB22"/>
    <w:rsid w:val="5BB91B6E"/>
    <w:rsid w:val="5BBBD650"/>
    <w:rsid w:val="5BCBD999"/>
    <w:rsid w:val="5BCEA72C"/>
    <w:rsid w:val="5BE1395F"/>
    <w:rsid w:val="5BE2782E"/>
    <w:rsid w:val="5BF1C674"/>
    <w:rsid w:val="5C101802"/>
    <w:rsid w:val="5C10F1DE"/>
    <w:rsid w:val="5C11468F"/>
    <w:rsid w:val="5C13E398"/>
    <w:rsid w:val="5C20D961"/>
    <w:rsid w:val="5C21EF94"/>
    <w:rsid w:val="5C29D6C3"/>
    <w:rsid w:val="5C326456"/>
    <w:rsid w:val="5C443979"/>
    <w:rsid w:val="5C6D26D1"/>
    <w:rsid w:val="5C713723"/>
    <w:rsid w:val="5C8BAEB0"/>
    <w:rsid w:val="5C8BC101"/>
    <w:rsid w:val="5C8C9786"/>
    <w:rsid w:val="5C9509FA"/>
    <w:rsid w:val="5C9B00BE"/>
    <w:rsid w:val="5CB4541E"/>
    <w:rsid w:val="5CB776B7"/>
    <w:rsid w:val="5CC196D7"/>
    <w:rsid w:val="5CC21CE9"/>
    <w:rsid w:val="5CCA2D39"/>
    <w:rsid w:val="5CDBA64A"/>
    <w:rsid w:val="5CEC012F"/>
    <w:rsid w:val="5D00AD57"/>
    <w:rsid w:val="5D1C53B1"/>
    <w:rsid w:val="5D22AF21"/>
    <w:rsid w:val="5D270C9A"/>
    <w:rsid w:val="5D324D7D"/>
    <w:rsid w:val="5D487362"/>
    <w:rsid w:val="5D4BCE9C"/>
    <w:rsid w:val="5D760851"/>
    <w:rsid w:val="5D7699D3"/>
    <w:rsid w:val="5D86159F"/>
    <w:rsid w:val="5D94B438"/>
    <w:rsid w:val="5D9C5E15"/>
    <w:rsid w:val="5DA23490"/>
    <w:rsid w:val="5DA4AA6C"/>
    <w:rsid w:val="5DABE37F"/>
    <w:rsid w:val="5DAD7749"/>
    <w:rsid w:val="5DB5C8C0"/>
    <w:rsid w:val="5DBA5659"/>
    <w:rsid w:val="5DBDE8FB"/>
    <w:rsid w:val="5DD28966"/>
    <w:rsid w:val="5DD5C850"/>
    <w:rsid w:val="5DFEE85E"/>
    <w:rsid w:val="5E136D4D"/>
    <w:rsid w:val="5E2FDC09"/>
    <w:rsid w:val="5E304FCF"/>
    <w:rsid w:val="5E3E3C8A"/>
    <w:rsid w:val="5E43B3F1"/>
    <w:rsid w:val="5E43D106"/>
    <w:rsid w:val="5E4DE700"/>
    <w:rsid w:val="5E59CACF"/>
    <w:rsid w:val="5E61E680"/>
    <w:rsid w:val="5E72DF6B"/>
    <w:rsid w:val="5E83387F"/>
    <w:rsid w:val="5E90C9A3"/>
    <w:rsid w:val="5EA1D3AA"/>
    <w:rsid w:val="5EB25423"/>
    <w:rsid w:val="5EBC8A61"/>
    <w:rsid w:val="5EC65DC7"/>
    <w:rsid w:val="5EC9032C"/>
    <w:rsid w:val="5EC92478"/>
    <w:rsid w:val="5EC9B179"/>
    <w:rsid w:val="5EDA1F5D"/>
    <w:rsid w:val="5EDC3156"/>
    <w:rsid w:val="5EDDB191"/>
    <w:rsid w:val="5EE1A2F8"/>
    <w:rsid w:val="5EE43BD3"/>
    <w:rsid w:val="5EF60D0A"/>
    <w:rsid w:val="5EFCAADF"/>
    <w:rsid w:val="5F024060"/>
    <w:rsid w:val="5F056662"/>
    <w:rsid w:val="5F178E46"/>
    <w:rsid w:val="5F195A99"/>
    <w:rsid w:val="5F1BD35D"/>
    <w:rsid w:val="5F26E79F"/>
    <w:rsid w:val="5F30633C"/>
    <w:rsid w:val="5F65AF6B"/>
    <w:rsid w:val="5F6A72B9"/>
    <w:rsid w:val="5F73260D"/>
    <w:rsid w:val="5FAAF7B7"/>
    <w:rsid w:val="5FAB9FC7"/>
    <w:rsid w:val="5FADD814"/>
    <w:rsid w:val="5FB4DFD6"/>
    <w:rsid w:val="5FBBDD4C"/>
    <w:rsid w:val="5FC957AC"/>
    <w:rsid w:val="5FD27174"/>
    <w:rsid w:val="5FE06FCF"/>
    <w:rsid w:val="5FF7A257"/>
    <w:rsid w:val="6001E79B"/>
    <w:rsid w:val="601BC9C9"/>
    <w:rsid w:val="601D34FE"/>
    <w:rsid w:val="6027A0FB"/>
    <w:rsid w:val="603114D0"/>
    <w:rsid w:val="60367C2E"/>
    <w:rsid w:val="6044A8B1"/>
    <w:rsid w:val="604CC792"/>
    <w:rsid w:val="604E84B9"/>
    <w:rsid w:val="6050CAD6"/>
    <w:rsid w:val="606ECE9F"/>
    <w:rsid w:val="60852DF7"/>
    <w:rsid w:val="60854DCF"/>
    <w:rsid w:val="608B73BD"/>
    <w:rsid w:val="60985917"/>
    <w:rsid w:val="6098AFFB"/>
    <w:rsid w:val="60AB1885"/>
    <w:rsid w:val="60BB7835"/>
    <w:rsid w:val="60C2A28A"/>
    <w:rsid w:val="60E990EB"/>
    <w:rsid w:val="60F7A413"/>
    <w:rsid w:val="6117EEF9"/>
    <w:rsid w:val="61217C85"/>
    <w:rsid w:val="614D8653"/>
    <w:rsid w:val="6162ADDD"/>
    <w:rsid w:val="6162BA50"/>
    <w:rsid w:val="61730367"/>
    <w:rsid w:val="617A0435"/>
    <w:rsid w:val="618AAA16"/>
    <w:rsid w:val="618C22F0"/>
    <w:rsid w:val="61994E42"/>
    <w:rsid w:val="61ADD120"/>
    <w:rsid w:val="61B6BAE0"/>
    <w:rsid w:val="61BBA1D3"/>
    <w:rsid w:val="61C086B0"/>
    <w:rsid w:val="61CB8B4B"/>
    <w:rsid w:val="61E02128"/>
    <w:rsid w:val="6201E84E"/>
    <w:rsid w:val="620B09E3"/>
    <w:rsid w:val="620DBB9B"/>
    <w:rsid w:val="6213E212"/>
    <w:rsid w:val="622EC8FE"/>
    <w:rsid w:val="623BDA64"/>
    <w:rsid w:val="624E8664"/>
    <w:rsid w:val="624EA171"/>
    <w:rsid w:val="62502E0E"/>
    <w:rsid w:val="62544ABD"/>
    <w:rsid w:val="62556A88"/>
    <w:rsid w:val="626E6F47"/>
    <w:rsid w:val="62733BF2"/>
    <w:rsid w:val="62793D6F"/>
    <w:rsid w:val="627D8988"/>
    <w:rsid w:val="62924814"/>
    <w:rsid w:val="62930BE3"/>
    <w:rsid w:val="62B3CA5A"/>
    <w:rsid w:val="62BECE96"/>
    <w:rsid w:val="62F87113"/>
    <w:rsid w:val="62FA6D61"/>
    <w:rsid w:val="630A2660"/>
    <w:rsid w:val="630F8E6C"/>
    <w:rsid w:val="63194F9C"/>
    <w:rsid w:val="632A022E"/>
    <w:rsid w:val="632A1AC9"/>
    <w:rsid w:val="633596AD"/>
    <w:rsid w:val="635D428A"/>
    <w:rsid w:val="63627992"/>
    <w:rsid w:val="63755E8F"/>
    <w:rsid w:val="637CF338"/>
    <w:rsid w:val="63897729"/>
    <w:rsid w:val="638F23BA"/>
    <w:rsid w:val="63964DAE"/>
    <w:rsid w:val="6397545D"/>
    <w:rsid w:val="63A1988B"/>
    <w:rsid w:val="63A3BBA8"/>
    <w:rsid w:val="63A6DAA9"/>
    <w:rsid w:val="63A8BFFB"/>
    <w:rsid w:val="63AFF121"/>
    <w:rsid w:val="63B00C39"/>
    <w:rsid w:val="63B3CE26"/>
    <w:rsid w:val="63B92286"/>
    <w:rsid w:val="63BD594B"/>
    <w:rsid w:val="63E7D9D7"/>
    <w:rsid w:val="63E7E118"/>
    <w:rsid w:val="63EE5B8B"/>
    <w:rsid w:val="63F22972"/>
    <w:rsid w:val="63F4AC4E"/>
    <w:rsid w:val="63F97F62"/>
    <w:rsid w:val="63FD0682"/>
    <w:rsid w:val="63FDA9C8"/>
    <w:rsid w:val="6401B3DD"/>
    <w:rsid w:val="6448DBFB"/>
    <w:rsid w:val="645160B5"/>
    <w:rsid w:val="64617446"/>
    <w:rsid w:val="6462340B"/>
    <w:rsid w:val="646450A6"/>
    <w:rsid w:val="646D2BE4"/>
    <w:rsid w:val="64717A56"/>
    <w:rsid w:val="64794FEC"/>
    <w:rsid w:val="64888FE1"/>
    <w:rsid w:val="649D6359"/>
    <w:rsid w:val="64A42110"/>
    <w:rsid w:val="64A7BA6F"/>
    <w:rsid w:val="64CADF04"/>
    <w:rsid w:val="64CDE432"/>
    <w:rsid w:val="64CFB3FE"/>
    <w:rsid w:val="64D7640A"/>
    <w:rsid w:val="64E8B342"/>
    <w:rsid w:val="64F068C4"/>
    <w:rsid w:val="64F7610A"/>
    <w:rsid w:val="651E23D5"/>
    <w:rsid w:val="6554E4DB"/>
    <w:rsid w:val="6568097E"/>
    <w:rsid w:val="656A1040"/>
    <w:rsid w:val="656D94E5"/>
    <w:rsid w:val="6573E8C8"/>
    <w:rsid w:val="65797BFB"/>
    <w:rsid w:val="657B5E12"/>
    <w:rsid w:val="658083EC"/>
    <w:rsid w:val="6588BF09"/>
    <w:rsid w:val="6596B081"/>
    <w:rsid w:val="659D0CA8"/>
    <w:rsid w:val="659E4E2B"/>
    <w:rsid w:val="65A1BCA1"/>
    <w:rsid w:val="65A4EB48"/>
    <w:rsid w:val="65AA9E0A"/>
    <w:rsid w:val="65C8819E"/>
    <w:rsid w:val="65CE227D"/>
    <w:rsid w:val="65E5B8A6"/>
    <w:rsid w:val="66036726"/>
    <w:rsid w:val="66096AB4"/>
    <w:rsid w:val="660DD5F5"/>
    <w:rsid w:val="660F1A19"/>
    <w:rsid w:val="66103487"/>
    <w:rsid w:val="6613C446"/>
    <w:rsid w:val="6614F298"/>
    <w:rsid w:val="661753DB"/>
    <w:rsid w:val="661D21F4"/>
    <w:rsid w:val="662399CC"/>
    <w:rsid w:val="66242099"/>
    <w:rsid w:val="664A8EA6"/>
    <w:rsid w:val="66718707"/>
    <w:rsid w:val="66777DF3"/>
    <w:rsid w:val="6689788C"/>
    <w:rsid w:val="669096F7"/>
    <w:rsid w:val="669AC204"/>
    <w:rsid w:val="669B4A4E"/>
    <w:rsid w:val="66AD5EB1"/>
    <w:rsid w:val="66BB1158"/>
    <w:rsid w:val="66C27BDE"/>
    <w:rsid w:val="66C80D47"/>
    <w:rsid w:val="66CAE001"/>
    <w:rsid w:val="66CB6A14"/>
    <w:rsid w:val="66E436B5"/>
    <w:rsid w:val="66F0410E"/>
    <w:rsid w:val="66FB49D2"/>
    <w:rsid w:val="6724F621"/>
    <w:rsid w:val="67258428"/>
    <w:rsid w:val="672D880C"/>
    <w:rsid w:val="67331EF2"/>
    <w:rsid w:val="673516C0"/>
    <w:rsid w:val="67355EEB"/>
    <w:rsid w:val="677C930E"/>
    <w:rsid w:val="677DD3EA"/>
    <w:rsid w:val="677F4B5B"/>
    <w:rsid w:val="679741CE"/>
    <w:rsid w:val="67A5654F"/>
    <w:rsid w:val="67A799CC"/>
    <w:rsid w:val="67B1E2AE"/>
    <w:rsid w:val="67B734E1"/>
    <w:rsid w:val="67CF517F"/>
    <w:rsid w:val="67D1E42F"/>
    <w:rsid w:val="67DC6806"/>
    <w:rsid w:val="67ED599B"/>
    <w:rsid w:val="68065741"/>
    <w:rsid w:val="6813EC01"/>
    <w:rsid w:val="681EF4AA"/>
    <w:rsid w:val="682DFADD"/>
    <w:rsid w:val="683F0AF7"/>
    <w:rsid w:val="68481AA8"/>
    <w:rsid w:val="6850CC42"/>
    <w:rsid w:val="685D50DC"/>
    <w:rsid w:val="685E9D69"/>
    <w:rsid w:val="68A1DD83"/>
    <w:rsid w:val="68A3674A"/>
    <w:rsid w:val="68A90A92"/>
    <w:rsid w:val="68AF6064"/>
    <w:rsid w:val="68C8A37B"/>
    <w:rsid w:val="68D00AC8"/>
    <w:rsid w:val="68D5AE0A"/>
    <w:rsid w:val="68D70ABA"/>
    <w:rsid w:val="68DDDD58"/>
    <w:rsid w:val="68DF9940"/>
    <w:rsid w:val="6909A6C2"/>
    <w:rsid w:val="6911B6DF"/>
    <w:rsid w:val="691AB68B"/>
    <w:rsid w:val="691C448F"/>
    <w:rsid w:val="691F59A2"/>
    <w:rsid w:val="69353E7D"/>
    <w:rsid w:val="694B95C8"/>
    <w:rsid w:val="694C6354"/>
    <w:rsid w:val="6954D073"/>
    <w:rsid w:val="6958EB23"/>
    <w:rsid w:val="69721E90"/>
    <w:rsid w:val="69A1E5A3"/>
    <w:rsid w:val="69A5DE6D"/>
    <w:rsid w:val="69B3AAEE"/>
    <w:rsid w:val="69D15547"/>
    <w:rsid w:val="69D20099"/>
    <w:rsid w:val="69EE564A"/>
    <w:rsid w:val="6A058279"/>
    <w:rsid w:val="6A0B0558"/>
    <w:rsid w:val="6A0C70CB"/>
    <w:rsid w:val="6A2723C7"/>
    <w:rsid w:val="6A45244F"/>
    <w:rsid w:val="6A548CEB"/>
    <w:rsid w:val="6A54B5BA"/>
    <w:rsid w:val="6A57DE7F"/>
    <w:rsid w:val="6A62E665"/>
    <w:rsid w:val="6A7C4F0A"/>
    <w:rsid w:val="6A90BED4"/>
    <w:rsid w:val="6A92BB63"/>
    <w:rsid w:val="6A94846F"/>
    <w:rsid w:val="6A9708CD"/>
    <w:rsid w:val="6A9ACFD6"/>
    <w:rsid w:val="6ABB9716"/>
    <w:rsid w:val="6AC71D50"/>
    <w:rsid w:val="6ACFFB85"/>
    <w:rsid w:val="6AE0BBB4"/>
    <w:rsid w:val="6AF6B123"/>
    <w:rsid w:val="6B04143F"/>
    <w:rsid w:val="6B0C580D"/>
    <w:rsid w:val="6B22EBA3"/>
    <w:rsid w:val="6B38F4D8"/>
    <w:rsid w:val="6B499CAB"/>
    <w:rsid w:val="6B864E36"/>
    <w:rsid w:val="6B950B0E"/>
    <w:rsid w:val="6BAADF77"/>
    <w:rsid w:val="6BB61A51"/>
    <w:rsid w:val="6BBFF541"/>
    <w:rsid w:val="6BCEE780"/>
    <w:rsid w:val="6BCF07D8"/>
    <w:rsid w:val="6BD7B8D5"/>
    <w:rsid w:val="6BDDB5B7"/>
    <w:rsid w:val="6BDF037D"/>
    <w:rsid w:val="6BEA9D7F"/>
    <w:rsid w:val="6C03B875"/>
    <w:rsid w:val="6C3C921D"/>
    <w:rsid w:val="6C4217BC"/>
    <w:rsid w:val="6C4AA0CC"/>
    <w:rsid w:val="6C597881"/>
    <w:rsid w:val="6C794C67"/>
    <w:rsid w:val="6C7AF553"/>
    <w:rsid w:val="6C8BC92B"/>
    <w:rsid w:val="6C96D7A6"/>
    <w:rsid w:val="6C9EC8CF"/>
    <w:rsid w:val="6CA072AD"/>
    <w:rsid w:val="6CA9D6E8"/>
    <w:rsid w:val="6CBD5AD1"/>
    <w:rsid w:val="6CCF8E75"/>
    <w:rsid w:val="6CEB5513"/>
    <w:rsid w:val="6CFAC92A"/>
    <w:rsid w:val="6CFFC7B8"/>
    <w:rsid w:val="6D003879"/>
    <w:rsid w:val="6D0771C2"/>
    <w:rsid w:val="6D0E9F85"/>
    <w:rsid w:val="6D22CFAC"/>
    <w:rsid w:val="6D32C9AD"/>
    <w:rsid w:val="6D47B624"/>
    <w:rsid w:val="6D4CE2E1"/>
    <w:rsid w:val="6D4E4C27"/>
    <w:rsid w:val="6D4EA47A"/>
    <w:rsid w:val="6D6ED612"/>
    <w:rsid w:val="6D70B2C2"/>
    <w:rsid w:val="6D715275"/>
    <w:rsid w:val="6D73207C"/>
    <w:rsid w:val="6D935694"/>
    <w:rsid w:val="6DA3B8DC"/>
    <w:rsid w:val="6DB858B1"/>
    <w:rsid w:val="6DB9F976"/>
    <w:rsid w:val="6DC3B983"/>
    <w:rsid w:val="6DD99CC7"/>
    <w:rsid w:val="6DDDEE63"/>
    <w:rsid w:val="6DE24799"/>
    <w:rsid w:val="6DE564D9"/>
    <w:rsid w:val="6DF38A62"/>
    <w:rsid w:val="6DF50C77"/>
    <w:rsid w:val="6DF966C2"/>
    <w:rsid w:val="6E041C15"/>
    <w:rsid w:val="6E0DD979"/>
    <w:rsid w:val="6E11BA7F"/>
    <w:rsid w:val="6E192B99"/>
    <w:rsid w:val="6E2AAA4F"/>
    <w:rsid w:val="6E2BB26F"/>
    <w:rsid w:val="6E4F7674"/>
    <w:rsid w:val="6E6E3ABB"/>
    <w:rsid w:val="6E6F7D45"/>
    <w:rsid w:val="6E839E87"/>
    <w:rsid w:val="6E8888E4"/>
    <w:rsid w:val="6E8B7EAA"/>
    <w:rsid w:val="6E903C8F"/>
    <w:rsid w:val="6E95012F"/>
    <w:rsid w:val="6E969412"/>
    <w:rsid w:val="6E9B5B81"/>
    <w:rsid w:val="6E9BD22A"/>
    <w:rsid w:val="6EA56F65"/>
    <w:rsid w:val="6EB22104"/>
    <w:rsid w:val="6EB50D62"/>
    <w:rsid w:val="6EB75D9A"/>
    <w:rsid w:val="6EBB645B"/>
    <w:rsid w:val="6EC1C2C6"/>
    <w:rsid w:val="6ECF1320"/>
    <w:rsid w:val="6EE70B79"/>
    <w:rsid w:val="6F12D08D"/>
    <w:rsid w:val="6F164639"/>
    <w:rsid w:val="6F1A4770"/>
    <w:rsid w:val="6F267D20"/>
    <w:rsid w:val="6F2B027D"/>
    <w:rsid w:val="6F2EAEDA"/>
    <w:rsid w:val="6F429F60"/>
    <w:rsid w:val="6F69DB98"/>
    <w:rsid w:val="6F6B6959"/>
    <w:rsid w:val="6F6BE2C9"/>
    <w:rsid w:val="6F6D3B79"/>
    <w:rsid w:val="6F6F9842"/>
    <w:rsid w:val="6F89C2B3"/>
    <w:rsid w:val="6F8C466B"/>
    <w:rsid w:val="6F926C96"/>
    <w:rsid w:val="6FA58CD5"/>
    <w:rsid w:val="6FB126B0"/>
    <w:rsid w:val="6FBAAF5E"/>
    <w:rsid w:val="6FBE8695"/>
    <w:rsid w:val="6FC19059"/>
    <w:rsid w:val="6FCDDAAB"/>
    <w:rsid w:val="6FD3F5F7"/>
    <w:rsid w:val="6FFCF8B8"/>
    <w:rsid w:val="7009F0FF"/>
    <w:rsid w:val="701509C7"/>
    <w:rsid w:val="702800F7"/>
    <w:rsid w:val="702DEBA9"/>
    <w:rsid w:val="702DFC4F"/>
    <w:rsid w:val="703147EA"/>
    <w:rsid w:val="703663F8"/>
    <w:rsid w:val="70443807"/>
    <w:rsid w:val="706738CD"/>
    <w:rsid w:val="706BBFF9"/>
    <w:rsid w:val="70780251"/>
    <w:rsid w:val="7083F814"/>
    <w:rsid w:val="709332F5"/>
    <w:rsid w:val="7099B4DF"/>
    <w:rsid w:val="709B8BE2"/>
    <w:rsid w:val="709DE660"/>
    <w:rsid w:val="70BB038E"/>
    <w:rsid w:val="70BB4430"/>
    <w:rsid w:val="70BC00AE"/>
    <w:rsid w:val="70C76FD1"/>
    <w:rsid w:val="70E83191"/>
    <w:rsid w:val="70F81587"/>
    <w:rsid w:val="70FB5FDF"/>
    <w:rsid w:val="70FDC112"/>
    <w:rsid w:val="710222A7"/>
    <w:rsid w:val="7115584C"/>
    <w:rsid w:val="7127A263"/>
    <w:rsid w:val="713C8E51"/>
    <w:rsid w:val="713F568E"/>
    <w:rsid w:val="71443E8E"/>
    <w:rsid w:val="714498AF"/>
    <w:rsid w:val="7149E4BD"/>
    <w:rsid w:val="716B654A"/>
    <w:rsid w:val="71815B01"/>
    <w:rsid w:val="7184CDCB"/>
    <w:rsid w:val="71A167B9"/>
    <w:rsid w:val="71C27874"/>
    <w:rsid w:val="71D7458F"/>
    <w:rsid w:val="71D99B56"/>
    <w:rsid w:val="71DAE455"/>
    <w:rsid w:val="71E42164"/>
    <w:rsid w:val="71F9802A"/>
    <w:rsid w:val="71FA9B35"/>
    <w:rsid w:val="72049BD4"/>
    <w:rsid w:val="7204DD41"/>
    <w:rsid w:val="720C7D64"/>
    <w:rsid w:val="720F70F9"/>
    <w:rsid w:val="721807ED"/>
    <w:rsid w:val="72250447"/>
    <w:rsid w:val="7236D7C7"/>
    <w:rsid w:val="7252CBC0"/>
    <w:rsid w:val="725B357F"/>
    <w:rsid w:val="725FD824"/>
    <w:rsid w:val="7270EFD8"/>
    <w:rsid w:val="727F644F"/>
    <w:rsid w:val="727F755C"/>
    <w:rsid w:val="728819E4"/>
    <w:rsid w:val="728C782F"/>
    <w:rsid w:val="7291CF29"/>
    <w:rsid w:val="72953E16"/>
    <w:rsid w:val="72995FDA"/>
    <w:rsid w:val="72AE63DA"/>
    <w:rsid w:val="72B6965B"/>
    <w:rsid w:val="72C48B13"/>
    <w:rsid w:val="72CD795F"/>
    <w:rsid w:val="72D39906"/>
    <w:rsid w:val="72D9C0DF"/>
    <w:rsid w:val="72DF3999"/>
    <w:rsid w:val="73170865"/>
    <w:rsid w:val="7326F253"/>
    <w:rsid w:val="732B20D3"/>
    <w:rsid w:val="7334378C"/>
    <w:rsid w:val="733DBAE1"/>
    <w:rsid w:val="733E5A96"/>
    <w:rsid w:val="7359E812"/>
    <w:rsid w:val="7368C2A5"/>
    <w:rsid w:val="73A1B212"/>
    <w:rsid w:val="73B7F988"/>
    <w:rsid w:val="73D61C1D"/>
    <w:rsid w:val="73DB6294"/>
    <w:rsid w:val="73E4B63F"/>
    <w:rsid w:val="73EAABE3"/>
    <w:rsid w:val="73EB50B2"/>
    <w:rsid w:val="73EBB32C"/>
    <w:rsid w:val="73FD7684"/>
    <w:rsid w:val="7401CBD1"/>
    <w:rsid w:val="740930AA"/>
    <w:rsid w:val="7414A3DC"/>
    <w:rsid w:val="741EC5A8"/>
    <w:rsid w:val="741F7BB3"/>
    <w:rsid w:val="743631AD"/>
    <w:rsid w:val="74432DB4"/>
    <w:rsid w:val="744F6E83"/>
    <w:rsid w:val="7450B0AD"/>
    <w:rsid w:val="7468A0E1"/>
    <w:rsid w:val="748C8478"/>
    <w:rsid w:val="748D25DC"/>
    <w:rsid w:val="749AB0EA"/>
    <w:rsid w:val="749D2423"/>
    <w:rsid w:val="74ABC54E"/>
    <w:rsid w:val="74CC25CD"/>
    <w:rsid w:val="74E7802A"/>
    <w:rsid w:val="750950F9"/>
    <w:rsid w:val="750A7F41"/>
    <w:rsid w:val="750EF800"/>
    <w:rsid w:val="7525CF2B"/>
    <w:rsid w:val="7530C61B"/>
    <w:rsid w:val="75482F7F"/>
    <w:rsid w:val="75581B2D"/>
    <w:rsid w:val="755B4014"/>
    <w:rsid w:val="7564B671"/>
    <w:rsid w:val="756AF5D6"/>
    <w:rsid w:val="757036F4"/>
    <w:rsid w:val="7576EF21"/>
    <w:rsid w:val="758155F8"/>
    <w:rsid w:val="75845D9F"/>
    <w:rsid w:val="75854EF4"/>
    <w:rsid w:val="75922CFE"/>
    <w:rsid w:val="75AB46A8"/>
    <w:rsid w:val="75BDEDE6"/>
    <w:rsid w:val="75C22212"/>
    <w:rsid w:val="75C9353D"/>
    <w:rsid w:val="75CA80F1"/>
    <w:rsid w:val="75CD0091"/>
    <w:rsid w:val="75D465F9"/>
    <w:rsid w:val="75ED5221"/>
    <w:rsid w:val="75F26DB1"/>
    <w:rsid w:val="75FE2B4B"/>
    <w:rsid w:val="75FF83F5"/>
    <w:rsid w:val="761689BA"/>
    <w:rsid w:val="763749C6"/>
    <w:rsid w:val="76484532"/>
    <w:rsid w:val="764D52C4"/>
    <w:rsid w:val="7650F4C2"/>
    <w:rsid w:val="7654E9B6"/>
    <w:rsid w:val="7659D512"/>
    <w:rsid w:val="766F1786"/>
    <w:rsid w:val="768730C9"/>
    <w:rsid w:val="768AE77D"/>
    <w:rsid w:val="768CF13C"/>
    <w:rsid w:val="7694BBC5"/>
    <w:rsid w:val="769A3A36"/>
    <w:rsid w:val="76C35AD7"/>
    <w:rsid w:val="76C4F83C"/>
    <w:rsid w:val="76C51FE2"/>
    <w:rsid w:val="76C7B72A"/>
    <w:rsid w:val="76CD0DE1"/>
    <w:rsid w:val="76CFDADD"/>
    <w:rsid w:val="76D1E618"/>
    <w:rsid w:val="76D3C05D"/>
    <w:rsid w:val="76EE1095"/>
    <w:rsid w:val="76EEDA73"/>
    <w:rsid w:val="76EF1D4B"/>
    <w:rsid w:val="76F12290"/>
    <w:rsid w:val="76F6A148"/>
    <w:rsid w:val="76F6FDA6"/>
    <w:rsid w:val="770AD016"/>
    <w:rsid w:val="770BA8E8"/>
    <w:rsid w:val="7730B267"/>
    <w:rsid w:val="7744488D"/>
    <w:rsid w:val="774C7BBE"/>
    <w:rsid w:val="7750666B"/>
    <w:rsid w:val="7769FE37"/>
    <w:rsid w:val="778ABF63"/>
    <w:rsid w:val="778D9ADB"/>
    <w:rsid w:val="77A5CC06"/>
    <w:rsid w:val="77A71B49"/>
    <w:rsid w:val="77B1B513"/>
    <w:rsid w:val="77BDE23A"/>
    <w:rsid w:val="77C39D0D"/>
    <w:rsid w:val="77E2F264"/>
    <w:rsid w:val="7826E39F"/>
    <w:rsid w:val="782859E0"/>
    <w:rsid w:val="782D27B9"/>
    <w:rsid w:val="783303F0"/>
    <w:rsid w:val="783B5F71"/>
    <w:rsid w:val="783BB11F"/>
    <w:rsid w:val="783CF158"/>
    <w:rsid w:val="7844C762"/>
    <w:rsid w:val="7848B1D0"/>
    <w:rsid w:val="784EAB3E"/>
    <w:rsid w:val="784F71EA"/>
    <w:rsid w:val="7862D63F"/>
    <w:rsid w:val="786668F9"/>
    <w:rsid w:val="786BCEEE"/>
    <w:rsid w:val="786C171D"/>
    <w:rsid w:val="7874F3D9"/>
    <w:rsid w:val="7880FA5A"/>
    <w:rsid w:val="7897D3A5"/>
    <w:rsid w:val="789BD016"/>
    <w:rsid w:val="78B66003"/>
    <w:rsid w:val="78E1EB16"/>
    <w:rsid w:val="78E8FF3A"/>
    <w:rsid w:val="78F17501"/>
    <w:rsid w:val="78F1EB16"/>
    <w:rsid w:val="78F6C953"/>
    <w:rsid w:val="78FF0AB4"/>
    <w:rsid w:val="79022293"/>
    <w:rsid w:val="790FFDB8"/>
    <w:rsid w:val="79275F7E"/>
    <w:rsid w:val="792C6455"/>
    <w:rsid w:val="79335E3C"/>
    <w:rsid w:val="79366650"/>
    <w:rsid w:val="79609DAD"/>
    <w:rsid w:val="79691A16"/>
    <w:rsid w:val="7976032D"/>
    <w:rsid w:val="7992C0A8"/>
    <w:rsid w:val="799AE3BF"/>
    <w:rsid w:val="799DAB02"/>
    <w:rsid w:val="79A48FB0"/>
    <w:rsid w:val="79B78862"/>
    <w:rsid w:val="79CBBDAD"/>
    <w:rsid w:val="79CE28D2"/>
    <w:rsid w:val="79EE3F23"/>
    <w:rsid w:val="79FFCFBD"/>
    <w:rsid w:val="7A040CA4"/>
    <w:rsid w:val="7A187A5F"/>
    <w:rsid w:val="7A2753F0"/>
    <w:rsid w:val="7A334DA3"/>
    <w:rsid w:val="7A3CA366"/>
    <w:rsid w:val="7A491099"/>
    <w:rsid w:val="7A4C1AAC"/>
    <w:rsid w:val="7A7F8323"/>
    <w:rsid w:val="7AAB730E"/>
    <w:rsid w:val="7ABC87D6"/>
    <w:rsid w:val="7ABDA937"/>
    <w:rsid w:val="7ACD70C6"/>
    <w:rsid w:val="7AD7968B"/>
    <w:rsid w:val="7ADC77A5"/>
    <w:rsid w:val="7AE9B391"/>
    <w:rsid w:val="7AF7D6D7"/>
    <w:rsid w:val="7B2C061A"/>
    <w:rsid w:val="7B3DE9CF"/>
    <w:rsid w:val="7B517CBD"/>
    <w:rsid w:val="7B54E978"/>
    <w:rsid w:val="7B596785"/>
    <w:rsid w:val="7B64F26A"/>
    <w:rsid w:val="7B682941"/>
    <w:rsid w:val="7B6CC1CC"/>
    <w:rsid w:val="7B734989"/>
    <w:rsid w:val="7B8BC2A6"/>
    <w:rsid w:val="7B8F62BD"/>
    <w:rsid w:val="7B93CB37"/>
    <w:rsid w:val="7B9F1727"/>
    <w:rsid w:val="7B9F4EBC"/>
    <w:rsid w:val="7BBBD042"/>
    <w:rsid w:val="7BC4975D"/>
    <w:rsid w:val="7BD21BFB"/>
    <w:rsid w:val="7BD9BDCF"/>
    <w:rsid w:val="7BDAD6BC"/>
    <w:rsid w:val="7BE284C0"/>
    <w:rsid w:val="7BE5ACF8"/>
    <w:rsid w:val="7BFE0DA6"/>
    <w:rsid w:val="7C054946"/>
    <w:rsid w:val="7C09D849"/>
    <w:rsid w:val="7C17CDC3"/>
    <w:rsid w:val="7C20D8FC"/>
    <w:rsid w:val="7C328E12"/>
    <w:rsid w:val="7C50D429"/>
    <w:rsid w:val="7C51719D"/>
    <w:rsid w:val="7C53E700"/>
    <w:rsid w:val="7C5BAEA9"/>
    <w:rsid w:val="7C736EED"/>
    <w:rsid w:val="7C76C8CF"/>
    <w:rsid w:val="7C76F94C"/>
    <w:rsid w:val="7C775337"/>
    <w:rsid w:val="7CA5975D"/>
    <w:rsid w:val="7CAFC1F6"/>
    <w:rsid w:val="7CB6C3D7"/>
    <w:rsid w:val="7CBFC89B"/>
    <w:rsid w:val="7CDA9068"/>
    <w:rsid w:val="7CE68FA4"/>
    <w:rsid w:val="7CEDDB03"/>
    <w:rsid w:val="7CFC565C"/>
    <w:rsid w:val="7D12FC1F"/>
    <w:rsid w:val="7D26F29F"/>
    <w:rsid w:val="7D32440E"/>
    <w:rsid w:val="7D364D41"/>
    <w:rsid w:val="7D403F8F"/>
    <w:rsid w:val="7D5055AA"/>
    <w:rsid w:val="7D60215F"/>
    <w:rsid w:val="7D622E65"/>
    <w:rsid w:val="7D6A5650"/>
    <w:rsid w:val="7D708E98"/>
    <w:rsid w:val="7D817D00"/>
    <w:rsid w:val="7D8D51F8"/>
    <w:rsid w:val="7D9D20D6"/>
    <w:rsid w:val="7DADE071"/>
    <w:rsid w:val="7DCEC07D"/>
    <w:rsid w:val="7DD25B6D"/>
    <w:rsid w:val="7DE65D1A"/>
    <w:rsid w:val="7DE9C718"/>
    <w:rsid w:val="7DFCF415"/>
    <w:rsid w:val="7E105CD8"/>
    <w:rsid w:val="7E12B941"/>
    <w:rsid w:val="7E24597D"/>
    <w:rsid w:val="7E2A3DEE"/>
    <w:rsid w:val="7E2ADFB2"/>
    <w:rsid w:val="7E2CFBF8"/>
    <w:rsid w:val="7E57D85D"/>
    <w:rsid w:val="7E5A2764"/>
    <w:rsid w:val="7E5AF456"/>
    <w:rsid w:val="7E5C66DE"/>
    <w:rsid w:val="7E5E9A59"/>
    <w:rsid w:val="7E5EF543"/>
    <w:rsid w:val="7E755C10"/>
    <w:rsid w:val="7E76458D"/>
    <w:rsid w:val="7E86DF48"/>
    <w:rsid w:val="7E9B834E"/>
    <w:rsid w:val="7EC00194"/>
    <w:rsid w:val="7ECBF6ED"/>
    <w:rsid w:val="7ED07C40"/>
    <w:rsid w:val="7EEA1737"/>
    <w:rsid w:val="7F27F38F"/>
    <w:rsid w:val="7F28F01D"/>
    <w:rsid w:val="7F2A1D7B"/>
    <w:rsid w:val="7F36491A"/>
    <w:rsid w:val="7F54703F"/>
    <w:rsid w:val="7F696EBD"/>
    <w:rsid w:val="7F7468E0"/>
    <w:rsid w:val="7F847F4D"/>
    <w:rsid w:val="7F8D941C"/>
    <w:rsid w:val="7FA2163B"/>
    <w:rsid w:val="7FB40110"/>
    <w:rsid w:val="7FBC929B"/>
    <w:rsid w:val="7FC91B88"/>
    <w:rsid w:val="7FE1D6F8"/>
    <w:rsid w:val="7FE4A1EE"/>
    <w:rsid w:val="7FF342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48CA"/>
  <w15:chartTrackingRefBased/>
  <w15:docId w15:val="{E895B099-B483-46B0-9D14-4221A489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3D222C"/>
    <w:pPr>
      <w:spacing w:after="0" w:line="240" w:lineRule="auto"/>
    </w:pPr>
    <w:rPr>
      <w:rFonts w:ascii="Arial" w:hAnsi="Arial" w:eastAsia="Times New Roman" w:cs="Times New Roman"/>
      <w:sz w:val="24"/>
      <w:szCs w:val="24"/>
    </w:rPr>
  </w:style>
  <w:style w:type="paragraph" w:styleId="Heading1">
    <w:name w:val="heading 1"/>
    <w:basedOn w:val="Normal"/>
    <w:next w:val="Normal"/>
    <w:link w:val="Heading1Char"/>
    <w:uiPriority w:val="9"/>
    <w:qFormat/>
    <w:rsid w:val="001B14BA"/>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qFormat/>
    <w:rsid w:val="003D222C"/>
    <w:pPr>
      <w:spacing w:before="240"/>
      <w:outlineLvl w:val="1"/>
    </w:pPr>
    <w:rPr>
      <w:b/>
      <w:i/>
      <w:kern w:val="28"/>
      <w:sz w:val="28"/>
      <w:szCs w:val="28"/>
    </w:rPr>
  </w:style>
  <w:style w:type="paragraph" w:styleId="Heading3">
    <w:name w:val="heading 3"/>
    <w:basedOn w:val="Normal"/>
    <w:next w:val="Normal"/>
    <w:link w:val="Heading3Char"/>
    <w:uiPriority w:val="9"/>
    <w:unhideWhenUsed/>
    <w:qFormat/>
    <w:rsid w:val="00953846"/>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3D222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D222C"/>
    <w:rPr>
      <w:rFonts w:ascii="Segoe UI" w:hAnsi="Segoe UI" w:cs="Segoe UI"/>
      <w:sz w:val="18"/>
      <w:szCs w:val="18"/>
    </w:rPr>
  </w:style>
  <w:style w:type="character" w:styleId="Heading2Char" w:customStyle="1">
    <w:name w:val="Heading 2 Char"/>
    <w:basedOn w:val="DefaultParagraphFont"/>
    <w:link w:val="Heading2"/>
    <w:rsid w:val="003D222C"/>
    <w:rPr>
      <w:rFonts w:ascii="Arial" w:hAnsi="Arial" w:eastAsia="Times New Roman" w:cs="Times New Roman"/>
      <w:b/>
      <w:i/>
      <w:kern w:val="28"/>
      <w:sz w:val="28"/>
      <w:szCs w:val="28"/>
    </w:rPr>
  </w:style>
  <w:style w:type="paragraph" w:styleId="ListParagraph">
    <w:name w:val="List Paragraph"/>
    <w:aliases w:val="Recommendatio,Párrafo de lista,Recommendation,OBC Bullet,Dot pt,F5 List Paragraph,List Paragraph1,No Spacing1,List Paragraph Char Char Char,Indicator Text,Colorful List - Accent 11,Numbered Para 1,Bullet 1,Bullet Points,List Paragraph2,L"/>
    <w:basedOn w:val="Normal"/>
    <w:link w:val="ListParagraphChar"/>
    <w:uiPriority w:val="34"/>
    <w:qFormat/>
    <w:rsid w:val="003D222C"/>
    <w:pPr>
      <w:spacing w:after="240"/>
      <w:ind w:left="720"/>
      <w:contextualSpacing/>
    </w:pPr>
    <w:rPr>
      <w:szCs w:val="20"/>
      <w:lang w:eastAsia="en-GB"/>
    </w:rPr>
  </w:style>
  <w:style w:type="character" w:styleId="ListParagraphChar" w:customStyle="1">
    <w:name w:val="List Paragraph Char"/>
    <w:aliases w:val="Recommendatio Char,Párrafo de lista Char,Recommendation Char,OBC Bullet Char,Dot pt Char,F5 List Paragraph Char,List Paragraph1 Char,No Spacing1 Char,List Paragraph Char Char Char Char,Indicator Text Char,Numbered Para 1 Char,L Char"/>
    <w:basedOn w:val="DefaultParagraphFont"/>
    <w:link w:val="ListParagraph"/>
    <w:uiPriority w:val="34"/>
    <w:qFormat/>
    <w:locked/>
    <w:rsid w:val="003D222C"/>
    <w:rPr>
      <w:rFonts w:ascii="Arial" w:hAnsi="Arial" w:eastAsia="Times New Roman" w:cs="Times New Roman"/>
      <w:sz w:val="24"/>
      <w:szCs w:val="20"/>
      <w:lang w:eastAsia="en-GB"/>
    </w:rPr>
  </w:style>
  <w:style w:type="table" w:styleId="TableGrid">
    <w:name w:val="Table Grid"/>
    <w:basedOn w:val="TableNormal"/>
    <w:rsid w:val="003D222C"/>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3D222C"/>
    <w:rPr>
      <w:color w:val="0563C1" w:themeColor="hyperlink"/>
      <w:u w:val="single"/>
    </w:rPr>
  </w:style>
  <w:style w:type="paragraph" w:styleId="Header">
    <w:name w:val="header"/>
    <w:basedOn w:val="Normal"/>
    <w:link w:val="HeaderChar"/>
    <w:uiPriority w:val="99"/>
    <w:unhideWhenUsed/>
    <w:rsid w:val="003D222C"/>
    <w:pPr>
      <w:tabs>
        <w:tab w:val="center" w:pos="4513"/>
        <w:tab w:val="right" w:pos="9026"/>
      </w:tabs>
    </w:pPr>
  </w:style>
  <w:style w:type="character" w:styleId="HeaderChar" w:customStyle="1">
    <w:name w:val="Header Char"/>
    <w:basedOn w:val="DefaultParagraphFont"/>
    <w:link w:val="Header"/>
    <w:uiPriority w:val="99"/>
    <w:rsid w:val="003D222C"/>
    <w:rPr>
      <w:rFonts w:ascii="Arial" w:hAnsi="Arial" w:eastAsia="Times New Roman" w:cs="Times New Roman"/>
      <w:sz w:val="24"/>
      <w:szCs w:val="24"/>
    </w:rPr>
  </w:style>
  <w:style w:type="paragraph" w:styleId="Footer">
    <w:name w:val="footer"/>
    <w:basedOn w:val="Normal"/>
    <w:link w:val="FooterChar"/>
    <w:uiPriority w:val="99"/>
    <w:unhideWhenUsed/>
    <w:rsid w:val="001A4AA4"/>
    <w:pPr>
      <w:tabs>
        <w:tab w:val="center" w:pos="4513"/>
        <w:tab w:val="right" w:pos="9026"/>
      </w:tabs>
    </w:pPr>
  </w:style>
  <w:style w:type="character" w:styleId="FooterChar" w:customStyle="1">
    <w:name w:val="Footer Char"/>
    <w:basedOn w:val="DefaultParagraphFont"/>
    <w:link w:val="Footer"/>
    <w:uiPriority w:val="99"/>
    <w:rsid w:val="001A4AA4"/>
    <w:rPr>
      <w:rFonts w:ascii="Arial" w:hAnsi="Arial" w:eastAsia="Times New Roman" w:cs="Times New Roman"/>
      <w:sz w:val="24"/>
      <w:szCs w:val="24"/>
    </w:rPr>
  </w:style>
  <w:style w:type="character" w:styleId="UnresolvedMention">
    <w:name w:val="Unresolved Mention"/>
    <w:basedOn w:val="DefaultParagraphFont"/>
    <w:uiPriority w:val="99"/>
    <w:semiHidden/>
    <w:unhideWhenUsed/>
    <w:rsid w:val="00386DFC"/>
    <w:rPr>
      <w:color w:val="605E5C"/>
      <w:shd w:val="clear" w:color="auto" w:fill="E1DFDD"/>
    </w:rPr>
  </w:style>
  <w:style w:type="character" w:styleId="FollowedHyperlink">
    <w:name w:val="FollowedHyperlink"/>
    <w:basedOn w:val="DefaultParagraphFont"/>
    <w:uiPriority w:val="99"/>
    <w:semiHidden/>
    <w:unhideWhenUsed/>
    <w:rsid w:val="001356EA"/>
    <w:rPr>
      <w:color w:val="954F72" w:themeColor="followedHyperlink"/>
      <w:u w:val="single"/>
    </w:rPr>
  </w:style>
  <w:style w:type="paragraph" w:styleId="Revision">
    <w:name w:val="Revision"/>
    <w:hidden/>
    <w:uiPriority w:val="99"/>
    <w:semiHidden/>
    <w:rsid w:val="00FE0B59"/>
    <w:pPr>
      <w:spacing w:after="0" w:line="240" w:lineRule="auto"/>
    </w:pPr>
    <w:rPr>
      <w:rFonts w:ascii="Arial" w:hAnsi="Arial" w:eastAsia="Times New Roman" w:cs="Times New Roman"/>
      <w:sz w:val="24"/>
      <w:szCs w:val="24"/>
    </w:rPr>
  </w:style>
  <w:style w:type="paragraph" w:styleId="BEISTitle" w:customStyle="1">
    <w:name w:val="BEIS Title"/>
    <w:basedOn w:val="Normal"/>
    <w:next w:val="Normal"/>
    <w:rsid w:val="00885BB9"/>
    <w:pPr>
      <w:spacing w:after="240" w:line="320" w:lineRule="atLeast"/>
    </w:pPr>
    <w:rPr>
      <w:rFonts w:eastAsiaTheme="minorHAnsi" w:cstheme="minorBidi"/>
      <w:color w:val="041E42"/>
      <w:sz w:val="76"/>
      <w:szCs w:val="22"/>
    </w:rPr>
  </w:style>
  <w:style w:type="paragraph" w:styleId="BEISDate" w:customStyle="1">
    <w:name w:val="BEIS Date"/>
    <w:basedOn w:val="Normal"/>
    <w:rsid w:val="00090217"/>
    <w:pPr>
      <w:spacing w:line="320" w:lineRule="atLeast"/>
    </w:pPr>
    <w:rPr>
      <w:rFonts w:eastAsiaTheme="minorHAnsi" w:cstheme="minorBidi"/>
      <w:color w:val="868686"/>
      <w:sz w:val="28"/>
      <w:szCs w:val="22"/>
    </w:rPr>
  </w:style>
  <w:style w:type="character" w:styleId="Heading1Char" w:customStyle="1">
    <w:name w:val="Heading 1 Char"/>
    <w:basedOn w:val="DefaultParagraphFont"/>
    <w:link w:val="Heading1"/>
    <w:uiPriority w:val="9"/>
    <w:rsid w:val="001B14BA"/>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1B14BA"/>
    <w:pPr>
      <w:spacing w:line="259" w:lineRule="auto"/>
      <w:outlineLvl w:val="9"/>
    </w:pPr>
    <w:rPr>
      <w:lang w:val="en-US"/>
    </w:rPr>
  </w:style>
  <w:style w:type="paragraph" w:styleId="TOC2">
    <w:name w:val="toc 2"/>
    <w:basedOn w:val="Normal"/>
    <w:next w:val="Normal"/>
    <w:autoRedefine/>
    <w:uiPriority w:val="39"/>
    <w:unhideWhenUsed/>
    <w:rsid w:val="001B14BA"/>
    <w:pPr>
      <w:spacing w:after="100"/>
      <w:ind w:left="240"/>
    </w:pPr>
  </w:style>
  <w:style w:type="paragraph" w:styleId="TOC1">
    <w:name w:val="toc 1"/>
    <w:basedOn w:val="Normal"/>
    <w:next w:val="Normal"/>
    <w:autoRedefine/>
    <w:uiPriority w:val="39"/>
    <w:unhideWhenUsed/>
    <w:rsid w:val="006C516E"/>
    <w:pPr>
      <w:spacing w:after="100"/>
    </w:pPr>
  </w:style>
  <w:style w:type="character" w:styleId="Heading3Char" w:customStyle="1">
    <w:name w:val="Heading 3 Char"/>
    <w:basedOn w:val="DefaultParagraphFont"/>
    <w:link w:val="Heading3"/>
    <w:uiPriority w:val="9"/>
    <w:rsid w:val="00953846"/>
    <w:rPr>
      <w:rFonts w:asciiTheme="majorHAnsi" w:hAnsiTheme="majorHAnsi" w:eastAsiaTheme="majorEastAsia" w:cstheme="majorBidi"/>
      <w:color w:val="1F3763" w:themeColor="accent1" w:themeShade="7F"/>
      <w:sz w:val="24"/>
      <w:szCs w:val="24"/>
    </w:rPr>
  </w:style>
  <w:style w:type="paragraph" w:styleId="TOC3">
    <w:name w:val="toc 3"/>
    <w:basedOn w:val="Normal"/>
    <w:next w:val="Normal"/>
    <w:autoRedefine/>
    <w:uiPriority w:val="39"/>
    <w:unhideWhenUsed/>
    <w:rsid w:val="00953846"/>
    <w:pPr>
      <w:spacing w:after="100"/>
      <w:ind w:left="480"/>
    </w:pPr>
  </w:style>
  <w:style w:type="character" w:styleId="CommentReference">
    <w:name w:val="annotation reference"/>
    <w:basedOn w:val="DefaultParagraphFont"/>
    <w:uiPriority w:val="99"/>
    <w:semiHidden/>
    <w:unhideWhenUsed/>
    <w:rsid w:val="00497D69"/>
    <w:rPr>
      <w:sz w:val="16"/>
      <w:szCs w:val="16"/>
    </w:rPr>
  </w:style>
  <w:style w:type="paragraph" w:styleId="CommentText">
    <w:name w:val="annotation text"/>
    <w:basedOn w:val="Normal"/>
    <w:link w:val="CommentTextChar"/>
    <w:uiPriority w:val="99"/>
    <w:unhideWhenUsed/>
    <w:rsid w:val="00497D69"/>
    <w:rPr>
      <w:sz w:val="20"/>
      <w:szCs w:val="20"/>
    </w:rPr>
  </w:style>
  <w:style w:type="character" w:styleId="CommentTextChar" w:customStyle="1">
    <w:name w:val="Comment Text Char"/>
    <w:basedOn w:val="DefaultParagraphFont"/>
    <w:link w:val="CommentText"/>
    <w:uiPriority w:val="99"/>
    <w:rsid w:val="00497D69"/>
    <w:rPr>
      <w:rFonts w:ascii="Arial" w:hAnsi="Arial"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7D69"/>
    <w:rPr>
      <w:b/>
      <w:bCs/>
    </w:rPr>
  </w:style>
  <w:style w:type="character" w:styleId="CommentSubjectChar" w:customStyle="1">
    <w:name w:val="Comment Subject Char"/>
    <w:basedOn w:val="CommentTextChar"/>
    <w:link w:val="CommentSubject"/>
    <w:uiPriority w:val="99"/>
    <w:semiHidden/>
    <w:rsid w:val="00497D69"/>
    <w:rPr>
      <w:rFonts w:ascii="Arial" w:hAnsi="Arial" w:eastAsia="Times New Roman" w:cs="Times New Roman"/>
      <w:b/>
      <w:bCs/>
      <w:sz w:val="20"/>
      <w:szCs w:val="20"/>
    </w:rPr>
  </w:style>
  <w:style w:type="character" w:styleId="normaltextrun" w:customStyle="1">
    <w:name w:val="normaltextrun"/>
    <w:basedOn w:val="DefaultParagraphFont"/>
    <w:rsid w:val="00415E8F"/>
  </w:style>
  <w:style w:type="character" w:styleId="eop" w:customStyle="1">
    <w:name w:val="eop"/>
    <w:basedOn w:val="DefaultParagraphFont"/>
    <w:rsid w:val="00415E8F"/>
  </w:style>
  <w:style w:type="character" w:styleId="superscript" w:customStyle="1">
    <w:name w:val="superscript"/>
    <w:basedOn w:val="DefaultParagraphFont"/>
    <w:rsid w:val="00C220E8"/>
  </w:style>
  <w:style w:type="paragraph" w:styleId="FootnoteText">
    <w:name w:val="footnote text"/>
    <w:basedOn w:val="Normal"/>
    <w:link w:val="FootnoteTextChar"/>
    <w:uiPriority w:val="99"/>
    <w:semiHidden/>
    <w:unhideWhenUsed/>
    <w:rsid w:val="002043AE"/>
    <w:rPr>
      <w:sz w:val="20"/>
      <w:szCs w:val="20"/>
    </w:rPr>
  </w:style>
  <w:style w:type="character" w:styleId="FootnoteTextChar" w:customStyle="1">
    <w:name w:val="Footnote Text Char"/>
    <w:basedOn w:val="DefaultParagraphFont"/>
    <w:link w:val="FootnoteText"/>
    <w:uiPriority w:val="99"/>
    <w:semiHidden/>
    <w:rsid w:val="002043AE"/>
    <w:rPr>
      <w:rFonts w:ascii="Arial" w:hAnsi="Arial" w:eastAsia="Times New Roman" w:cs="Times New Roman"/>
      <w:sz w:val="20"/>
      <w:szCs w:val="20"/>
    </w:rPr>
  </w:style>
  <w:style w:type="character" w:styleId="FootnoteReference">
    <w:name w:val="footnote reference"/>
    <w:basedOn w:val="DefaultParagraphFont"/>
    <w:uiPriority w:val="99"/>
    <w:semiHidden/>
    <w:unhideWhenUsed/>
    <w:rsid w:val="002043AE"/>
    <w:rPr>
      <w:vertAlign w:val="superscript"/>
    </w:rPr>
  </w:style>
  <w:style w:type="paragraph" w:styleId="NoSpacing">
    <w:name w:val="No Spacing"/>
    <w:uiPriority w:val="1"/>
    <w:qFormat/>
    <w:rsid w:val="00A960B6"/>
    <w:pPr>
      <w:spacing w:after="0" w:line="240" w:lineRule="auto"/>
    </w:pPr>
    <w:rPr>
      <w:rFonts w:ascii="Arial" w:hAnsi="Arial" w:eastAsia="Times New Roman" w:cs="Times New Roman"/>
      <w:sz w:val="24"/>
      <w:szCs w:val="24"/>
    </w:rPr>
  </w:style>
  <w:style w:type="character" w:styleId="Mention">
    <w:name w:val="Mention"/>
    <w:basedOn w:val="DefaultParagraphFont"/>
    <w:uiPriority w:val="99"/>
    <w:unhideWhenUsed/>
    <w:rsid w:val="00B52E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338843">
      <w:bodyDiv w:val="1"/>
      <w:marLeft w:val="0"/>
      <w:marRight w:val="0"/>
      <w:marTop w:val="0"/>
      <w:marBottom w:val="0"/>
      <w:divBdr>
        <w:top w:val="none" w:sz="0" w:space="0" w:color="auto"/>
        <w:left w:val="none" w:sz="0" w:space="0" w:color="auto"/>
        <w:bottom w:val="none" w:sz="0" w:space="0" w:color="auto"/>
        <w:right w:val="none" w:sz="0" w:space="0" w:color="auto"/>
      </w:divBdr>
      <w:divsChild>
        <w:div w:id="39475970">
          <w:marLeft w:val="0"/>
          <w:marRight w:val="0"/>
          <w:marTop w:val="0"/>
          <w:marBottom w:val="0"/>
          <w:divBdr>
            <w:top w:val="none" w:sz="0" w:space="0" w:color="auto"/>
            <w:left w:val="none" w:sz="0" w:space="0" w:color="auto"/>
            <w:bottom w:val="none" w:sz="0" w:space="0" w:color="auto"/>
            <w:right w:val="none" w:sz="0" w:space="0" w:color="auto"/>
          </w:divBdr>
        </w:div>
        <w:div w:id="168567630">
          <w:marLeft w:val="0"/>
          <w:marRight w:val="0"/>
          <w:marTop w:val="0"/>
          <w:marBottom w:val="0"/>
          <w:divBdr>
            <w:top w:val="none" w:sz="0" w:space="0" w:color="auto"/>
            <w:left w:val="none" w:sz="0" w:space="0" w:color="auto"/>
            <w:bottom w:val="none" w:sz="0" w:space="0" w:color="auto"/>
            <w:right w:val="none" w:sz="0" w:space="0" w:color="auto"/>
          </w:divBdr>
        </w:div>
        <w:div w:id="234702573">
          <w:marLeft w:val="0"/>
          <w:marRight w:val="0"/>
          <w:marTop w:val="0"/>
          <w:marBottom w:val="0"/>
          <w:divBdr>
            <w:top w:val="none" w:sz="0" w:space="0" w:color="auto"/>
            <w:left w:val="none" w:sz="0" w:space="0" w:color="auto"/>
            <w:bottom w:val="none" w:sz="0" w:space="0" w:color="auto"/>
            <w:right w:val="none" w:sz="0" w:space="0" w:color="auto"/>
          </w:divBdr>
        </w:div>
      </w:divsChild>
    </w:div>
    <w:div w:id="446824940">
      <w:bodyDiv w:val="1"/>
      <w:marLeft w:val="0"/>
      <w:marRight w:val="0"/>
      <w:marTop w:val="0"/>
      <w:marBottom w:val="0"/>
      <w:divBdr>
        <w:top w:val="none" w:sz="0" w:space="0" w:color="auto"/>
        <w:left w:val="none" w:sz="0" w:space="0" w:color="auto"/>
        <w:bottom w:val="none" w:sz="0" w:space="0" w:color="auto"/>
        <w:right w:val="none" w:sz="0" w:space="0" w:color="auto"/>
      </w:divBdr>
      <w:divsChild>
        <w:div w:id="241530377">
          <w:marLeft w:val="0"/>
          <w:marRight w:val="0"/>
          <w:marTop w:val="0"/>
          <w:marBottom w:val="0"/>
          <w:divBdr>
            <w:top w:val="none" w:sz="0" w:space="0" w:color="auto"/>
            <w:left w:val="none" w:sz="0" w:space="0" w:color="auto"/>
            <w:bottom w:val="none" w:sz="0" w:space="0" w:color="auto"/>
            <w:right w:val="none" w:sz="0" w:space="0" w:color="auto"/>
          </w:divBdr>
        </w:div>
        <w:div w:id="314843631">
          <w:marLeft w:val="0"/>
          <w:marRight w:val="0"/>
          <w:marTop w:val="0"/>
          <w:marBottom w:val="0"/>
          <w:divBdr>
            <w:top w:val="none" w:sz="0" w:space="0" w:color="auto"/>
            <w:left w:val="none" w:sz="0" w:space="0" w:color="auto"/>
            <w:bottom w:val="none" w:sz="0" w:space="0" w:color="auto"/>
            <w:right w:val="none" w:sz="0" w:space="0" w:color="auto"/>
          </w:divBdr>
        </w:div>
        <w:div w:id="332800393">
          <w:marLeft w:val="0"/>
          <w:marRight w:val="0"/>
          <w:marTop w:val="0"/>
          <w:marBottom w:val="0"/>
          <w:divBdr>
            <w:top w:val="none" w:sz="0" w:space="0" w:color="auto"/>
            <w:left w:val="none" w:sz="0" w:space="0" w:color="auto"/>
            <w:bottom w:val="none" w:sz="0" w:space="0" w:color="auto"/>
            <w:right w:val="none" w:sz="0" w:space="0" w:color="auto"/>
          </w:divBdr>
        </w:div>
        <w:div w:id="701906105">
          <w:marLeft w:val="0"/>
          <w:marRight w:val="0"/>
          <w:marTop w:val="0"/>
          <w:marBottom w:val="0"/>
          <w:divBdr>
            <w:top w:val="none" w:sz="0" w:space="0" w:color="auto"/>
            <w:left w:val="none" w:sz="0" w:space="0" w:color="auto"/>
            <w:bottom w:val="none" w:sz="0" w:space="0" w:color="auto"/>
            <w:right w:val="none" w:sz="0" w:space="0" w:color="auto"/>
          </w:divBdr>
        </w:div>
        <w:div w:id="1311519319">
          <w:marLeft w:val="0"/>
          <w:marRight w:val="0"/>
          <w:marTop w:val="0"/>
          <w:marBottom w:val="0"/>
          <w:divBdr>
            <w:top w:val="none" w:sz="0" w:space="0" w:color="auto"/>
            <w:left w:val="none" w:sz="0" w:space="0" w:color="auto"/>
            <w:bottom w:val="none" w:sz="0" w:space="0" w:color="auto"/>
            <w:right w:val="none" w:sz="0" w:space="0" w:color="auto"/>
          </w:divBdr>
        </w:div>
        <w:div w:id="1421633958">
          <w:marLeft w:val="0"/>
          <w:marRight w:val="0"/>
          <w:marTop w:val="0"/>
          <w:marBottom w:val="0"/>
          <w:divBdr>
            <w:top w:val="none" w:sz="0" w:space="0" w:color="auto"/>
            <w:left w:val="none" w:sz="0" w:space="0" w:color="auto"/>
            <w:bottom w:val="none" w:sz="0" w:space="0" w:color="auto"/>
            <w:right w:val="none" w:sz="0" w:space="0" w:color="auto"/>
          </w:divBdr>
        </w:div>
        <w:div w:id="1456145368">
          <w:marLeft w:val="0"/>
          <w:marRight w:val="0"/>
          <w:marTop w:val="0"/>
          <w:marBottom w:val="0"/>
          <w:divBdr>
            <w:top w:val="none" w:sz="0" w:space="0" w:color="auto"/>
            <w:left w:val="none" w:sz="0" w:space="0" w:color="auto"/>
            <w:bottom w:val="none" w:sz="0" w:space="0" w:color="auto"/>
            <w:right w:val="none" w:sz="0" w:space="0" w:color="auto"/>
          </w:divBdr>
        </w:div>
        <w:div w:id="1629774060">
          <w:marLeft w:val="0"/>
          <w:marRight w:val="0"/>
          <w:marTop w:val="0"/>
          <w:marBottom w:val="0"/>
          <w:divBdr>
            <w:top w:val="none" w:sz="0" w:space="0" w:color="auto"/>
            <w:left w:val="none" w:sz="0" w:space="0" w:color="auto"/>
            <w:bottom w:val="none" w:sz="0" w:space="0" w:color="auto"/>
            <w:right w:val="none" w:sz="0" w:space="0" w:color="auto"/>
          </w:divBdr>
        </w:div>
        <w:div w:id="1718897118">
          <w:marLeft w:val="0"/>
          <w:marRight w:val="0"/>
          <w:marTop w:val="0"/>
          <w:marBottom w:val="0"/>
          <w:divBdr>
            <w:top w:val="none" w:sz="0" w:space="0" w:color="auto"/>
            <w:left w:val="none" w:sz="0" w:space="0" w:color="auto"/>
            <w:bottom w:val="none" w:sz="0" w:space="0" w:color="auto"/>
            <w:right w:val="none" w:sz="0" w:space="0" w:color="auto"/>
          </w:divBdr>
        </w:div>
        <w:div w:id="1818523208">
          <w:marLeft w:val="0"/>
          <w:marRight w:val="0"/>
          <w:marTop w:val="0"/>
          <w:marBottom w:val="0"/>
          <w:divBdr>
            <w:top w:val="none" w:sz="0" w:space="0" w:color="auto"/>
            <w:left w:val="none" w:sz="0" w:space="0" w:color="auto"/>
            <w:bottom w:val="none" w:sz="0" w:space="0" w:color="auto"/>
            <w:right w:val="none" w:sz="0" w:space="0" w:color="auto"/>
          </w:divBdr>
        </w:div>
        <w:div w:id="1941177829">
          <w:marLeft w:val="0"/>
          <w:marRight w:val="0"/>
          <w:marTop w:val="0"/>
          <w:marBottom w:val="0"/>
          <w:divBdr>
            <w:top w:val="none" w:sz="0" w:space="0" w:color="auto"/>
            <w:left w:val="none" w:sz="0" w:space="0" w:color="auto"/>
            <w:bottom w:val="none" w:sz="0" w:space="0" w:color="auto"/>
            <w:right w:val="none" w:sz="0" w:space="0" w:color="auto"/>
          </w:divBdr>
        </w:div>
      </w:divsChild>
    </w:div>
    <w:div w:id="78531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nationalarchives.gov.uk/doc/open-government-licence/version/3/" TargetMode="External" Id="rId13" /><Relationship Type="http://schemas.openxmlformats.org/officeDocument/2006/relationships/header" Target="header2.xml" Id="rId26" /><Relationship Type="http://schemas.openxmlformats.org/officeDocument/2006/relationships/customXml" Target="../customXml/item3.xml" Id="rId3" /><Relationship Type="http://schemas.microsoft.com/office/2016/09/relationships/commentsIds" Target="commentsIds.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devtracker.fcdo.gov.uk/programme/GB-GOV-13-ICF-0017-FCPF/documents"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devtracker.fcdo.gov.uk/programme/GB-GOV-13-ICF-0017-FCPF/documents" TargetMode="External" Id="rId16" /><Relationship Type="http://schemas.microsoft.com/office/2011/relationships/commentsExtended" Target="commentsExtended.xml" Id="rId20" /><Relationship Type="http://schemas.microsoft.com/office/2011/relationships/people" Target="people.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1.xml" Id="rId24" /><Relationship Type="http://schemas.microsoft.com/office/2020/10/relationships/intelligence" Target="intelligence2.xml" Id="rId32" /><Relationship Type="http://schemas.openxmlformats.org/officeDocument/2006/relationships/customXml" Target="../customXml/item5.xml" Id="rId5" /><Relationship Type="http://schemas.openxmlformats.org/officeDocument/2006/relationships/hyperlink" Target="mailto:ODA-Transparency@beis.gov.uk" TargetMode="External" Id="rId15" /><Relationship Type="http://schemas.openxmlformats.org/officeDocument/2006/relationships/hyperlink" Target="https://devtracker.fcdo.gov.uk/programme/GB-GOV-13-ICF-0017-FCPF/documents" TargetMode="External" Id="rId23" /><Relationship Type="http://schemas.openxmlformats.org/officeDocument/2006/relationships/fontTable" Target="fontTable.xml" Id="rId28" /><Relationship Type="http://schemas.openxmlformats.org/officeDocument/2006/relationships/footnotes" Target="footnotes.xml" Id="rId10" /><Relationship Type="http://schemas.microsoft.com/office/2019/05/relationships/documenttasks" Target="documenttasks/documenttasks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psi@nationalarchives.gsi.gov.uk" TargetMode="External" Id="rId14" /><Relationship Type="http://schemas.openxmlformats.org/officeDocument/2006/relationships/footer" Target="footer2.xml" Id="rId27" /><Relationship Type="http://schemas.openxmlformats.org/officeDocument/2006/relationships/theme" Target="theme/theme1.xml" Id="rId30" /><Relationship Type="http://schemas.openxmlformats.org/officeDocument/2006/relationships/hyperlink" Target="https://devtracker.fcdo.gov.uk/programme/GB-GOV-13-ICF-0017-FCPF/documents" TargetMode="External" Id="Re000c076949441d1" /></Relationships>
</file>

<file path=word/_rels/footnotes.xml.rels><?xml version="1.0" encoding="UTF-8" standalone="yes"?>
<Relationships xmlns="http://schemas.openxmlformats.org/package/2006/relationships"><Relationship Id="rId1" Type="http://schemas.openxmlformats.org/officeDocument/2006/relationships/hyperlink" Target="https://www.forestcarbonpartnership.org/sites/default/files/documents/fcpf_final_evaluation_report_vol_1_05_june_2024_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EC059685-5E2E-4600-8F6F-7F7B0C24938E}">
    <t:Anchor>
      <t:Comment id="195728669"/>
    </t:Anchor>
    <t:History>
      <t:Event id="{BD701F33-445D-41E3-B3DF-6E9E24DC0738}" time="2026-01-27T08:36:58.276Z">
        <t:Attribution userId="S::Tim.Mcneill@energysecurity.gov.uk::132d74ed-b374-4d7a-97ae-4e8bc4d49e31" userProvider="AD" userName="Mcneill, Tim (Energy Security)"/>
        <t:Anchor>
          <t:Comment id="3201202"/>
        </t:Anchor>
        <t:Create/>
      </t:Event>
      <t:Event id="{D0BF842C-26E2-4D80-8614-1BEA9F32F8FF}" time="2026-01-27T08:36:58.276Z">
        <t:Attribution userId="S::Tim.Mcneill@energysecurity.gov.uk::132d74ed-b374-4d7a-97ae-4e8bc4d49e31" userProvider="AD" userName="Mcneill, Tim (Energy Security)"/>
        <t:Anchor>
          <t:Comment id="3201202"/>
        </t:Anchor>
        <t:Assign userId="S::Jessica.Graydon@energysecurity.gov.uk::93ba42ea-2a50-4834-be07-d485eac1a682" userProvider="AD" userName="Graydon, Jessica (Energy Security)"/>
      </t:Event>
      <t:Event id="{C4082FE9-2F1E-4928-B574-B0A8F34F67F5}" time="2026-01-27T08:36:58.276Z">
        <t:Attribution userId="S::Tim.Mcneill@energysecurity.gov.uk::132d74ed-b374-4d7a-97ae-4e8bc4d49e31" userProvider="AD" userName="Mcneill, Tim (Energy Security)"/>
        <t:Anchor>
          <t:Comment id="3201202"/>
        </t:Anchor>
        <t:SetTitle title="@Graydon, Jessica (Energy Security) - this is quite a generic recommendation. Do you think we could break it out a little?"/>
      </t:Event>
      <t:Event id="{48402826-D21B-40C0-8201-8299B2715A46}" time="2026-02-12T10:58:01.309Z">
        <t:Attribution userId="S::jessica.graydon@energysecurity.gov.uk::93ba42ea-2a50-4834-be07-d485eac1a682" userProvider="AD" userName="Graydon, Jessica (Energy Security)"/>
        <t:Progress percentComplete="100"/>
      </t:Event>
    </t:History>
  </t:Task>
  <t:Task id="{749D570B-8B66-4831-A187-D03EDF5CCF8D}">
    <t:Anchor>
      <t:Comment id="618455784"/>
    </t:Anchor>
    <t:History>
      <t:Event id="{A8850D89-5041-4FF5-8C61-2D023047D296}" time="2026-01-27T08:46:31.349Z">
        <t:Attribution userId="S::Tim.Mcneill@energysecurity.gov.uk::132d74ed-b374-4d7a-97ae-4e8bc4d49e31" userProvider="AD" userName="Mcneill, Tim (Energy Security)"/>
        <t:Anchor>
          <t:Comment id="618455784"/>
        </t:Anchor>
        <t:Create/>
      </t:Event>
      <t:Event id="{DE1D7D3E-675A-4CE7-A18C-969F1E9F22FC}" time="2026-01-27T08:46:31.349Z">
        <t:Attribution userId="S::Tim.Mcneill@energysecurity.gov.uk::132d74ed-b374-4d7a-97ae-4e8bc4d49e31" userProvider="AD" userName="Mcneill, Tim (Energy Security)"/>
        <t:Anchor>
          <t:Comment id="618455784"/>
        </t:Anchor>
        <t:Assign userId="S::Jessica.Graydon@energysecurity.gov.uk::93ba42ea-2a50-4834-be07-d485eac1a682" userProvider="AD" userName="Graydon, Jessica (Energy Security)"/>
      </t:Event>
      <t:Event id="{E70AD2A4-A919-4013-8C13-315600C0320E}" time="2026-01-27T08:46:31.349Z">
        <t:Attribution userId="S::Tim.Mcneill@energysecurity.gov.uk::132d74ed-b374-4d7a-97ae-4e8bc4d49e31" userProvider="AD" userName="Mcneill, Tim (Energy Security)"/>
        <t:Anchor>
          <t:Comment id="618455784"/>
        </t:Anchor>
        <t:SetTitle title="@Graydon, Jessica (Energy Security) Is this an ‘A’? From the scoring, they substantially missed one, just met two and a fourth indicator hasn’t been set."/>
      </t:Event>
      <t:Event id="{38D16F07-92BB-4E1C-BAB4-D01F6B46F264}" time="2026-02-12T10:57:29.308Z">
        <t:Attribution userId="S::jessica.graydon@energysecurity.gov.uk::93ba42ea-2a50-4834-be07-d485eac1a682" userProvider="AD" userName="Graydon, Jessica (Energy Security)"/>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gacyData xmlns="aaacb922-5235-4a66-b188-303b9b46fbd7">{
  "Name": "BEIS Annual Review Template April 2020.docx",
  "Title": "Annual Review Template_April 2020",
  "External": "",
  "Document Notes": "",
  "Security Classification": "OFFICIAL",
  "Handling Instructions": "",
  "Descriptor": "",
  "Government Body": "BEIS",
  "Business Unit": "BEIS:Energy, Transformation and Clean Growth:International (Climate and Energy):International Climate Finance",
  "Retention Label": "Corp PPP Review",
  "Date Opened": "2020-04-17T10:35:13.0000000Z",
  "Date Closed": "",
  "National Caveat": "",
  "Previous Location": "",
  "Previous Id": "",
  "Legacy Document Type": "",
  "Legacy Fileplan Target": "",
  "Legacy Numeric Class": "",
  "Legacy Folder Type": "",
  "Legacy Record Folder Identifier": "",
  "Legacy Copyright": "",
  "Legacy Last Modified Date": "",
  "Legacy Modifier": "",
  "Legacy Folder": "",
  "Legacy Content Type": "",
  "Legacy Expiry Review Date": "",
  "Legacy Last Action Date": "",
  "Legacy Protective Marking": "",
  "Legacy Tags": "",
  "Legacy References From Other Items": "",
  "Legacy Status on Transfer": "",
  "Legacy Date Closed": "",
  "Legacy Record Category Identifier": "",
  "Legacy Disposition as of Date": "",
  "Legacy Home Location": "",
  "Legacy Current Location": "",
  "Legacy Date File Received": "",
  "Legacy Date File Requested": "",
  "Legacy Date File Returned": "",
  "Legacy Minister": "",
  "Legacy MP": "",
  "Legacy Folder Notes": "",
  "Legacy Physical Item Location": "",
  "Legacy Request Type": "",
  "Legacy Descriptor": "",
  "Legacy Folder Document ID": "",
  "Legacy Document ID": "",
  "Legacy References To Other Items": "",
  "Legacy Custodian": "",
  "Legacy Additional Authors": "",
  "Legacy Document Link": "",
  "Legacy Folder Link": "",
  "Legacy Physical Format": false,
  "Content Type": "Document",
  "Previous Retention Policy": "",
  "Legacy Case Reference Number": "",
  "Created": "2020-04-17T10:35:16.0000000Z",
  "Document Modified By": "i:0#.f|membership|william.smithers@beis.gov.uk",
  "Document Created By": "i:0#.f|membership|william.smithers@beis.gov.uk",
  "Document ID Value": "2QFN7KK647Q6-169810503-3609",
  "Modified": "2020-06-12T15:11:14.0000000Z",
  "Original Location": "/sites/beis/201/Portfolio/Project Monitoring and Delivery/Annual Reviews/BEIS Annual Review Template April 2020.docx"
}</LegacyData>
    <_dlc_DocId xmlns="839018be-1fd5-46c8-bb5f-8e5f297ce001">N3MC4NMT5URJ-1164569100-19830</_dlc_DocId>
    <TaxCatchAll xmlns="839018be-1fd5-46c8-bb5f-8e5f297ce001">
      <Value>3</Value>
      <Value>2</Value>
      <Value>1</Value>
    </TaxCatchAll>
    <_dlc_DocIdUrl xmlns="839018be-1fd5-46c8-bb5f-8e5f297ce001">
      <Url>https://beisgov.sharepoint.com/sites/InternationalForests-EXT-OS/_layouts/15/DocIdRedir.aspx?ID=N3MC4NMT5URJ-1164569100-19830</Url>
      <Description>N3MC4NMT5URJ-1164569100-19830</Description>
    </_dlc_DocIdUrl>
    <SharedWithUsers xmlns="839018be-1fd5-46c8-bb5f-8e5f297ce001">
      <UserInfo>
        <DisplayName>zz_Bray, Callum (BEIS)</DisplayName>
        <AccountId>1135</AccountId>
        <AccountType/>
      </UserInfo>
      <UserInfo>
        <DisplayName>zz_Lugt, Ellie (International - Climate and Energy)</DisplayName>
        <AccountId>1134</AccountId>
        <AccountType/>
      </UserInfo>
      <UserInfo>
        <DisplayName>White, James (DSIT)</DisplayName>
        <AccountId>1136</AccountId>
        <AccountType/>
      </UserInfo>
      <UserInfo>
        <DisplayName>zz_Walter, Poppy (NZBI - Domestic)</DisplayName>
        <AccountId>1489</AccountId>
        <AccountType/>
      </UserInfo>
      <UserInfo>
        <DisplayName>zz_Robinson, Giulia (International - Climate and Energy)</DisplayName>
        <AccountId>1436</AccountId>
        <AccountType/>
      </UserInfo>
      <UserInfo>
        <DisplayName>Hughes, Catriona (Business Sectors - Infrastructure &amp; Materials)</DisplayName>
        <AccountId>1191</AccountId>
        <AccountType/>
      </UserInfo>
      <UserInfo>
        <DisplayName>zz_White, Alastair (NZSI - International Net Zero)</DisplayName>
        <AccountId>1268</AccountId>
        <AccountType/>
      </UserInfo>
      <UserInfo>
        <DisplayName>zz_Andrews, Sophie (International - Climate and Energy)</DisplayName>
        <AccountId>1433</AccountId>
        <AccountType/>
      </UserInfo>
      <UserInfo>
        <DisplayName>Patrick, Niall (Energy Security)</DisplayName>
        <AccountId>534</AccountId>
        <AccountType/>
      </UserInfo>
      <UserInfo>
        <DisplayName>zz_Stathakopoulou, Christina (NZSI - International Net Zero)</DisplayName>
        <AccountId>1518</AccountId>
        <AccountType/>
      </UserInfo>
      <UserInfo>
        <DisplayName>zz_Sardeson, Lottie (Intl Climate Finance - Investments)</DisplayName>
        <AccountId>282</AccountId>
        <AccountType/>
      </UserInfo>
      <UserInfo>
        <DisplayName>zz_Donegan, Brendan (Energy Security)</DisplayName>
        <AccountId>539</AccountId>
        <AccountType/>
      </UserInfo>
      <UserInfo>
        <DisplayName>zz_Gibbs, Douglas (Intl Climate Finance - Investments)</DisplayName>
        <AccountId>13</AccountId>
        <AccountType/>
      </UserInfo>
      <UserInfo>
        <DisplayName>zz_Mills, Sarah (Intl Climate Finance - Investments)</DisplayName>
        <AccountId>66</AccountId>
        <AccountType/>
      </UserInfo>
      <UserInfo>
        <DisplayName>Farmer, Will (Energy Security)</DisplayName>
        <AccountId>142</AccountId>
        <AccountType/>
      </UserInfo>
      <UserInfo>
        <DisplayName>Ahmed, Tajbee (Energy Security)</DisplayName>
        <AccountId>219</AccountId>
        <AccountType/>
      </UserInfo>
      <UserInfo>
        <DisplayName>zz_Evans, Sian (Intl Climate Finance - Partnerships)</DisplayName>
        <AccountId>104</AccountId>
        <AccountType/>
      </UserInfo>
      <UserInfo>
        <DisplayName>Davis, Owen (Energy Security)</DisplayName>
        <AccountId>245</AccountId>
        <AccountType/>
      </UserInfo>
      <UserInfo>
        <DisplayName>Paton, Ellen (Energy Security)</DisplayName>
        <AccountId>37</AccountId>
        <AccountType/>
      </UserInfo>
      <UserInfo>
        <DisplayName>zz_Kasliwal, Pritika (Intl Climate Finance - Partnerships)</DisplayName>
        <AccountId>81</AccountId>
        <AccountType/>
      </UserInfo>
      <UserInfo>
        <DisplayName>Hirschhausen, Lara (Energy Security)</DisplayName>
        <AccountId>218</AccountId>
        <AccountType/>
      </UserInfo>
      <UserInfo>
        <DisplayName>zz_Le Quesne, Felicity (NZSI - International Forests Hub)</DisplayName>
        <AccountId>72</AccountId>
        <AccountType/>
      </UserInfo>
      <UserInfo>
        <DisplayName>zz_Ashworth, Francesca (Science, Research &amp; Innovation)</DisplayName>
        <AccountId>2123</AccountId>
        <AccountType/>
      </UserInfo>
      <UserInfo>
        <DisplayName>zz_Tomlinson, Luke (Intl Climate Finance - Investments)</DisplayName>
        <AccountId>123</AccountId>
        <AccountType/>
      </UserInfo>
      <UserInfo>
        <DisplayName>zz_Schuler, Nina (International - Climate and Energy)</DisplayName>
        <AccountId>2097</AccountId>
        <AccountType/>
      </UserInfo>
      <UserInfo>
        <DisplayName>Olubodun, Lekan (NZSI - International Net Zero)</DisplayName>
        <AccountId>162</AccountId>
        <AccountType/>
      </UserInfo>
      <UserInfo>
        <DisplayName>Augustin, Sidney (DSIT)</DisplayName>
        <AccountId>267</AccountId>
        <AccountType/>
      </UserInfo>
      <UserInfo>
        <DisplayName>zz_Liehr, Estefania (Intl Climate Finance - Investments)</DisplayName>
        <AccountId>87</AccountId>
        <AccountType/>
      </UserInfo>
      <UserInfo>
        <DisplayName>veronica.robledo</DisplayName>
        <AccountId>1977</AccountId>
        <AccountType/>
      </UserInfo>
      <UserInfo>
        <DisplayName>lina.penuela@fcdo.gov.uk</DisplayName>
        <AccountId>1971</AccountId>
        <AccountType/>
      </UserInfo>
      <UserInfo>
        <DisplayName>natalia.rodriguez</DisplayName>
        <AccountId>1978</AccountId>
        <AccountType/>
      </UserInfo>
      <UserInfo>
        <DisplayName>Veronica Robledo (Sensitive)</DisplayName>
        <AccountId>607</AccountId>
        <AccountType/>
      </UserInfo>
      <UserInfo>
        <DisplayName>Lina Penuela (Sensitive)</DisplayName>
        <AccountId>608</AccountId>
        <AccountType/>
      </UserInfo>
      <UserInfo>
        <DisplayName>Natalia Rodriguez (Sensitive)</DisplayName>
        <AccountId>606</AccountId>
        <AccountType/>
      </UserInfo>
      <UserInfo>
        <DisplayName>Caravani, Alice (Energy Security)</DisplayName>
        <AccountId>187</AccountId>
        <AccountType/>
      </UserInfo>
      <UserInfo>
        <DisplayName>zz_Unadkat, Kavi (International - Climate and Energy)</DisplayName>
        <AccountId>2318</AccountId>
        <AccountType/>
      </UserInfo>
      <UserInfo>
        <DisplayName>zz_Rose, Ginny (International - Climate and Energy)</DisplayName>
        <AccountId>5308</AccountId>
        <AccountType/>
      </UserInfo>
      <UserInfo>
        <DisplayName>Baillie, Jack (NZSI - International Net Zero)</DisplayName>
        <AccountId>5028</AccountId>
        <AccountType/>
      </UserInfo>
      <UserInfo>
        <DisplayName>Al-Sibassi, Eman (Energy Security)</DisplayName>
        <AccountId>723</AccountId>
        <AccountType/>
      </UserInfo>
      <UserInfo>
        <DisplayName>zz_Enevoldsen, Chloe (NZSI - International Net Zero)</DisplayName>
        <AccountId>5447</AccountId>
        <AccountType/>
      </UserInfo>
      <UserInfo>
        <DisplayName>zz_Carro, Inigo (BEIS)</DisplayName>
        <AccountId>5241</AccountId>
        <AccountType/>
      </UserInfo>
      <UserInfo>
        <DisplayName>zz_Kennedy, Ruth (Intl Climate Finance - Investments)</DisplayName>
        <AccountId>54</AccountId>
        <AccountType/>
      </UserInfo>
      <UserInfo>
        <DisplayName>zz_Pettem, Sarah (Intl Climate Finance - Portfolio)</DisplayName>
        <AccountId>190</AccountId>
        <AccountType/>
      </UserInfo>
      <UserInfo>
        <DisplayName>zz_Hodgetts, George (NZSI - International Net Zero)</DisplayName>
        <AccountId>101</AccountId>
        <AccountType/>
      </UserInfo>
      <UserInfo>
        <DisplayName>zz_Keene, Alexander (Topps - National Security &amp; International)</DisplayName>
        <AccountId>5053</AccountId>
        <AccountType/>
      </UserInfo>
      <UserInfo>
        <DisplayName>Hillson, Isabelle (Energy Security)</DisplayName>
        <AccountId>2927</AccountId>
        <AccountType/>
      </UserInfo>
      <UserInfo>
        <DisplayName>Smithers, William (Energy Security)</DisplayName>
        <AccountId>15</AccountId>
        <AccountType/>
      </UserInfo>
      <UserInfo>
        <DisplayName>Bunte, Svenja (Energy Security)</DisplayName>
        <AccountId>5357</AccountId>
        <AccountType/>
      </UserInfo>
      <UserInfo>
        <DisplayName>Jones3, Philip (Energy Security)</DisplayName>
        <AccountId>8101</AccountId>
        <AccountType/>
      </UserInfo>
      <UserInfo>
        <DisplayName>Sarah Pettem</DisplayName>
        <AccountId>7821</AccountId>
        <AccountType/>
      </UserInfo>
      <UserInfo>
        <DisplayName>Boustead, Rebecca (Energy Security)</DisplayName>
        <AccountId>3176</AccountId>
        <AccountType/>
      </UserInfo>
      <UserInfo>
        <DisplayName>Evans, Rachael (Energy Security)</DisplayName>
        <AccountId>8412</AccountId>
        <AccountType/>
      </UserInfo>
      <UserInfo>
        <DisplayName>LeNagard, Clementine (Energy Security)</DisplayName>
        <AccountId>8741</AccountId>
        <AccountType/>
      </UserInfo>
      <UserInfo>
        <DisplayName>zz_Birkett, Joe (Energy Security)</DisplayName>
        <AccountId>8537</AccountId>
        <AccountType/>
      </UserInfo>
      <UserInfo>
        <DisplayName>Poletti, Monica (Energy Security)</DisplayName>
        <AccountId>8373</AccountId>
        <AccountType/>
      </UserInfo>
      <UserInfo>
        <DisplayName>Flanagan, Thomas (Energy Supply - Energy Affordability)</DisplayName>
        <AccountId>8834</AccountId>
        <AccountType/>
      </UserInfo>
      <UserInfo>
        <DisplayName>Evans, Jacob (Energy Security)</DisplayName>
        <AccountId>8531</AccountId>
        <AccountType/>
      </UserInfo>
      <UserInfo>
        <DisplayName>Wong2, Matthew (Energy Security)</DisplayName>
        <AccountId>8545</AccountId>
        <AccountType/>
      </UserInfo>
      <UserInfo>
        <DisplayName>zz_Haddad, Marie (Energy Security)</DisplayName>
        <AccountId>8530</AccountId>
        <AccountType/>
      </UserInfo>
      <UserInfo>
        <DisplayName>zz_Carroll, Sabrina (Energy Security)</DisplayName>
        <AccountId>8195</AccountId>
        <AccountType/>
      </UserInfo>
      <UserInfo>
        <DisplayName>Norman-Rhodes, Alex (Energy Security)</DisplayName>
        <AccountId>8102</AccountId>
        <AccountType/>
      </UserInfo>
      <UserInfo>
        <DisplayName>Connolly, Michael (Energy Security)</DisplayName>
        <AccountId>8895</AccountId>
        <AccountType/>
      </UserInfo>
      <UserInfo>
        <DisplayName>zz_Salt, Fred (NZSI - International Net Zero )</DisplayName>
        <AccountId>8544</AccountId>
        <AccountType/>
      </UserInfo>
      <UserInfo>
        <DisplayName>Parris, Francesca (Energy Security)</DisplayName>
        <AccountId>3785</AccountId>
        <AccountType/>
      </UserInfo>
      <UserInfo>
        <DisplayName>Sanyal, Sean (Energy Security)</DisplayName>
        <AccountId>8539</AccountId>
        <AccountType/>
      </UserInfo>
      <UserInfo>
        <DisplayName>Bertrand, Jeromine (Energy Security)</DisplayName>
        <AccountId>80</AccountId>
        <AccountType/>
      </UserInfo>
      <UserInfo>
        <DisplayName>Apine, Alina (Energy Security)</DisplayName>
        <AccountId>4968</AccountId>
        <AccountType/>
      </UserInfo>
      <UserInfo>
        <DisplayName>Hampton-Ball, Simon (Energy Security)</DisplayName>
        <AccountId>53</AccountId>
        <AccountType/>
      </UserInfo>
      <UserInfo>
        <DisplayName>zz_Wastie, Tayah (Energy Security)</DisplayName>
        <AccountId>8372</AccountId>
        <AccountType/>
      </UserInfo>
      <UserInfo>
        <DisplayName>zz_Rodriguez, Poppy (Energy Security)</DisplayName>
        <AccountId>9126</AccountId>
        <AccountType/>
      </UserInfo>
      <UserInfo>
        <DisplayName>Livesey, Renee (Energy Security)</DisplayName>
        <AccountId>306</AccountId>
        <AccountType/>
      </UserInfo>
      <UserInfo>
        <DisplayName>Shipley, Chris (Energy Security)</DisplayName>
        <AccountId>68</AccountId>
        <AccountType/>
      </UserInfo>
      <UserInfo>
        <DisplayName>Bennett, Victoria (Energy Security)</DisplayName>
        <AccountId>9902</AccountId>
        <AccountType/>
      </UserInfo>
      <UserInfo>
        <DisplayName>Stringer, Fiona (Energy Security)</DisplayName>
        <AccountId>99</AccountId>
        <AccountType/>
      </UserInfo>
      <UserInfo>
        <DisplayName>Situ, Victoria (Energy Security)</DisplayName>
        <AccountId>183</AccountId>
        <AccountType/>
      </UserInfo>
      <UserInfo>
        <DisplayName>Mohammadpour, Parmida (Energy Security)</DisplayName>
        <AccountId>9464</AccountId>
        <AccountType/>
      </UserInfo>
      <UserInfo>
        <DisplayName>Walker, Joe (Energy Security)</DisplayName>
        <AccountId>10364</AccountId>
        <AccountType/>
      </UserInfo>
      <UserInfo>
        <DisplayName>Raichoora, Ravi (Energy Security)</DisplayName>
        <AccountId>10201</AccountId>
        <AccountType/>
      </UserInfo>
      <UserInfo>
        <DisplayName>Firth, Rosalind (Energy Security)</DisplayName>
        <AccountId>11555</AccountId>
        <AccountType/>
      </UserInfo>
      <UserInfo>
        <DisplayName>Catton, Ryan (Energy Security)</DisplayName>
        <AccountId>10905</AccountId>
        <AccountType/>
      </UserInfo>
      <UserInfo>
        <DisplayName>Biddle, Harry (Topps - Analysis Directorate)</DisplayName>
        <AccountId>10842</AccountId>
        <AccountType/>
      </UserInfo>
    </SharedWithUsers>
    <lcf76f155ced4ddcb4097134ff3c332f xmlns="b3d83fe4-f584-44c1-ada4-cced241b61b0">
      <Terms xmlns="http://schemas.microsoft.com/office/infopath/2007/PartnerControls"/>
    </lcf76f155ced4ddcb4097134ff3c332f>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Energy and Climate</TermName>
          <TermId xmlns="http://schemas.microsoft.com/office/infopath/2007/PartnerControls">67dfd3db-8e6c-4d42-96c1-aed1098cd89b</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International Climate and Energy,</TermName>
          <TermId xmlns="http://schemas.microsoft.com/office/infopath/2007/PartnerControls">8ce3479e-0228-4d4b-8382-a951e8f3cec1</TermId>
        </TermInfo>
      </Terms>
    </h573c97cf80c4aa6b446c5363dc3ac94>
  </documentManagement>
</p:properties>
</file>

<file path=customXml/item4.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2EDB4F82A4FD31439328CBC569C1149B" ma:contentTypeVersion="20" ma:contentTypeDescription="Create a new document." ma:contentTypeScope="" ma:versionID="0947c0795017b0d6fc2f8a77ba52331f">
  <xsd:schema xmlns:xsd="http://www.w3.org/2001/XMLSchema" xmlns:xs="http://www.w3.org/2001/XMLSchema" xmlns:p="http://schemas.microsoft.com/office/2006/metadata/properties" xmlns:ns2="0f9fa326-da26-4ea8-b6a9-645e8136fe1d" xmlns:ns3="839018be-1fd5-46c8-bb5f-8e5f297ce001" xmlns:ns4="aaacb922-5235-4a66-b188-303b9b46fbd7" xmlns:ns5="b3d83fe4-f584-44c1-ada4-cced241b61b0" targetNamespace="http://schemas.microsoft.com/office/2006/metadata/properties" ma:root="true" ma:fieldsID="489c208ec5bd1c4e33e60824d79b5d86" ns2:_="" ns3:_="" ns4:_="" ns5:_="">
    <xsd:import namespace="0f9fa326-da26-4ea8-b6a9-645e8136fe1d"/>
    <xsd:import namespace="839018be-1fd5-46c8-bb5f-8e5f297ce001"/>
    <xsd:import namespace="aaacb922-5235-4a66-b188-303b9b46fbd7"/>
    <xsd:import namespace="b3d83fe4-f584-44c1-ada4-cced241b61b0"/>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and Climate|67dfd3db-8e6c-4d42-96c1-aed1098cd89b"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International Climate and Energy,|8ce3479e-0228-4d4b-8382-a951e8f3cec1"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9018be-1fd5-46c8-bb5f-8e5f297ce00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7848f78-89dd-4aa4-a5d3-4bc706e8013d}" ma:internalName="TaxCatchAll" ma:showField="CatchAllData" ma:web="839018be-1fd5-46c8-bb5f-8e5f297ce0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848f78-89dd-4aa4-a5d3-4bc706e8013d}" ma:internalName="TaxCatchAllLabel" ma:readOnly="true" ma:showField="CatchAllDataLabel" ma:web="839018be-1fd5-46c8-bb5f-8e5f297ce001">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d83fe4-f584-44c1-ada4-cced241b61b0"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Location" ma:index="3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470627-5072-4164-B9A0-A8C60A90D51C}">
  <ds:schemaRefs>
    <ds:schemaRef ds:uri="http://schemas.openxmlformats.org/officeDocument/2006/bibliography"/>
  </ds:schemaRefs>
</ds:datastoreItem>
</file>

<file path=customXml/itemProps2.xml><?xml version="1.0" encoding="utf-8"?>
<ds:datastoreItem xmlns:ds="http://schemas.openxmlformats.org/officeDocument/2006/customXml" ds:itemID="{28542131-BD40-42FA-BF1D-325659C74395}">
  <ds:schemaRefs>
    <ds:schemaRef ds:uri="http://schemas.microsoft.com/sharepoint/v3/contenttype/forms"/>
  </ds:schemaRefs>
</ds:datastoreItem>
</file>

<file path=customXml/itemProps3.xml><?xml version="1.0" encoding="utf-8"?>
<ds:datastoreItem xmlns:ds="http://schemas.openxmlformats.org/officeDocument/2006/customXml" ds:itemID="{02FCA949-4A17-4A58-8CB4-38E906E85F6A}">
  <ds:schemaRefs>
    <ds:schemaRef ds:uri="http://schemas.microsoft.com/office/2006/metadata/properties"/>
    <ds:schemaRef ds:uri="http://schemas.microsoft.com/office/infopath/2007/PartnerControls"/>
    <ds:schemaRef ds:uri="aaacb922-5235-4a66-b188-303b9b46fbd7"/>
    <ds:schemaRef ds:uri="839018be-1fd5-46c8-bb5f-8e5f297ce001"/>
    <ds:schemaRef ds:uri="b3d83fe4-f584-44c1-ada4-cced241b61b0"/>
    <ds:schemaRef ds:uri="0f9fa326-da26-4ea8-b6a9-645e8136fe1d"/>
  </ds:schemaRefs>
</ds:datastoreItem>
</file>

<file path=customXml/itemProps4.xml><?xml version="1.0" encoding="utf-8"?>
<ds:datastoreItem xmlns:ds="http://schemas.openxmlformats.org/officeDocument/2006/customXml" ds:itemID="{DBA31E4C-C95F-45F1-A3B0-76081E82A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a326-da26-4ea8-b6a9-645e8136fe1d"/>
    <ds:schemaRef ds:uri="839018be-1fd5-46c8-bb5f-8e5f297ce001"/>
    <ds:schemaRef ds:uri="aaacb922-5235-4a66-b188-303b9b46fbd7"/>
    <ds:schemaRef ds:uri="b3d83fe4-f584-44c1-ada4-cced241b6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948BD2-19FB-4A1A-9F04-1E661C4B97AC}">
  <ds:schemaRefs>
    <ds:schemaRef ds:uri="http://schemas.microsoft.com/sharepoint/events"/>
  </ds:schemaRefs>
</ds:datastoreItem>
</file>

<file path=docMetadata/LabelInfo.xml><?xml version="1.0" encoding="utf-8"?>
<clbl:labelList xmlns:clbl="http://schemas.microsoft.com/office/2020/mipLabelMetadata">
  <clbl:label id="{ba62f585-b40f-4ab9-bafe-39150f03d124}" enabled="1" method="Standard" siteId="{cbac7005-02c1-43eb-b497-e6492d1b2dd8}"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Smithers, William (Intl Climate Finance: Portfolio)</dc:creator>
  <cp:keywords/>
  <dc:description/>
  <cp:lastModifiedBy>Graydon, Jessica (Energy Security)</cp:lastModifiedBy>
  <cp:revision>1432</cp:revision>
  <dcterms:created xsi:type="dcterms:W3CDTF">2024-10-10T01:11:00Z</dcterms:created>
  <dcterms:modified xsi:type="dcterms:W3CDTF">2026-02-16T15:28:02Z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2020-07-31T08:26:31Z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cddeefbe-1e4c-49e9-8a2d-000074bea76d</vt:lpwstr>
  </property>
  <property fmtid="{D5CDD505-2E9C-101B-9397-08002B2CF9AE}" pid="8" name="MSIP_Label_ba62f585-b40f-4ab9-bafe-39150f03d124_ContentBits">
    <vt:lpwstr>0</vt:lpwstr>
  </property>
  <property fmtid="{D5CDD505-2E9C-101B-9397-08002B2CF9AE}" pid="9" name="Business Document Type">
    <vt:lpwstr>Annual review</vt:lpwstr>
  </property>
  <property fmtid="{D5CDD505-2E9C-101B-9397-08002B2CF9AE}" pid="10" name="Business Unit">
    <vt:lpwstr>1;#International Climate Finance|25a07eec-082c-4868-be05-2bef48a6767e</vt:lpwstr>
  </property>
  <property fmtid="{D5CDD505-2E9C-101B-9397-08002B2CF9AE}" pid="11" name="MSIP_Label_e4c996da-17fa-4fc5-8989-2758fb4cf86b_ActionId">
    <vt:lpwstr>919708a4-416e-499e-8edc-0000a189eb48</vt:lpwstr>
  </property>
  <property fmtid="{D5CDD505-2E9C-101B-9397-08002B2CF9AE}" pid="12" name="MSIP_Label_e4c996da-17fa-4fc5-8989-2758fb4cf86b_SiteId">
    <vt:lpwstr>cdf709af-1a18-4c74-bd93-6d14a64d73b3</vt:lpwstr>
  </property>
  <property fmtid="{D5CDD505-2E9C-101B-9397-08002B2CF9AE}" pid="13" name="MSIP_Label_e4c996da-17fa-4fc5-8989-2758fb4cf86b_ContentBits">
    <vt:lpwstr>1</vt:lpwstr>
  </property>
  <property fmtid="{D5CDD505-2E9C-101B-9397-08002B2CF9AE}" pid="14" name="ContentTypeId">
    <vt:lpwstr>0x0101004691A8DE0991884F8E90AD6474FC737301002EDB4F82A4FD31439328CBC569C1149B</vt:lpwstr>
  </property>
  <property fmtid="{D5CDD505-2E9C-101B-9397-08002B2CF9AE}" pid="15" name="MSIP_Label_e4c996da-17fa-4fc5-8989-2758fb4cf86b_Enabled">
    <vt:lpwstr>true</vt:lpwstr>
  </property>
  <property fmtid="{D5CDD505-2E9C-101B-9397-08002B2CF9AE}" pid="16" name="MSIP_Label_e4c996da-17fa-4fc5-8989-2758fb4cf86b_Name">
    <vt:lpwstr>OFFICIAL</vt:lpwstr>
  </property>
  <property fmtid="{D5CDD505-2E9C-101B-9397-08002B2CF9AE}" pid="17" name="MSIP_Label_e4c996da-17fa-4fc5-8989-2758fb4cf86b_SetDate">
    <vt:lpwstr>2020-03-30T16:49:07Z</vt:lpwstr>
  </property>
  <property fmtid="{D5CDD505-2E9C-101B-9397-08002B2CF9AE}" pid="18" name="MSIP_Label_e4c996da-17fa-4fc5-8989-2758fb4cf86b_Method">
    <vt:lpwstr>Standard</vt:lpwstr>
  </property>
  <property fmtid="{D5CDD505-2E9C-101B-9397-08002B2CF9AE}" pid="19" name="MediaServiceImageTags">
    <vt:lpwstr/>
  </property>
  <property fmtid="{D5CDD505-2E9C-101B-9397-08002B2CF9AE}" pid="20" name="_dlc_DocIdItemGuid">
    <vt:lpwstr>afc7a9d0-02c0-4e8e-b31b-d376767abf35</vt:lpwstr>
  </property>
  <property fmtid="{D5CDD505-2E9C-101B-9397-08002B2CF9AE}" pid="21" name="Business_x0020_Unit">
    <vt:lpwstr>1;#International Climate Finance|25a07eec-082c-4868-be05-2bef48a6767e</vt:lpwstr>
  </property>
  <property fmtid="{D5CDD505-2E9C-101B-9397-08002B2CF9AE}" pid="22" name="KIM_Activity">
    <vt:lpwstr>2;#International Climate and Energy,|8ce3479e-0228-4d4b-8382-a951e8f3cec1</vt:lpwstr>
  </property>
  <property fmtid="{D5CDD505-2E9C-101B-9397-08002B2CF9AE}" pid="23" name="KIM_GovernmentBody">
    <vt:lpwstr>3;#BEIS|b386cac2-c28c-4db4-8fca-43733d0e74ef</vt:lpwstr>
  </property>
  <property fmtid="{D5CDD505-2E9C-101B-9397-08002B2CF9AE}" pid="24" name="KIM_Function">
    <vt:lpwstr>1;#Energy and Climate|67dfd3db-8e6c-4d42-96c1-aed1098cd89b</vt:lpwstr>
  </property>
  <property fmtid="{D5CDD505-2E9C-101B-9397-08002B2CF9AE}" pid="25" name="docLang">
    <vt:lpwstr>en</vt:lpwstr>
  </property>
</Properties>
</file>