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BF010" w14:textId="6C879141" w:rsidR="00E9676C" w:rsidRPr="00E813B0" w:rsidRDefault="00154AE8" w:rsidP="009B7940">
      <w:pPr>
        <w:pStyle w:val="DESNZTitle"/>
      </w:pPr>
      <w:r w:rsidRPr="00E813B0">
        <w:t xml:space="preserve">Independent </w:t>
      </w:r>
      <w:r w:rsidR="006E1DAC">
        <w:t>e</w:t>
      </w:r>
      <w:r w:rsidR="006E1DAC" w:rsidRPr="00E813B0">
        <w:t xml:space="preserve">valuation </w:t>
      </w:r>
      <w:r w:rsidRPr="00E813B0">
        <w:t>of the UK's contribution to the Lowering Emissions by Accelerating Forest Finance (LEAF) Coalition</w:t>
      </w:r>
    </w:p>
    <w:p w14:paraId="483588AD" w14:textId="2AE1D59C" w:rsidR="00E9676C" w:rsidRPr="00E813B0" w:rsidRDefault="00154AE8" w:rsidP="00201358">
      <w:pPr>
        <w:pStyle w:val="DESNZSub-title"/>
      </w:pPr>
      <w:r w:rsidRPr="00E813B0">
        <w:t>Evaluation Report</w:t>
      </w:r>
    </w:p>
    <w:p w14:paraId="48C94025" w14:textId="69BF065E" w:rsidR="00201358" w:rsidRPr="00E813B0" w:rsidRDefault="00C26D9C" w:rsidP="00FC1A03">
      <w:pPr>
        <w:pStyle w:val="DESNZResearchNo"/>
        <w:sectPr w:rsidR="00201358" w:rsidRPr="00E813B0" w:rsidSect="00054AD2">
          <w:headerReference w:type="default" r:id="rId12"/>
          <w:footerReference w:type="default" r:id="rId13"/>
          <w:pgSz w:w="11906" w:h="16838" w:code="9"/>
          <w:pgMar w:top="1418" w:right="1134" w:bottom="1418" w:left="1077" w:header="720" w:footer="868" w:gutter="0"/>
          <w:cols w:space="708"/>
          <w:vAlign w:val="center"/>
          <w:docGrid w:linePitch="360"/>
        </w:sectPr>
      </w:pPr>
      <w:r w:rsidRPr="00E813B0">
        <w:br/>
      </w:r>
      <w:r w:rsidRPr="00E813B0">
        <w:br/>
      </w:r>
      <w:r w:rsidRPr="00E813B0">
        <w:br/>
      </w:r>
    </w:p>
    <w:p w14:paraId="6BAEA979" w14:textId="655782AD" w:rsidR="001A2EAD" w:rsidRPr="00E813B0" w:rsidRDefault="00F129B5" w:rsidP="001A2EAD">
      <w:pPr>
        <w:rPr>
          <w:rStyle w:val="Boldtext"/>
          <w:color w:val="A5A5A5" w:themeColor="accent3"/>
        </w:rPr>
      </w:pPr>
      <w:r w:rsidRPr="00E813B0">
        <w:rPr>
          <w:rStyle w:val="Boldtext"/>
        </w:rPr>
        <w:lastRenderedPageBreak/>
        <w:t>Acknowledgements</w:t>
      </w:r>
      <w:r w:rsidR="001A2EAD" w:rsidRPr="00E813B0">
        <w:rPr>
          <w:rStyle w:val="Boldtext"/>
          <w:color w:val="A5A5A5" w:themeColor="accent3"/>
        </w:rPr>
        <w:t xml:space="preserve"> </w:t>
      </w:r>
    </w:p>
    <w:p w14:paraId="26A88596" w14:textId="4F20F3A9" w:rsidR="007D7412" w:rsidRPr="00E813B0" w:rsidRDefault="00E43FEB" w:rsidP="001A2EAD">
      <w:r w:rsidRPr="00E813B0">
        <w:t xml:space="preserve">The </w:t>
      </w:r>
      <w:r w:rsidR="001701FD" w:rsidRPr="00E813B0">
        <w:t>Evaluation Team would like to thank all stakeholders who engaged in this process evaluation</w:t>
      </w:r>
      <w:r w:rsidR="001A2EAD" w:rsidRPr="00E813B0">
        <w:t>.</w:t>
      </w:r>
      <w:r w:rsidR="001701FD" w:rsidRPr="00E813B0">
        <w:t xml:space="preserve"> </w:t>
      </w:r>
      <w:r w:rsidR="00121AF5" w:rsidRPr="00E813B0">
        <w:t>We thank you for sharing y</w:t>
      </w:r>
      <w:r w:rsidR="001701FD" w:rsidRPr="00E813B0">
        <w:t>our time and experiences</w:t>
      </w:r>
      <w:r w:rsidR="00121AF5" w:rsidRPr="00E813B0">
        <w:t xml:space="preserve">. </w:t>
      </w:r>
    </w:p>
    <w:p w14:paraId="2A19A46F" w14:textId="77777777" w:rsidR="00C26D9C" w:rsidRPr="00E813B0" w:rsidRDefault="00C26D9C" w:rsidP="001A2EAD"/>
    <w:p w14:paraId="34C6011B" w14:textId="77777777" w:rsidR="00C26D9C" w:rsidRPr="00E813B0" w:rsidRDefault="00C26D9C" w:rsidP="001A2EAD"/>
    <w:p w14:paraId="2B2526ED" w14:textId="77777777" w:rsidR="00C26D9C" w:rsidRPr="00E813B0" w:rsidRDefault="00C26D9C" w:rsidP="001A2EAD"/>
    <w:p w14:paraId="4B531BD4" w14:textId="77777777" w:rsidR="00C26D9C" w:rsidRPr="00E813B0" w:rsidRDefault="00C26D9C" w:rsidP="001A2EAD"/>
    <w:p w14:paraId="4E5F63AA" w14:textId="77777777" w:rsidR="00C26D9C" w:rsidRPr="00E813B0" w:rsidRDefault="00C26D9C" w:rsidP="001A2EAD"/>
    <w:p w14:paraId="3C7F4DD2" w14:textId="77777777" w:rsidR="00C26D9C" w:rsidRPr="00E813B0" w:rsidRDefault="00C26D9C" w:rsidP="001A2EAD"/>
    <w:p w14:paraId="7AD93BB1" w14:textId="77777777" w:rsidR="00C26D9C" w:rsidRPr="00E813B0" w:rsidRDefault="00C26D9C" w:rsidP="001A2EAD"/>
    <w:p w14:paraId="7AD3DD4C" w14:textId="77777777" w:rsidR="00C26D9C" w:rsidRPr="00E813B0" w:rsidRDefault="00C26D9C" w:rsidP="001A2EAD"/>
    <w:p w14:paraId="2CDDB14F" w14:textId="77777777" w:rsidR="00C26D9C" w:rsidRPr="00E813B0" w:rsidRDefault="00C26D9C" w:rsidP="001A2EAD"/>
    <w:p w14:paraId="4FE7F18D" w14:textId="77777777" w:rsidR="00C26D9C" w:rsidRPr="00E813B0" w:rsidRDefault="00C26D9C" w:rsidP="001A2EAD"/>
    <w:p w14:paraId="102A7D80" w14:textId="77777777" w:rsidR="00C26D9C" w:rsidRPr="00E813B0" w:rsidRDefault="00C26D9C" w:rsidP="001A2EAD"/>
    <w:p w14:paraId="491D51B8" w14:textId="77777777" w:rsidR="00C26D9C" w:rsidRPr="00E813B0" w:rsidRDefault="00C26D9C" w:rsidP="001A2EAD"/>
    <w:p w14:paraId="04D4DEDB" w14:textId="77777777" w:rsidR="00C26D9C" w:rsidRPr="00E813B0" w:rsidRDefault="00C26D9C" w:rsidP="001A2EAD"/>
    <w:p w14:paraId="75763752" w14:textId="77777777" w:rsidR="00C26D9C" w:rsidRPr="00E813B0" w:rsidRDefault="00C26D9C" w:rsidP="001A2EAD"/>
    <w:p w14:paraId="533534BB" w14:textId="77777777" w:rsidR="00C26D9C" w:rsidRPr="00E813B0" w:rsidRDefault="00C26D9C" w:rsidP="00C26D9C">
      <w:pPr>
        <w:pStyle w:val="Copyrightstatement"/>
      </w:pPr>
      <w:r w:rsidRPr="00E813B0">
        <w:rPr>
          <w:noProof/>
        </w:rPr>
        <w:drawing>
          <wp:inline distT="0" distB="0" distL="0" distR="0" wp14:anchorId="09D019D0" wp14:editId="0F7AF1DE">
            <wp:extent cx="792480" cy="323215"/>
            <wp:effectExtent l="0" t="0" r="7620" b="635"/>
            <wp:docPr id="12" name="Picture 12" descr="Logo - Open Government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2480" cy="323215"/>
                    </a:xfrm>
                    <a:prstGeom prst="rect">
                      <a:avLst/>
                    </a:prstGeom>
                    <a:noFill/>
                  </pic:spPr>
                </pic:pic>
              </a:graphicData>
            </a:graphic>
          </wp:inline>
        </w:drawing>
      </w:r>
    </w:p>
    <w:p w14:paraId="3B34D229" w14:textId="623EE650" w:rsidR="00C26D9C" w:rsidRPr="00E813B0" w:rsidRDefault="00C26D9C" w:rsidP="00C26D9C">
      <w:pPr>
        <w:pStyle w:val="Copyrightstatement"/>
      </w:pPr>
      <w:r w:rsidRPr="00E813B0">
        <w:t>© Crown copyright 20</w:t>
      </w:r>
      <w:r w:rsidR="00154AE8" w:rsidRPr="00E813B0">
        <w:t>25</w:t>
      </w:r>
    </w:p>
    <w:p w14:paraId="746F3BC5" w14:textId="77777777" w:rsidR="00C26D9C" w:rsidRPr="00E813B0" w:rsidRDefault="00C26D9C" w:rsidP="00C26D9C">
      <w:pPr>
        <w:pStyle w:val="Copyrightstatement"/>
      </w:pPr>
      <w:r w:rsidRPr="00E813B0">
        <w:t xml:space="preserve">This publication is licensed under the terms of the Open Government Licence v3.0 except where otherwise stated. To view this licence, visit </w:t>
      </w:r>
      <w:hyperlink r:id="rId15" w:history="1">
        <w:r w:rsidRPr="00E813B0">
          <w:rPr>
            <w:rStyle w:val="Hyperlink"/>
          </w:rPr>
          <w:t>nationalarchives.gov.uk/doc/open-government-licence/version/3</w:t>
        </w:r>
      </w:hyperlink>
      <w:r w:rsidRPr="00E813B0">
        <w:t xml:space="preserve"> or write to the Information Policy Team, The National Archives, Kew, London TW9 4DU, or email: </w:t>
      </w:r>
      <w:hyperlink r:id="rId16" w:history="1">
        <w:r w:rsidR="00EE5B2F" w:rsidRPr="00E813B0">
          <w:rPr>
            <w:rStyle w:val="Hyperlink"/>
          </w:rPr>
          <w:t>psi@nationalarchives.gov.uk</w:t>
        </w:r>
      </w:hyperlink>
      <w:r w:rsidRPr="00E813B0">
        <w:t xml:space="preserve">. </w:t>
      </w:r>
    </w:p>
    <w:p w14:paraId="6A54DC57" w14:textId="6ECA8F43" w:rsidR="00C26D9C" w:rsidRPr="00E813B0" w:rsidRDefault="00C26D9C" w:rsidP="00C26D9C">
      <w:pPr>
        <w:pStyle w:val="Copyrightstatement"/>
      </w:pPr>
      <w:r w:rsidRPr="00E813B0">
        <w:t>Where we have identified any third-party copyright information</w:t>
      </w:r>
      <w:r w:rsidR="00786470">
        <w:t>,</w:t>
      </w:r>
      <w:r w:rsidRPr="00E813B0">
        <w:t xml:space="preserve"> you will need to obtain permission from the copyright holders concerned.</w:t>
      </w:r>
    </w:p>
    <w:p w14:paraId="5495E579" w14:textId="77777777" w:rsidR="00C26D9C" w:rsidRPr="00E813B0" w:rsidRDefault="00C26D9C" w:rsidP="00C26D9C">
      <w:pPr>
        <w:pStyle w:val="Copyrightstatement"/>
        <w:sectPr w:rsidR="00C26D9C" w:rsidRPr="00E813B0" w:rsidSect="00C26D9C">
          <w:headerReference w:type="default" r:id="rId17"/>
          <w:footerReference w:type="default" r:id="rId18"/>
          <w:pgSz w:w="11906" w:h="16838" w:code="9"/>
          <w:pgMar w:top="2835" w:right="907" w:bottom="907" w:left="907" w:header="686" w:footer="266" w:gutter="0"/>
          <w:cols w:space="708"/>
          <w:vAlign w:val="bottom"/>
          <w:docGrid w:linePitch="360"/>
        </w:sectPr>
      </w:pPr>
      <w:r w:rsidRPr="00E813B0">
        <w:t xml:space="preserve">Any enquiries regarding this publication should be sent to us at: </w:t>
      </w:r>
      <w:r w:rsidRPr="00E813B0">
        <w:br/>
      </w:r>
      <w:hyperlink r:id="rId19" w:history="1">
        <w:r w:rsidR="00C859D1" w:rsidRPr="00E813B0">
          <w:rPr>
            <w:rStyle w:val="Hyperlink"/>
          </w:rPr>
          <w:t>xxx@energysecurity.gov.uk</w:t>
        </w:r>
      </w:hyperlink>
      <w:r w:rsidRPr="00E813B0">
        <w:t xml:space="preserve"> </w:t>
      </w:r>
      <w:r w:rsidRPr="00E813B0">
        <w:rPr>
          <w:b/>
          <w:color w:val="A5A5A5" w:themeColor="accent3"/>
        </w:rPr>
        <w:t>[replace with team email address if availabl</w:t>
      </w:r>
      <w:r w:rsidR="00417D45" w:rsidRPr="00E813B0">
        <w:rPr>
          <w:b/>
          <w:color w:val="A5A5A5" w:themeColor="accent3"/>
        </w:rPr>
        <w:t>e, or delete this sentence</w:t>
      </w:r>
      <w:r w:rsidRPr="00E813B0">
        <w:rPr>
          <w:b/>
          <w:color w:val="A5A5A5" w:themeColor="accent3"/>
        </w:rPr>
        <w:t>]</w:t>
      </w:r>
    </w:p>
    <w:p w14:paraId="15913411" w14:textId="0EAA2A4F" w:rsidR="008F06A2" w:rsidRPr="00E813B0" w:rsidRDefault="004C1B6A" w:rsidP="004C1B6A">
      <w:pPr>
        <w:pStyle w:val="Contents"/>
      </w:pPr>
      <w:r w:rsidRPr="00E813B0">
        <w:lastRenderedPageBreak/>
        <w:t>Contents</w:t>
      </w:r>
    </w:p>
    <w:p w14:paraId="76657731" w14:textId="3F64C5FB" w:rsidR="00ED288A" w:rsidRDefault="00E45851">
      <w:pPr>
        <w:pStyle w:val="TOC1"/>
        <w:rPr>
          <w:rFonts w:asciiTheme="minorHAnsi" w:eastAsiaTheme="minorEastAsia" w:hAnsiTheme="minorHAnsi"/>
          <w:noProof/>
          <w:color w:val="auto"/>
          <w:kern w:val="2"/>
          <w:szCs w:val="24"/>
          <w:lang w:eastAsia="en-GB"/>
          <w14:ligatures w14:val="standardContextual"/>
        </w:rPr>
      </w:pPr>
      <w:r w:rsidRPr="00E813B0">
        <w:fldChar w:fldCharType="begin"/>
      </w:r>
      <w:r w:rsidRPr="00E813B0">
        <w:instrText xml:space="preserve"> TOC \o "2-3" \h \z \t "Heading 1,1" </w:instrText>
      </w:r>
      <w:r w:rsidRPr="00E813B0">
        <w:fldChar w:fldCharType="separate"/>
      </w:r>
      <w:hyperlink w:anchor="_Toc209013269" w:history="1">
        <w:r w:rsidR="00ED288A" w:rsidRPr="00E57E5E">
          <w:rPr>
            <w:rStyle w:val="Hyperlink"/>
            <w:noProof/>
          </w:rPr>
          <w:t>Table of Figures</w:t>
        </w:r>
        <w:r w:rsidR="00ED288A">
          <w:rPr>
            <w:noProof/>
            <w:webHidden/>
          </w:rPr>
          <w:tab/>
        </w:r>
        <w:r w:rsidR="00ED288A">
          <w:rPr>
            <w:noProof/>
            <w:webHidden/>
          </w:rPr>
          <w:fldChar w:fldCharType="begin"/>
        </w:r>
        <w:r w:rsidR="00ED288A">
          <w:rPr>
            <w:noProof/>
            <w:webHidden/>
          </w:rPr>
          <w:instrText xml:space="preserve"> PAGEREF _Toc209013269 \h </w:instrText>
        </w:r>
        <w:r w:rsidR="00ED288A">
          <w:rPr>
            <w:noProof/>
            <w:webHidden/>
          </w:rPr>
        </w:r>
        <w:r w:rsidR="00ED288A">
          <w:rPr>
            <w:noProof/>
            <w:webHidden/>
          </w:rPr>
          <w:fldChar w:fldCharType="separate"/>
        </w:r>
        <w:r w:rsidR="00ED1AD6">
          <w:rPr>
            <w:noProof/>
            <w:webHidden/>
          </w:rPr>
          <w:t>4</w:t>
        </w:r>
        <w:r w:rsidR="00ED288A">
          <w:rPr>
            <w:noProof/>
            <w:webHidden/>
          </w:rPr>
          <w:fldChar w:fldCharType="end"/>
        </w:r>
      </w:hyperlink>
    </w:p>
    <w:p w14:paraId="2D9A7B7A" w14:textId="2565AC0D" w:rsidR="00ED288A" w:rsidRDefault="00ED288A">
      <w:pPr>
        <w:pStyle w:val="TOC1"/>
        <w:rPr>
          <w:rFonts w:asciiTheme="minorHAnsi" w:eastAsiaTheme="minorEastAsia" w:hAnsiTheme="minorHAnsi"/>
          <w:noProof/>
          <w:color w:val="auto"/>
          <w:kern w:val="2"/>
          <w:szCs w:val="24"/>
          <w:lang w:eastAsia="en-GB"/>
          <w14:ligatures w14:val="standardContextual"/>
        </w:rPr>
      </w:pPr>
      <w:hyperlink w:anchor="_Toc209013270" w:history="1">
        <w:r w:rsidRPr="00E57E5E">
          <w:rPr>
            <w:rStyle w:val="Hyperlink"/>
            <w:noProof/>
          </w:rPr>
          <w:t>Table of Tables</w:t>
        </w:r>
        <w:r>
          <w:rPr>
            <w:noProof/>
            <w:webHidden/>
          </w:rPr>
          <w:tab/>
        </w:r>
        <w:r>
          <w:rPr>
            <w:noProof/>
            <w:webHidden/>
          </w:rPr>
          <w:fldChar w:fldCharType="begin"/>
        </w:r>
        <w:r>
          <w:rPr>
            <w:noProof/>
            <w:webHidden/>
          </w:rPr>
          <w:instrText xml:space="preserve"> PAGEREF _Toc209013270 \h </w:instrText>
        </w:r>
        <w:r>
          <w:rPr>
            <w:noProof/>
            <w:webHidden/>
          </w:rPr>
        </w:r>
        <w:r>
          <w:rPr>
            <w:noProof/>
            <w:webHidden/>
          </w:rPr>
          <w:fldChar w:fldCharType="separate"/>
        </w:r>
        <w:r w:rsidR="00ED1AD6">
          <w:rPr>
            <w:noProof/>
            <w:webHidden/>
          </w:rPr>
          <w:t>4</w:t>
        </w:r>
        <w:r>
          <w:rPr>
            <w:noProof/>
            <w:webHidden/>
          </w:rPr>
          <w:fldChar w:fldCharType="end"/>
        </w:r>
      </w:hyperlink>
    </w:p>
    <w:p w14:paraId="1A7FC7B9" w14:textId="31BFBEAC" w:rsidR="00ED288A" w:rsidRDefault="00ED288A">
      <w:pPr>
        <w:pStyle w:val="TOC1"/>
        <w:rPr>
          <w:rFonts w:asciiTheme="minorHAnsi" w:eastAsiaTheme="minorEastAsia" w:hAnsiTheme="minorHAnsi"/>
          <w:noProof/>
          <w:color w:val="auto"/>
          <w:kern w:val="2"/>
          <w:szCs w:val="24"/>
          <w:lang w:eastAsia="en-GB"/>
          <w14:ligatures w14:val="standardContextual"/>
        </w:rPr>
      </w:pPr>
      <w:hyperlink w:anchor="_Toc209013271" w:history="1">
        <w:r w:rsidRPr="00E57E5E">
          <w:rPr>
            <w:rStyle w:val="Hyperlink"/>
            <w:noProof/>
          </w:rPr>
          <w:t>Executive Summary</w:t>
        </w:r>
        <w:r>
          <w:rPr>
            <w:noProof/>
            <w:webHidden/>
          </w:rPr>
          <w:tab/>
        </w:r>
        <w:r>
          <w:rPr>
            <w:noProof/>
            <w:webHidden/>
          </w:rPr>
          <w:fldChar w:fldCharType="begin"/>
        </w:r>
        <w:r>
          <w:rPr>
            <w:noProof/>
            <w:webHidden/>
          </w:rPr>
          <w:instrText xml:space="preserve"> PAGEREF _Toc209013271 \h </w:instrText>
        </w:r>
        <w:r>
          <w:rPr>
            <w:noProof/>
            <w:webHidden/>
          </w:rPr>
        </w:r>
        <w:r>
          <w:rPr>
            <w:noProof/>
            <w:webHidden/>
          </w:rPr>
          <w:fldChar w:fldCharType="separate"/>
        </w:r>
        <w:r w:rsidR="00ED1AD6">
          <w:rPr>
            <w:noProof/>
            <w:webHidden/>
          </w:rPr>
          <w:t>5</w:t>
        </w:r>
        <w:r>
          <w:rPr>
            <w:noProof/>
            <w:webHidden/>
          </w:rPr>
          <w:fldChar w:fldCharType="end"/>
        </w:r>
      </w:hyperlink>
    </w:p>
    <w:p w14:paraId="331DB3DD" w14:textId="1D582C4B" w:rsidR="00ED288A" w:rsidRDefault="00ED288A">
      <w:pPr>
        <w:pStyle w:val="TOC1"/>
        <w:rPr>
          <w:rFonts w:asciiTheme="minorHAnsi" w:eastAsiaTheme="minorEastAsia" w:hAnsiTheme="minorHAnsi"/>
          <w:noProof/>
          <w:color w:val="auto"/>
          <w:kern w:val="2"/>
          <w:szCs w:val="24"/>
          <w:lang w:eastAsia="en-GB"/>
          <w14:ligatures w14:val="standardContextual"/>
        </w:rPr>
      </w:pPr>
      <w:hyperlink w:anchor="_Toc209013272" w:history="1">
        <w:r w:rsidRPr="00E57E5E">
          <w:rPr>
            <w:rStyle w:val="Hyperlink"/>
            <w:noProof/>
          </w:rPr>
          <w:t>Acronyms</w:t>
        </w:r>
        <w:r>
          <w:rPr>
            <w:noProof/>
            <w:webHidden/>
          </w:rPr>
          <w:tab/>
        </w:r>
        <w:r>
          <w:rPr>
            <w:noProof/>
            <w:webHidden/>
          </w:rPr>
          <w:fldChar w:fldCharType="begin"/>
        </w:r>
        <w:r>
          <w:rPr>
            <w:noProof/>
            <w:webHidden/>
          </w:rPr>
          <w:instrText xml:space="preserve"> PAGEREF _Toc209013272 \h </w:instrText>
        </w:r>
        <w:r>
          <w:rPr>
            <w:noProof/>
            <w:webHidden/>
          </w:rPr>
        </w:r>
        <w:r>
          <w:rPr>
            <w:noProof/>
            <w:webHidden/>
          </w:rPr>
          <w:fldChar w:fldCharType="separate"/>
        </w:r>
        <w:r w:rsidR="00ED1AD6">
          <w:rPr>
            <w:noProof/>
            <w:webHidden/>
          </w:rPr>
          <w:t>8</w:t>
        </w:r>
        <w:r>
          <w:rPr>
            <w:noProof/>
            <w:webHidden/>
          </w:rPr>
          <w:fldChar w:fldCharType="end"/>
        </w:r>
      </w:hyperlink>
    </w:p>
    <w:p w14:paraId="1589ECD8" w14:textId="4839BE0E" w:rsidR="00ED288A" w:rsidRDefault="00ED288A">
      <w:pPr>
        <w:pStyle w:val="TOC1"/>
        <w:rPr>
          <w:rFonts w:asciiTheme="minorHAnsi" w:eastAsiaTheme="minorEastAsia" w:hAnsiTheme="minorHAnsi"/>
          <w:noProof/>
          <w:color w:val="auto"/>
          <w:kern w:val="2"/>
          <w:szCs w:val="24"/>
          <w:lang w:eastAsia="en-GB"/>
          <w14:ligatures w14:val="standardContextual"/>
        </w:rPr>
      </w:pPr>
      <w:hyperlink w:anchor="_Toc209013273" w:history="1">
        <w:r w:rsidRPr="00E57E5E">
          <w:rPr>
            <w:rStyle w:val="Hyperlink"/>
            <w:noProof/>
          </w:rPr>
          <w:t>Glossary</w:t>
        </w:r>
        <w:r>
          <w:rPr>
            <w:noProof/>
            <w:webHidden/>
          </w:rPr>
          <w:tab/>
        </w:r>
        <w:r>
          <w:rPr>
            <w:noProof/>
            <w:webHidden/>
          </w:rPr>
          <w:fldChar w:fldCharType="begin"/>
        </w:r>
        <w:r>
          <w:rPr>
            <w:noProof/>
            <w:webHidden/>
          </w:rPr>
          <w:instrText xml:space="preserve"> PAGEREF _Toc209013273 \h </w:instrText>
        </w:r>
        <w:r>
          <w:rPr>
            <w:noProof/>
            <w:webHidden/>
          </w:rPr>
        </w:r>
        <w:r>
          <w:rPr>
            <w:noProof/>
            <w:webHidden/>
          </w:rPr>
          <w:fldChar w:fldCharType="separate"/>
        </w:r>
        <w:r w:rsidR="00ED1AD6">
          <w:rPr>
            <w:noProof/>
            <w:webHidden/>
          </w:rPr>
          <w:t>13</w:t>
        </w:r>
        <w:r>
          <w:rPr>
            <w:noProof/>
            <w:webHidden/>
          </w:rPr>
          <w:fldChar w:fldCharType="end"/>
        </w:r>
      </w:hyperlink>
    </w:p>
    <w:p w14:paraId="674FDFDA" w14:textId="53F9B0CD" w:rsidR="00ED288A" w:rsidRDefault="00ED288A">
      <w:pPr>
        <w:pStyle w:val="TOC1"/>
        <w:tabs>
          <w:tab w:val="left" w:pos="482"/>
        </w:tabs>
        <w:rPr>
          <w:rFonts w:asciiTheme="minorHAnsi" w:eastAsiaTheme="minorEastAsia" w:hAnsiTheme="minorHAnsi"/>
          <w:noProof/>
          <w:color w:val="auto"/>
          <w:kern w:val="2"/>
          <w:szCs w:val="24"/>
          <w:lang w:eastAsia="en-GB"/>
          <w14:ligatures w14:val="standardContextual"/>
        </w:rPr>
      </w:pPr>
      <w:hyperlink w:anchor="_Toc209013274" w:history="1">
        <w:r w:rsidRPr="00E57E5E">
          <w:rPr>
            <w:rStyle w:val="Hyperlink"/>
            <w:noProof/>
          </w:rPr>
          <w:t>1.</w:t>
        </w:r>
        <w:r>
          <w:rPr>
            <w:rFonts w:asciiTheme="minorHAnsi" w:eastAsiaTheme="minorEastAsia" w:hAnsiTheme="minorHAnsi"/>
            <w:noProof/>
            <w:color w:val="auto"/>
            <w:kern w:val="2"/>
            <w:szCs w:val="24"/>
            <w:lang w:eastAsia="en-GB"/>
            <w14:ligatures w14:val="standardContextual"/>
          </w:rPr>
          <w:tab/>
        </w:r>
        <w:r w:rsidRPr="00E57E5E">
          <w:rPr>
            <w:rStyle w:val="Hyperlink"/>
            <w:noProof/>
          </w:rPr>
          <w:t>Introduction</w:t>
        </w:r>
        <w:r>
          <w:rPr>
            <w:noProof/>
            <w:webHidden/>
          </w:rPr>
          <w:tab/>
        </w:r>
        <w:r>
          <w:rPr>
            <w:noProof/>
            <w:webHidden/>
          </w:rPr>
          <w:fldChar w:fldCharType="begin"/>
        </w:r>
        <w:r>
          <w:rPr>
            <w:noProof/>
            <w:webHidden/>
          </w:rPr>
          <w:instrText xml:space="preserve"> PAGEREF _Toc209013274 \h </w:instrText>
        </w:r>
        <w:r>
          <w:rPr>
            <w:noProof/>
            <w:webHidden/>
          </w:rPr>
        </w:r>
        <w:r>
          <w:rPr>
            <w:noProof/>
            <w:webHidden/>
          </w:rPr>
          <w:fldChar w:fldCharType="separate"/>
        </w:r>
        <w:r w:rsidR="00ED1AD6">
          <w:rPr>
            <w:noProof/>
            <w:webHidden/>
          </w:rPr>
          <w:t>24</w:t>
        </w:r>
        <w:r>
          <w:rPr>
            <w:noProof/>
            <w:webHidden/>
          </w:rPr>
          <w:fldChar w:fldCharType="end"/>
        </w:r>
      </w:hyperlink>
    </w:p>
    <w:p w14:paraId="7E4B8FAC" w14:textId="5AC408C4" w:rsidR="00ED288A" w:rsidRDefault="00ED288A">
      <w:pPr>
        <w:pStyle w:val="TOC2"/>
        <w:rPr>
          <w:rFonts w:asciiTheme="minorHAnsi" w:eastAsiaTheme="minorEastAsia" w:hAnsiTheme="minorHAnsi"/>
          <w:noProof/>
          <w:color w:val="auto"/>
          <w:kern w:val="2"/>
          <w:szCs w:val="24"/>
          <w:lang w:eastAsia="en-GB"/>
          <w14:ligatures w14:val="standardContextual"/>
        </w:rPr>
      </w:pPr>
      <w:hyperlink w:anchor="_Toc209013275" w:history="1">
        <w:r w:rsidRPr="00E57E5E">
          <w:rPr>
            <w:rStyle w:val="Hyperlink"/>
            <w:noProof/>
          </w:rPr>
          <w:t>1.1 LEAF Coalition Background</w:t>
        </w:r>
        <w:r>
          <w:rPr>
            <w:noProof/>
            <w:webHidden/>
          </w:rPr>
          <w:tab/>
        </w:r>
        <w:r>
          <w:rPr>
            <w:noProof/>
            <w:webHidden/>
          </w:rPr>
          <w:fldChar w:fldCharType="begin"/>
        </w:r>
        <w:r>
          <w:rPr>
            <w:noProof/>
            <w:webHidden/>
          </w:rPr>
          <w:instrText xml:space="preserve"> PAGEREF _Toc209013275 \h </w:instrText>
        </w:r>
        <w:r>
          <w:rPr>
            <w:noProof/>
            <w:webHidden/>
          </w:rPr>
        </w:r>
        <w:r>
          <w:rPr>
            <w:noProof/>
            <w:webHidden/>
          </w:rPr>
          <w:fldChar w:fldCharType="separate"/>
        </w:r>
        <w:r w:rsidR="00ED1AD6">
          <w:rPr>
            <w:noProof/>
            <w:webHidden/>
          </w:rPr>
          <w:t>24</w:t>
        </w:r>
        <w:r>
          <w:rPr>
            <w:noProof/>
            <w:webHidden/>
          </w:rPr>
          <w:fldChar w:fldCharType="end"/>
        </w:r>
      </w:hyperlink>
    </w:p>
    <w:p w14:paraId="33D3C5C0" w14:textId="59D8986D" w:rsidR="00ED288A" w:rsidRDefault="00ED288A">
      <w:pPr>
        <w:pStyle w:val="TOC2"/>
        <w:rPr>
          <w:rFonts w:asciiTheme="minorHAnsi" w:eastAsiaTheme="minorEastAsia" w:hAnsiTheme="minorHAnsi"/>
          <w:noProof/>
          <w:color w:val="auto"/>
          <w:kern w:val="2"/>
          <w:szCs w:val="24"/>
          <w:lang w:eastAsia="en-GB"/>
          <w14:ligatures w14:val="standardContextual"/>
        </w:rPr>
      </w:pPr>
      <w:hyperlink w:anchor="_Toc209013276" w:history="1">
        <w:r w:rsidRPr="00E57E5E">
          <w:rPr>
            <w:rStyle w:val="Hyperlink"/>
            <w:noProof/>
          </w:rPr>
          <w:t>1.2 Evaluation Approach, Design and Methods</w:t>
        </w:r>
        <w:r>
          <w:rPr>
            <w:noProof/>
            <w:webHidden/>
          </w:rPr>
          <w:tab/>
        </w:r>
        <w:r>
          <w:rPr>
            <w:noProof/>
            <w:webHidden/>
          </w:rPr>
          <w:fldChar w:fldCharType="begin"/>
        </w:r>
        <w:r>
          <w:rPr>
            <w:noProof/>
            <w:webHidden/>
          </w:rPr>
          <w:instrText xml:space="preserve"> PAGEREF _Toc209013276 \h </w:instrText>
        </w:r>
        <w:r>
          <w:rPr>
            <w:noProof/>
            <w:webHidden/>
          </w:rPr>
        </w:r>
        <w:r>
          <w:rPr>
            <w:noProof/>
            <w:webHidden/>
          </w:rPr>
          <w:fldChar w:fldCharType="separate"/>
        </w:r>
        <w:r w:rsidR="00ED1AD6">
          <w:rPr>
            <w:noProof/>
            <w:webHidden/>
          </w:rPr>
          <w:t>30</w:t>
        </w:r>
        <w:r>
          <w:rPr>
            <w:noProof/>
            <w:webHidden/>
          </w:rPr>
          <w:fldChar w:fldCharType="end"/>
        </w:r>
      </w:hyperlink>
    </w:p>
    <w:p w14:paraId="5E5631C9" w14:textId="3C414B63" w:rsidR="00ED288A" w:rsidRDefault="00ED288A">
      <w:pPr>
        <w:pStyle w:val="TOC2"/>
        <w:rPr>
          <w:rFonts w:asciiTheme="minorHAnsi" w:eastAsiaTheme="minorEastAsia" w:hAnsiTheme="minorHAnsi"/>
          <w:noProof/>
          <w:color w:val="auto"/>
          <w:kern w:val="2"/>
          <w:szCs w:val="24"/>
          <w:lang w:eastAsia="en-GB"/>
          <w14:ligatures w14:val="standardContextual"/>
        </w:rPr>
      </w:pPr>
      <w:hyperlink w:anchor="_Toc209013277" w:history="1">
        <w:r w:rsidRPr="00E57E5E">
          <w:rPr>
            <w:rStyle w:val="Hyperlink"/>
            <w:noProof/>
          </w:rPr>
          <w:t>1.5 Ethics and Safeguarding</w:t>
        </w:r>
        <w:r>
          <w:rPr>
            <w:noProof/>
            <w:webHidden/>
          </w:rPr>
          <w:tab/>
        </w:r>
        <w:r>
          <w:rPr>
            <w:noProof/>
            <w:webHidden/>
          </w:rPr>
          <w:fldChar w:fldCharType="begin"/>
        </w:r>
        <w:r>
          <w:rPr>
            <w:noProof/>
            <w:webHidden/>
          </w:rPr>
          <w:instrText xml:space="preserve"> PAGEREF _Toc209013277 \h </w:instrText>
        </w:r>
        <w:r>
          <w:rPr>
            <w:noProof/>
            <w:webHidden/>
          </w:rPr>
        </w:r>
        <w:r>
          <w:rPr>
            <w:noProof/>
            <w:webHidden/>
          </w:rPr>
          <w:fldChar w:fldCharType="separate"/>
        </w:r>
        <w:r w:rsidR="00ED1AD6">
          <w:rPr>
            <w:noProof/>
            <w:webHidden/>
          </w:rPr>
          <w:t>32</w:t>
        </w:r>
        <w:r>
          <w:rPr>
            <w:noProof/>
            <w:webHidden/>
          </w:rPr>
          <w:fldChar w:fldCharType="end"/>
        </w:r>
      </w:hyperlink>
    </w:p>
    <w:p w14:paraId="2BC0E076" w14:textId="166EC093" w:rsidR="00ED288A" w:rsidRDefault="00ED288A">
      <w:pPr>
        <w:pStyle w:val="TOC1"/>
        <w:tabs>
          <w:tab w:val="left" w:pos="482"/>
        </w:tabs>
        <w:rPr>
          <w:rFonts w:asciiTheme="minorHAnsi" w:eastAsiaTheme="minorEastAsia" w:hAnsiTheme="minorHAnsi"/>
          <w:noProof/>
          <w:color w:val="auto"/>
          <w:kern w:val="2"/>
          <w:szCs w:val="24"/>
          <w:lang w:eastAsia="en-GB"/>
          <w14:ligatures w14:val="standardContextual"/>
        </w:rPr>
      </w:pPr>
      <w:hyperlink w:anchor="_Toc209013278" w:history="1">
        <w:r w:rsidRPr="00E57E5E">
          <w:rPr>
            <w:rStyle w:val="Hyperlink"/>
            <w:noProof/>
          </w:rPr>
          <w:t>2.</w:t>
        </w:r>
        <w:r>
          <w:rPr>
            <w:rFonts w:asciiTheme="minorHAnsi" w:eastAsiaTheme="minorEastAsia" w:hAnsiTheme="minorHAnsi"/>
            <w:noProof/>
            <w:color w:val="auto"/>
            <w:kern w:val="2"/>
            <w:szCs w:val="24"/>
            <w:lang w:eastAsia="en-GB"/>
            <w14:ligatures w14:val="standardContextual"/>
          </w:rPr>
          <w:tab/>
        </w:r>
        <w:r w:rsidRPr="00E57E5E">
          <w:rPr>
            <w:rStyle w:val="Hyperlink"/>
            <w:noProof/>
          </w:rPr>
          <w:t>Evaluation Findings</w:t>
        </w:r>
        <w:r>
          <w:rPr>
            <w:noProof/>
            <w:webHidden/>
          </w:rPr>
          <w:tab/>
        </w:r>
        <w:r>
          <w:rPr>
            <w:noProof/>
            <w:webHidden/>
          </w:rPr>
          <w:fldChar w:fldCharType="begin"/>
        </w:r>
        <w:r>
          <w:rPr>
            <w:noProof/>
            <w:webHidden/>
          </w:rPr>
          <w:instrText xml:space="preserve"> PAGEREF _Toc209013278 \h </w:instrText>
        </w:r>
        <w:r>
          <w:rPr>
            <w:noProof/>
            <w:webHidden/>
          </w:rPr>
        </w:r>
        <w:r>
          <w:rPr>
            <w:noProof/>
            <w:webHidden/>
          </w:rPr>
          <w:fldChar w:fldCharType="separate"/>
        </w:r>
        <w:r w:rsidR="00ED1AD6">
          <w:rPr>
            <w:noProof/>
            <w:webHidden/>
          </w:rPr>
          <w:t>33</w:t>
        </w:r>
        <w:r>
          <w:rPr>
            <w:noProof/>
            <w:webHidden/>
          </w:rPr>
          <w:fldChar w:fldCharType="end"/>
        </w:r>
      </w:hyperlink>
    </w:p>
    <w:p w14:paraId="216FCCAF" w14:textId="681CD026" w:rsidR="00ED288A" w:rsidRDefault="00ED288A">
      <w:pPr>
        <w:pStyle w:val="TOC2"/>
        <w:rPr>
          <w:rFonts w:asciiTheme="minorHAnsi" w:eastAsiaTheme="minorEastAsia" w:hAnsiTheme="minorHAnsi"/>
          <w:noProof/>
          <w:color w:val="auto"/>
          <w:kern w:val="2"/>
          <w:szCs w:val="24"/>
          <w:lang w:eastAsia="en-GB"/>
          <w14:ligatures w14:val="standardContextual"/>
        </w:rPr>
      </w:pPr>
      <w:hyperlink w:anchor="_Toc209013279" w:history="1">
        <w:r w:rsidRPr="00E57E5E">
          <w:rPr>
            <w:rStyle w:val="Hyperlink"/>
            <w:noProof/>
          </w:rPr>
          <w:t>2.1 Relevance (responding to EQ1)</w:t>
        </w:r>
        <w:r>
          <w:rPr>
            <w:noProof/>
            <w:webHidden/>
          </w:rPr>
          <w:tab/>
        </w:r>
        <w:r>
          <w:rPr>
            <w:noProof/>
            <w:webHidden/>
          </w:rPr>
          <w:fldChar w:fldCharType="begin"/>
        </w:r>
        <w:r>
          <w:rPr>
            <w:noProof/>
            <w:webHidden/>
          </w:rPr>
          <w:instrText xml:space="preserve"> PAGEREF _Toc209013279 \h </w:instrText>
        </w:r>
        <w:r>
          <w:rPr>
            <w:noProof/>
            <w:webHidden/>
          </w:rPr>
        </w:r>
        <w:r>
          <w:rPr>
            <w:noProof/>
            <w:webHidden/>
          </w:rPr>
          <w:fldChar w:fldCharType="separate"/>
        </w:r>
        <w:r w:rsidR="00ED1AD6">
          <w:rPr>
            <w:noProof/>
            <w:webHidden/>
          </w:rPr>
          <w:t>33</w:t>
        </w:r>
        <w:r>
          <w:rPr>
            <w:noProof/>
            <w:webHidden/>
          </w:rPr>
          <w:fldChar w:fldCharType="end"/>
        </w:r>
      </w:hyperlink>
    </w:p>
    <w:p w14:paraId="590C29CB" w14:textId="05CB6843" w:rsidR="00ED288A" w:rsidRDefault="00ED288A">
      <w:pPr>
        <w:pStyle w:val="TOC3"/>
        <w:tabs>
          <w:tab w:val="right" w:leader="underscore" w:pos="10082"/>
        </w:tabs>
        <w:rPr>
          <w:rFonts w:asciiTheme="minorHAnsi" w:eastAsiaTheme="minorEastAsia" w:hAnsiTheme="minorHAnsi"/>
          <w:noProof/>
          <w:color w:val="auto"/>
          <w:kern w:val="2"/>
          <w:szCs w:val="24"/>
          <w:lang w:eastAsia="en-GB"/>
          <w14:ligatures w14:val="standardContextual"/>
        </w:rPr>
      </w:pPr>
      <w:hyperlink w:anchor="_Toc209013280" w:history="1">
        <w:r w:rsidRPr="00E57E5E">
          <w:rPr>
            <w:rStyle w:val="Hyperlink"/>
            <w:noProof/>
          </w:rPr>
          <w:t>2.1.1 Relevance of LEAF objectives and design relevance to wider stakeholders</w:t>
        </w:r>
        <w:r>
          <w:rPr>
            <w:noProof/>
            <w:webHidden/>
          </w:rPr>
          <w:tab/>
        </w:r>
        <w:r>
          <w:rPr>
            <w:noProof/>
            <w:webHidden/>
          </w:rPr>
          <w:fldChar w:fldCharType="begin"/>
        </w:r>
        <w:r>
          <w:rPr>
            <w:noProof/>
            <w:webHidden/>
          </w:rPr>
          <w:instrText xml:space="preserve"> PAGEREF _Toc209013280 \h </w:instrText>
        </w:r>
        <w:r>
          <w:rPr>
            <w:noProof/>
            <w:webHidden/>
          </w:rPr>
        </w:r>
        <w:r>
          <w:rPr>
            <w:noProof/>
            <w:webHidden/>
          </w:rPr>
          <w:fldChar w:fldCharType="separate"/>
        </w:r>
        <w:r w:rsidR="00ED1AD6">
          <w:rPr>
            <w:noProof/>
            <w:webHidden/>
          </w:rPr>
          <w:t>34</w:t>
        </w:r>
        <w:r>
          <w:rPr>
            <w:noProof/>
            <w:webHidden/>
          </w:rPr>
          <w:fldChar w:fldCharType="end"/>
        </w:r>
      </w:hyperlink>
    </w:p>
    <w:p w14:paraId="42AC30E1" w14:textId="69FBA0A5" w:rsidR="00ED288A" w:rsidRDefault="00ED288A">
      <w:pPr>
        <w:pStyle w:val="TOC3"/>
        <w:tabs>
          <w:tab w:val="right" w:leader="underscore" w:pos="10082"/>
        </w:tabs>
        <w:rPr>
          <w:rFonts w:asciiTheme="minorHAnsi" w:eastAsiaTheme="minorEastAsia" w:hAnsiTheme="minorHAnsi"/>
          <w:noProof/>
          <w:color w:val="auto"/>
          <w:kern w:val="2"/>
          <w:szCs w:val="24"/>
          <w:lang w:eastAsia="en-GB"/>
          <w14:ligatures w14:val="standardContextual"/>
        </w:rPr>
      </w:pPr>
      <w:hyperlink w:anchor="_Toc209013281" w:history="1">
        <w:r w:rsidRPr="00E57E5E">
          <w:rPr>
            <w:rStyle w:val="Hyperlink"/>
            <w:noProof/>
          </w:rPr>
          <w:t>2.1.2 Relevance of LEAF objectives and design relevance to host jurisdictions</w:t>
        </w:r>
        <w:r>
          <w:rPr>
            <w:noProof/>
            <w:webHidden/>
          </w:rPr>
          <w:tab/>
        </w:r>
        <w:r>
          <w:rPr>
            <w:noProof/>
            <w:webHidden/>
          </w:rPr>
          <w:fldChar w:fldCharType="begin"/>
        </w:r>
        <w:r>
          <w:rPr>
            <w:noProof/>
            <w:webHidden/>
          </w:rPr>
          <w:instrText xml:space="preserve"> PAGEREF _Toc209013281 \h </w:instrText>
        </w:r>
        <w:r>
          <w:rPr>
            <w:noProof/>
            <w:webHidden/>
          </w:rPr>
        </w:r>
        <w:r>
          <w:rPr>
            <w:noProof/>
            <w:webHidden/>
          </w:rPr>
          <w:fldChar w:fldCharType="separate"/>
        </w:r>
        <w:r w:rsidR="00ED1AD6">
          <w:rPr>
            <w:noProof/>
            <w:webHidden/>
          </w:rPr>
          <w:t>36</w:t>
        </w:r>
        <w:r>
          <w:rPr>
            <w:noProof/>
            <w:webHidden/>
          </w:rPr>
          <w:fldChar w:fldCharType="end"/>
        </w:r>
      </w:hyperlink>
    </w:p>
    <w:p w14:paraId="62DC034D" w14:textId="11E0ECB4" w:rsidR="00ED288A" w:rsidRDefault="00ED288A">
      <w:pPr>
        <w:pStyle w:val="TOC2"/>
        <w:rPr>
          <w:rFonts w:asciiTheme="minorHAnsi" w:eastAsiaTheme="minorEastAsia" w:hAnsiTheme="minorHAnsi"/>
          <w:noProof/>
          <w:color w:val="auto"/>
          <w:kern w:val="2"/>
          <w:szCs w:val="24"/>
          <w:lang w:eastAsia="en-GB"/>
          <w14:ligatures w14:val="standardContextual"/>
        </w:rPr>
      </w:pPr>
      <w:hyperlink w:anchor="_Toc209013282" w:history="1">
        <w:r w:rsidRPr="00E57E5E">
          <w:rPr>
            <w:rStyle w:val="Hyperlink"/>
            <w:noProof/>
          </w:rPr>
          <w:t>2.2 Coherence (responding to EQ2)</w:t>
        </w:r>
        <w:r>
          <w:rPr>
            <w:noProof/>
            <w:webHidden/>
          </w:rPr>
          <w:tab/>
        </w:r>
        <w:r>
          <w:rPr>
            <w:noProof/>
            <w:webHidden/>
          </w:rPr>
          <w:fldChar w:fldCharType="begin"/>
        </w:r>
        <w:r>
          <w:rPr>
            <w:noProof/>
            <w:webHidden/>
          </w:rPr>
          <w:instrText xml:space="preserve"> PAGEREF _Toc209013282 \h </w:instrText>
        </w:r>
        <w:r>
          <w:rPr>
            <w:noProof/>
            <w:webHidden/>
          </w:rPr>
        </w:r>
        <w:r>
          <w:rPr>
            <w:noProof/>
            <w:webHidden/>
          </w:rPr>
          <w:fldChar w:fldCharType="separate"/>
        </w:r>
        <w:r w:rsidR="00ED1AD6">
          <w:rPr>
            <w:noProof/>
            <w:webHidden/>
          </w:rPr>
          <w:t>37</w:t>
        </w:r>
        <w:r>
          <w:rPr>
            <w:noProof/>
            <w:webHidden/>
          </w:rPr>
          <w:fldChar w:fldCharType="end"/>
        </w:r>
      </w:hyperlink>
    </w:p>
    <w:p w14:paraId="2D777977" w14:textId="3528ED6E" w:rsidR="00ED288A" w:rsidRDefault="00ED288A">
      <w:pPr>
        <w:pStyle w:val="TOC3"/>
        <w:tabs>
          <w:tab w:val="right" w:leader="underscore" w:pos="10082"/>
        </w:tabs>
        <w:rPr>
          <w:rFonts w:asciiTheme="minorHAnsi" w:eastAsiaTheme="minorEastAsia" w:hAnsiTheme="minorHAnsi"/>
          <w:noProof/>
          <w:color w:val="auto"/>
          <w:kern w:val="2"/>
          <w:szCs w:val="24"/>
          <w:lang w:eastAsia="en-GB"/>
          <w14:ligatures w14:val="standardContextual"/>
        </w:rPr>
      </w:pPr>
      <w:hyperlink w:anchor="_Toc209013283" w:history="1">
        <w:r w:rsidRPr="00E57E5E">
          <w:rPr>
            <w:rStyle w:val="Hyperlink"/>
            <w:noProof/>
          </w:rPr>
          <w:t>2.2.1 Internal Coherence</w:t>
        </w:r>
        <w:r>
          <w:rPr>
            <w:noProof/>
            <w:webHidden/>
          </w:rPr>
          <w:tab/>
        </w:r>
        <w:r>
          <w:rPr>
            <w:noProof/>
            <w:webHidden/>
          </w:rPr>
          <w:fldChar w:fldCharType="begin"/>
        </w:r>
        <w:r>
          <w:rPr>
            <w:noProof/>
            <w:webHidden/>
          </w:rPr>
          <w:instrText xml:space="preserve"> PAGEREF _Toc209013283 \h </w:instrText>
        </w:r>
        <w:r>
          <w:rPr>
            <w:noProof/>
            <w:webHidden/>
          </w:rPr>
        </w:r>
        <w:r>
          <w:rPr>
            <w:noProof/>
            <w:webHidden/>
          </w:rPr>
          <w:fldChar w:fldCharType="separate"/>
        </w:r>
        <w:r w:rsidR="00ED1AD6">
          <w:rPr>
            <w:noProof/>
            <w:webHidden/>
          </w:rPr>
          <w:t>37</w:t>
        </w:r>
        <w:r>
          <w:rPr>
            <w:noProof/>
            <w:webHidden/>
          </w:rPr>
          <w:fldChar w:fldCharType="end"/>
        </w:r>
      </w:hyperlink>
    </w:p>
    <w:p w14:paraId="5B7B9190" w14:textId="14D5D19F" w:rsidR="00ED288A" w:rsidRDefault="00ED288A">
      <w:pPr>
        <w:pStyle w:val="TOC3"/>
        <w:tabs>
          <w:tab w:val="right" w:leader="underscore" w:pos="10082"/>
        </w:tabs>
        <w:rPr>
          <w:rFonts w:asciiTheme="minorHAnsi" w:eastAsiaTheme="minorEastAsia" w:hAnsiTheme="minorHAnsi"/>
          <w:noProof/>
          <w:color w:val="auto"/>
          <w:kern w:val="2"/>
          <w:szCs w:val="24"/>
          <w:lang w:eastAsia="en-GB"/>
          <w14:ligatures w14:val="standardContextual"/>
        </w:rPr>
      </w:pPr>
      <w:hyperlink w:anchor="_Toc209013284" w:history="1">
        <w:r w:rsidRPr="00E57E5E">
          <w:rPr>
            <w:rStyle w:val="Hyperlink"/>
            <w:noProof/>
          </w:rPr>
          <w:t>2.2.2 External Coherence</w:t>
        </w:r>
        <w:r>
          <w:rPr>
            <w:noProof/>
            <w:webHidden/>
          </w:rPr>
          <w:tab/>
        </w:r>
        <w:r>
          <w:rPr>
            <w:noProof/>
            <w:webHidden/>
          </w:rPr>
          <w:fldChar w:fldCharType="begin"/>
        </w:r>
        <w:r>
          <w:rPr>
            <w:noProof/>
            <w:webHidden/>
          </w:rPr>
          <w:instrText xml:space="preserve"> PAGEREF _Toc209013284 \h </w:instrText>
        </w:r>
        <w:r>
          <w:rPr>
            <w:noProof/>
            <w:webHidden/>
          </w:rPr>
        </w:r>
        <w:r>
          <w:rPr>
            <w:noProof/>
            <w:webHidden/>
          </w:rPr>
          <w:fldChar w:fldCharType="separate"/>
        </w:r>
        <w:r w:rsidR="00ED1AD6">
          <w:rPr>
            <w:noProof/>
            <w:webHidden/>
          </w:rPr>
          <w:t>38</w:t>
        </w:r>
        <w:r>
          <w:rPr>
            <w:noProof/>
            <w:webHidden/>
          </w:rPr>
          <w:fldChar w:fldCharType="end"/>
        </w:r>
      </w:hyperlink>
    </w:p>
    <w:p w14:paraId="2E8C1828" w14:textId="001C1A3C" w:rsidR="00ED288A" w:rsidRDefault="00ED288A">
      <w:pPr>
        <w:pStyle w:val="TOC2"/>
        <w:tabs>
          <w:tab w:val="left" w:pos="960"/>
        </w:tabs>
        <w:rPr>
          <w:rFonts w:asciiTheme="minorHAnsi" w:eastAsiaTheme="minorEastAsia" w:hAnsiTheme="minorHAnsi"/>
          <w:noProof/>
          <w:color w:val="auto"/>
          <w:kern w:val="2"/>
          <w:szCs w:val="24"/>
          <w:lang w:eastAsia="en-GB"/>
          <w14:ligatures w14:val="standardContextual"/>
        </w:rPr>
      </w:pPr>
      <w:hyperlink w:anchor="_Toc209013285" w:history="1">
        <w:r w:rsidRPr="00E57E5E">
          <w:rPr>
            <w:rStyle w:val="Hyperlink"/>
            <w:noProof/>
          </w:rPr>
          <w:t>2.3</w:t>
        </w:r>
        <w:r>
          <w:rPr>
            <w:rFonts w:asciiTheme="minorHAnsi" w:eastAsiaTheme="minorEastAsia" w:hAnsiTheme="minorHAnsi"/>
            <w:noProof/>
            <w:color w:val="auto"/>
            <w:kern w:val="2"/>
            <w:szCs w:val="24"/>
            <w:lang w:eastAsia="en-GB"/>
            <w14:ligatures w14:val="standardContextual"/>
          </w:rPr>
          <w:tab/>
        </w:r>
        <w:r w:rsidRPr="00E57E5E">
          <w:rPr>
            <w:rStyle w:val="Hyperlink"/>
            <w:noProof/>
          </w:rPr>
          <w:t>Effectiveness (responding to EQ3)</w:t>
        </w:r>
        <w:r>
          <w:rPr>
            <w:noProof/>
            <w:webHidden/>
          </w:rPr>
          <w:tab/>
        </w:r>
        <w:r>
          <w:rPr>
            <w:noProof/>
            <w:webHidden/>
          </w:rPr>
          <w:fldChar w:fldCharType="begin"/>
        </w:r>
        <w:r>
          <w:rPr>
            <w:noProof/>
            <w:webHidden/>
          </w:rPr>
          <w:instrText xml:space="preserve"> PAGEREF _Toc209013285 \h </w:instrText>
        </w:r>
        <w:r>
          <w:rPr>
            <w:noProof/>
            <w:webHidden/>
          </w:rPr>
        </w:r>
        <w:r>
          <w:rPr>
            <w:noProof/>
            <w:webHidden/>
          </w:rPr>
          <w:fldChar w:fldCharType="separate"/>
        </w:r>
        <w:r w:rsidR="00ED1AD6">
          <w:rPr>
            <w:noProof/>
            <w:webHidden/>
          </w:rPr>
          <w:t>39</w:t>
        </w:r>
        <w:r>
          <w:rPr>
            <w:noProof/>
            <w:webHidden/>
          </w:rPr>
          <w:fldChar w:fldCharType="end"/>
        </w:r>
      </w:hyperlink>
    </w:p>
    <w:p w14:paraId="4F877E03" w14:textId="29002860" w:rsidR="00ED288A" w:rsidRDefault="00ED288A">
      <w:pPr>
        <w:pStyle w:val="TOC3"/>
        <w:tabs>
          <w:tab w:val="right" w:leader="underscore" w:pos="10082"/>
        </w:tabs>
        <w:rPr>
          <w:rFonts w:asciiTheme="minorHAnsi" w:eastAsiaTheme="minorEastAsia" w:hAnsiTheme="minorHAnsi"/>
          <w:noProof/>
          <w:color w:val="auto"/>
          <w:kern w:val="2"/>
          <w:szCs w:val="24"/>
          <w:lang w:eastAsia="en-GB"/>
          <w14:ligatures w14:val="standardContextual"/>
        </w:rPr>
      </w:pPr>
      <w:hyperlink w:anchor="_Toc209013286" w:history="1">
        <w:r w:rsidRPr="00E57E5E">
          <w:rPr>
            <w:rStyle w:val="Hyperlink"/>
            <w:noProof/>
          </w:rPr>
          <w:t>2.3.1 Internal Systems</w:t>
        </w:r>
        <w:r>
          <w:rPr>
            <w:noProof/>
            <w:webHidden/>
          </w:rPr>
          <w:tab/>
        </w:r>
        <w:r>
          <w:rPr>
            <w:noProof/>
            <w:webHidden/>
          </w:rPr>
          <w:fldChar w:fldCharType="begin"/>
        </w:r>
        <w:r>
          <w:rPr>
            <w:noProof/>
            <w:webHidden/>
          </w:rPr>
          <w:instrText xml:space="preserve"> PAGEREF _Toc209013286 \h </w:instrText>
        </w:r>
        <w:r>
          <w:rPr>
            <w:noProof/>
            <w:webHidden/>
          </w:rPr>
        </w:r>
        <w:r>
          <w:rPr>
            <w:noProof/>
            <w:webHidden/>
          </w:rPr>
          <w:fldChar w:fldCharType="separate"/>
        </w:r>
        <w:r w:rsidR="00ED1AD6">
          <w:rPr>
            <w:noProof/>
            <w:webHidden/>
          </w:rPr>
          <w:t>40</w:t>
        </w:r>
        <w:r>
          <w:rPr>
            <w:noProof/>
            <w:webHidden/>
          </w:rPr>
          <w:fldChar w:fldCharType="end"/>
        </w:r>
      </w:hyperlink>
    </w:p>
    <w:p w14:paraId="1BFA1DDF" w14:textId="07A5B057" w:rsidR="00ED288A" w:rsidRDefault="00ED288A">
      <w:pPr>
        <w:pStyle w:val="TOC3"/>
        <w:tabs>
          <w:tab w:val="right" w:leader="underscore" w:pos="10082"/>
        </w:tabs>
        <w:rPr>
          <w:rFonts w:asciiTheme="minorHAnsi" w:eastAsiaTheme="minorEastAsia" w:hAnsiTheme="minorHAnsi"/>
          <w:noProof/>
          <w:color w:val="auto"/>
          <w:kern w:val="2"/>
          <w:szCs w:val="24"/>
          <w:lang w:eastAsia="en-GB"/>
          <w14:ligatures w14:val="standardContextual"/>
        </w:rPr>
      </w:pPr>
      <w:hyperlink w:anchor="_Toc209013287" w:history="1">
        <w:r w:rsidRPr="00E57E5E">
          <w:rPr>
            <w:rStyle w:val="Hyperlink"/>
            <w:noProof/>
          </w:rPr>
          <w:t>2.3.2 LEAF Transaction Architecture</w:t>
        </w:r>
        <w:r>
          <w:rPr>
            <w:noProof/>
            <w:webHidden/>
          </w:rPr>
          <w:tab/>
        </w:r>
        <w:r>
          <w:rPr>
            <w:noProof/>
            <w:webHidden/>
          </w:rPr>
          <w:fldChar w:fldCharType="begin"/>
        </w:r>
        <w:r>
          <w:rPr>
            <w:noProof/>
            <w:webHidden/>
          </w:rPr>
          <w:instrText xml:space="preserve"> PAGEREF _Toc209013287 \h </w:instrText>
        </w:r>
        <w:r>
          <w:rPr>
            <w:noProof/>
            <w:webHidden/>
          </w:rPr>
        </w:r>
        <w:r>
          <w:rPr>
            <w:noProof/>
            <w:webHidden/>
          </w:rPr>
          <w:fldChar w:fldCharType="separate"/>
        </w:r>
        <w:r w:rsidR="00ED1AD6">
          <w:rPr>
            <w:noProof/>
            <w:webHidden/>
          </w:rPr>
          <w:t>45</w:t>
        </w:r>
        <w:r>
          <w:rPr>
            <w:noProof/>
            <w:webHidden/>
          </w:rPr>
          <w:fldChar w:fldCharType="end"/>
        </w:r>
      </w:hyperlink>
    </w:p>
    <w:p w14:paraId="6558B340" w14:textId="4D7D26FC" w:rsidR="00ED288A" w:rsidRDefault="00ED288A">
      <w:pPr>
        <w:pStyle w:val="TOC3"/>
        <w:tabs>
          <w:tab w:val="right" w:leader="underscore" w:pos="10082"/>
        </w:tabs>
        <w:rPr>
          <w:rFonts w:asciiTheme="minorHAnsi" w:eastAsiaTheme="minorEastAsia" w:hAnsiTheme="minorHAnsi"/>
          <w:noProof/>
          <w:color w:val="auto"/>
          <w:kern w:val="2"/>
          <w:szCs w:val="24"/>
          <w:lang w:eastAsia="en-GB"/>
          <w14:ligatures w14:val="standardContextual"/>
        </w:rPr>
      </w:pPr>
      <w:hyperlink w:anchor="_Toc209013288" w:history="1">
        <w:r w:rsidRPr="00E57E5E">
          <w:rPr>
            <w:rStyle w:val="Hyperlink"/>
            <w:noProof/>
          </w:rPr>
          <w:t>2.3.3 LEAF Delivery</w:t>
        </w:r>
        <w:r>
          <w:rPr>
            <w:noProof/>
            <w:webHidden/>
          </w:rPr>
          <w:tab/>
        </w:r>
        <w:r>
          <w:rPr>
            <w:noProof/>
            <w:webHidden/>
          </w:rPr>
          <w:fldChar w:fldCharType="begin"/>
        </w:r>
        <w:r>
          <w:rPr>
            <w:noProof/>
            <w:webHidden/>
          </w:rPr>
          <w:instrText xml:space="preserve"> PAGEREF _Toc209013288 \h </w:instrText>
        </w:r>
        <w:r>
          <w:rPr>
            <w:noProof/>
            <w:webHidden/>
          </w:rPr>
        </w:r>
        <w:r>
          <w:rPr>
            <w:noProof/>
            <w:webHidden/>
          </w:rPr>
          <w:fldChar w:fldCharType="separate"/>
        </w:r>
        <w:r w:rsidR="00ED1AD6">
          <w:rPr>
            <w:noProof/>
            <w:webHidden/>
          </w:rPr>
          <w:t>47</w:t>
        </w:r>
        <w:r>
          <w:rPr>
            <w:noProof/>
            <w:webHidden/>
          </w:rPr>
          <w:fldChar w:fldCharType="end"/>
        </w:r>
      </w:hyperlink>
    </w:p>
    <w:p w14:paraId="16E183C8" w14:textId="73C1D9E0" w:rsidR="00ED288A" w:rsidRDefault="00ED288A">
      <w:pPr>
        <w:pStyle w:val="TOC2"/>
        <w:tabs>
          <w:tab w:val="left" w:pos="960"/>
        </w:tabs>
        <w:rPr>
          <w:rFonts w:asciiTheme="minorHAnsi" w:eastAsiaTheme="minorEastAsia" w:hAnsiTheme="minorHAnsi"/>
          <w:noProof/>
          <w:color w:val="auto"/>
          <w:kern w:val="2"/>
          <w:szCs w:val="24"/>
          <w:lang w:eastAsia="en-GB"/>
          <w14:ligatures w14:val="standardContextual"/>
        </w:rPr>
      </w:pPr>
      <w:hyperlink w:anchor="_Toc209013289" w:history="1">
        <w:r w:rsidRPr="00E57E5E">
          <w:rPr>
            <w:rStyle w:val="Hyperlink"/>
            <w:noProof/>
          </w:rPr>
          <w:t>2.4</w:t>
        </w:r>
        <w:r>
          <w:rPr>
            <w:rFonts w:asciiTheme="minorHAnsi" w:eastAsiaTheme="minorEastAsia" w:hAnsiTheme="minorHAnsi"/>
            <w:noProof/>
            <w:color w:val="auto"/>
            <w:kern w:val="2"/>
            <w:szCs w:val="24"/>
            <w:lang w:eastAsia="en-GB"/>
            <w14:ligatures w14:val="standardContextual"/>
          </w:rPr>
          <w:tab/>
        </w:r>
        <w:r w:rsidRPr="00E57E5E">
          <w:rPr>
            <w:rStyle w:val="Hyperlink"/>
            <w:noProof/>
          </w:rPr>
          <w:t>Efficiency (responding to EQ4)</w:t>
        </w:r>
        <w:r>
          <w:rPr>
            <w:noProof/>
            <w:webHidden/>
          </w:rPr>
          <w:tab/>
        </w:r>
        <w:r>
          <w:rPr>
            <w:noProof/>
            <w:webHidden/>
          </w:rPr>
          <w:fldChar w:fldCharType="begin"/>
        </w:r>
        <w:r>
          <w:rPr>
            <w:noProof/>
            <w:webHidden/>
          </w:rPr>
          <w:instrText xml:space="preserve"> PAGEREF _Toc209013289 \h </w:instrText>
        </w:r>
        <w:r>
          <w:rPr>
            <w:noProof/>
            <w:webHidden/>
          </w:rPr>
        </w:r>
        <w:r>
          <w:rPr>
            <w:noProof/>
            <w:webHidden/>
          </w:rPr>
          <w:fldChar w:fldCharType="separate"/>
        </w:r>
        <w:r w:rsidR="00ED1AD6">
          <w:rPr>
            <w:noProof/>
            <w:webHidden/>
          </w:rPr>
          <w:t>51</w:t>
        </w:r>
        <w:r>
          <w:rPr>
            <w:noProof/>
            <w:webHidden/>
          </w:rPr>
          <w:fldChar w:fldCharType="end"/>
        </w:r>
      </w:hyperlink>
    </w:p>
    <w:p w14:paraId="648947DA" w14:textId="3E94AE5D" w:rsidR="00ED288A" w:rsidRDefault="00ED288A">
      <w:pPr>
        <w:pStyle w:val="TOC3"/>
        <w:tabs>
          <w:tab w:val="right" w:leader="underscore" w:pos="10082"/>
        </w:tabs>
        <w:rPr>
          <w:rFonts w:asciiTheme="minorHAnsi" w:eastAsiaTheme="minorEastAsia" w:hAnsiTheme="minorHAnsi"/>
          <w:noProof/>
          <w:color w:val="auto"/>
          <w:kern w:val="2"/>
          <w:szCs w:val="24"/>
          <w:lang w:eastAsia="en-GB"/>
          <w14:ligatures w14:val="standardContextual"/>
        </w:rPr>
      </w:pPr>
      <w:hyperlink w:anchor="_Toc209013290" w:history="1">
        <w:r w:rsidRPr="00E57E5E">
          <w:rPr>
            <w:rStyle w:val="Hyperlink"/>
            <w:noProof/>
          </w:rPr>
          <w:t>2.4.1 Technical Assistance Implementation</w:t>
        </w:r>
        <w:r>
          <w:rPr>
            <w:noProof/>
            <w:webHidden/>
          </w:rPr>
          <w:tab/>
        </w:r>
        <w:r>
          <w:rPr>
            <w:noProof/>
            <w:webHidden/>
          </w:rPr>
          <w:fldChar w:fldCharType="begin"/>
        </w:r>
        <w:r>
          <w:rPr>
            <w:noProof/>
            <w:webHidden/>
          </w:rPr>
          <w:instrText xml:space="preserve"> PAGEREF _Toc209013290 \h </w:instrText>
        </w:r>
        <w:r>
          <w:rPr>
            <w:noProof/>
            <w:webHidden/>
          </w:rPr>
        </w:r>
        <w:r>
          <w:rPr>
            <w:noProof/>
            <w:webHidden/>
          </w:rPr>
          <w:fldChar w:fldCharType="separate"/>
        </w:r>
        <w:r w:rsidR="00ED1AD6">
          <w:rPr>
            <w:noProof/>
            <w:webHidden/>
          </w:rPr>
          <w:t>51</w:t>
        </w:r>
        <w:r>
          <w:rPr>
            <w:noProof/>
            <w:webHidden/>
          </w:rPr>
          <w:fldChar w:fldCharType="end"/>
        </w:r>
      </w:hyperlink>
    </w:p>
    <w:p w14:paraId="019658E1" w14:textId="3C9E4B88" w:rsidR="00ED288A" w:rsidRDefault="00ED288A">
      <w:pPr>
        <w:pStyle w:val="TOC3"/>
        <w:tabs>
          <w:tab w:val="right" w:leader="underscore" w:pos="10082"/>
        </w:tabs>
        <w:rPr>
          <w:rFonts w:asciiTheme="minorHAnsi" w:eastAsiaTheme="minorEastAsia" w:hAnsiTheme="minorHAnsi"/>
          <w:noProof/>
          <w:color w:val="auto"/>
          <w:kern w:val="2"/>
          <w:szCs w:val="24"/>
          <w:lang w:eastAsia="en-GB"/>
          <w14:ligatures w14:val="standardContextual"/>
        </w:rPr>
      </w:pPr>
      <w:hyperlink w:anchor="_Toc209013291" w:history="1">
        <w:r w:rsidRPr="00E57E5E">
          <w:rPr>
            <w:rStyle w:val="Hyperlink"/>
            <w:noProof/>
          </w:rPr>
          <w:t>2.4.2 Leveraging of Private Finance</w:t>
        </w:r>
        <w:r>
          <w:rPr>
            <w:noProof/>
            <w:webHidden/>
          </w:rPr>
          <w:tab/>
        </w:r>
        <w:r>
          <w:rPr>
            <w:noProof/>
            <w:webHidden/>
          </w:rPr>
          <w:fldChar w:fldCharType="begin"/>
        </w:r>
        <w:r>
          <w:rPr>
            <w:noProof/>
            <w:webHidden/>
          </w:rPr>
          <w:instrText xml:space="preserve"> PAGEREF _Toc209013291 \h </w:instrText>
        </w:r>
        <w:r>
          <w:rPr>
            <w:noProof/>
            <w:webHidden/>
          </w:rPr>
        </w:r>
        <w:r>
          <w:rPr>
            <w:noProof/>
            <w:webHidden/>
          </w:rPr>
          <w:fldChar w:fldCharType="separate"/>
        </w:r>
        <w:r w:rsidR="00ED1AD6">
          <w:rPr>
            <w:noProof/>
            <w:webHidden/>
          </w:rPr>
          <w:t>53</w:t>
        </w:r>
        <w:r>
          <w:rPr>
            <w:noProof/>
            <w:webHidden/>
          </w:rPr>
          <w:fldChar w:fldCharType="end"/>
        </w:r>
      </w:hyperlink>
    </w:p>
    <w:p w14:paraId="7FDC6BAD" w14:textId="0D633CEB" w:rsidR="00ED288A" w:rsidRDefault="00ED288A">
      <w:pPr>
        <w:pStyle w:val="TOC2"/>
        <w:tabs>
          <w:tab w:val="left" w:pos="960"/>
        </w:tabs>
        <w:rPr>
          <w:rFonts w:asciiTheme="minorHAnsi" w:eastAsiaTheme="minorEastAsia" w:hAnsiTheme="minorHAnsi"/>
          <w:noProof/>
          <w:color w:val="auto"/>
          <w:kern w:val="2"/>
          <w:szCs w:val="24"/>
          <w:lang w:eastAsia="en-GB"/>
          <w14:ligatures w14:val="standardContextual"/>
        </w:rPr>
      </w:pPr>
      <w:hyperlink w:anchor="_Toc209013292" w:history="1">
        <w:r w:rsidRPr="00E57E5E">
          <w:rPr>
            <w:rStyle w:val="Hyperlink"/>
            <w:noProof/>
          </w:rPr>
          <w:t>2.5</w:t>
        </w:r>
        <w:r>
          <w:rPr>
            <w:rFonts w:asciiTheme="minorHAnsi" w:eastAsiaTheme="minorEastAsia" w:hAnsiTheme="minorHAnsi"/>
            <w:noProof/>
            <w:color w:val="auto"/>
            <w:kern w:val="2"/>
            <w:szCs w:val="24"/>
            <w:lang w:eastAsia="en-GB"/>
            <w14:ligatures w14:val="standardContextual"/>
          </w:rPr>
          <w:tab/>
        </w:r>
        <w:r w:rsidRPr="00E57E5E">
          <w:rPr>
            <w:rStyle w:val="Hyperlink"/>
            <w:noProof/>
          </w:rPr>
          <w:t>Value for Money (responding to EQ5)</w:t>
        </w:r>
        <w:r>
          <w:rPr>
            <w:noProof/>
            <w:webHidden/>
          </w:rPr>
          <w:tab/>
        </w:r>
        <w:r>
          <w:rPr>
            <w:noProof/>
            <w:webHidden/>
          </w:rPr>
          <w:fldChar w:fldCharType="begin"/>
        </w:r>
        <w:r>
          <w:rPr>
            <w:noProof/>
            <w:webHidden/>
          </w:rPr>
          <w:instrText xml:space="preserve"> PAGEREF _Toc209013292 \h </w:instrText>
        </w:r>
        <w:r>
          <w:rPr>
            <w:noProof/>
            <w:webHidden/>
          </w:rPr>
        </w:r>
        <w:r>
          <w:rPr>
            <w:noProof/>
            <w:webHidden/>
          </w:rPr>
          <w:fldChar w:fldCharType="separate"/>
        </w:r>
        <w:r w:rsidR="00ED1AD6">
          <w:rPr>
            <w:noProof/>
            <w:webHidden/>
          </w:rPr>
          <w:t>55</w:t>
        </w:r>
        <w:r>
          <w:rPr>
            <w:noProof/>
            <w:webHidden/>
          </w:rPr>
          <w:fldChar w:fldCharType="end"/>
        </w:r>
      </w:hyperlink>
    </w:p>
    <w:p w14:paraId="461BD80A" w14:textId="191DE945" w:rsidR="00ED288A" w:rsidRDefault="00ED288A">
      <w:pPr>
        <w:pStyle w:val="TOC3"/>
        <w:tabs>
          <w:tab w:val="right" w:leader="underscore" w:pos="10082"/>
        </w:tabs>
        <w:rPr>
          <w:rFonts w:asciiTheme="minorHAnsi" w:eastAsiaTheme="minorEastAsia" w:hAnsiTheme="minorHAnsi"/>
          <w:noProof/>
          <w:color w:val="auto"/>
          <w:kern w:val="2"/>
          <w:szCs w:val="24"/>
          <w:lang w:eastAsia="en-GB"/>
          <w14:ligatures w14:val="standardContextual"/>
        </w:rPr>
      </w:pPr>
      <w:hyperlink w:anchor="_Toc209013293" w:history="1">
        <w:r w:rsidRPr="00E57E5E">
          <w:rPr>
            <w:rStyle w:val="Hyperlink"/>
            <w:noProof/>
          </w:rPr>
          <w:t>2.5.1 Economy</w:t>
        </w:r>
        <w:r>
          <w:rPr>
            <w:noProof/>
            <w:webHidden/>
          </w:rPr>
          <w:tab/>
        </w:r>
        <w:r>
          <w:rPr>
            <w:noProof/>
            <w:webHidden/>
          </w:rPr>
          <w:fldChar w:fldCharType="begin"/>
        </w:r>
        <w:r>
          <w:rPr>
            <w:noProof/>
            <w:webHidden/>
          </w:rPr>
          <w:instrText xml:space="preserve"> PAGEREF _Toc209013293 \h </w:instrText>
        </w:r>
        <w:r>
          <w:rPr>
            <w:noProof/>
            <w:webHidden/>
          </w:rPr>
        </w:r>
        <w:r>
          <w:rPr>
            <w:noProof/>
            <w:webHidden/>
          </w:rPr>
          <w:fldChar w:fldCharType="separate"/>
        </w:r>
        <w:r w:rsidR="00ED1AD6">
          <w:rPr>
            <w:noProof/>
            <w:webHidden/>
          </w:rPr>
          <w:t>56</w:t>
        </w:r>
        <w:r>
          <w:rPr>
            <w:noProof/>
            <w:webHidden/>
          </w:rPr>
          <w:fldChar w:fldCharType="end"/>
        </w:r>
      </w:hyperlink>
    </w:p>
    <w:p w14:paraId="353BD751" w14:textId="601442F9" w:rsidR="00ED288A" w:rsidRDefault="00ED288A">
      <w:pPr>
        <w:pStyle w:val="TOC3"/>
        <w:tabs>
          <w:tab w:val="right" w:leader="underscore" w:pos="10082"/>
        </w:tabs>
        <w:rPr>
          <w:rFonts w:asciiTheme="minorHAnsi" w:eastAsiaTheme="minorEastAsia" w:hAnsiTheme="minorHAnsi"/>
          <w:noProof/>
          <w:color w:val="auto"/>
          <w:kern w:val="2"/>
          <w:szCs w:val="24"/>
          <w:lang w:eastAsia="en-GB"/>
          <w14:ligatures w14:val="standardContextual"/>
        </w:rPr>
      </w:pPr>
      <w:hyperlink w:anchor="_Toc209013294" w:history="1">
        <w:r w:rsidRPr="00E57E5E">
          <w:rPr>
            <w:rStyle w:val="Hyperlink"/>
            <w:noProof/>
          </w:rPr>
          <w:t>2.5.2 Efficiency</w:t>
        </w:r>
        <w:r>
          <w:rPr>
            <w:noProof/>
            <w:webHidden/>
          </w:rPr>
          <w:tab/>
        </w:r>
        <w:r>
          <w:rPr>
            <w:noProof/>
            <w:webHidden/>
          </w:rPr>
          <w:fldChar w:fldCharType="begin"/>
        </w:r>
        <w:r>
          <w:rPr>
            <w:noProof/>
            <w:webHidden/>
          </w:rPr>
          <w:instrText xml:space="preserve"> PAGEREF _Toc209013294 \h </w:instrText>
        </w:r>
        <w:r>
          <w:rPr>
            <w:noProof/>
            <w:webHidden/>
          </w:rPr>
        </w:r>
        <w:r>
          <w:rPr>
            <w:noProof/>
            <w:webHidden/>
          </w:rPr>
          <w:fldChar w:fldCharType="separate"/>
        </w:r>
        <w:r w:rsidR="00ED1AD6">
          <w:rPr>
            <w:noProof/>
            <w:webHidden/>
          </w:rPr>
          <w:t>58</w:t>
        </w:r>
        <w:r>
          <w:rPr>
            <w:noProof/>
            <w:webHidden/>
          </w:rPr>
          <w:fldChar w:fldCharType="end"/>
        </w:r>
      </w:hyperlink>
    </w:p>
    <w:p w14:paraId="53C0168A" w14:textId="6D269A0A" w:rsidR="00ED288A" w:rsidRDefault="00ED288A">
      <w:pPr>
        <w:pStyle w:val="TOC3"/>
        <w:tabs>
          <w:tab w:val="right" w:leader="underscore" w:pos="10082"/>
        </w:tabs>
        <w:rPr>
          <w:rFonts w:asciiTheme="minorHAnsi" w:eastAsiaTheme="minorEastAsia" w:hAnsiTheme="minorHAnsi"/>
          <w:noProof/>
          <w:color w:val="auto"/>
          <w:kern w:val="2"/>
          <w:szCs w:val="24"/>
          <w:lang w:eastAsia="en-GB"/>
          <w14:ligatures w14:val="standardContextual"/>
        </w:rPr>
      </w:pPr>
      <w:hyperlink w:anchor="_Toc209013295" w:history="1">
        <w:r w:rsidRPr="00E57E5E">
          <w:rPr>
            <w:rStyle w:val="Hyperlink"/>
            <w:noProof/>
          </w:rPr>
          <w:t>2.5.3 Effectiveness</w:t>
        </w:r>
        <w:r>
          <w:rPr>
            <w:noProof/>
            <w:webHidden/>
          </w:rPr>
          <w:tab/>
        </w:r>
        <w:r>
          <w:rPr>
            <w:noProof/>
            <w:webHidden/>
          </w:rPr>
          <w:fldChar w:fldCharType="begin"/>
        </w:r>
        <w:r>
          <w:rPr>
            <w:noProof/>
            <w:webHidden/>
          </w:rPr>
          <w:instrText xml:space="preserve"> PAGEREF _Toc209013295 \h </w:instrText>
        </w:r>
        <w:r>
          <w:rPr>
            <w:noProof/>
            <w:webHidden/>
          </w:rPr>
        </w:r>
        <w:r>
          <w:rPr>
            <w:noProof/>
            <w:webHidden/>
          </w:rPr>
          <w:fldChar w:fldCharType="separate"/>
        </w:r>
        <w:r w:rsidR="00ED1AD6">
          <w:rPr>
            <w:noProof/>
            <w:webHidden/>
          </w:rPr>
          <w:t>58</w:t>
        </w:r>
        <w:r>
          <w:rPr>
            <w:noProof/>
            <w:webHidden/>
          </w:rPr>
          <w:fldChar w:fldCharType="end"/>
        </w:r>
      </w:hyperlink>
    </w:p>
    <w:p w14:paraId="0B2D9D5A" w14:textId="013057DF" w:rsidR="00ED288A" w:rsidRDefault="00ED288A">
      <w:pPr>
        <w:pStyle w:val="TOC3"/>
        <w:tabs>
          <w:tab w:val="right" w:leader="underscore" w:pos="10082"/>
        </w:tabs>
        <w:rPr>
          <w:rFonts w:asciiTheme="minorHAnsi" w:eastAsiaTheme="minorEastAsia" w:hAnsiTheme="minorHAnsi"/>
          <w:noProof/>
          <w:color w:val="auto"/>
          <w:kern w:val="2"/>
          <w:szCs w:val="24"/>
          <w:lang w:eastAsia="en-GB"/>
          <w14:ligatures w14:val="standardContextual"/>
        </w:rPr>
      </w:pPr>
      <w:hyperlink w:anchor="_Toc209013296" w:history="1">
        <w:r w:rsidRPr="00E57E5E">
          <w:rPr>
            <w:rStyle w:val="Hyperlink"/>
            <w:noProof/>
          </w:rPr>
          <w:t>2.5.4 Relevance</w:t>
        </w:r>
        <w:r>
          <w:rPr>
            <w:noProof/>
            <w:webHidden/>
          </w:rPr>
          <w:tab/>
        </w:r>
        <w:r>
          <w:rPr>
            <w:noProof/>
            <w:webHidden/>
          </w:rPr>
          <w:fldChar w:fldCharType="begin"/>
        </w:r>
        <w:r>
          <w:rPr>
            <w:noProof/>
            <w:webHidden/>
          </w:rPr>
          <w:instrText xml:space="preserve"> PAGEREF _Toc209013296 \h </w:instrText>
        </w:r>
        <w:r>
          <w:rPr>
            <w:noProof/>
            <w:webHidden/>
          </w:rPr>
        </w:r>
        <w:r>
          <w:rPr>
            <w:noProof/>
            <w:webHidden/>
          </w:rPr>
          <w:fldChar w:fldCharType="separate"/>
        </w:r>
        <w:r w:rsidR="00ED1AD6">
          <w:rPr>
            <w:noProof/>
            <w:webHidden/>
          </w:rPr>
          <w:t>58</w:t>
        </w:r>
        <w:r>
          <w:rPr>
            <w:noProof/>
            <w:webHidden/>
          </w:rPr>
          <w:fldChar w:fldCharType="end"/>
        </w:r>
      </w:hyperlink>
    </w:p>
    <w:p w14:paraId="6FFA4AC7" w14:textId="3FCE6FB3" w:rsidR="00ED288A" w:rsidRDefault="00ED288A">
      <w:pPr>
        <w:pStyle w:val="TOC3"/>
        <w:tabs>
          <w:tab w:val="right" w:leader="underscore" w:pos="10082"/>
        </w:tabs>
        <w:rPr>
          <w:rFonts w:asciiTheme="minorHAnsi" w:eastAsiaTheme="minorEastAsia" w:hAnsiTheme="minorHAnsi"/>
          <w:noProof/>
          <w:color w:val="auto"/>
          <w:kern w:val="2"/>
          <w:szCs w:val="24"/>
          <w:lang w:eastAsia="en-GB"/>
          <w14:ligatures w14:val="standardContextual"/>
        </w:rPr>
      </w:pPr>
      <w:hyperlink w:anchor="_Toc209013297" w:history="1">
        <w:r w:rsidRPr="00E57E5E">
          <w:rPr>
            <w:rStyle w:val="Hyperlink"/>
            <w:noProof/>
          </w:rPr>
          <w:t>2.5.5 VfM recommendations</w:t>
        </w:r>
        <w:r>
          <w:rPr>
            <w:noProof/>
            <w:webHidden/>
          </w:rPr>
          <w:tab/>
        </w:r>
        <w:r>
          <w:rPr>
            <w:noProof/>
            <w:webHidden/>
          </w:rPr>
          <w:fldChar w:fldCharType="begin"/>
        </w:r>
        <w:r>
          <w:rPr>
            <w:noProof/>
            <w:webHidden/>
          </w:rPr>
          <w:instrText xml:space="preserve"> PAGEREF _Toc209013297 \h </w:instrText>
        </w:r>
        <w:r>
          <w:rPr>
            <w:noProof/>
            <w:webHidden/>
          </w:rPr>
        </w:r>
        <w:r>
          <w:rPr>
            <w:noProof/>
            <w:webHidden/>
          </w:rPr>
          <w:fldChar w:fldCharType="separate"/>
        </w:r>
        <w:r w:rsidR="00ED1AD6">
          <w:rPr>
            <w:noProof/>
            <w:webHidden/>
          </w:rPr>
          <w:t>59</w:t>
        </w:r>
        <w:r>
          <w:rPr>
            <w:noProof/>
            <w:webHidden/>
          </w:rPr>
          <w:fldChar w:fldCharType="end"/>
        </w:r>
      </w:hyperlink>
    </w:p>
    <w:p w14:paraId="7013A043" w14:textId="0A5CE7EA" w:rsidR="00ED288A" w:rsidRDefault="00ED288A">
      <w:pPr>
        <w:pStyle w:val="TOC2"/>
        <w:tabs>
          <w:tab w:val="left" w:pos="960"/>
        </w:tabs>
        <w:rPr>
          <w:rFonts w:asciiTheme="minorHAnsi" w:eastAsiaTheme="minorEastAsia" w:hAnsiTheme="minorHAnsi"/>
          <w:noProof/>
          <w:color w:val="auto"/>
          <w:kern w:val="2"/>
          <w:szCs w:val="24"/>
          <w:lang w:eastAsia="en-GB"/>
          <w14:ligatures w14:val="standardContextual"/>
        </w:rPr>
      </w:pPr>
      <w:hyperlink w:anchor="_Toc209013298" w:history="1">
        <w:r w:rsidRPr="00E57E5E">
          <w:rPr>
            <w:rStyle w:val="Hyperlink"/>
            <w:noProof/>
          </w:rPr>
          <w:t>2.6</w:t>
        </w:r>
        <w:r>
          <w:rPr>
            <w:rFonts w:asciiTheme="minorHAnsi" w:eastAsiaTheme="minorEastAsia" w:hAnsiTheme="minorHAnsi"/>
            <w:noProof/>
            <w:color w:val="auto"/>
            <w:kern w:val="2"/>
            <w:szCs w:val="24"/>
            <w:lang w:eastAsia="en-GB"/>
            <w14:ligatures w14:val="standardContextual"/>
          </w:rPr>
          <w:tab/>
        </w:r>
        <w:r w:rsidRPr="00E57E5E">
          <w:rPr>
            <w:rStyle w:val="Hyperlink"/>
            <w:noProof/>
          </w:rPr>
          <w:t>Gender, Equality, Disability, Social Inclusion and Equity (responding to EQ6)</w:t>
        </w:r>
        <w:r>
          <w:rPr>
            <w:noProof/>
            <w:webHidden/>
          </w:rPr>
          <w:tab/>
        </w:r>
        <w:r>
          <w:rPr>
            <w:noProof/>
            <w:webHidden/>
          </w:rPr>
          <w:fldChar w:fldCharType="begin"/>
        </w:r>
        <w:r>
          <w:rPr>
            <w:noProof/>
            <w:webHidden/>
          </w:rPr>
          <w:instrText xml:space="preserve"> PAGEREF _Toc209013298 \h </w:instrText>
        </w:r>
        <w:r>
          <w:rPr>
            <w:noProof/>
            <w:webHidden/>
          </w:rPr>
        </w:r>
        <w:r>
          <w:rPr>
            <w:noProof/>
            <w:webHidden/>
          </w:rPr>
          <w:fldChar w:fldCharType="separate"/>
        </w:r>
        <w:r w:rsidR="00ED1AD6">
          <w:rPr>
            <w:noProof/>
            <w:webHidden/>
          </w:rPr>
          <w:t>59</w:t>
        </w:r>
        <w:r>
          <w:rPr>
            <w:noProof/>
            <w:webHidden/>
          </w:rPr>
          <w:fldChar w:fldCharType="end"/>
        </w:r>
      </w:hyperlink>
    </w:p>
    <w:p w14:paraId="3BF820CD" w14:textId="650D63D3" w:rsidR="00ED288A" w:rsidRDefault="00ED288A">
      <w:pPr>
        <w:pStyle w:val="TOC3"/>
        <w:tabs>
          <w:tab w:val="right" w:leader="underscore" w:pos="10082"/>
        </w:tabs>
        <w:rPr>
          <w:rFonts w:asciiTheme="minorHAnsi" w:eastAsiaTheme="minorEastAsia" w:hAnsiTheme="minorHAnsi"/>
          <w:noProof/>
          <w:color w:val="auto"/>
          <w:kern w:val="2"/>
          <w:szCs w:val="24"/>
          <w:lang w:eastAsia="en-GB"/>
          <w14:ligatures w14:val="standardContextual"/>
        </w:rPr>
      </w:pPr>
      <w:hyperlink w:anchor="_Toc209013299" w:history="1">
        <w:r w:rsidRPr="00E57E5E">
          <w:rPr>
            <w:rStyle w:val="Hyperlink"/>
            <w:noProof/>
          </w:rPr>
          <w:t>2.6.1 Gender, Equality, Disability, Social Inclusion and Protection from Sexual Exploitation, Abuse and Harassment policy and analysis</w:t>
        </w:r>
        <w:r>
          <w:rPr>
            <w:noProof/>
            <w:webHidden/>
          </w:rPr>
          <w:tab/>
        </w:r>
        <w:r>
          <w:rPr>
            <w:noProof/>
            <w:webHidden/>
          </w:rPr>
          <w:fldChar w:fldCharType="begin"/>
        </w:r>
        <w:r>
          <w:rPr>
            <w:noProof/>
            <w:webHidden/>
          </w:rPr>
          <w:instrText xml:space="preserve"> PAGEREF _Toc209013299 \h </w:instrText>
        </w:r>
        <w:r>
          <w:rPr>
            <w:noProof/>
            <w:webHidden/>
          </w:rPr>
        </w:r>
        <w:r>
          <w:rPr>
            <w:noProof/>
            <w:webHidden/>
          </w:rPr>
          <w:fldChar w:fldCharType="separate"/>
        </w:r>
        <w:r w:rsidR="00ED1AD6">
          <w:rPr>
            <w:noProof/>
            <w:webHidden/>
          </w:rPr>
          <w:t>60</w:t>
        </w:r>
        <w:r>
          <w:rPr>
            <w:noProof/>
            <w:webHidden/>
          </w:rPr>
          <w:fldChar w:fldCharType="end"/>
        </w:r>
      </w:hyperlink>
    </w:p>
    <w:p w14:paraId="390F390E" w14:textId="2A94BA48" w:rsidR="00ED288A" w:rsidRDefault="00ED288A">
      <w:pPr>
        <w:pStyle w:val="TOC3"/>
        <w:tabs>
          <w:tab w:val="right" w:leader="underscore" w:pos="10082"/>
        </w:tabs>
        <w:rPr>
          <w:rFonts w:asciiTheme="minorHAnsi" w:eastAsiaTheme="minorEastAsia" w:hAnsiTheme="minorHAnsi"/>
          <w:noProof/>
          <w:color w:val="auto"/>
          <w:kern w:val="2"/>
          <w:szCs w:val="24"/>
          <w:lang w:eastAsia="en-GB"/>
          <w14:ligatures w14:val="standardContextual"/>
        </w:rPr>
      </w:pPr>
      <w:hyperlink w:anchor="_Toc209013300" w:history="1">
        <w:r w:rsidRPr="00E57E5E">
          <w:rPr>
            <w:rStyle w:val="Hyperlink"/>
            <w:noProof/>
          </w:rPr>
          <w:t>2.6.2 Indigenous Peoples and Local Communities Engagement</w:t>
        </w:r>
        <w:r>
          <w:rPr>
            <w:noProof/>
            <w:webHidden/>
          </w:rPr>
          <w:tab/>
        </w:r>
        <w:r>
          <w:rPr>
            <w:noProof/>
            <w:webHidden/>
          </w:rPr>
          <w:fldChar w:fldCharType="begin"/>
        </w:r>
        <w:r>
          <w:rPr>
            <w:noProof/>
            <w:webHidden/>
          </w:rPr>
          <w:instrText xml:space="preserve"> PAGEREF _Toc209013300 \h </w:instrText>
        </w:r>
        <w:r>
          <w:rPr>
            <w:noProof/>
            <w:webHidden/>
          </w:rPr>
        </w:r>
        <w:r>
          <w:rPr>
            <w:noProof/>
            <w:webHidden/>
          </w:rPr>
          <w:fldChar w:fldCharType="separate"/>
        </w:r>
        <w:r w:rsidR="00ED1AD6">
          <w:rPr>
            <w:noProof/>
            <w:webHidden/>
          </w:rPr>
          <w:t>61</w:t>
        </w:r>
        <w:r>
          <w:rPr>
            <w:noProof/>
            <w:webHidden/>
          </w:rPr>
          <w:fldChar w:fldCharType="end"/>
        </w:r>
      </w:hyperlink>
    </w:p>
    <w:p w14:paraId="180CAD19" w14:textId="47AEE2C3" w:rsidR="00ED288A" w:rsidRDefault="00ED288A">
      <w:pPr>
        <w:pStyle w:val="TOC3"/>
        <w:tabs>
          <w:tab w:val="right" w:leader="underscore" w:pos="10082"/>
        </w:tabs>
        <w:rPr>
          <w:rFonts w:asciiTheme="minorHAnsi" w:eastAsiaTheme="minorEastAsia" w:hAnsiTheme="minorHAnsi"/>
          <w:noProof/>
          <w:color w:val="auto"/>
          <w:kern w:val="2"/>
          <w:szCs w:val="24"/>
          <w:lang w:eastAsia="en-GB"/>
          <w14:ligatures w14:val="standardContextual"/>
        </w:rPr>
      </w:pPr>
      <w:hyperlink w:anchor="_Toc209013301" w:history="1">
        <w:r w:rsidRPr="00E57E5E">
          <w:rPr>
            <w:rStyle w:val="Hyperlink"/>
            <w:noProof/>
          </w:rPr>
          <w:t>2.6.3 Unintended effects on host jurisdictions and IP and LCs</w:t>
        </w:r>
        <w:r>
          <w:rPr>
            <w:noProof/>
            <w:webHidden/>
          </w:rPr>
          <w:tab/>
        </w:r>
        <w:r>
          <w:rPr>
            <w:noProof/>
            <w:webHidden/>
          </w:rPr>
          <w:fldChar w:fldCharType="begin"/>
        </w:r>
        <w:r>
          <w:rPr>
            <w:noProof/>
            <w:webHidden/>
          </w:rPr>
          <w:instrText xml:space="preserve"> PAGEREF _Toc209013301 \h </w:instrText>
        </w:r>
        <w:r>
          <w:rPr>
            <w:noProof/>
            <w:webHidden/>
          </w:rPr>
        </w:r>
        <w:r>
          <w:rPr>
            <w:noProof/>
            <w:webHidden/>
          </w:rPr>
          <w:fldChar w:fldCharType="separate"/>
        </w:r>
        <w:r w:rsidR="00ED1AD6">
          <w:rPr>
            <w:noProof/>
            <w:webHidden/>
          </w:rPr>
          <w:t>62</w:t>
        </w:r>
        <w:r>
          <w:rPr>
            <w:noProof/>
            <w:webHidden/>
          </w:rPr>
          <w:fldChar w:fldCharType="end"/>
        </w:r>
      </w:hyperlink>
    </w:p>
    <w:p w14:paraId="395957D9" w14:textId="716E03AE" w:rsidR="00ED288A" w:rsidRDefault="00ED288A">
      <w:pPr>
        <w:pStyle w:val="TOC1"/>
        <w:tabs>
          <w:tab w:val="left" w:pos="482"/>
        </w:tabs>
        <w:rPr>
          <w:rFonts w:asciiTheme="minorHAnsi" w:eastAsiaTheme="minorEastAsia" w:hAnsiTheme="minorHAnsi"/>
          <w:noProof/>
          <w:color w:val="auto"/>
          <w:kern w:val="2"/>
          <w:szCs w:val="24"/>
          <w:lang w:eastAsia="en-GB"/>
          <w14:ligatures w14:val="standardContextual"/>
        </w:rPr>
      </w:pPr>
      <w:hyperlink w:anchor="_Toc209013302" w:history="1">
        <w:r w:rsidRPr="00E57E5E">
          <w:rPr>
            <w:rStyle w:val="Hyperlink"/>
            <w:noProof/>
          </w:rPr>
          <w:t>3.</w:t>
        </w:r>
        <w:r>
          <w:rPr>
            <w:rFonts w:asciiTheme="minorHAnsi" w:eastAsiaTheme="minorEastAsia" w:hAnsiTheme="minorHAnsi"/>
            <w:noProof/>
            <w:color w:val="auto"/>
            <w:kern w:val="2"/>
            <w:szCs w:val="24"/>
            <w:lang w:eastAsia="en-GB"/>
            <w14:ligatures w14:val="standardContextual"/>
          </w:rPr>
          <w:tab/>
        </w:r>
        <w:r w:rsidRPr="00E57E5E">
          <w:rPr>
            <w:rStyle w:val="Hyperlink"/>
            <w:noProof/>
          </w:rPr>
          <w:t>Lessons, Conclusions &amp; Recommendations</w:t>
        </w:r>
        <w:r>
          <w:rPr>
            <w:noProof/>
            <w:webHidden/>
          </w:rPr>
          <w:tab/>
        </w:r>
        <w:r>
          <w:rPr>
            <w:noProof/>
            <w:webHidden/>
          </w:rPr>
          <w:fldChar w:fldCharType="begin"/>
        </w:r>
        <w:r>
          <w:rPr>
            <w:noProof/>
            <w:webHidden/>
          </w:rPr>
          <w:instrText xml:space="preserve"> PAGEREF _Toc209013302 \h </w:instrText>
        </w:r>
        <w:r>
          <w:rPr>
            <w:noProof/>
            <w:webHidden/>
          </w:rPr>
        </w:r>
        <w:r>
          <w:rPr>
            <w:noProof/>
            <w:webHidden/>
          </w:rPr>
          <w:fldChar w:fldCharType="separate"/>
        </w:r>
        <w:r w:rsidR="00ED1AD6">
          <w:rPr>
            <w:noProof/>
            <w:webHidden/>
          </w:rPr>
          <w:t>63</w:t>
        </w:r>
        <w:r>
          <w:rPr>
            <w:noProof/>
            <w:webHidden/>
          </w:rPr>
          <w:fldChar w:fldCharType="end"/>
        </w:r>
      </w:hyperlink>
    </w:p>
    <w:p w14:paraId="338BE96A" w14:textId="42C8DB86" w:rsidR="00ED288A" w:rsidRDefault="00ED288A">
      <w:pPr>
        <w:pStyle w:val="TOC2"/>
        <w:rPr>
          <w:rFonts w:asciiTheme="minorHAnsi" w:eastAsiaTheme="minorEastAsia" w:hAnsiTheme="minorHAnsi"/>
          <w:noProof/>
          <w:color w:val="auto"/>
          <w:kern w:val="2"/>
          <w:szCs w:val="24"/>
          <w:lang w:eastAsia="en-GB"/>
          <w14:ligatures w14:val="standardContextual"/>
        </w:rPr>
      </w:pPr>
      <w:hyperlink w:anchor="_Toc209013303" w:history="1">
        <w:r w:rsidRPr="00E57E5E">
          <w:rPr>
            <w:rStyle w:val="Hyperlink"/>
            <w:noProof/>
          </w:rPr>
          <w:t>3.1 Lessons</w:t>
        </w:r>
        <w:r>
          <w:rPr>
            <w:noProof/>
            <w:webHidden/>
          </w:rPr>
          <w:tab/>
        </w:r>
        <w:r>
          <w:rPr>
            <w:noProof/>
            <w:webHidden/>
          </w:rPr>
          <w:fldChar w:fldCharType="begin"/>
        </w:r>
        <w:r>
          <w:rPr>
            <w:noProof/>
            <w:webHidden/>
          </w:rPr>
          <w:instrText xml:space="preserve"> PAGEREF _Toc209013303 \h </w:instrText>
        </w:r>
        <w:r>
          <w:rPr>
            <w:noProof/>
            <w:webHidden/>
          </w:rPr>
        </w:r>
        <w:r>
          <w:rPr>
            <w:noProof/>
            <w:webHidden/>
          </w:rPr>
          <w:fldChar w:fldCharType="separate"/>
        </w:r>
        <w:r w:rsidR="00ED1AD6">
          <w:rPr>
            <w:noProof/>
            <w:webHidden/>
          </w:rPr>
          <w:t>63</w:t>
        </w:r>
        <w:r>
          <w:rPr>
            <w:noProof/>
            <w:webHidden/>
          </w:rPr>
          <w:fldChar w:fldCharType="end"/>
        </w:r>
      </w:hyperlink>
    </w:p>
    <w:p w14:paraId="19864939" w14:textId="5ABD5B4A" w:rsidR="00ED288A" w:rsidRDefault="00ED288A">
      <w:pPr>
        <w:pStyle w:val="TOC2"/>
        <w:rPr>
          <w:rFonts w:asciiTheme="minorHAnsi" w:eastAsiaTheme="minorEastAsia" w:hAnsiTheme="minorHAnsi"/>
          <w:noProof/>
          <w:color w:val="auto"/>
          <w:kern w:val="2"/>
          <w:szCs w:val="24"/>
          <w:lang w:eastAsia="en-GB"/>
          <w14:ligatures w14:val="standardContextual"/>
        </w:rPr>
      </w:pPr>
      <w:hyperlink w:anchor="_Toc209013304" w:history="1">
        <w:r w:rsidRPr="00E57E5E">
          <w:rPr>
            <w:rStyle w:val="Hyperlink"/>
            <w:noProof/>
          </w:rPr>
          <w:t>3.2 Conclusions</w:t>
        </w:r>
        <w:r>
          <w:rPr>
            <w:noProof/>
            <w:webHidden/>
          </w:rPr>
          <w:tab/>
        </w:r>
        <w:r>
          <w:rPr>
            <w:noProof/>
            <w:webHidden/>
          </w:rPr>
          <w:fldChar w:fldCharType="begin"/>
        </w:r>
        <w:r>
          <w:rPr>
            <w:noProof/>
            <w:webHidden/>
          </w:rPr>
          <w:instrText xml:space="preserve"> PAGEREF _Toc209013304 \h </w:instrText>
        </w:r>
        <w:r>
          <w:rPr>
            <w:noProof/>
            <w:webHidden/>
          </w:rPr>
        </w:r>
        <w:r>
          <w:rPr>
            <w:noProof/>
            <w:webHidden/>
          </w:rPr>
          <w:fldChar w:fldCharType="separate"/>
        </w:r>
        <w:r w:rsidR="00ED1AD6">
          <w:rPr>
            <w:noProof/>
            <w:webHidden/>
          </w:rPr>
          <w:t>64</w:t>
        </w:r>
        <w:r>
          <w:rPr>
            <w:noProof/>
            <w:webHidden/>
          </w:rPr>
          <w:fldChar w:fldCharType="end"/>
        </w:r>
      </w:hyperlink>
    </w:p>
    <w:p w14:paraId="4FB3CEA5" w14:textId="7906244B" w:rsidR="00ED288A" w:rsidRDefault="00ED288A">
      <w:pPr>
        <w:pStyle w:val="TOC2"/>
        <w:rPr>
          <w:rFonts w:asciiTheme="minorHAnsi" w:eastAsiaTheme="minorEastAsia" w:hAnsiTheme="minorHAnsi"/>
          <w:noProof/>
          <w:color w:val="auto"/>
          <w:kern w:val="2"/>
          <w:szCs w:val="24"/>
          <w:lang w:eastAsia="en-GB"/>
          <w14:ligatures w14:val="standardContextual"/>
        </w:rPr>
      </w:pPr>
      <w:hyperlink w:anchor="_Toc209013305" w:history="1">
        <w:r w:rsidRPr="00E57E5E">
          <w:rPr>
            <w:rStyle w:val="Hyperlink"/>
            <w:noProof/>
          </w:rPr>
          <w:t>3.3 Recommendations</w:t>
        </w:r>
        <w:r>
          <w:rPr>
            <w:noProof/>
            <w:webHidden/>
          </w:rPr>
          <w:tab/>
        </w:r>
        <w:r>
          <w:rPr>
            <w:noProof/>
            <w:webHidden/>
          </w:rPr>
          <w:fldChar w:fldCharType="begin"/>
        </w:r>
        <w:r>
          <w:rPr>
            <w:noProof/>
            <w:webHidden/>
          </w:rPr>
          <w:instrText xml:space="preserve"> PAGEREF _Toc209013305 \h </w:instrText>
        </w:r>
        <w:r>
          <w:rPr>
            <w:noProof/>
            <w:webHidden/>
          </w:rPr>
        </w:r>
        <w:r>
          <w:rPr>
            <w:noProof/>
            <w:webHidden/>
          </w:rPr>
          <w:fldChar w:fldCharType="separate"/>
        </w:r>
        <w:r w:rsidR="00ED1AD6">
          <w:rPr>
            <w:noProof/>
            <w:webHidden/>
          </w:rPr>
          <w:t>66</w:t>
        </w:r>
        <w:r>
          <w:rPr>
            <w:noProof/>
            <w:webHidden/>
          </w:rPr>
          <w:fldChar w:fldCharType="end"/>
        </w:r>
      </w:hyperlink>
    </w:p>
    <w:p w14:paraId="65DA5D60" w14:textId="0B6C0DCD" w:rsidR="006E43E0" w:rsidRPr="00E813B0" w:rsidRDefault="00E45851" w:rsidP="002642C7">
      <w:r w:rsidRPr="00E813B0">
        <w:fldChar w:fldCharType="end"/>
      </w:r>
    </w:p>
    <w:p w14:paraId="3920B8D8" w14:textId="77777777" w:rsidR="001D0BD1" w:rsidRPr="00E813B0" w:rsidRDefault="001D0BD1" w:rsidP="001D0BD1">
      <w:pPr>
        <w:pStyle w:val="Heading1"/>
      </w:pPr>
      <w:bookmarkStart w:id="0" w:name="_Toc203477583"/>
      <w:bookmarkStart w:id="1" w:name="_Toc204013107"/>
      <w:bookmarkStart w:id="2" w:name="_Toc204013166"/>
      <w:bookmarkStart w:id="3" w:name="_Toc204091194"/>
      <w:bookmarkStart w:id="4" w:name="_Toc209013269"/>
      <w:r w:rsidRPr="00E813B0">
        <w:t>Table of Figures</w:t>
      </w:r>
      <w:bookmarkEnd w:id="0"/>
      <w:bookmarkEnd w:id="1"/>
      <w:bookmarkEnd w:id="2"/>
      <w:bookmarkEnd w:id="3"/>
      <w:bookmarkEnd w:id="4"/>
    </w:p>
    <w:p w14:paraId="792E38CE" w14:textId="353DCA51" w:rsidR="00571C07" w:rsidRDefault="00A819E4">
      <w:pPr>
        <w:pStyle w:val="TableofFigures"/>
        <w:tabs>
          <w:tab w:val="right" w:leader="dot" w:pos="10082"/>
        </w:tabs>
        <w:rPr>
          <w:rFonts w:asciiTheme="minorHAnsi" w:eastAsiaTheme="minorEastAsia" w:hAnsiTheme="minorHAnsi"/>
          <w:noProof/>
          <w:kern w:val="2"/>
          <w:szCs w:val="24"/>
          <w:lang w:eastAsia="en-GB"/>
          <w14:ligatures w14:val="standardContextual"/>
        </w:rPr>
      </w:pPr>
      <w:r w:rsidRPr="00E813B0">
        <w:fldChar w:fldCharType="begin"/>
      </w:r>
      <w:r w:rsidRPr="00E813B0">
        <w:instrText xml:space="preserve"> TOC \h \z \c "Figure" </w:instrText>
      </w:r>
      <w:r w:rsidRPr="00E813B0">
        <w:fldChar w:fldCharType="separate"/>
      </w:r>
      <w:hyperlink w:anchor="_Toc209019068" w:history="1">
        <w:r w:rsidR="00571C07" w:rsidRPr="000A2E2C">
          <w:rPr>
            <w:rStyle w:val="Hyperlink"/>
            <w:noProof/>
          </w:rPr>
          <w:t>Figure 1: Timeline of LEAF events 2021-2030</w:t>
        </w:r>
        <w:r w:rsidR="00571C07">
          <w:rPr>
            <w:noProof/>
            <w:webHidden/>
          </w:rPr>
          <w:tab/>
        </w:r>
        <w:r w:rsidR="00571C07">
          <w:rPr>
            <w:noProof/>
            <w:webHidden/>
          </w:rPr>
          <w:fldChar w:fldCharType="begin"/>
        </w:r>
        <w:r w:rsidR="00571C07">
          <w:rPr>
            <w:noProof/>
            <w:webHidden/>
          </w:rPr>
          <w:instrText xml:space="preserve"> PAGEREF _Toc209019068 \h </w:instrText>
        </w:r>
        <w:r w:rsidR="00571C07">
          <w:rPr>
            <w:noProof/>
            <w:webHidden/>
          </w:rPr>
        </w:r>
        <w:r w:rsidR="00571C07">
          <w:rPr>
            <w:noProof/>
            <w:webHidden/>
          </w:rPr>
          <w:fldChar w:fldCharType="separate"/>
        </w:r>
        <w:r w:rsidR="00ED1AD6">
          <w:rPr>
            <w:noProof/>
            <w:webHidden/>
          </w:rPr>
          <w:t>27</w:t>
        </w:r>
        <w:r w:rsidR="00571C07">
          <w:rPr>
            <w:noProof/>
            <w:webHidden/>
          </w:rPr>
          <w:fldChar w:fldCharType="end"/>
        </w:r>
      </w:hyperlink>
    </w:p>
    <w:p w14:paraId="7D463550" w14:textId="1E87C40A" w:rsidR="00571C07" w:rsidRDefault="00571C07">
      <w:pPr>
        <w:pStyle w:val="TableofFigures"/>
        <w:tabs>
          <w:tab w:val="right" w:leader="dot" w:pos="10082"/>
        </w:tabs>
        <w:rPr>
          <w:rFonts w:asciiTheme="minorHAnsi" w:eastAsiaTheme="minorEastAsia" w:hAnsiTheme="minorHAnsi"/>
          <w:noProof/>
          <w:kern w:val="2"/>
          <w:szCs w:val="24"/>
          <w:lang w:eastAsia="en-GB"/>
          <w14:ligatures w14:val="standardContextual"/>
        </w:rPr>
      </w:pPr>
      <w:hyperlink w:anchor="_Toc209019069" w:history="1">
        <w:r w:rsidRPr="000A2E2C">
          <w:rPr>
            <w:rStyle w:val="Hyperlink"/>
            <w:noProof/>
          </w:rPr>
          <w:t>Figure 2: Geographical Coverage of the LEAF Coalition</w:t>
        </w:r>
        <w:r>
          <w:rPr>
            <w:noProof/>
            <w:webHidden/>
          </w:rPr>
          <w:tab/>
        </w:r>
        <w:r>
          <w:rPr>
            <w:noProof/>
            <w:webHidden/>
          </w:rPr>
          <w:fldChar w:fldCharType="begin"/>
        </w:r>
        <w:r>
          <w:rPr>
            <w:noProof/>
            <w:webHidden/>
          </w:rPr>
          <w:instrText xml:space="preserve"> PAGEREF _Toc209019069 \h </w:instrText>
        </w:r>
        <w:r>
          <w:rPr>
            <w:noProof/>
            <w:webHidden/>
          </w:rPr>
        </w:r>
        <w:r>
          <w:rPr>
            <w:noProof/>
            <w:webHidden/>
          </w:rPr>
          <w:fldChar w:fldCharType="separate"/>
        </w:r>
        <w:r w:rsidR="00ED1AD6">
          <w:rPr>
            <w:noProof/>
            <w:webHidden/>
          </w:rPr>
          <w:t>28</w:t>
        </w:r>
        <w:r>
          <w:rPr>
            <w:noProof/>
            <w:webHidden/>
          </w:rPr>
          <w:fldChar w:fldCharType="end"/>
        </w:r>
      </w:hyperlink>
    </w:p>
    <w:p w14:paraId="09782F48" w14:textId="419A6A99" w:rsidR="00571C07" w:rsidRDefault="00571C07">
      <w:pPr>
        <w:pStyle w:val="TableofFigures"/>
        <w:tabs>
          <w:tab w:val="right" w:leader="dot" w:pos="10082"/>
        </w:tabs>
        <w:rPr>
          <w:rFonts w:asciiTheme="minorHAnsi" w:eastAsiaTheme="minorEastAsia" w:hAnsiTheme="minorHAnsi"/>
          <w:noProof/>
          <w:kern w:val="2"/>
          <w:szCs w:val="24"/>
          <w:lang w:eastAsia="en-GB"/>
          <w14:ligatures w14:val="standardContextual"/>
        </w:rPr>
      </w:pPr>
      <w:hyperlink w:anchor="_Toc209019070" w:history="1">
        <w:r w:rsidRPr="000A2E2C">
          <w:rPr>
            <w:rStyle w:val="Hyperlink"/>
            <w:noProof/>
          </w:rPr>
          <w:t>Figure 3: Revised LEAF Coalition Theory of Change</w:t>
        </w:r>
        <w:r>
          <w:rPr>
            <w:noProof/>
            <w:webHidden/>
          </w:rPr>
          <w:tab/>
        </w:r>
        <w:r>
          <w:rPr>
            <w:noProof/>
            <w:webHidden/>
          </w:rPr>
          <w:fldChar w:fldCharType="begin"/>
        </w:r>
        <w:r>
          <w:rPr>
            <w:noProof/>
            <w:webHidden/>
          </w:rPr>
          <w:instrText xml:space="preserve"> PAGEREF _Toc209019070 \h </w:instrText>
        </w:r>
        <w:r>
          <w:rPr>
            <w:noProof/>
            <w:webHidden/>
          </w:rPr>
        </w:r>
        <w:r>
          <w:rPr>
            <w:noProof/>
            <w:webHidden/>
          </w:rPr>
          <w:fldChar w:fldCharType="separate"/>
        </w:r>
        <w:r w:rsidR="00ED1AD6">
          <w:rPr>
            <w:noProof/>
            <w:webHidden/>
          </w:rPr>
          <w:t>43</w:t>
        </w:r>
        <w:r>
          <w:rPr>
            <w:noProof/>
            <w:webHidden/>
          </w:rPr>
          <w:fldChar w:fldCharType="end"/>
        </w:r>
      </w:hyperlink>
    </w:p>
    <w:p w14:paraId="355011D7" w14:textId="4CE0D031" w:rsidR="006E43E0" w:rsidRPr="00956C27" w:rsidRDefault="00A819E4" w:rsidP="001D0BD1">
      <w:pPr>
        <w:rPr>
          <w:b/>
          <w:bCs/>
          <w:noProof/>
        </w:rPr>
      </w:pPr>
      <w:r w:rsidRPr="00E813B0">
        <w:rPr>
          <w:b/>
          <w:bCs/>
          <w:noProof/>
        </w:rPr>
        <w:fldChar w:fldCharType="end"/>
      </w:r>
    </w:p>
    <w:p w14:paraId="7B644F1D" w14:textId="56DAE8E7" w:rsidR="001D0BD1" w:rsidRPr="00E813B0" w:rsidRDefault="001D0BD1" w:rsidP="001D0BD1">
      <w:pPr>
        <w:pStyle w:val="Heading1"/>
      </w:pPr>
      <w:bookmarkStart w:id="5" w:name="_Toc203477584"/>
      <w:bookmarkStart w:id="6" w:name="_Toc204013108"/>
      <w:bookmarkStart w:id="7" w:name="_Toc204013167"/>
      <w:bookmarkStart w:id="8" w:name="_Toc204091195"/>
      <w:bookmarkStart w:id="9" w:name="_Toc209013270"/>
      <w:r w:rsidRPr="00E813B0">
        <w:t>Table of Tables</w:t>
      </w:r>
      <w:bookmarkEnd w:id="5"/>
      <w:bookmarkEnd w:id="6"/>
      <w:bookmarkEnd w:id="7"/>
      <w:bookmarkEnd w:id="8"/>
      <w:bookmarkEnd w:id="9"/>
    </w:p>
    <w:p w14:paraId="04C7109F" w14:textId="187C11F5" w:rsidR="00571C07" w:rsidRDefault="00A819E4">
      <w:pPr>
        <w:pStyle w:val="TableofFigures"/>
        <w:tabs>
          <w:tab w:val="right" w:leader="dot" w:pos="10082"/>
        </w:tabs>
        <w:rPr>
          <w:rFonts w:asciiTheme="minorHAnsi" w:eastAsiaTheme="minorEastAsia" w:hAnsiTheme="minorHAnsi"/>
          <w:noProof/>
          <w:kern w:val="2"/>
          <w:szCs w:val="24"/>
          <w:lang w:eastAsia="en-GB"/>
          <w14:ligatures w14:val="standardContextual"/>
        </w:rPr>
      </w:pPr>
      <w:r w:rsidRPr="00E813B0">
        <w:fldChar w:fldCharType="begin"/>
      </w:r>
      <w:r w:rsidRPr="00E813B0">
        <w:instrText xml:space="preserve"> TOC \h \z \c "Table" </w:instrText>
      </w:r>
      <w:r w:rsidRPr="00E813B0">
        <w:fldChar w:fldCharType="separate"/>
      </w:r>
      <w:hyperlink w:anchor="_Toc209019073" w:history="1">
        <w:r w:rsidR="00571C07" w:rsidRPr="003950CC">
          <w:rPr>
            <w:rStyle w:val="Hyperlink"/>
            <w:noProof/>
          </w:rPr>
          <w:t>Table 1: Assessment criteria for the strength of evidence for decision making</w:t>
        </w:r>
        <w:r w:rsidR="00571C07">
          <w:rPr>
            <w:noProof/>
            <w:webHidden/>
          </w:rPr>
          <w:tab/>
        </w:r>
        <w:r w:rsidR="00571C07">
          <w:rPr>
            <w:noProof/>
            <w:webHidden/>
          </w:rPr>
          <w:fldChar w:fldCharType="begin"/>
        </w:r>
        <w:r w:rsidR="00571C07">
          <w:rPr>
            <w:noProof/>
            <w:webHidden/>
          </w:rPr>
          <w:instrText xml:space="preserve"> PAGEREF _Toc209019073 \h </w:instrText>
        </w:r>
        <w:r w:rsidR="00571C07">
          <w:rPr>
            <w:noProof/>
            <w:webHidden/>
          </w:rPr>
        </w:r>
        <w:r w:rsidR="00571C07">
          <w:rPr>
            <w:noProof/>
            <w:webHidden/>
          </w:rPr>
          <w:fldChar w:fldCharType="separate"/>
        </w:r>
        <w:r w:rsidR="00ED1AD6">
          <w:rPr>
            <w:noProof/>
            <w:webHidden/>
          </w:rPr>
          <w:t>31</w:t>
        </w:r>
        <w:r w:rsidR="00571C07">
          <w:rPr>
            <w:noProof/>
            <w:webHidden/>
          </w:rPr>
          <w:fldChar w:fldCharType="end"/>
        </w:r>
      </w:hyperlink>
    </w:p>
    <w:p w14:paraId="63D55EBA" w14:textId="16AAA198" w:rsidR="00571C07" w:rsidRDefault="00571C07">
      <w:pPr>
        <w:pStyle w:val="TableofFigures"/>
        <w:tabs>
          <w:tab w:val="right" w:leader="dot" w:pos="10082"/>
        </w:tabs>
        <w:rPr>
          <w:rFonts w:asciiTheme="minorHAnsi" w:eastAsiaTheme="minorEastAsia" w:hAnsiTheme="minorHAnsi"/>
          <w:noProof/>
          <w:kern w:val="2"/>
          <w:szCs w:val="24"/>
          <w:lang w:eastAsia="en-GB"/>
          <w14:ligatures w14:val="standardContextual"/>
        </w:rPr>
      </w:pPr>
      <w:hyperlink w:anchor="_Toc209019074" w:history="1">
        <w:r w:rsidRPr="003950CC">
          <w:rPr>
            <w:rStyle w:val="Hyperlink"/>
            <w:noProof/>
          </w:rPr>
          <w:t>Table 2: Summary of budget allocation for UKTAP</w:t>
        </w:r>
        <w:r>
          <w:rPr>
            <w:noProof/>
            <w:webHidden/>
          </w:rPr>
          <w:tab/>
        </w:r>
        <w:r>
          <w:rPr>
            <w:noProof/>
            <w:webHidden/>
          </w:rPr>
          <w:fldChar w:fldCharType="begin"/>
        </w:r>
        <w:r>
          <w:rPr>
            <w:noProof/>
            <w:webHidden/>
          </w:rPr>
          <w:instrText xml:space="preserve"> PAGEREF _Toc209019074 \h </w:instrText>
        </w:r>
        <w:r>
          <w:rPr>
            <w:noProof/>
            <w:webHidden/>
          </w:rPr>
        </w:r>
        <w:r>
          <w:rPr>
            <w:noProof/>
            <w:webHidden/>
          </w:rPr>
          <w:fldChar w:fldCharType="separate"/>
        </w:r>
        <w:r w:rsidR="00ED1AD6">
          <w:rPr>
            <w:noProof/>
            <w:webHidden/>
          </w:rPr>
          <w:t>57</w:t>
        </w:r>
        <w:r>
          <w:rPr>
            <w:noProof/>
            <w:webHidden/>
          </w:rPr>
          <w:fldChar w:fldCharType="end"/>
        </w:r>
      </w:hyperlink>
    </w:p>
    <w:p w14:paraId="0BA003E7" w14:textId="26C0DE19" w:rsidR="00571C07" w:rsidRDefault="00571C07">
      <w:pPr>
        <w:pStyle w:val="TableofFigures"/>
        <w:tabs>
          <w:tab w:val="right" w:leader="dot" w:pos="10082"/>
        </w:tabs>
        <w:rPr>
          <w:rFonts w:asciiTheme="minorHAnsi" w:eastAsiaTheme="minorEastAsia" w:hAnsiTheme="minorHAnsi"/>
          <w:noProof/>
          <w:kern w:val="2"/>
          <w:szCs w:val="24"/>
          <w:lang w:eastAsia="en-GB"/>
          <w14:ligatures w14:val="standardContextual"/>
        </w:rPr>
      </w:pPr>
      <w:hyperlink w:anchor="_Toc209019075" w:history="1">
        <w:r w:rsidRPr="003950CC">
          <w:rPr>
            <w:rStyle w:val="Hyperlink"/>
            <w:noProof/>
          </w:rPr>
          <w:t>Table 3: Evaluation Recommendations</w:t>
        </w:r>
        <w:r>
          <w:rPr>
            <w:noProof/>
            <w:webHidden/>
          </w:rPr>
          <w:tab/>
        </w:r>
        <w:r>
          <w:rPr>
            <w:noProof/>
            <w:webHidden/>
          </w:rPr>
          <w:fldChar w:fldCharType="begin"/>
        </w:r>
        <w:r>
          <w:rPr>
            <w:noProof/>
            <w:webHidden/>
          </w:rPr>
          <w:instrText xml:space="preserve"> PAGEREF _Toc209019075 \h </w:instrText>
        </w:r>
        <w:r>
          <w:rPr>
            <w:noProof/>
            <w:webHidden/>
          </w:rPr>
        </w:r>
        <w:r>
          <w:rPr>
            <w:noProof/>
            <w:webHidden/>
          </w:rPr>
          <w:fldChar w:fldCharType="separate"/>
        </w:r>
        <w:r w:rsidR="00ED1AD6">
          <w:rPr>
            <w:noProof/>
            <w:webHidden/>
          </w:rPr>
          <w:t>66</w:t>
        </w:r>
        <w:r>
          <w:rPr>
            <w:noProof/>
            <w:webHidden/>
          </w:rPr>
          <w:fldChar w:fldCharType="end"/>
        </w:r>
      </w:hyperlink>
    </w:p>
    <w:p w14:paraId="6D994E63" w14:textId="14C271D6" w:rsidR="001D0BD1" w:rsidRPr="00E813B0" w:rsidRDefault="00A819E4" w:rsidP="001D0BD1">
      <w:r w:rsidRPr="00E813B0">
        <w:rPr>
          <w:b/>
          <w:bCs/>
          <w:noProof/>
        </w:rPr>
        <w:fldChar w:fldCharType="end"/>
      </w:r>
    </w:p>
    <w:p w14:paraId="02E12B8F" w14:textId="77777777" w:rsidR="00E20F8B" w:rsidRDefault="00E20F8B">
      <w:pPr>
        <w:spacing w:after="160" w:line="259" w:lineRule="auto"/>
        <w:rPr>
          <w:rFonts w:eastAsiaTheme="majorEastAsia" w:cstheme="majorBidi"/>
          <w:color w:val="041E42"/>
          <w:sz w:val="52"/>
          <w:szCs w:val="32"/>
        </w:rPr>
      </w:pPr>
      <w:bookmarkStart w:id="10" w:name="_Toc203477586"/>
      <w:bookmarkStart w:id="11" w:name="_Toc204013110"/>
      <w:bookmarkStart w:id="12" w:name="_Toc204013168"/>
      <w:bookmarkStart w:id="13" w:name="_Toc204091196"/>
      <w:r>
        <w:br w:type="page"/>
      </w:r>
    </w:p>
    <w:p w14:paraId="4077C0F8" w14:textId="02333E14" w:rsidR="00E20F8B" w:rsidRPr="00E813B0" w:rsidRDefault="00E20F8B" w:rsidP="00E20F8B">
      <w:pPr>
        <w:pStyle w:val="Heading1"/>
      </w:pPr>
      <w:bookmarkStart w:id="14" w:name="_Toc209013271"/>
      <w:r w:rsidRPr="00E813B0">
        <w:lastRenderedPageBreak/>
        <w:t>Executive Summary</w:t>
      </w:r>
      <w:bookmarkEnd w:id="14"/>
    </w:p>
    <w:p w14:paraId="1AD4CF31" w14:textId="4DA34FF1" w:rsidR="003E6A69" w:rsidRDefault="00E20F8B" w:rsidP="00E20F8B">
      <w:r w:rsidRPr="0017109C">
        <w:rPr>
          <w:rStyle w:val="Boldtext"/>
        </w:rPr>
        <w:t>Purpose and Scope</w:t>
      </w:r>
      <w:r>
        <w:rPr>
          <w:rStyle w:val="Boldtext"/>
        </w:rPr>
        <w:t xml:space="preserve">: </w:t>
      </w:r>
      <w:r w:rsidR="007930BA" w:rsidRPr="00E813B0">
        <w:t>As part of the UK’s commitment to fostering a ‘nature positive’ economy, the UK has committed £</w:t>
      </w:r>
      <w:r w:rsidR="007930BA">
        <w:t>175</w:t>
      </w:r>
      <w:r w:rsidR="007930BA" w:rsidRPr="00E813B0">
        <w:t xml:space="preserve">m to the </w:t>
      </w:r>
      <w:r w:rsidR="00141FB0" w:rsidRPr="0017109C">
        <w:t xml:space="preserve">Lowering Emissions by Accelerating Forest Finance </w:t>
      </w:r>
      <w:r w:rsidR="00141FB0">
        <w:t>(</w:t>
      </w:r>
      <w:r w:rsidR="007930BA" w:rsidRPr="00E813B0">
        <w:t>LEAF</w:t>
      </w:r>
      <w:r w:rsidR="00141FB0">
        <w:t>)</w:t>
      </w:r>
      <w:r w:rsidR="007930BA" w:rsidRPr="00E813B0">
        <w:t xml:space="preserve"> Coalition</w:t>
      </w:r>
      <w:r w:rsidR="007930BA">
        <w:t xml:space="preserve">, and </w:t>
      </w:r>
      <w:r w:rsidR="007930BA" w:rsidRPr="00B43F46">
        <w:t xml:space="preserve">£25m for </w:t>
      </w:r>
      <w:r w:rsidR="009A0B6A">
        <w:t xml:space="preserve">the UK </w:t>
      </w:r>
      <w:r w:rsidR="009A0B6A" w:rsidRPr="0017109C">
        <w:t>T</w:t>
      </w:r>
      <w:r w:rsidR="009A0B6A">
        <w:t xml:space="preserve">echnical </w:t>
      </w:r>
      <w:r w:rsidR="009A0B6A" w:rsidRPr="0017109C">
        <w:t>A</w:t>
      </w:r>
      <w:r w:rsidR="009A0B6A">
        <w:t>ssistance Programme (UKTAP)</w:t>
      </w:r>
      <w:r w:rsidR="007930BA">
        <w:t>,</w:t>
      </w:r>
      <w:r w:rsidR="007930BA" w:rsidRPr="00E813B0">
        <w:t xml:space="preserve"> between 2021-2027 (now extended to 2030). </w:t>
      </w:r>
      <w:r w:rsidR="00454CC6" w:rsidRPr="00505301">
        <w:t>The LEAF Coalition is a public-private initiative aimed at addressing barriers in the Voluntary Carbon Market (VCM) and catalysing a self-sustaining global market for high-quality, verified emissions reductions.</w:t>
      </w:r>
      <w:r w:rsidR="00454CC6">
        <w:t xml:space="preserve"> </w:t>
      </w:r>
      <w:r w:rsidR="003E6A69" w:rsidRPr="00E813B0">
        <w:t xml:space="preserve">The LEAF Coalition aims to advance efforts to reverse deforestation by scaling demand and supply for </w:t>
      </w:r>
      <w:r w:rsidR="005674D8">
        <w:t>Results-Based</w:t>
      </w:r>
      <w:r w:rsidR="003E6A69" w:rsidRPr="00E813B0">
        <w:t xml:space="preserve"> Financing (RBF) and jurisdictional </w:t>
      </w:r>
      <w:r w:rsidR="0059712F" w:rsidRPr="005D2AA0">
        <w:t xml:space="preserve">Reducing Emissions from Deforestation and Forest Degradation </w:t>
      </w:r>
      <w:r w:rsidR="0059712F">
        <w:t>(</w:t>
      </w:r>
      <w:r w:rsidR="003E6A69" w:rsidRPr="00E813B0">
        <w:t>REDD+</w:t>
      </w:r>
      <w:r w:rsidR="0059712F">
        <w:t>)</w:t>
      </w:r>
      <w:r w:rsidR="003E6A69" w:rsidRPr="00E813B0">
        <w:t xml:space="preserve"> carbon credits, with high-integrity carbon markets playing a key role in mobilising finance for forest protection.</w:t>
      </w:r>
      <w:r w:rsidR="008D2A26" w:rsidRPr="008D2A26">
        <w:t xml:space="preserve"> </w:t>
      </w:r>
      <w:r w:rsidR="008D2A26">
        <w:t xml:space="preserve">Through this, </w:t>
      </w:r>
      <w:r w:rsidR="008D2A26" w:rsidRPr="004B417C">
        <w:t>LEAF aims to create economic incentives for forest governments to reduce deforestation by providing more benefit</w:t>
      </w:r>
      <w:r w:rsidR="005674D8">
        <w:t>s</w:t>
      </w:r>
      <w:r w:rsidR="008D2A26" w:rsidRPr="004B417C">
        <w:t xml:space="preserve"> from preserving forests than from cutting them down, through mobilising private finance at scale. </w:t>
      </w:r>
      <w:r w:rsidR="00221295">
        <w:t xml:space="preserve">The </w:t>
      </w:r>
      <w:r w:rsidR="00221295" w:rsidRPr="00E813B0">
        <w:t>primary delivery partner is Emergent</w:t>
      </w:r>
      <w:r w:rsidR="00221295">
        <w:t xml:space="preserve">, </w:t>
      </w:r>
      <w:r w:rsidR="00221295" w:rsidRPr="0093778D">
        <w:t>with funding from the UK, USA, Norway, and South Korea</w:t>
      </w:r>
      <w:r w:rsidR="00221295">
        <w:t>,</w:t>
      </w:r>
      <w:r w:rsidR="00221295" w:rsidRPr="00E813B0">
        <w:t xml:space="preserve"> with TA providers including the United Nations Programme on Reducing Emissions from Deforestation and Forest Degradation (</w:t>
      </w:r>
      <w:r w:rsidR="00221295">
        <w:t>UN-REDD</w:t>
      </w:r>
      <w:r w:rsidR="00221295" w:rsidRPr="00E813B0">
        <w:t>), Ricardo, Winrock, and Climate Law and Policy</w:t>
      </w:r>
      <w:r w:rsidR="00A53074">
        <w:t xml:space="preserve"> (CLP)</w:t>
      </w:r>
      <w:r w:rsidR="00221295" w:rsidRPr="00E813B0">
        <w:t>.</w:t>
      </w:r>
    </w:p>
    <w:p w14:paraId="2CE19889" w14:textId="1E58224B" w:rsidR="00E20F8B" w:rsidRPr="0017109C" w:rsidRDefault="008D2A26" w:rsidP="00E20F8B">
      <w:r w:rsidRPr="008D2A26">
        <w:t>The overall aim of th</w:t>
      </w:r>
      <w:r>
        <w:t>is</w:t>
      </w:r>
      <w:r w:rsidRPr="008D2A26">
        <w:t xml:space="preserve"> </w:t>
      </w:r>
      <w:r>
        <w:t>process</w:t>
      </w:r>
      <w:r w:rsidRPr="008D2A26">
        <w:t xml:space="preserve"> evaluation is to understand the effectiveness of the UK’s contribution to the LEAF Coalition and its supporting TA programme</w:t>
      </w:r>
      <w:r w:rsidR="0010763D">
        <w:t xml:space="preserve"> </w:t>
      </w:r>
      <w:r w:rsidRPr="008D2A26">
        <w:t xml:space="preserve">on accelerating the development of a jurisdictional REDD+ carbon market and its potential impact on reversing deforestation and delivering improved social and sustainable development outcomes. </w:t>
      </w:r>
      <w:r w:rsidR="00E20F8B">
        <w:t>The evaluation was c</w:t>
      </w:r>
      <w:r w:rsidR="00E20F8B" w:rsidRPr="0017109C">
        <w:t xml:space="preserve">ommissioned by </w:t>
      </w:r>
      <w:r w:rsidR="00E20F8B">
        <w:t xml:space="preserve">the </w:t>
      </w:r>
      <w:r w:rsidR="00E20F8B" w:rsidRPr="0017109C">
        <w:t>D</w:t>
      </w:r>
      <w:r w:rsidR="00E20F8B">
        <w:t xml:space="preserve">epartment for </w:t>
      </w:r>
      <w:r w:rsidR="00E20F8B" w:rsidRPr="0017109C">
        <w:t>E</w:t>
      </w:r>
      <w:r w:rsidR="00E20F8B">
        <w:t xml:space="preserve">nergy </w:t>
      </w:r>
      <w:r w:rsidR="00E20F8B" w:rsidRPr="0017109C">
        <w:t>S</w:t>
      </w:r>
      <w:r w:rsidR="00E20F8B">
        <w:t xml:space="preserve">ecurity and </w:t>
      </w:r>
      <w:r w:rsidR="00E20F8B" w:rsidRPr="0017109C">
        <w:t>N</w:t>
      </w:r>
      <w:r w:rsidR="00E20F8B">
        <w:t xml:space="preserve">et </w:t>
      </w:r>
      <w:r w:rsidR="00E20F8B" w:rsidRPr="0017109C">
        <w:t>Z</w:t>
      </w:r>
      <w:r w:rsidR="00E20F8B">
        <w:t>ero (DESNZ)</w:t>
      </w:r>
      <w:r w:rsidR="00E20F8B" w:rsidRPr="0017109C">
        <w:t xml:space="preserve"> and conducted by IOD PARC</w:t>
      </w:r>
      <w:r w:rsidR="00E20F8B">
        <w:t>. Th</w:t>
      </w:r>
      <w:r w:rsidR="00E20F8B" w:rsidRPr="0017109C">
        <w:t xml:space="preserve">e evaluation spans the period </w:t>
      </w:r>
      <w:r w:rsidR="002B1C08">
        <w:t xml:space="preserve">from </w:t>
      </w:r>
      <w:r w:rsidR="00E20F8B" w:rsidRPr="0017109C">
        <w:t>2021</w:t>
      </w:r>
      <w:r w:rsidR="00F4256F">
        <w:t xml:space="preserve"> </w:t>
      </w:r>
      <w:r w:rsidR="00C47B0A">
        <w:t>to</w:t>
      </w:r>
      <w:r w:rsidR="00E20F8B">
        <w:t xml:space="preserve"> June </w:t>
      </w:r>
      <w:r w:rsidR="00E20F8B" w:rsidRPr="0017109C">
        <w:t xml:space="preserve">2025 and </w:t>
      </w:r>
      <w:r w:rsidR="00E20F8B">
        <w:t xml:space="preserve">will </w:t>
      </w:r>
      <w:r w:rsidR="00E20F8B" w:rsidRPr="0017109C">
        <w:t xml:space="preserve">inform future programming and a potential impact evaluation. </w:t>
      </w:r>
    </w:p>
    <w:p w14:paraId="65A590C4" w14:textId="77777777" w:rsidR="00E20F8B" w:rsidRPr="00195B14" w:rsidRDefault="00E20F8B" w:rsidP="00E20F8B">
      <w:pPr>
        <w:rPr>
          <w:rStyle w:val="Boldtext"/>
        </w:rPr>
      </w:pPr>
      <w:r w:rsidRPr="00195B14">
        <w:rPr>
          <w:rStyle w:val="Boldtext"/>
        </w:rPr>
        <w:t>Key Findings</w:t>
      </w:r>
    </w:p>
    <w:p w14:paraId="1BAF969B" w14:textId="167BBA62" w:rsidR="00E20F8B" w:rsidRPr="0017109C" w:rsidRDefault="00E20F8B" w:rsidP="00E20F8B">
      <w:r w:rsidRPr="00195B14">
        <w:rPr>
          <w:rStyle w:val="Boldtext"/>
        </w:rPr>
        <w:t>Relevance</w:t>
      </w:r>
      <w:r>
        <w:rPr>
          <w:rStyle w:val="Boldtext"/>
        </w:rPr>
        <w:t xml:space="preserve">: </w:t>
      </w:r>
      <w:r w:rsidRPr="0017109C">
        <w:t xml:space="preserve">LEAF’s objectives align with global climate mitigation goals and donor priorities, particularly in mobilising private finance for forest protection. However, the programme has underperformed in </w:t>
      </w:r>
      <w:r>
        <w:t>terms of the time taken for market development</w:t>
      </w:r>
      <w:r w:rsidR="00EA6E0D">
        <w:t xml:space="preserve"> for LEAF credits</w:t>
      </w:r>
      <w:r>
        <w:t xml:space="preserve"> and addressing inclusion issues</w:t>
      </w:r>
      <w:r w:rsidR="00EC26A6">
        <w:t xml:space="preserve">, particularly for </w:t>
      </w:r>
      <w:r w:rsidR="00EA1704">
        <w:t xml:space="preserve">the </w:t>
      </w:r>
      <w:r w:rsidR="00EC26A6">
        <w:t xml:space="preserve">inclusion of host jurisdictions (HJs) in LEAF internal governance and </w:t>
      </w:r>
      <w:r w:rsidR="00EC26A6" w:rsidRPr="0017109C">
        <w:t>Indigenous Peoples (IP), Local Communities (LCs), and marginalised groups</w:t>
      </w:r>
      <w:r w:rsidR="00EC26A6">
        <w:t xml:space="preserve"> in </w:t>
      </w:r>
      <w:r w:rsidR="00F4256F">
        <w:t xml:space="preserve">the </w:t>
      </w:r>
      <w:r w:rsidR="00EC26A6">
        <w:t>development of benefit sharing plans</w:t>
      </w:r>
      <w:r>
        <w:t>. Recognising that this is the first initiative of its kind</w:t>
      </w:r>
      <w:r w:rsidR="00EA1704">
        <w:t>,</w:t>
      </w:r>
      <w:r>
        <w:t xml:space="preserve"> we must acknowledge that delays </w:t>
      </w:r>
      <w:r w:rsidR="00EA1704">
        <w:t xml:space="preserve">in implementation </w:t>
      </w:r>
      <w:r>
        <w:t xml:space="preserve">and cycles of learning would be inevitable and necessary when attempting to create a new </w:t>
      </w:r>
      <w:r w:rsidR="00075C23">
        <w:t>segment of the VCM</w:t>
      </w:r>
      <w:r>
        <w:t>. That said, t</w:t>
      </w:r>
      <w:r w:rsidRPr="005C768E">
        <w:t xml:space="preserve">he design </w:t>
      </w:r>
      <w:r>
        <w:t>has proven to be ambitious and greatly</w:t>
      </w:r>
      <w:r w:rsidRPr="005C768E">
        <w:t xml:space="preserve"> underestimat</w:t>
      </w:r>
      <w:r>
        <w:t>ed</w:t>
      </w:r>
      <w:r w:rsidRPr="005C768E">
        <w:t xml:space="preserve"> the complexity of REDD+ implementation and political economy barriers.</w:t>
      </w:r>
      <w:r>
        <w:t xml:space="preserve"> In terms of </w:t>
      </w:r>
      <w:r w:rsidRPr="0017109C">
        <w:t>addressing the needs of IP, LCs, and marginalised groups</w:t>
      </w:r>
      <w:r w:rsidR="00EA1704">
        <w:t>,</w:t>
      </w:r>
      <w:r>
        <w:t xml:space="preserve"> there are opportunities to strengthen i</w:t>
      </w:r>
      <w:r w:rsidRPr="0017109C">
        <w:t xml:space="preserve">nclusion mechanisms </w:t>
      </w:r>
      <w:r>
        <w:t xml:space="preserve">and acknowledge and address weaknesses in the </w:t>
      </w:r>
      <w:r w:rsidRPr="0017109C">
        <w:t>ART-TREES standard</w:t>
      </w:r>
      <w:r>
        <w:t>s</w:t>
      </w:r>
      <w:r w:rsidR="00B11172">
        <w:t xml:space="preserve">, the selected </w:t>
      </w:r>
      <w:r w:rsidR="004275DE">
        <w:t>REDD+ standard for the LEAF Coalition</w:t>
      </w:r>
      <w:r w:rsidRPr="0017109C">
        <w:t xml:space="preserve">. </w:t>
      </w:r>
    </w:p>
    <w:p w14:paraId="3A318543" w14:textId="228E60D4" w:rsidR="00E20F8B" w:rsidRPr="0017109C" w:rsidRDefault="00E20F8B" w:rsidP="00E20F8B">
      <w:r w:rsidRPr="00872B13">
        <w:rPr>
          <w:rStyle w:val="Boldtext"/>
        </w:rPr>
        <w:lastRenderedPageBreak/>
        <w:t>Coherence</w:t>
      </w:r>
      <w:r>
        <w:rPr>
          <w:rStyle w:val="Boldtext"/>
        </w:rPr>
        <w:t xml:space="preserve">: </w:t>
      </w:r>
      <w:r w:rsidRPr="0017109C">
        <w:t xml:space="preserve">LEAF is broadly coherent with international REDD+ frameworks and UK government strategies. However, evolving policy contexts and the complexity of jurisdictional REDD+ require greater flexibility and alignment. Internally, LEAF’s </w:t>
      </w:r>
      <w:r>
        <w:t>UKTAP</w:t>
      </w:r>
      <w:r w:rsidRPr="0017109C">
        <w:t xml:space="preserve"> could be better integrated</w:t>
      </w:r>
      <w:r>
        <w:t xml:space="preserve"> or aligned</w:t>
      </w:r>
      <w:r w:rsidRPr="0017109C">
        <w:t xml:space="preserve"> with other UK programmes</w:t>
      </w:r>
      <w:r>
        <w:t xml:space="preserve"> working in the forest sector</w:t>
      </w:r>
      <w:r w:rsidR="00F540AF">
        <w:t xml:space="preserve"> such as </w:t>
      </w:r>
      <w:r w:rsidR="00F540AF" w:rsidRPr="00E813B0">
        <w:t xml:space="preserve">UK </w:t>
      </w:r>
      <w:r w:rsidR="00F33BD0" w:rsidRPr="00F33BD0">
        <w:t>Partnering for Accelerated Climate Transitions</w:t>
      </w:r>
      <w:r w:rsidR="00F33BD0">
        <w:t xml:space="preserve"> (</w:t>
      </w:r>
      <w:r w:rsidR="00F540AF" w:rsidRPr="00E813B0">
        <w:t>PACT</w:t>
      </w:r>
      <w:r w:rsidR="00F33BD0">
        <w:t>)</w:t>
      </w:r>
      <w:r w:rsidR="00795E9B">
        <w:t xml:space="preserve"> and</w:t>
      </w:r>
      <w:r w:rsidR="00F540AF" w:rsidRPr="00E813B0">
        <w:t xml:space="preserve"> </w:t>
      </w:r>
      <w:r w:rsidR="00F540AF" w:rsidRPr="007A2D06">
        <w:t>Forest Governance Markets and Climate</w:t>
      </w:r>
      <w:r w:rsidR="00F540AF">
        <w:t xml:space="preserve"> (</w:t>
      </w:r>
      <w:r w:rsidR="00F540AF" w:rsidRPr="00E813B0">
        <w:t>FGMC2</w:t>
      </w:r>
      <w:r w:rsidR="00F540AF">
        <w:t>)</w:t>
      </w:r>
      <w:r w:rsidRPr="0017109C">
        <w:t xml:space="preserve">. Externally, the programme benefits from synergies with </w:t>
      </w:r>
      <w:r>
        <w:t xml:space="preserve">wider forest and carbon </w:t>
      </w:r>
      <w:r w:rsidRPr="0017109C">
        <w:t>initiatives</w:t>
      </w:r>
      <w:r w:rsidR="00795E9B">
        <w:t>. However,</w:t>
      </w:r>
      <w:r w:rsidRPr="0017109C">
        <w:t xml:space="preserve"> countries without prior REDD+ experience face disadvantages</w:t>
      </w:r>
      <w:r>
        <w:t xml:space="preserve"> and will likely experience significant barriers to entry into the Voluntary Carbon Market (VCM)</w:t>
      </w:r>
      <w:r w:rsidRPr="0017109C">
        <w:t>. The reliance on a single standard (TREES) presents reputational risks and limits adaptability.</w:t>
      </w:r>
    </w:p>
    <w:p w14:paraId="18D223B9" w14:textId="6494FB50" w:rsidR="00E20F8B" w:rsidRPr="0017109C" w:rsidRDefault="00E20F8B" w:rsidP="00E20F8B">
      <w:r w:rsidRPr="00924FE2">
        <w:rPr>
          <w:rStyle w:val="Boldtext"/>
        </w:rPr>
        <w:t>Effectiveness</w:t>
      </w:r>
      <w:r>
        <w:rPr>
          <w:rStyle w:val="Boldtext"/>
        </w:rPr>
        <w:t xml:space="preserve">: </w:t>
      </w:r>
      <w:r w:rsidRPr="0017109C">
        <w:t xml:space="preserve">Despite establishing a pipeline of supply and demand, LEAF has not yet delivered financial flows to HJs. </w:t>
      </w:r>
      <w:r w:rsidR="00311A3C">
        <w:t>F</w:t>
      </w:r>
      <w:r w:rsidRPr="0017109C">
        <w:t xml:space="preserve">our </w:t>
      </w:r>
      <w:r w:rsidRPr="00C7422C">
        <w:t xml:space="preserve">Emission Reductions Payment Agreements </w:t>
      </w:r>
      <w:r>
        <w:t xml:space="preserve">(ERPAs) </w:t>
      </w:r>
      <w:r w:rsidRPr="0017109C">
        <w:t>have been signed</w:t>
      </w:r>
      <w:r w:rsidR="00866365">
        <w:t xml:space="preserve"> against a target of six by the end of 2024</w:t>
      </w:r>
      <w:r w:rsidRPr="0017109C">
        <w:t>, and no carbon credit transactions have occurred</w:t>
      </w:r>
      <w:r w:rsidR="00F35658">
        <w:t>, again against a target of six by the end of 2024</w:t>
      </w:r>
      <w:r w:rsidRPr="0017109C">
        <w:t xml:space="preserve">. The programme’s monitoring systems are fragmented, with limited transparency—particularly regarding corporate commitments. Governance structures favour corporate stakeholders over HJs, and the </w:t>
      </w:r>
      <w:r>
        <w:t xml:space="preserve">LEAF </w:t>
      </w:r>
      <w:r w:rsidRPr="0017109C">
        <w:t xml:space="preserve">Theory of Change (ToC) lacks clarity on pathways to impact, especially for </w:t>
      </w:r>
      <w:r w:rsidRPr="00E61C92">
        <w:t>Gender Equality, Disability</w:t>
      </w:r>
      <w:r>
        <w:t xml:space="preserve"> and Social</w:t>
      </w:r>
      <w:r w:rsidRPr="00E61C92">
        <w:t xml:space="preserve"> Inclusion </w:t>
      </w:r>
      <w:r>
        <w:t>(</w:t>
      </w:r>
      <w:r w:rsidRPr="0017109C">
        <w:t>GEDSI</w:t>
      </w:r>
      <w:r>
        <w:t>)</w:t>
      </w:r>
      <w:r w:rsidRPr="0017109C">
        <w:t xml:space="preserve"> outcomes. Emergent’s role has created dependencies </w:t>
      </w:r>
      <w:r>
        <w:t>for DESNZ</w:t>
      </w:r>
      <w:r w:rsidR="0030256D">
        <w:t>,</w:t>
      </w:r>
      <w:r>
        <w:t xml:space="preserve"> </w:t>
      </w:r>
      <w:r w:rsidR="0074642A">
        <w:t>who</w:t>
      </w:r>
      <w:r>
        <w:t xml:space="preserve"> should widen their focus to other market makers and improve their access to independent advice and improved monitoring, evaluation, accountability and learning. </w:t>
      </w:r>
    </w:p>
    <w:p w14:paraId="50B13584" w14:textId="364541EC" w:rsidR="00E20F8B" w:rsidRDefault="00E20F8B" w:rsidP="00E20F8B">
      <w:r w:rsidRPr="00D70B86">
        <w:rPr>
          <w:rStyle w:val="Boldtext"/>
        </w:rPr>
        <w:t>Efficiency</w:t>
      </w:r>
      <w:r>
        <w:rPr>
          <w:rStyle w:val="Boldtext"/>
        </w:rPr>
        <w:t xml:space="preserve">: </w:t>
      </w:r>
      <w:r>
        <w:t>I</w:t>
      </w:r>
      <w:r w:rsidRPr="004A54C7">
        <w:t xml:space="preserve">nitial country engagement and formulation of </w:t>
      </w:r>
      <w:r>
        <w:t>TA</w:t>
      </w:r>
      <w:r w:rsidRPr="004A54C7">
        <w:t xml:space="preserve"> projects </w:t>
      </w:r>
      <w:r>
        <w:t xml:space="preserve">through UKTAP </w:t>
      </w:r>
      <w:r w:rsidRPr="004A54C7">
        <w:t>was slow to start. Since implementation</w:t>
      </w:r>
      <w:r>
        <w:t xml:space="preserve">, </w:t>
      </w:r>
      <w:r w:rsidRPr="004A54C7">
        <w:t>this has improved and there has been positive feedback on the pace from jurisdictions</w:t>
      </w:r>
      <w:r>
        <w:t xml:space="preserve">. </w:t>
      </w:r>
      <w:r w:rsidRPr="0017109C">
        <w:t xml:space="preserve">UKTAP and UN-REDD </w:t>
      </w:r>
      <w:r>
        <w:t xml:space="preserve">TA </w:t>
      </w:r>
      <w:r w:rsidRPr="0017109C">
        <w:t>support lacked coordination</w:t>
      </w:r>
      <w:r>
        <w:t xml:space="preserve"> and UKTAP’s lack of </w:t>
      </w:r>
      <w:r w:rsidRPr="0017109C">
        <w:t>on-the-ground presence</w:t>
      </w:r>
      <w:r>
        <w:t xml:space="preserve"> has impacted their ability to work politically. </w:t>
      </w:r>
      <w:r w:rsidRPr="00FF48D9">
        <w:t xml:space="preserve">The two-year UKTAP window </w:t>
      </w:r>
      <w:r>
        <w:t>was viewed as</w:t>
      </w:r>
      <w:r w:rsidRPr="00D25A6F">
        <w:t xml:space="preserve"> a successful pilot, and after demonstrating proof of concept and positive feedback</w:t>
      </w:r>
      <w:r w:rsidR="0074642A">
        <w:t>,</w:t>
      </w:r>
      <w:r w:rsidRPr="00D25A6F">
        <w:t xml:space="preserve"> there is a strong argument to extend it. </w:t>
      </w:r>
      <w:r>
        <w:t xml:space="preserve">The two-year window </w:t>
      </w:r>
      <w:r w:rsidRPr="00FF48D9">
        <w:t>was too short to build sustainable capacity</w:t>
      </w:r>
      <w:r>
        <w:t xml:space="preserve"> and there remains significant TA needs, </w:t>
      </w:r>
      <w:r w:rsidRPr="00FF48D9">
        <w:t>particularly in less advanced jurisdictions</w:t>
      </w:r>
      <w:r>
        <w:t xml:space="preserve"> which weren’t targeted in this first period. </w:t>
      </w:r>
    </w:p>
    <w:p w14:paraId="395EE378" w14:textId="1BE834D5" w:rsidR="00E20F8B" w:rsidRPr="0017109C" w:rsidRDefault="00E20F8B" w:rsidP="00E20F8B">
      <w:r>
        <w:t>Regarding LEAF transaction architecture - h</w:t>
      </w:r>
      <w:r w:rsidRPr="0017109C">
        <w:t xml:space="preserve">igh transaction costs and unclear benefit-sharing mechanisms have further strained efficiency. </w:t>
      </w:r>
    </w:p>
    <w:p w14:paraId="08493642" w14:textId="6F1FCF43" w:rsidR="00E20F8B" w:rsidRPr="0017109C" w:rsidRDefault="00E20F8B" w:rsidP="00E20F8B">
      <w:r w:rsidRPr="004E0836">
        <w:rPr>
          <w:rStyle w:val="Boldtext"/>
        </w:rPr>
        <w:t>Value for Money</w:t>
      </w:r>
      <w:r>
        <w:rPr>
          <w:rStyle w:val="Boldtext"/>
        </w:rPr>
        <w:t xml:space="preserve"> (VfM): </w:t>
      </w:r>
      <w:r w:rsidRPr="0017109C">
        <w:t xml:space="preserve">VfM is currently weak due to high costs, limited results, and inequitable resource allocation. </w:t>
      </w:r>
      <w:r>
        <w:t xml:space="preserve">For Emergent, operating costs are deemed high. </w:t>
      </w:r>
      <w:r w:rsidRPr="0017109C">
        <w:t>While the programme’s high-risk, high-reward model may yield future returns</w:t>
      </w:r>
      <w:r>
        <w:t xml:space="preserve"> (anticipated later in 2025)</w:t>
      </w:r>
      <w:r w:rsidRPr="0017109C">
        <w:t xml:space="preserve">, current performance falls short of business case projections. The lack of transactions and continued reliance on ODA undermine </w:t>
      </w:r>
      <w:r>
        <w:t xml:space="preserve">Emergent’s </w:t>
      </w:r>
      <w:r w:rsidRPr="0017109C">
        <w:t>claims of transformational change</w:t>
      </w:r>
      <w:r>
        <w:t>, DESNZ have accurately noted that there is not yet enough evidence to claim transformational change under ICF reporting</w:t>
      </w:r>
      <w:r w:rsidRPr="0017109C">
        <w:t>.</w:t>
      </w:r>
    </w:p>
    <w:p w14:paraId="7BB33646" w14:textId="353D505E" w:rsidR="00E20F8B" w:rsidRDefault="00E20F8B" w:rsidP="00E20F8B">
      <w:r w:rsidRPr="00016E6A">
        <w:rPr>
          <w:rStyle w:val="Boldtext"/>
        </w:rPr>
        <w:t xml:space="preserve">Gender Equality, Disability, </w:t>
      </w:r>
      <w:r>
        <w:rPr>
          <w:rStyle w:val="Boldtext"/>
        </w:rPr>
        <w:t>and Social</w:t>
      </w:r>
      <w:r w:rsidRPr="00016E6A">
        <w:rPr>
          <w:rStyle w:val="Boldtext"/>
        </w:rPr>
        <w:t xml:space="preserve"> Inclusion</w:t>
      </w:r>
      <w:r>
        <w:t xml:space="preserve">: </w:t>
      </w:r>
      <w:r w:rsidRPr="0017109C">
        <w:t xml:space="preserve">LEAF lacks a standalone GEDSI or </w:t>
      </w:r>
      <w:r>
        <w:t xml:space="preserve">policy on </w:t>
      </w:r>
      <w:r w:rsidRPr="00DE7B63">
        <w:t>Protection from Sexual Exploitation, Abuse and Harassment</w:t>
      </w:r>
      <w:r>
        <w:t xml:space="preserve"> (PSEAH) (whilst Emergent have a policy as the Implementing Agency, an overall PSEAH policy for the programme as a whole should be evident, with clear monitoring and reporting requirements)</w:t>
      </w:r>
      <w:r w:rsidRPr="0017109C">
        <w:t xml:space="preserve">. </w:t>
      </w:r>
      <w:r w:rsidR="00C201DD">
        <w:t>The LEAF Coalition s</w:t>
      </w:r>
      <w:r w:rsidRPr="0017109C">
        <w:t xml:space="preserve">afeguards </w:t>
      </w:r>
      <w:r w:rsidR="00C201DD">
        <w:t>we</w:t>
      </w:r>
      <w:r w:rsidRPr="0017109C">
        <w:t>re weak</w:t>
      </w:r>
      <w:r w:rsidR="00C201DD">
        <w:t xml:space="preserve">, largely relying on ART TREES safeguards </w:t>
      </w:r>
      <w:r w:rsidR="00C566AD">
        <w:t xml:space="preserve">which have been </w:t>
      </w:r>
      <w:r w:rsidR="00C566AD">
        <w:lastRenderedPageBreak/>
        <w:t>critiqued,</w:t>
      </w:r>
      <w:r>
        <w:t xml:space="preserve"> and there are opportunities to strengthen </w:t>
      </w:r>
      <w:r w:rsidRPr="0017109C">
        <w:t>grievance mechanisms</w:t>
      </w:r>
      <w:r>
        <w:t xml:space="preserve">. The LEAF Coalition would benefit from increasing specialist inputs on IP, LC, and GEDSI issues. </w:t>
      </w:r>
      <w:r w:rsidRPr="0017109C">
        <w:t>IP and LC engagement</w:t>
      </w:r>
      <w:r w:rsidR="00363D80">
        <w:t xml:space="preserve"> via </w:t>
      </w:r>
      <w:r w:rsidR="0086230A">
        <w:t>HJ</w:t>
      </w:r>
      <w:r w:rsidR="00363D80">
        <w:t>s</w:t>
      </w:r>
      <w:r w:rsidRPr="0017109C">
        <w:t xml:space="preserve"> has improved but remains inconsistent and under-resourced. </w:t>
      </w:r>
    </w:p>
    <w:p w14:paraId="25361364" w14:textId="77777777" w:rsidR="00E20F8B" w:rsidRPr="0017109C" w:rsidRDefault="00E20F8B" w:rsidP="00E20F8B">
      <w:r w:rsidRPr="001A702F">
        <w:rPr>
          <w:rStyle w:val="Boldtext"/>
        </w:rPr>
        <w:t>Recommendations</w:t>
      </w:r>
      <w:r>
        <w:t>: core recommendations are made on:</w:t>
      </w:r>
    </w:p>
    <w:p w14:paraId="2692B5D3" w14:textId="77777777" w:rsidR="00E20F8B" w:rsidRDefault="00E20F8B" w:rsidP="00E20F8B">
      <w:pPr>
        <w:pStyle w:val="DESNZbulletedlist"/>
        <w:numPr>
          <w:ilvl w:val="0"/>
          <w:numId w:val="2"/>
        </w:numPr>
      </w:pPr>
      <w:r w:rsidRPr="0017109C">
        <w:t>Strengthen</w:t>
      </w:r>
      <w:r>
        <w:t>ing</w:t>
      </w:r>
      <w:r w:rsidRPr="0017109C">
        <w:t xml:space="preserve"> MEL systems and transparency through independent oversight.</w:t>
      </w:r>
    </w:p>
    <w:p w14:paraId="655638F7" w14:textId="77777777" w:rsidR="00E20F8B" w:rsidRPr="0017109C" w:rsidRDefault="00E20F8B" w:rsidP="00E20F8B">
      <w:pPr>
        <w:pStyle w:val="DESNZbulletedlist"/>
        <w:numPr>
          <w:ilvl w:val="0"/>
          <w:numId w:val="2"/>
        </w:numPr>
      </w:pPr>
      <w:r>
        <w:t>Improving transparency and communication.</w:t>
      </w:r>
    </w:p>
    <w:p w14:paraId="37D4495A" w14:textId="77777777" w:rsidR="00E20F8B" w:rsidRPr="0017109C" w:rsidRDefault="00E20F8B" w:rsidP="00E20F8B">
      <w:pPr>
        <w:pStyle w:val="DESNZbulletedlist"/>
        <w:numPr>
          <w:ilvl w:val="0"/>
          <w:numId w:val="2"/>
        </w:numPr>
      </w:pPr>
      <w:r w:rsidRPr="0017109C">
        <w:t>Deepen</w:t>
      </w:r>
      <w:r>
        <w:t>ing</w:t>
      </w:r>
      <w:r w:rsidRPr="0017109C">
        <w:t xml:space="preserve"> UK government coordination and diplomatic engagement.</w:t>
      </w:r>
    </w:p>
    <w:p w14:paraId="660ED191" w14:textId="77777777" w:rsidR="00E20F8B" w:rsidRPr="0017109C" w:rsidRDefault="00E20F8B" w:rsidP="00E20F8B">
      <w:pPr>
        <w:pStyle w:val="DESNZbulletedlist"/>
        <w:numPr>
          <w:ilvl w:val="0"/>
          <w:numId w:val="2"/>
        </w:numPr>
      </w:pPr>
      <w:r w:rsidRPr="0017109C">
        <w:t>Reform</w:t>
      </w:r>
      <w:r>
        <w:t>ing</w:t>
      </w:r>
      <w:r w:rsidRPr="0017109C">
        <w:t xml:space="preserve"> LEAF governance to include HJs and improve corporate accountability.</w:t>
      </w:r>
    </w:p>
    <w:p w14:paraId="618A99A4" w14:textId="77777777" w:rsidR="00E20F8B" w:rsidRPr="0017109C" w:rsidRDefault="00E20F8B" w:rsidP="00E20F8B">
      <w:pPr>
        <w:pStyle w:val="DESNZbulletedlist"/>
        <w:numPr>
          <w:ilvl w:val="0"/>
          <w:numId w:val="2"/>
        </w:numPr>
      </w:pPr>
      <w:r w:rsidRPr="0017109C">
        <w:t>Enhanc</w:t>
      </w:r>
      <w:r>
        <w:t>ing</w:t>
      </w:r>
      <w:r w:rsidRPr="0017109C">
        <w:t xml:space="preserve"> TA delivery with longer-term, locally led support.</w:t>
      </w:r>
    </w:p>
    <w:p w14:paraId="1D350CFC" w14:textId="77777777" w:rsidR="00E20F8B" w:rsidRPr="0017109C" w:rsidRDefault="00E20F8B" w:rsidP="00E20F8B">
      <w:pPr>
        <w:pStyle w:val="DESNZbulletedlist"/>
        <w:numPr>
          <w:ilvl w:val="0"/>
          <w:numId w:val="2"/>
        </w:numPr>
      </w:pPr>
      <w:r w:rsidRPr="0017109C">
        <w:t>Advocat</w:t>
      </w:r>
      <w:r>
        <w:t>ing</w:t>
      </w:r>
      <w:r w:rsidRPr="0017109C">
        <w:t xml:space="preserve"> for stronger safeguards in ART-TREES.</w:t>
      </w:r>
    </w:p>
    <w:p w14:paraId="173FE250" w14:textId="77777777" w:rsidR="00E20F8B" w:rsidRPr="0017109C" w:rsidRDefault="00E20F8B" w:rsidP="00E20F8B">
      <w:pPr>
        <w:pStyle w:val="DESNZbulletedlist"/>
        <w:numPr>
          <w:ilvl w:val="0"/>
          <w:numId w:val="2"/>
        </w:numPr>
      </w:pPr>
      <w:r w:rsidRPr="0017109C">
        <w:t>Establish</w:t>
      </w:r>
      <w:r>
        <w:t>ing</w:t>
      </w:r>
      <w:r w:rsidRPr="0017109C">
        <w:t xml:space="preserve"> clear pathways for low-income countries </w:t>
      </w:r>
      <w:r>
        <w:t>to access LEAF transactions</w:t>
      </w:r>
      <w:r w:rsidRPr="0017109C">
        <w:t xml:space="preserve"> and demonstrate ODA compliance.</w:t>
      </w:r>
    </w:p>
    <w:p w14:paraId="3E43FFD3" w14:textId="77777777" w:rsidR="00E20F8B" w:rsidRDefault="00E20F8B" w:rsidP="00554D4F">
      <w:r>
        <w:t xml:space="preserve">In conclusion, </w:t>
      </w:r>
      <w:r w:rsidRPr="00815837">
        <w:t xml:space="preserve">LEAF is well-positioned to lead in the jurisdictional REDD+ space, but its slow progress and lack of transactions have raised concerns among stakeholders about its design and delivery. With 2025 seen as a pivotal year for disbursing funds to </w:t>
      </w:r>
      <w:r>
        <w:t>HJs</w:t>
      </w:r>
      <w:r w:rsidRPr="00815837">
        <w:t xml:space="preserve"> via Benefit Sharing Plans, LEAF must adapt </w:t>
      </w:r>
      <w:r>
        <w:t>alongside</w:t>
      </w:r>
      <w:r w:rsidRPr="00815837">
        <w:t xml:space="preserve"> evolving compliance markets and demonstrate transparency, legitimacy, and accountability</w:t>
      </w:r>
      <w:r>
        <w:t xml:space="preserve"> - </w:t>
      </w:r>
      <w:r w:rsidRPr="00815837">
        <w:t xml:space="preserve">particularly in corporate engagement and safeguard implementation. As a first mover, LEAF’s stakeholders have shown commendable courage, and while </w:t>
      </w:r>
      <w:r>
        <w:t>challenges</w:t>
      </w:r>
      <w:r w:rsidRPr="00815837">
        <w:t xml:space="preserve"> have </w:t>
      </w:r>
      <w:r>
        <w:t>happened</w:t>
      </w:r>
      <w:r w:rsidRPr="00815837">
        <w:t>, they offer critical learning opportunities. Swift improvements in transaction architecture, benefit sharing, and inclusive governance</w:t>
      </w:r>
      <w:r>
        <w:t xml:space="preserve"> - </w:t>
      </w:r>
      <w:r w:rsidRPr="00815837">
        <w:t>alongside creative solutions like pooled corporate finance</w:t>
      </w:r>
      <w:r>
        <w:t xml:space="preserve"> - </w:t>
      </w:r>
      <w:r w:rsidRPr="00815837">
        <w:t xml:space="preserve">are essential to building a fair, transparent, and effective carbon market. With declining </w:t>
      </w:r>
      <w:r w:rsidRPr="00E813B0">
        <w:t>Overseas Development Assistance (ODA)</w:t>
      </w:r>
      <w:r w:rsidRPr="00815837">
        <w:t>, LEAF’s success in catalysing private climate finance will depend on strategic donor investment across the broader market ecosystem.</w:t>
      </w:r>
    </w:p>
    <w:p w14:paraId="5C989C11" w14:textId="77777777" w:rsidR="00E20F8B" w:rsidRDefault="00E20F8B">
      <w:pPr>
        <w:spacing w:after="160" w:line="259" w:lineRule="auto"/>
        <w:rPr>
          <w:rFonts w:eastAsiaTheme="majorEastAsia" w:cstheme="majorBidi"/>
          <w:color w:val="041E42"/>
          <w:sz w:val="52"/>
          <w:szCs w:val="32"/>
        </w:rPr>
      </w:pPr>
      <w:r>
        <w:br w:type="page"/>
      </w:r>
    </w:p>
    <w:p w14:paraId="5CB63032" w14:textId="06C0A180" w:rsidR="00617EAD" w:rsidRPr="00E813B0" w:rsidRDefault="001D0BD1" w:rsidP="00E20F8B">
      <w:pPr>
        <w:pStyle w:val="Heading1"/>
      </w:pPr>
      <w:bookmarkStart w:id="15" w:name="_Toc209013272"/>
      <w:r w:rsidRPr="00E813B0">
        <w:lastRenderedPageBreak/>
        <w:t>Acronyms</w:t>
      </w:r>
      <w:bookmarkEnd w:id="10"/>
      <w:bookmarkEnd w:id="11"/>
      <w:bookmarkEnd w:id="12"/>
      <w:bookmarkEnd w:id="13"/>
      <w:bookmarkEnd w:id="15"/>
    </w:p>
    <w:tbl>
      <w:tblPr>
        <w:tblStyle w:val="Table-Darkblue"/>
        <w:tblW w:w="0" w:type="auto"/>
        <w:tblLook w:val="0000" w:firstRow="0" w:lastRow="0" w:firstColumn="0" w:lastColumn="0" w:noHBand="0" w:noVBand="0"/>
      </w:tblPr>
      <w:tblGrid>
        <w:gridCol w:w="1555"/>
        <w:gridCol w:w="8527"/>
      </w:tblGrid>
      <w:tr w:rsidR="002E3DE6" w:rsidRPr="00E813B0" w14:paraId="5876EC94" w14:textId="77777777" w:rsidTr="001B5440">
        <w:trPr>
          <w:trHeight w:val="572"/>
        </w:trPr>
        <w:tc>
          <w:tcPr>
            <w:tcW w:w="1555" w:type="dxa"/>
          </w:tcPr>
          <w:p w14:paraId="3C14E919" w14:textId="77777777" w:rsidR="002E3DE6" w:rsidRPr="00535EF0" w:rsidRDefault="002E3DE6" w:rsidP="00F805B3">
            <w:pPr>
              <w:rPr>
                <w:rStyle w:val="Superscript"/>
                <w:rFonts w:eastAsiaTheme="majorEastAsia" w:cstheme="majorBidi"/>
                <w:color w:val="041E42"/>
                <w:szCs w:val="32"/>
                <w:vertAlign w:val="baseline"/>
                <w:lang w:eastAsia="en-US"/>
              </w:rPr>
            </w:pPr>
            <w:r w:rsidRPr="00535EF0">
              <w:rPr>
                <w:rStyle w:val="Superscript"/>
                <w:vertAlign w:val="baseline"/>
              </w:rPr>
              <w:t>ART</w:t>
            </w:r>
          </w:p>
        </w:tc>
        <w:tc>
          <w:tcPr>
            <w:tcW w:w="8527" w:type="dxa"/>
          </w:tcPr>
          <w:p w14:paraId="093F323C" w14:textId="56A6ED41"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Architecture for R</w:t>
            </w:r>
            <w:r w:rsidR="00C7304A" w:rsidRPr="00535EF0">
              <w:rPr>
                <w:rStyle w:val="Superscript"/>
                <w:vertAlign w:val="baseline"/>
              </w:rPr>
              <w:t>EDD</w:t>
            </w:r>
            <w:r w:rsidRPr="00535EF0">
              <w:rPr>
                <w:rStyle w:val="Superscript"/>
                <w:vertAlign w:val="baseline"/>
              </w:rPr>
              <w:t>+ Standards</w:t>
            </w:r>
          </w:p>
        </w:tc>
      </w:tr>
      <w:tr w:rsidR="00920CD2" w:rsidRPr="00E813B0" w14:paraId="4C17486D" w14:textId="77777777" w:rsidTr="001B5440">
        <w:trPr>
          <w:trHeight w:val="572"/>
        </w:trPr>
        <w:tc>
          <w:tcPr>
            <w:tcW w:w="1555" w:type="dxa"/>
          </w:tcPr>
          <w:p w14:paraId="6833FE4D" w14:textId="4EE8AF73" w:rsidR="00920CD2" w:rsidRPr="00535EF0" w:rsidRDefault="00920CD2" w:rsidP="00F805B3">
            <w:pPr>
              <w:rPr>
                <w:rStyle w:val="Superscript"/>
                <w:rFonts w:eastAsiaTheme="minorHAnsi" w:cstheme="minorBidi"/>
                <w:vertAlign w:val="baseline"/>
                <w:lang w:eastAsia="en-US"/>
              </w:rPr>
            </w:pPr>
            <w:r w:rsidRPr="00535EF0">
              <w:rPr>
                <w:rStyle w:val="Superscript"/>
                <w:vertAlign w:val="baseline"/>
              </w:rPr>
              <w:t>BSP</w:t>
            </w:r>
          </w:p>
        </w:tc>
        <w:tc>
          <w:tcPr>
            <w:tcW w:w="8527" w:type="dxa"/>
          </w:tcPr>
          <w:p w14:paraId="2DAFCB4E" w14:textId="392B7ED2" w:rsidR="00920CD2" w:rsidRPr="00535EF0" w:rsidRDefault="00920CD2" w:rsidP="00F805B3">
            <w:pPr>
              <w:rPr>
                <w:rStyle w:val="Superscript"/>
                <w:rFonts w:eastAsiaTheme="minorHAnsi" w:cstheme="minorBidi"/>
                <w:vertAlign w:val="baseline"/>
                <w:lang w:eastAsia="en-US"/>
              </w:rPr>
            </w:pPr>
            <w:r w:rsidRPr="00535EF0">
              <w:rPr>
                <w:rStyle w:val="Superscript"/>
                <w:vertAlign w:val="baseline"/>
              </w:rPr>
              <w:t>Benefit Sharing Plans</w:t>
            </w:r>
          </w:p>
        </w:tc>
      </w:tr>
      <w:tr w:rsidR="002E3DE6" w:rsidRPr="00E813B0" w14:paraId="685C92CE" w14:textId="77777777" w:rsidTr="001B5440">
        <w:trPr>
          <w:trHeight w:val="572"/>
        </w:trPr>
        <w:tc>
          <w:tcPr>
            <w:tcW w:w="1555" w:type="dxa"/>
          </w:tcPr>
          <w:p w14:paraId="655EE03A"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BEIS</w:t>
            </w:r>
          </w:p>
        </w:tc>
        <w:tc>
          <w:tcPr>
            <w:tcW w:w="8527" w:type="dxa"/>
          </w:tcPr>
          <w:p w14:paraId="03CCF195"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Department for Business, Energy &amp; Industrial Strategy (UK)</w:t>
            </w:r>
          </w:p>
        </w:tc>
      </w:tr>
      <w:tr w:rsidR="002E3DE6" w:rsidRPr="00E813B0" w14:paraId="24AEB5C3" w14:textId="77777777" w:rsidTr="001B5440">
        <w:trPr>
          <w:trHeight w:val="572"/>
        </w:trPr>
        <w:tc>
          <w:tcPr>
            <w:tcW w:w="1555" w:type="dxa"/>
          </w:tcPr>
          <w:p w14:paraId="4278D316"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CAG</w:t>
            </w:r>
          </w:p>
        </w:tc>
        <w:tc>
          <w:tcPr>
            <w:tcW w:w="8527" w:type="dxa"/>
          </w:tcPr>
          <w:p w14:paraId="3046BC33"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 xml:space="preserve">Coalition Advisory Group </w:t>
            </w:r>
          </w:p>
        </w:tc>
      </w:tr>
      <w:tr w:rsidR="00AA485D" w:rsidRPr="00E813B0" w14:paraId="64BA93FE" w14:textId="77777777" w:rsidTr="001B5440">
        <w:trPr>
          <w:trHeight w:val="572"/>
        </w:trPr>
        <w:tc>
          <w:tcPr>
            <w:tcW w:w="1555" w:type="dxa"/>
          </w:tcPr>
          <w:p w14:paraId="10EF98B1" w14:textId="3FBCF947" w:rsidR="00AA485D" w:rsidRPr="00535EF0" w:rsidRDefault="00AA485D" w:rsidP="00F805B3">
            <w:pPr>
              <w:rPr>
                <w:rStyle w:val="Superscript"/>
                <w:rFonts w:eastAsiaTheme="minorHAnsi" w:cstheme="minorBidi"/>
                <w:vertAlign w:val="baseline"/>
                <w:lang w:eastAsia="en-US"/>
              </w:rPr>
            </w:pPr>
            <w:r w:rsidRPr="00535EF0">
              <w:rPr>
                <w:rStyle w:val="Superscript"/>
                <w:vertAlign w:val="baseline"/>
              </w:rPr>
              <w:t>CDEL</w:t>
            </w:r>
          </w:p>
        </w:tc>
        <w:tc>
          <w:tcPr>
            <w:tcW w:w="8527" w:type="dxa"/>
          </w:tcPr>
          <w:p w14:paraId="52C1828F" w14:textId="76E48538" w:rsidR="00AA485D" w:rsidRPr="00535EF0" w:rsidRDefault="00CF49D2" w:rsidP="00F805B3">
            <w:pPr>
              <w:rPr>
                <w:rStyle w:val="Superscript"/>
                <w:rFonts w:eastAsiaTheme="minorHAnsi" w:cstheme="minorBidi"/>
                <w:vertAlign w:val="baseline"/>
                <w:lang w:eastAsia="en-US"/>
              </w:rPr>
            </w:pPr>
            <w:r w:rsidRPr="00535EF0">
              <w:rPr>
                <w:rStyle w:val="Superscript"/>
                <w:vertAlign w:val="baseline"/>
              </w:rPr>
              <w:t>Capital Departmental Expenditure Limit</w:t>
            </w:r>
          </w:p>
        </w:tc>
      </w:tr>
      <w:tr w:rsidR="002E3DE6" w:rsidRPr="00E813B0" w14:paraId="443077AD" w14:textId="77777777" w:rsidTr="001B5440">
        <w:trPr>
          <w:trHeight w:val="572"/>
        </w:trPr>
        <w:tc>
          <w:tcPr>
            <w:tcW w:w="1555" w:type="dxa"/>
          </w:tcPr>
          <w:p w14:paraId="5D7FCD62"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CIFOR</w:t>
            </w:r>
          </w:p>
        </w:tc>
        <w:tc>
          <w:tcPr>
            <w:tcW w:w="8527" w:type="dxa"/>
          </w:tcPr>
          <w:p w14:paraId="0AF716C0"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Center for International Forestry Research</w:t>
            </w:r>
          </w:p>
        </w:tc>
      </w:tr>
      <w:tr w:rsidR="00CB5EF2" w:rsidRPr="00E813B0" w14:paraId="1F633C21" w14:textId="77777777" w:rsidTr="001B5440">
        <w:trPr>
          <w:trHeight w:val="572"/>
        </w:trPr>
        <w:tc>
          <w:tcPr>
            <w:tcW w:w="1555" w:type="dxa"/>
          </w:tcPr>
          <w:p w14:paraId="5F535B85" w14:textId="0D5148AC" w:rsidR="00CB5EF2" w:rsidRPr="00535EF0" w:rsidRDefault="00CB5EF2" w:rsidP="00F805B3">
            <w:pPr>
              <w:rPr>
                <w:rStyle w:val="Superscript"/>
                <w:rFonts w:eastAsiaTheme="minorHAnsi" w:cstheme="minorBidi"/>
                <w:vertAlign w:val="baseline"/>
                <w:lang w:eastAsia="en-US"/>
              </w:rPr>
            </w:pPr>
            <w:r w:rsidRPr="00535EF0">
              <w:rPr>
                <w:rStyle w:val="Superscript"/>
                <w:vertAlign w:val="baseline"/>
              </w:rPr>
              <w:t>CLP</w:t>
            </w:r>
          </w:p>
        </w:tc>
        <w:tc>
          <w:tcPr>
            <w:tcW w:w="8527" w:type="dxa"/>
          </w:tcPr>
          <w:p w14:paraId="1BEAF26F" w14:textId="51F06175" w:rsidR="00CB5EF2" w:rsidRPr="00535EF0" w:rsidRDefault="00CB5EF2" w:rsidP="00F805B3">
            <w:pPr>
              <w:rPr>
                <w:rStyle w:val="Superscript"/>
                <w:rFonts w:eastAsiaTheme="minorHAnsi" w:cstheme="minorBidi"/>
                <w:vertAlign w:val="baseline"/>
                <w:lang w:eastAsia="en-US"/>
              </w:rPr>
            </w:pPr>
            <w:r w:rsidRPr="00535EF0">
              <w:rPr>
                <w:rStyle w:val="Superscript"/>
                <w:vertAlign w:val="baseline"/>
              </w:rPr>
              <w:t>Climate Law and Policy</w:t>
            </w:r>
          </w:p>
        </w:tc>
      </w:tr>
      <w:tr w:rsidR="002E3DE6" w:rsidRPr="00E813B0" w14:paraId="18DCC0F4" w14:textId="77777777" w:rsidTr="001B5440">
        <w:trPr>
          <w:trHeight w:val="572"/>
        </w:trPr>
        <w:tc>
          <w:tcPr>
            <w:tcW w:w="1555" w:type="dxa"/>
          </w:tcPr>
          <w:p w14:paraId="126BFCF8"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CORSIA</w:t>
            </w:r>
          </w:p>
        </w:tc>
        <w:tc>
          <w:tcPr>
            <w:tcW w:w="8527" w:type="dxa"/>
          </w:tcPr>
          <w:p w14:paraId="53D476C2"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 xml:space="preserve">Carbon Offsetting and Reduction Scheme for International Aviation </w:t>
            </w:r>
          </w:p>
        </w:tc>
      </w:tr>
      <w:tr w:rsidR="00E1100D" w:rsidRPr="00E813B0" w14:paraId="0E8E2760" w14:textId="77777777" w:rsidTr="001B5440">
        <w:trPr>
          <w:trHeight w:val="572"/>
        </w:trPr>
        <w:tc>
          <w:tcPr>
            <w:tcW w:w="1555" w:type="dxa"/>
          </w:tcPr>
          <w:p w14:paraId="02FF8F44" w14:textId="71BF9553" w:rsidR="00E1100D" w:rsidRPr="00535EF0" w:rsidRDefault="00E1100D" w:rsidP="00F805B3">
            <w:pPr>
              <w:rPr>
                <w:rStyle w:val="Superscript"/>
                <w:rFonts w:eastAsiaTheme="minorHAnsi" w:cstheme="minorBidi"/>
                <w:vertAlign w:val="baseline"/>
                <w:lang w:eastAsia="en-US"/>
              </w:rPr>
            </w:pPr>
            <w:r w:rsidRPr="00535EF0">
              <w:rPr>
                <w:rStyle w:val="Superscript"/>
                <w:vertAlign w:val="baseline"/>
              </w:rPr>
              <w:t>CP</w:t>
            </w:r>
          </w:p>
        </w:tc>
        <w:tc>
          <w:tcPr>
            <w:tcW w:w="8527" w:type="dxa"/>
          </w:tcPr>
          <w:p w14:paraId="2127CA71" w14:textId="3DEA2068" w:rsidR="00E1100D" w:rsidRPr="00535EF0" w:rsidRDefault="00E1100D" w:rsidP="00F805B3">
            <w:pPr>
              <w:rPr>
                <w:rStyle w:val="Superscript"/>
                <w:rFonts w:eastAsiaTheme="minorHAnsi" w:cstheme="minorBidi"/>
                <w:vertAlign w:val="baseline"/>
                <w:lang w:eastAsia="en-US"/>
              </w:rPr>
            </w:pPr>
            <w:r w:rsidRPr="00535EF0">
              <w:rPr>
                <w:rStyle w:val="Superscript"/>
                <w:vertAlign w:val="baseline"/>
              </w:rPr>
              <w:t>Corporate Partner</w:t>
            </w:r>
          </w:p>
        </w:tc>
      </w:tr>
      <w:tr w:rsidR="002E3DE6" w:rsidRPr="00E813B0" w14:paraId="410C4DD6" w14:textId="77777777" w:rsidTr="00686CDF">
        <w:trPr>
          <w:trHeight w:val="485"/>
        </w:trPr>
        <w:tc>
          <w:tcPr>
            <w:tcW w:w="1555" w:type="dxa"/>
          </w:tcPr>
          <w:p w14:paraId="67E30743" w14:textId="3CF544D7" w:rsidR="00535EF0" w:rsidRPr="00535EF0" w:rsidRDefault="002E3DE6" w:rsidP="00F805B3">
            <w:r w:rsidRPr="00535EF0">
              <w:rPr>
                <w:rStyle w:val="Superscript"/>
                <w:vertAlign w:val="baseline"/>
              </w:rPr>
              <w:t>DESNZ</w:t>
            </w:r>
          </w:p>
        </w:tc>
        <w:tc>
          <w:tcPr>
            <w:tcW w:w="8527" w:type="dxa"/>
          </w:tcPr>
          <w:p w14:paraId="0B9A7F24"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Department for Energy Security and Net Zero (UK)</w:t>
            </w:r>
          </w:p>
        </w:tc>
      </w:tr>
      <w:tr w:rsidR="002E3DE6" w:rsidRPr="00E813B0" w14:paraId="0CB7C6DA" w14:textId="77777777" w:rsidTr="001B5440">
        <w:trPr>
          <w:trHeight w:val="572"/>
        </w:trPr>
        <w:tc>
          <w:tcPr>
            <w:tcW w:w="1555" w:type="dxa"/>
          </w:tcPr>
          <w:p w14:paraId="1012E8B5"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DFID</w:t>
            </w:r>
          </w:p>
        </w:tc>
        <w:tc>
          <w:tcPr>
            <w:tcW w:w="8527" w:type="dxa"/>
          </w:tcPr>
          <w:p w14:paraId="407612B0"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Department for International Development (UK)</w:t>
            </w:r>
          </w:p>
        </w:tc>
      </w:tr>
      <w:tr w:rsidR="002E3DE6" w:rsidRPr="00E813B0" w14:paraId="5EF55ECD" w14:textId="77777777" w:rsidTr="001B5440">
        <w:trPr>
          <w:trHeight w:val="572"/>
        </w:trPr>
        <w:tc>
          <w:tcPr>
            <w:tcW w:w="1555" w:type="dxa"/>
          </w:tcPr>
          <w:p w14:paraId="015455AB"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DRC</w:t>
            </w:r>
          </w:p>
        </w:tc>
        <w:tc>
          <w:tcPr>
            <w:tcW w:w="8527" w:type="dxa"/>
          </w:tcPr>
          <w:p w14:paraId="1B6724A4"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Democratic Republic of Congo</w:t>
            </w:r>
          </w:p>
        </w:tc>
      </w:tr>
      <w:tr w:rsidR="00AC1386" w:rsidRPr="00E813B0" w14:paraId="347CCA11" w14:textId="77777777" w:rsidTr="001B5440">
        <w:trPr>
          <w:trHeight w:val="572"/>
        </w:trPr>
        <w:tc>
          <w:tcPr>
            <w:tcW w:w="1555" w:type="dxa"/>
          </w:tcPr>
          <w:p w14:paraId="48E7EF19" w14:textId="44C3C030" w:rsidR="00AC1386" w:rsidRPr="00535EF0" w:rsidRDefault="00AC1386" w:rsidP="00F805B3">
            <w:pPr>
              <w:rPr>
                <w:rStyle w:val="Superscript"/>
                <w:rFonts w:eastAsiaTheme="minorHAnsi" w:cstheme="minorBidi"/>
                <w:vertAlign w:val="baseline"/>
                <w:lang w:eastAsia="en-US"/>
              </w:rPr>
            </w:pPr>
            <w:r w:rsidRPr="00535EF0">
              <w:rPr>
                <w:rStyle w:val="Superscript"/>
                <w:vertAlign w:val="baseline"/>
              </w:rPr>
              <w:t>EQ</w:t>
            </w:r>
          </w:p>
        </w:tc>
        <w:tc>
          <w:tcPr>
            <w:tcW w:w="8527" w:type="dxa"/>
          </w:tcPr>
          <w:p w14:paraId="04CC80FB" w14:textId="50D82A4E" w:rsidR="00AC1386" w:rsidRPr="00535EF0" w:rsidRDefault="00AC1386" w:rsidP="00F805B3">
            <w:pPr>
              <w:rPr>
                <w:rStyle w:val="Superscript"/>
                <w:rFonts w:eastAsiaTheme="minorHAnsi" w:cstheme="minorBidi"/>
                <w:vertAlign w:val="baseline"/>
                <w:lang w:eastAsia="en-US"/>
              </w:rPr>
            </w:pPr>
            <w:r w:rsidRPr="00535EF0">
              <w:rPr>
                <w:rStyle w:val="Superscript"/>
                <w:vertAlign w:val="baseline"/>
              </w:rPr>
              <w:t>Evaluation Question</w:t>
            </w:r>
          </w:p>
        </w:tc>
      </w:tr>
      <w:tr w:rsidR="002E3DE6" w:rsidRPr="00E813B0" w14:paraId="58C3AB4B" w14:textId="77777777" w:rsidTr="001B5440">
        <w:trPr>
          <w:trHeight w:val="585"/>
        </w:trPr>
        <w:tc>
          <w:tcPr>
            <w:tcW w:w="1555" w:type="dxa"/>
          </w:tcPr>
          <w:p w14:paraId="0642BECC"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EQUALS</w:t>
            </w:r>
          </w:p>
        </w:tc>
        <w:tc>
          <w:tcPr>
            <w:tcW w:w="8527" w:type="dxa"/>
          </w:tcPr>
          <w:p w14:paraId="499E4B83"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 xml:space="preserve">Evaluation Quality Assurance and Learning Service </w:t>
            </w:r>
          </w:p>
        </w:tc>
      </w:tr>
      <w:tr w:rsidR="002E3DE6" w:rsidRPr="00E813B0" w14:paraId="321886CA" w14:textId="77777777" w:rsidTr="001B5440">
        <w:trPr>
          <w:trHeight w:val="572"/>
        </w:trPr>
        <w:tc>
          <w:tcPr>
            <w:tcW w:w="1555" w:type="dxa"/>
          </w:tcPr>
          <w:p w14:paraId="658F39C1"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ERPA</w:t>
            </w:r>
          </w:p>
        </w:tc>
        <w:tc>
          <w:tcPr>
            <w:tcW w:w="8527" w:type="dxa"/>
          </w:tcPr>
          <w:p w14:paraId="42A79554"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Emission Reductions Payment Agreements</w:t>
            </w:r>
          </w:p>
        </w:tc>
      </w:tr>
      <w:tr w:rsidR="002E3DE6" w:rsidRPr="00E813B0" w14:paraId="432FFDCA" w14:textId="77777777" w:rsidTr="001B5440">
        <w:trPr>
          <w:trHeight w:val="572"/>
        </w:trPr>
        <w:tc>
          <w:tcPr>
            <w:tcW w:w="1555" w:type="dxa"/>
          </w:tcPr>
          <w:p w14:paraId="71F7D3F6"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ESRC</w:t>
            </w:r>
          </w:p>
        </w:tc>
        <w:tc>
          <w:tcPr>
            <w:tcW w:w="8527" w:type="dxa"/>
          </w:tcPr>
          <w:p w14:paraId="4B8B89BD"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Economic and Social Research Council (UK)</w:t>
            </w:r>
          </w:p>
        </w:tc>
      </w:tr>
      <w:tr w:rsidR="002E3DE6" w:rsidRPr="00E813B0" w14:paraId="442C545B" w14:textId="77777777" w:rsidTr="001B5440">
        <w:trPr>
          <w:trHeight w:val="572"/>
        </w:trPr>
        <w:tc>
          <w:tcPr>
            <w:tcW w:w="1555" w:type="dxa"/>
          </w:tcPr>
          <w:p w14:paraId="2327F7F7"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ET</w:t>
            </w:r>
          </w:p>
        </w:tc>
        <w:tc>
          <w:tcPr>
            <w:tcW w:w="8527" w:type="dxa"/>
          </w:tcPr>
          <w:p w14:paraId="4F608071"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Evaluation Team</w:t>
            </w:r>
          </w:p>
        </w:tc>
      </w:tr>
      <w:tr w:rsidR="002763ED" w:rsidRPr="002763ED" w14:paraId="13B0F857" w14:textId="77777777" w:rsidTr="001B5440">
        <w:trPr>
          <w:trHeight w:val="572"/>
        </w:trPr>
        <w:tc>
          <w:tcPr>
            <w:tcW w:w="1555" w:type="dxa"/>
          </w:tcPr>
          <w:p w14:paraId="519EF72D" w14:textId="1200FE4D" w:rsidR="002763ED" w:rsidRPr="002763ED" w:rsidRDefault="002763ED" w:rsidP="00F805B3">
            <w:r w:rsidRPr="002763ED">
              <w:lastRenderedPageBreak/>
              <w:t>FAO</w:t>
            </w:r>
          </w:p>
        </w:tc>
        <w:tc>
          <w:tcPr>
            <w:tcW w:w="8527" w:type="dxa"/>
          </w:tcPr>
          <w:p w14:paraId="5A7D4AF1" w14:textId="30AD46FF" w:rsidR="002763ED" w:rsidRPr="002763ED" w:rsidRDefault="002763ED" w:rsidP="00F805B3">
            <w:r w:rsidRPr="002763ED">
              <w:t>Food and Agriculture Organisation</w:t>
            </w:r>
          </w:p>
        </w:tc>
      </w:tr>
      <w:tr w:rsidR="002E3DE6" w:rsidRPr="00E813B0" w14:paraId="0084B73B" w14:textId="77777777" w:rsidTr="001B5440">
        <w:trPr>
          <w:trHeight w:val="572"/>
        </w:trPr>
        <w:tc>
          <w:tcPr>
            <w:tcW w:w="1555" w:type="dxa"/>
          </w:tcPr>
          <w:p w14:paraId="73ACF0B6"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FCDO</w:t>
            </w:r>
          </w:p>
        </w:tc>
        <w:tc>
          <w:tcPr>
            <w:tcW w:w="8527" w:type="dxa"/>
          </w:tcPr>
          <w:p w14:paraId="4C9B6529"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Foreign, Commonwealth &amp; Development Office (UK)</w:t>
            </w:r>
          </w:p>
        </w:tc>
      </w:tr>
      <w:tr w:rsidR="002E3DE6" w:rsidRPr="00E813B0" w14:paraId="73D2EA29" w14:textId="77777777" w:rsidTr="001B5440">
        <w:trPr>
          <w:trHeight w:val="572"/>
        </w:trPr>
        <w:tc>
          <w:tcPr>
            <w:tcW w:w="1555" w:type="dxa"/>
          </w:tcPr>
          <w:p w14:paraId="7E760408"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FCLP</w:t>
            </w:r>
          </w:p>
        </w:tc>
        <w:tc>
          <w:tcPr>
            <w:tcW w:w="8527" w:type="dxa"/>
          </w:tcPr>
          <w:p w14:paraId="1085B08E"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 xml:space="preserve">Forest &amp; Climate Leaders' Partnership </w:t>
            </w:r>
          </w:p>
        </w:tc>
      </w:tr>
      <w:tr w:rsidR="002E3DE6" w:rsidRPr="00E813B0" w14:paraId="3792504C" w14:textId="77777777" w:rsidTr="001B5440">
        <w:trPr>
          <w:trHeight w:val="572"/>
        </w:trPr>
        <w:tc>
          <w:tcPr>
            <w:tcW w:w="1555" w:type="dxa"/>
          </w:tcPr>
          <w:p w14:paraId="7D6E1808"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FCPF</w:t>
            </w:r>
          </w:p>
        </w:tc>
        <w:tc>
          <w:tcPr>
            <w:tcW w:w="8527" w:type="dxa"/>
          </w:tcPr>
          <w:p w14:paraId="039CF5E7"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Forests Carbon Partnership Facility</w:t>
            </w:r>
          </w:p>
        </w:tc>
      </w:tr>
      <w:tr w:rsidR="002E3DE6" w:rsidRPr="00E813B0" w14:paraId="054DF9E7" w14:textId="77777777" w:rsidTr="001B5440">
        <w:trPr>
          <w:trHeight w:val="572"/>
        </w:trPr>
        <w:tc>
          <w:tcPr>
            <w:tcW w:w="1555" w:type="dxa"/>
          </w:tcPr>
          <w:p w14:paraId="031F41FD"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FGD</w:t>
            </w:r>
          </w:p>
        </w:tc>
        <w:tc>
          <w:tcPr>
            <w:tcW w:w="8527" w:type="dxa"/>
          </w:tcPr>
          <w:p w14:paraId="61333A3C"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Focus Group Discussion</w:t>
            </w:r>
          </w:p>
        </w:tc>
      </w:tr>
      <w:tr w:rsidR="002E3DE6" w:rsidRPr="00E813B0" w14:paraId="0EB41C39" w14:textId="77777777" w:rsidTr="001B5440">
        <w:trPr>
          <w:trHeight w:val="572"/>
        </w:trPr>
        <w:tc>
          <w:tcPr>
            <w:tcW w:w="1555" w:type="dxa"/>
          </w:tcPr>
          <w:p w14:paraId="1B78BED4"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FGMC</w:t>
            </w:r>
          </w:p>
        </w:tc>
        <w:tc>
          <w:tcPr>
            <w:tcW w:w="8527" w:type="dxa"/>
          </w:tcPr>
          <w:p w14:paraId="023D8F6E"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Forest Governance, Markets and Climate Programme</w:t>
            </w:r>
          </w:p>
        </w:tc>
      </w:tr>
      <w:tr w:rsidR="00CE59DA" w:rsidRPr="00E813B0" w14:paraId="183760B0" w14:textId="77777777" w:rsidTr="001B5440">
        <w:trPr>
          <w:trHeight w:val="572"/>
        </w:trPr>
        <w:tc>
          <w:tcPr>
            <w:tcW w:w="1555" w:type="dxa"/>
          </w:tcPr>
          <w:p w14:paraId="13379F2C" w14:textId="4986A62C" w:rsidR="00CE59DA" w:rsidRPr="00535EF0" w:rsidRDefault="00CE59DA" w:rsidP="00F805B3">
            <w:pPr>
              <w:rPr>
                <w:rStyle w:val="Superscript"/>
                <w:rFonts w:eastAsiaTheme="minorHAnsi" w:cstheme="minorBidi"/>
                <w:vertAlign w:val="baseline"/>
                <w:lang w:eastAsia="en-US"/>
              </w:rPr>
            </w:pPr>
            <w:r w:rsidRPr="00535EF0">
              <w:rPr>
                <w:rStyle w:val="Superscript"/>
                <w:vertAlign w:val="baseline"/>
              </w:rPr>
              <w:t>FI</w:t>
            </w:r>
          </w:p>
        </w:tc>
        <w:tc>
          <w:tcPr>
            <w:tcW w:w="8527" w:type="dxa"/>
          </w:tcPr>
          <w:p w14:paraId="57E21B1F" w14:textId="27B4B2DF" w:rsidR="00CE59DA" w:rsidRPr="00535EF0" w:rsidRDefault="00CE59DA" w:rsidP="00F805B3">
            <w:pPr>
              <w:rPr>
                <w:rStyle w:val="Superscript"/>
                <w:rFonts w:eastAsiaTheme="minorHAnsi" w:cstheme="minorBidi"/>
                <w:vertAlign w:val="baseline"/>
                <w:lang w:eastAsia="en-US"/>
              </w:rPr>
            </w:pPr>
            <w:r w:rsidRPr="00535EF0">
              <w:rPr>
                <w:rStyle w:val="Superscript"/>
                <w:vertAlign w:val="baseline"/>
              </w:rPr>
              <w:t>Financial Intermediaries</w:t>
            </w:r>
          </w:p>
        </w:tc>
      </w:tr>
      <w:tr w:rsidR="002E3DE6" w:rsidRPr="00E813B0" w14:paraId="6E9DDF41" w14:textId="77777777" w:rsidTr="001B5440">
        <w:trPr>
          <w:trHeight w:val="572"/>
        </w:trPr>
        <w:tc>
          <w:tcPr>
            <w:tcW w:w="1555" w:type="dxa"/>
          </w:tcPr>
          <w:p w14:paraId="2EAB5F19"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FLEGT</w:t>
            </w:r>
          </w:p>
        </w:tc>
        <w:tc>
          <w:tcPr>
            <w:tcW w:w="8527" w:type="dxa"/>
          </w:tcPr>
          <w:p w14:paraId="7F6C08E3"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Forest Law Enforcement, Governance and Trade</w:t>
            </w:r>
          </w:p>
        </w:tc>
      </w:tr>
      <w:tr w:rsidR="007B2AFB" w:rsidRPr="00E813B0" w14:paraId="5EC703FE" w14:textId="77777777" w:rsidTr="001B5440">
        <w:trPr>
          <w:trHeight w:val="572"/>
        </w:trPr>
        <w:tc>
          <w:tcPr>
            <w:tcW w:w="1555" w:type="dxa"/>
          </w:tcPr>
          <w:p w14:paraId="5A828996" w14:textId="6A4C99DE" w:rsidR="007B2AFB" w:rsidRPr="00535EF0" w:rsidRDefault="007B2AFB" w:rsidP="00F805B3">
            <w:pPr>
              <w:rPr>
                <w:rStyle w:val="Superscript"/>
                <w:rFonts w:eastAsiaTheme="minorHAnsi" w:cstheme="minorBidi"/>
                <w:vertAlign w:val="baseline"/>
                <w:lang w:eastAsia="en-US"/>
              </w:rPr>
            </w:pPr>
            <w:r w:rsidRPr="00535EF0">
              <w:rPr>
                <w:rStyle w:val="Superscript"/>
                <w:vertAlign w:val="baseline"/>
              </w:rPr>
              <w:t>FPIC</w:t>
            </w:r>
          </w:p>
        </w:tc>
        <w:tc>
          <w:tcPr>
            <w:tcW w:w="8527" w:type="dxa"/>
          </w:tcPr>
          <w:p w14:paraId="5CE52B9D" w14:textId="61759CC4" w:rsidR="007B2AFB" w:rsidRPr="00535EF0" w:rsidRDefault="007B2AFB" w:rsidP="00F805B3">
            <w:pPr>
              <w:rPr>
                <w:rStyle w:val="Superscript"/>
                <w:rFonts w:eastAsiaTheme="minorHAnsi" w:cstheme="minorBidi"/>
                <w:vertAlign w:val="baseline"/>
                <w:lang w:eastAsia="en-US"/>
              </w:rPr>
            </w:pPr>
            <w:r w:rsidRPr="00535EF0">
              <w:rPr>
                <w:rStyle w:val="Superscript"/>
                <w:vertAlign w:val="baseline"/>
              </w:rPr>
              <w:t>Free, Prior and Informed Consent</w:t>
            </w:r>
          </w:p>
        </w:tc>
      </w:tr>
      <w:tr w:rsidR="002E3DE6" w:rsidRPr="00E813B0" w14:paraId="26C03E84" w14:textId="77777777" w:rsidTr="001B5440">
        <w:trPr>
          <w:trHeight w:val="572"/>
        </w:trPr>
        <w:tc>
          <w:tcPr>
            <w:tcW w:w="1555" w:type="dxa"/>
          </w:tcPr>
          <w:p w14:paraId="398AA4F1"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GCF</w:t>
            </w:r>
          </w:p>
        </w:tc>
        <w:tc>
          <w:tcPr>
            <w:tcW w:w="8527" w:type="dxa"/>
          </w:tcPr>
          <w:p w14:paraId="16E693C9" w14:textId="7D382C25"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G</w:t>
            </w:r>
            <w:r w:rsidR="00C7304A" w:rsidRPr="00535EF0">
              <w:rPr>
                <w:rStyle w:val="Superscript"/>
                <w:vertAlign w:val="baseline"/>
              </w:rPr>
              <w:t>reen</w:t>
            </w:r>
            <w:r w:rsidRPr="00535EF0">
              <w:rPr>
                <w:rStyle w:val="Superscript"/>
                <w:vertAlign w:val="baseline"/>
              </w:rPr>
              <w:t xml:space="preserve"> Climate Fund</w:t>
            </w:r>
          </w:p>
        </w:tc>
      </w:tr>
      <w:tr w:rsidR="002E3DE6" w:rsidRPr="00E813B0" w14:paraId="797F90AA" w14:textId="77777777" w:rsidTr="001B5440">
        <w:trPr>
          <w:trHeight w:val="572"/>
        </w:trPr>
        <w:tc>
          <w:tcPr>
            <w:tcW w:w="1555" w:type="dxa"/>
          </w:tcPr>
          <w:p w14:paraId="382B2625"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GDPR</w:t>
            </w:r>
          </w:p>
        </w:tc>
        <w:tc>
          <w:tcPr>
            <w:tcW w:w="8527" w:type="dxa"/>
          </w:tcPr>
          <w:p w14:paraId="6A632B43"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General Data Protection Regulation</w:t>
            </w:r>
          </w:p>
        </w:tc>
      </w:tr>
      <w:tr w:rsidR="002E3DE6" w:rsidRPr="00E813B0" w14:paraId="6CBEDFBC" w14:textId="77777777" w:rsidTr="001B5440">
        <w:trPr>
          <w:trHeight w:val="572"/>
        </w:trPr>
        <w:tc>
          <w:tcPr>
            <w:tcW w:w="1555" w:type="dxa"/>
          </w:tcPr>
          <w:p w14:paraId="2DDDB61B"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GEDSI</w:t>
            </w:r>
          </w:p>
        </w:tc>
        <w:tc>
          <w:tcPr>
            <w:tcW w:w="8527" w:type="dxa"/>
          </w:tcPr>
          <w:p w14:paraId="2D9FF676"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Gender Equity, Disability and Social Inclusion</w:t>
            </w:r>
          </w:p>
        </w:tc>
      </w:tr>
      <w:tr w:rsidR="002E3DE6" w:rsidRPr="00E813B0" w14:paraId="0A9DE23A" w14:textId="77777777" w:rsidTr="001B5440">
        <w:trPr>
          <w:trHeight w:val="572"/>
        </w:trPr>
        <w:tc>
          <w:tcPr>
            <w:tcW w:w="1555" w:type="dxa"/>
          </w:tcPr>
          <w:p w14:paraId="719A2B73"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GESI</w:t>
            </w:r>
          </w:p>
        </w:tc>
        <w:tc>
          <w:tcPr>
            <w:tcW w:w="8527" w:type="dxa"/>
          </w:tcPr>
          <w:p w14:paraId="4281DA3B"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Gender Equality and Social Inclusion</w:t>
            </w:r>
          </w:p>
        </w:tc>
      </w:tr>
      <w:tr w:rsidR="002E3DE6" w:rsidRPr="00BA4B58" w14:paraId="5156F921" w14:textId="77777777" w:rsidTr="001B5440">
        <w:trPr>
          <w:trHeight w:val="572"/>
        </w:trPr>
        <w:tc>
          <w:tcPr>
            <w:tcW w:w="1555" w:type="dxa"/>
          </w:tcPr>
          <w:p w14:paraId="65FC87E9"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GIZ</w:t>
            </w:r>
          </w:p>
        </w:tc>
        <w:tc>
          <w:tcPr>
            <w:tcW w:w="8527" w:type="dxa"/>
          </w:tcPr>
          <w:p w14:paraId="23F6E25E" w14:textId="56CB675C" w:rsidR="002E3DE6" w:rsidRPr="00535EF0" w:rsidRDefault="002E3DE6" w:rsidP="00F805B3">
            <w:pPr>
              <w:rPr>
                <w:rStyle w:val="Superscript"/>
                <w:rFonts w:eastAsiaTheme="minorHAnsi" w:cstheme="minorBidi"/>
                <w:vertAlign w:val="baseline"/>
                <w:lang w:val="de-AT" w:eastAsia="en-US"/>
              </w:rPr>
            </w:pPr>
            <w:r w:rsidRPr="00535EF0">
              <w:rPr>
                <w:rStyle w:val="Superscript"/>
                <w:vertAlign w:val="baseline"/>
                <w:lang w:val="de-AT"/>
              </w:rPr>
              <w:t>German Agency for International Cooperation</w:t>
            </w:r>
          </w:p>
        </w:tc>
      </w:tr>
      <w:tr w:rsidR="002E3DE6" w:rsidRPr="00E813B0" w14:paraId="1E2297EC" w14:textId="77777777" w:rsidTr="001B5440">
        <w:trPr>
          <w:trHeight w:val="572"/>
        </w:trPr>
        <w:tc>
          <w:tcPr>
            <w:tcW w:w="1555" w:type="dxa"/>
          </w:tcPr>
          <w:p w14:paraId="10A03DAF"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GSR</w:t>
            </w:r>
          </w:p>
        </w:tc>
        <w:tc>
          <w:tcPr>
            <w:tcW w:w="8527" w:type="dxa"/>
          </w:tcPr>
          <w:p w14:paraId="6E6B1C1E"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Government Social Research</w:t>
            </w:r>
          </w:p>
        </w:tc>
      </w:tr>
      <w:tr w:rsidR="00951B2E" w:rsidRPr="002763ED" w14:paraId="4C82C1F2" w14:textId="77777777" w:rsidTr="001B5440">
        <w:trPr>
          <w:trHeight w:val="572"/>
        </w:trPr>
        <w:tc>
          <w:tcPr>
            <w:tcW w:w="1555" w:type="dxa"/>
          </w:tcPr>
          <w:p w14:paraId="4AECA551" w14:textId="6019D3EC" w:rsidR="00951B2E" w:rsidRPr="002763ED" w:rsidRDefault="00951B2E" w:rsidP="00F805B3">
            <w:pPr>
              <w:rPr>
                <w:rFonts w:eastAsiaTheme="minorHAnsi"/>
              </w:rPr>
            </w:pPr>
            <w:r w:rsidRPr="002763ED">
              <w:t>HJ</w:t>
            </w:r>
          </w:p>
        </w:tc>
        <w:tc>
          <w:tcPr>
            <w:tcW w:w="8527" w:type="dxa"/>
          </w:tcPr>
          <w:p w14:paraId="738EE8B8" w14:textId="7708EF7C" w:rsidR="00951B2E" w:rsidRPr="002763ED" w:rsidRDefault="00932EE0" w:rsidP="00F805B3">
            <w:pPr>
              <w:rPr>
                <w:rFonts w:eastAsiaTheme="minorHAnsi"/>
              </w:rPr>
            </w:pPr>
            <w:r w:rsidRPr="002763ED">
              <w:t>Host Jurisdictions</w:t>
            </w:r>
          </w:p>
        </w:tc>
      </w:tr>
      <w:tr w:rsidR="002E3DE6" w:rsidRPr="00E813B0" w14:paraId="62EB1917" w14:textId="77777777" w:rsidTr="001B5440">
        <w:trPr>
          <w:trHeight w:val="572"/>
        </w:trPr>
        <w:tc>
          <w:tcPr>
            <w:tcW w:w="1555" w:type="dxa"/>
          </w:tcPr>
          <w:p w14:paraId="302AF74D"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HMG</w:t>
            </w:r>
          </w:p>
        </w:tc>
        <w:tc>
          <w:tcPr>
            <w:tcW w:w="8527" w:type="dxa"/>
          </w:tcPr>
          <w:p w14:paraId="7B5E1225" w14:textId="45502155"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H</w:t>
            </w:r>
            <w:r w:rsidR="008C1926" w:rsidRPr="00535EF0">
              <w:rPr>
                <w:rStyle w:val="Superscript"/>
                <w:vertAlign w:val="baseline"/>
              </w:rPr>
              <w:t>is</w:t>
            </w:r>
            <w:r w:rsidRPr="00535EF0">
              <w:rPr>
                <w:rStyle w:val="Superscript"/>
                <w:vertAlign w:val="baseline"/>
              </w:rPr>
              <w:t xml:space="preserve"> Majesty's Government (UK)</w:t>
            </w:r>
          </w:p>
        </w:tc>
      </w:tr>
      <w:tr w:rsidR="002E3DE6" w:rsidRPr="00E813B0" w14:paraId="06A9630B" w14:textId="77777777" w:rsidTr="001B5440">
        <w:trPr>
          <w:trHeight w:val="572"/>
        </w:trPr>
        <w:tc>
          <w:tcPr>
            <w:tcW w:w="1555" w:type="dxa"/>
          </w:tcPr>
          <w:p w14:paraId="702E66BD"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HMT</w:t>
            </w:r>
          </w:p>
        </w:tc>
        <w:tc>
          <w:tcPr>
            <w:tcW w:w="8527" w:type="dxa"/>
          </w:tcPr>
          <w:p w14:paraId="3F284344" w14:textId="200004D1" w:rsidR="002E3DE6" w:rsidRPr="00535EF0" w:rsidRDefault="00535EF0" w:rsidP="00F805B3">
            <w:pPr>
              <w:rPr>
                <w:rStyle w:val="Superscript"/>
                <w:rFonts w:eastAsiaTheme="minorHAnsi" w:cstheme="minorBidi"/>
                <w:vertAlign w:val="baseline"/>
                <w:lang w:eastAsia="en-US"/>
              </w:rPr>
            </w:pPr>
            <w:r w:rsidRPr="00535EF0">
              <w:rPr>
                <w:rStyle w:val="Superscript"/>
                <w:vertAlign w:val="baseline"/>
              </w:rPr>
              <w:t>H</w:t>
            </w:r>
            <w:r>
              <w:rPr>
                <w:rStyle w:val="Superscript"/>
                <w:vertAlign w:val="baseline"/>
              </w:rPr>
              <w:t>is</w:t>
            </w:r>
            <w:r w:rsidRPr="00535EF0">
              <w:rPr>
                <w:rStyle w:val="Superscript"/>
                <w:vertAlign w:val="baseline"/>
              </w:rPr>
              <w:t xml:space="preserve"> </w:t>
            </w:r>
            <w:r w:rsidR="002E3DE6" w:rsidRPr="00535EF0">
              <w:rPr>
                <w:rStyle w:val="Superscript"/>
                <w:vertAlign w:val="baseline"/>
              </w:rPr>
              <w:t>Majesty's Treasury (UK)</w:t>
            </w:r>
          </w:p>
        </w:tc>
      </w:tr>
      <w:tr w:rsidR="002E3DE6" w:rsidRPr="00E813B0" w14:paraId="7737FF5E" w14:textId="77777777" w:rsidTr="001B5440">
        <w:trPr>
          <w:trHeight w:val="572"/>
        </w:trPr>
        <w:tc>
          <w:tcPr>
            <w:tcW w:w="1555" w:type="dxa"/>
          </w:tcPr>
          <w:p w14:paraId="2B496095"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ICF</w:t>
            </w:r>
          </w:p>
        </w:tc>
        <w:tc>
          <w:tcPr>
            <w:tcW w:w="8527" w:type="dxa"/>
          </w:tcPr>
          <w:p w14:paraId="390B07D3"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International Climate Finance</w:t>
            </w:r>
          </w:p>
        </w:tc>
      </w:tr>
      <w:tr w:rsidR="002E3DE6" w:rsidRPr="00E813B0" w14:paraId="007761C9" w14:textId="77777777" w:rsidTr="001B5440">
        <w:trPr>
          <w:trHeight w:val="585"/>
        </w:trPr>
        <w:tc>
          <w:tcPr>
            <w:tcW w:w="1555" w:type="dxa"/>
          </w:tcPr>
          <w:p w14:paraId="3A4CB18F"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lastRenderedPageBreak/>
              <w:t>ICVCM</w:t>
            </w:r>
          </w:p>
        </w:tc>
        <w:tc>
          <w:tcPr>
            <w:tcW w:w="8527" w:type="dxa"/>
          </w:tcPr>
          <w:p w14:paraId="2B4490E5"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 xml:space="preserve">Integrity Council for the Voluntary Carbon Market </w:t>
            </w:r>
          </w:p>
        </w:tc>
      </w:tr>
      <w:tr w:rsidR="002E3DE6" w:rsidRPr="00E813B0" w14:paraId="20C359F7" w14:textId="77777777" w:rsidTr="001B5440">
        <w:trPr>
          <w:trHeight w:val="572"/>
        </w:trPr>
        <w:tc>
          <w:tcPr>
            <w:tcW w:w="1555" w:type="dxa"/>
          </w:tcPr>
          <w:p w14:paraId="7EEEFF28"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ITMO</w:t>
            </w:r>
          </w:p>
        </w:tc>
        <w:tc>
          <w:tcPr>
            <w:tcW w:w="8527" w:type="dxa"/>
          </w:tcPr>
          <w:p w14:paraId="31BFA901" w14:textId="7E7D4E3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Internationally Transferred Mitigation Outcome</w:t>
            </w:r>
          </w:p>
        </w:tc>
      </w:tr>
      <w:tr w:rsidR="002E3DE6" w:rsidRPr="00E813B0" w14:paraId="28D6A725" w14:textId="77777777" w:rsidTr="001B5440">
        <w:trPr>
          <w:trHeight w:val="572"/>
        </w:trPr>
        <w:tc>
          <w:tcPr>
            <w:tcW w:w="1555" w:type="dxa"/>
          </w:tcPr>
          <w:p w14:paraId="2AA9EC24" w14:textId="284FB578"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IPLC</w:t>
            </w:r>
          </w:p>
        </w:tc>
        <w:tc>
          <w:tcPr>
            <w:tcW w:w="8527" w:type="dxa"/>
          </w:tcPr>
          <w:p w14:paraId="02E5F973"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Indigenous Peoples and Local Communities</w:t>
            </w:r>
            <w:r w:rsidR="00A12012" w:rsidRPr="00535EF0">
              <w:rPr>
                <w:rStyle w:val="Superscript"/>
                <w:vertAlign w:val="baseline"/>
              </w:rPr>
              <w:t>*</w:t>
            </w:r>
          </w:p>
          <w:p w14:paraId="53D4E15E" w14:textId="709B8B20" w:rsidR="00A12012" w:rsidRPr="00535EF0" w:rsidRDefault="00A12012" w:rsidP="00F805B3">
            <w:pPr>
              <w:rPr>
                <w:rStyle w:val="Superscript"/>
                <w:rFonts w:eastAsiaTheme="minorHAnsi" w:cstheme="minorBidi"/>
                <w:vertAlign w:val="baseline"/>
                <w:lang w:eastAsia="en-US"/>
              </w:rPr>
            </w:pPr>
            <w:r w:rsidRPr="00535EF0">
              <w:rPr>
                <w:rStyle w:val="Superscript"/>
                <w:vertAlign w:val="baseline"/>
              </w:rPr>
              <w:t>*Note that whilst this is used in this document, we recognise that the needs, aspirations and legal position of Indigenous Peoples and Local Communities are likely to be different in the diverse</w:t>
            </w:r>
            <w:r w:rsidR="00235522">
              <w:rPr>
                <w:rStyle w:val="Superscript"/>
              </w:rPr>
              <w:t xml:space="preserve"> </w:t>
            </w:r>
            <w:r w:rsidR="006D2EBB" w:rsidRPr="002B77DE">
              <w:t>Host Jurisdictions</w:t>
            </w:r>
            <w:r w:rsidR="000A29F3" w:rsidRPr="002B77DE">
              <w:t>.</w:t>
            </w:r>
          </w:p>
        </w:tc>
      </w:tr>
      <w:tr w:rsidR="002E3DE6" w:rsidRPr="00E813B0" w14:paraId="3BD3B444" w14:textId="77777777" w:rsidTr="001B5440">
        <w:trPr>
          <w:trHeight w:val="593"/>
        </w:trPr>
        <w:tc>
          <w:tcPr>
            <w:tcW w:w="1555" w:type="dxa"/>
          </w:tcPr>
          <w:p w14:paraId="015F20F7" w14:textId="52C0EAC6"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IP</w:t>
            </w:r>
            <w:r w:rsidR="00B11D50" w:rsidRPr="00535EF0">
              <w:rPr>
                <w:rStyle w:val="Superscript"/>
                <w:vertAlign w:val="baseline"/>
              </w:rPr>
              <w:t xml:space="preserve"> and </w:t>
            </w:r>
            <w:r w:rsidRPr="00535EF0">
              <w:rPr>
                <w:rStyle w:val="Superscript"/>
                <w:vertAlign w:val="baseline"/>
              </w:rPr>
              <w:t>LC</w:t>
            </w:r>
          </w:p>
        </w:tc>
        <w:tc>
          <w:tcPr>
            <w:tcW w:w="8527" w:type="dxa"/>
          </w:tcPr>
          <w:p w14:paraId="0C33D735" w14:textId="46214B62"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Indigenous Peoples and Local Communities</w:t>
            </w:r>
            <w:r w:rsidR="00067FF0" w:rsidRPr="00535EF0">
              <w:rPr>
                <w:rStyle w:val="Superscript"/>
                <w:vertAlign w:val="baseline"/>
              </w:rPr>
              <w:t xml:space="preserve"> (a separation of both terms is the preferred way of representing these groups)</w:t>
            </w:r>
          </w:p>
        </w:tc>
      </w:tr>
      <w:tr w:rsidR="002E3DE6" w:rsidRPr="00E813B0" w14:paraId="419F233B" w14:textId="77777777" w:rsidTr="001B5440">
        <w:trPr>
          <w:trHeight w:val="585"/>
        </w:trPr>
        <w:tc>
          <w:tcPr>
            <w:tcW w:w="1555" w:type="dxa"/>
          </w:tcPr>
          <w:p w14:paraId="43B76E64"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ISFL</w:t>
            </w:r>
          </w:p>
        </w:tc>
        <w:tc>
          <w:tcPr>
            <w:tcW w:w="8527" w:type="dxa"/>
          </w:tcPr>
          <w:p w14:paraId="6F12DC6D"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Initiative for Sustainable Forest Landscapes</w:t>
            </w:r>
          </w:p>
        </w:tc>
      </w:tr>
      <w:tr w:rsidR="002E3DE6" w:rsidRPr="00E813B0" w14:paraId="0E4F43C5" w14:textId="77777777" w:rsidTr="001B5440">
        <w:trPr>
          <w:trHeight w:val="572"/>
        </w:trPr>
        <w:tc>
          <w:tcPr>
            <w:tcW w:w="1555" w:type="dxa"/>
          </w:tcPr>
          <w:p w14:paraId="11175BFD"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ITT</w:t>
            </w:r>
          </w:p>
        </w:tc>
        <w:tc>
          <w:tcPr>
            <w:tcW w:w="8527" w:type="dxa"/>
          </w:tcPr>
          <w:p w14:paraId="4830AC50"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Invitation to Tender</w:t>
            </w:r>
          </w:p>
        </w:tc>
      </w:tr>
      <w:tr w:rsidR="002E3DE6" w:rsidRPr="00E813B0" w14:paraId="24AC0928" w14:textId="77777777" w:rsidTr="001B5440">
        <w:trPr>
          <w:trHeight w:val="572"/>
        </w:trPr>
        <w:tc>
          <w:tcPr>
            <w:tcW w:w="1555" w:type="dxa"/>
          </w:tcPr>
          <w:p w14:paraId="11E793B7"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IUCN</w:t>
            </w:r>
          </w:p>
        </w:tc>
        <w:tc>
          <w:tcPr>
            <w:tcW w:w="8527" w:type="dxa"/>
          </w:tcPr>
          <w:p w14:paraId="7C1AA154"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International Union for Conservation of Nature</w:t>
            </w:r>
          </w:p>
        </w:tc>
      </w:tr>
      <w:tr w:rsidR="002E3DE6" w:rsidRPr="00E813B0" w14:paraId="691E0588" w14:textId="77777777" w:rsidTr="001B5440">
        <w:trPr>
          <w:trHeight w:val="572"/>
        </w:trPr>
        <w:tc>
          <w:tcPr>
            <w:tcW w:w="1555" w:type="dxa"/>
          </w:tcPr>
          <w:p w14:paraId="76E7FDE6"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JREDD</w:t>
            </w:r>
          </w:p>
        </w:tc>
        <w:tc>
          <w:tcPr>
            <w:tcW w:w="8527" w:type="dxa"/>
          </w:tcPr>
          <w:p w14:paraId="3D044D80"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Jurisdictional REDD</w:t>
            </w:r>
          </w:p>
        </w:tc>
      </w:tr>
      <w:tr w:rsidR="002E3DE6" w:rsidRPr="00E813B0" w14:paraId="3C35C5A8" w14:textId="77777777" w:rsidTr="001B5440">
        <w:trPr>
          <w:trHeight w:val="572"/>
        </w:trPr>
        <w:tc>
          <w:tcPr>
            <w:tcW w:w="1555" w:type="dxa"/>
          </w:tcPr>
          <w:p w14:paraId="3FC73109"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KII</w:t>
            </w:r>
          </w:p>
        </w:tc>
        <w:tc>
          <w:tcPr>
            <w:tcW w:w="8527" w:type="dxa"/>
          </w:tcPr>
          <w:p w14:paraId="57B0FF0F"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Key Informant Interview</w:t>
            </w:r>
          </w:p>
        </w:tc>
      </w:tr>
      <w:tr w:rsidR="002E3DE6" w:rsidRPr="00E813B0" w14:paraId="4394E28B" w14:textId="77777777" w:rsidTr="001B5440">
        <w:trPr>
          <w:trHeight w:val="572"/>
        </w:trPr>
        <w:tc>
          <w:tcPr>
            <w:tcW w:w="1555" w:type="dxa"/>
          </w:tcPr>
          <w:p w14:paraId="75EC8463"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KPI</w:t>
            </w:r>
          </w:p>
        </w:tc>
        <w:tc>
          <w:tcPr>
            <w:tcW w:w="8527" w:type="dxa"/>
          </w:tcPr>
          <w:p w14:paraId="0D9FB950"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Key Performance Indicator</w:t>
            </w:r>
          </w:p>
        </w:tc>
      </w:tr>
      <w:tr w:rsidR="002E3DE6" w:rsidRPr="00E813B0" w14:paraId="203AFF30" w14:textId="77777777" w:rsidTr="001B5440">
        <w:trPr>
          <w:trHeight w:val="572"/>
        </w:trPr>
        <w:tc>
          <w:tcPr>
            <w:tcW w:w="1555" w:type="dxa"/>
          </w:tcPr>
          <w:p w14:paraId="41C3B5FA"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LEAF</w:t>
            </w:r>
          </w:p>
        </w:tc>
        <w:tc>
          <w:tcPr>
            <w:tcW w:w="8527" w:type="dxa"/>
          </w:tcPr>
          <w:p w14:paraId="0C291C9A"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Lowering Emissions by Accelerating Forest finance</w:t>
            </w:r>
          </w:p>
        </w:tc>
      </w:tr>
      <w:tr w:rsidR="002E3DE6" w:rsidRPr="00E813B0" w14:paraId="3D518C8B" w14:textId="77777777" w:rsidTr="001B5440">
        <w:trPr>
          <w:trHeight w:val="572"/>
        </w:trPr>
        <w:tc>
          <w:tcPr>
            <w:tcW w:w="1555" w:type="dxa"/>
          </w:tcPr>
          <w:p w14:paraId="125C939B"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LIC</w:t>
            </w:r>
          </w:p>
        </w:tc>
        <w:tc>
          <w:tcPr>
            <w:tcW w:w="8527" w:type="dxa"/>
          </w:tcPr>
          <w:p w14:paraId="04975982"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Low Income Country</w:t>
            </w:r>
          </w:p>
        </w:tc>
      </w:tr>
      <w:tr w:rsidR="002E3DE6" w:rsidRPr="00E813B0" w14:paraId="3A32661E" w14:textId="77777777" w:rsidTr="001B5440">
        <w:trPr>
          <w:trHeight w:val="572"/>
        </w:trPr>
        <w:tc>
          <w:tcPr>
            <w:tcW w:w="1555" w:type="dxa"/>
          </w:tcPr>
          <w:p w14:paraId="7C8992CC"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LMIC</w:t>
            </w:r>
          </w:p>
        </w:tc>
        <w:tc>
          <w:tcPr>
            <w:tcW w:w="8527" w:type="dxa"/>
          </w:tcPr>
          <w:p w14:paraId="44D1A84D"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Lower Middle-Income Country</w:t>
            </w:r>
          </w:p>
        </w:tc>
      </w:tr>
      <w:tr w:rsidR="002E3DE6" w:rsidRPr="00E813B0" w14:paraId="7F2C0740" w14:textId="77777777" w:rsidTr="001B5440">
        <w:trPr>
          <w:trHeight w:val="572"/>
        </w:trPr>
        <w:tc>
          <w:tcPr>
            <w:tcW w:w="1555" w:type="dxa"/>
          </w:tcPr>
          <w:p w14:paraId="3A846610"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LOI</w:t>
            </w:r>
          </w:p>
        </w:tc>
        <w:tc>
          <w:tcPr>
            <w:tcW w:w="8527" w:type="dxa"/>
          </w:tcPr>
          <w:p w14:paraId="044C5380"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 xml:space="preserve">Letter of Intent </w:t>
            </w:r>
          </w:p>
        </w:tc>
      </w:tr>
      <w:tr w:rsidR="00875C5D" w:rsidRPr="00E813B0" w14:paraId="345CB8DB" w14:textId="77777777" w:rsidTr="001B5440">
        <w:trPr>
          <w:trHeight w:val="572"/>
        </w:trPr>
        <w:tc>
          <w:tcPr>
            <w:tcW w:w="1555" w:type="dxa"/>
          </w:tcPr>
          <w:p w14:paraId="3910DCDE" w14:textId="13C70BF3" w:rsidR="00875C5D" w:rsidRPr="00535EF0" w:rsidRDefault="00875C5D" w:rsidP="00F805B3">
            <w:pPr>
              <w:rPr>
                <w:rStyle w:val="Superscript"/>
                <w:rFonts w:eastAsiaTheme="minorHAnsi" w:cstheme="minorBidi"/>
                <w:vertAlign w:val="baseline"/>
                <w:lang w:eastAsia="en-US"/>
              </w:rPr>
            </w:pPr>
            <w:r w:rsidRPr="00535EF0">
              <w:rPr>
                <w:rStyle w:val="Superscript"/>
                <w:vertAlign w:val="baseline"/>
              </w:rPr>
              <w:t>MEAL</w:t>
            </w:r>
          </w:p>
        </w:tc>
        <w:tc>
          <w:tcPr>
            <w:tcW w:w="8527" w:type="dxa"/>
          </w:tcPr>
          <w:p w14:paraId="56F5F249" w14:textId="6A0AF496" w:rsidR="00875C5D" w:rsidRPr="00535EF0" w:rsidRDefault="00875C5D" w:rsidP="00F805B3">
            <w:pPr>
              <w:rPr>
                <w:rStyle w:val="Superscript"/>
                <w:rFonts w:eastAsiaTheme="minorHAnsi" w:cstheme="minorBidi"/>
                <w:vertAlign w:val="baseline"/>
                <w:lang w:eastAsia="en-US"/>
              </w:rPr>
            </w:pPr>
            <w:r w:rsidRPr="00535EF0">
              <w:rPr>
                <w:rStyle w:val="Superscript"/>
                <w:vertAlign w:val="baseline"/>
              </w:rPr>
              <w:t>Monitoring, Evaluation, Accountability and Learning</w:t>
            </w:r>
          </w:p>
        </w:tc>
      </w:tr>
      <w:tr w:rsidR="00F9358A" w:rsidRPr="00E813B0" w14:paraId="4DBE2E0D" w14:textId="77777777" w:rsidTr="001B5440">
        <w:trPr>
          <w:trHeight w:val="572"/>
        </w:trPr>
        <w:tc>
          <w:tcPr>
            <w:tcW w:w="1555" w:type="dxa"/>
          </w:tcPr>
          <w:p w14:paraId="78594D03" w14:textId="3689D324" w:rsidR="00F9358A" w:rsidRPr="00535EF0" w:rsidRDefault="00F9358A" w:rsidP="00F805B3">
            <w:pPr>
              <w:rPr>
                <w:rStyle w:val="Superscript"/>
                <w:rFonts w:eastAsiaTheme="minorHAnsi" w:cstheme="minorBidi"/>
                <w:vertAlign w:val="baseline"/>
                <w:lang w:eastAsia="en-US"/>
              </w:rPr>
            </w:pPr>
            <w:r w:rsidRPr="00535EF0">
              <w:rPr>
                <w:rStyle w:val="Superscript"/>
                <w:vertAlign w:val="baseline"/>
              </w:rPr>
              <w:t>MFF</w:t>
            </w:r>
          </w:p>
        </w:tc>
        <w:tc>
          <w:tcPr>
            <w:tcW w:w="8527" w:type="dxa"/>
          </w:tcPr>
          <w:p w14:paraId="14EC712B" w14:textId="6A327BAF" w:rsidR="00F9358A" w:rsidRPr="00535EF0" w:rsidRDefault="00F9358A" w:rsidP="00F805B3">
            <w:pPr>
              <w:rPr>
                <w:rStyle w:val="Superscript"/>
                <w:rFonts w:eastAsiaTheme="minorHAnsi" w:cstheme="minorBidi"/>
                <w:vertAlign w:val="baseline"/>
                <w:lang w:eastAsia="en-US"/>
              </w:rPr>
            </w:pPr>
            <w:r w:rsidRPr="00535EF0">
              <w:rPr>
                <w:rStyle w:val="Superscript"/>
                <w:vertAlign w:val="baseline"/>
              </w:rPr>
              <w:t>Mobilising Finance for Forests</w:t>
            </w:r>
          </w:p>
        </w:tc>
      </w:tr>
      <w:tr w:rsidR="002E3DE6" w:rsidRPr="00E813B0" w14:paraId="0B4263B2" w14:textId="77777777" w:rsidTr="001B5440">
        <w:trPr>
          <w:trHeight w:val="572"/>
        </w:trPr>
        <w:tc>
          <w:tcPr>
            <w:tcW w:w="1555" w:type="dxa"/>
          </w:tcPr>
          <w:p w14:paraId="571F1377"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MOU</w:t>
            </w:r>
          </w:p>
        </w:tc>
        <w:tc>
          <w:tcPr>
            <w:tcW w:w="8527" w:type="dxa"/>
          </w:tcPr>
          <w:p w14:paraId="5E3AA7C0"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Memorandum of Understanding</w:t>
            </w:r>
          </w:p>
        </w:tc>
      </w:tr>
      <w:tr w:rsidR="002E3DE6" w:rsidRPr="00E813B0" w14:paraId="38109C7A" w14:textId="77777777" w:rsidTr="001B5440">
        <w:trPr>
          <w:trHeight w:val="572"/>
        </w:trPr>
        <w:tc>
          <w:tcPr>
            <w:tcW w:w="1555" w:type="dxa"/>
          </w:tcPr>
          <w:p w14:paraId="0CF74935"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lastRenderedPageBreak/>
              <w:t>NDC</w:t>
            </w:r>
          </w:p>
        </w:tc>
        <w:tc>
          <w:tcPr>
            <w:tcW w:w="8527" w:type="dxa"/>
          </w:tcPr>
          <w:p w14:paraId="05C029CF"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Nationally Determined Contribution</w:t>
            </w:r>
          </w:p>
        </w:tc>
      </w:tr>
      <w:tr w:rsidR="002E3DE6" w:rsidRPr="00E813B0" w14:paraId="468174CF" w14:textId="77777777" w:rsidTr="001B5440">
        <w:trPr>
          <w:trHeight w:val="572"/>
        </w:trPr>
        <w:tc>
          <w:tcPr>
            <w:tcW w:w="1555" w:type="dxa"/>
          </w:tcPr>
          <w:p w14:paraId="704FC996"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NICFI</w:t>
            </w:r>
          </w:p>
        </w:tc>
        <w:tc>
          <w:tcPr>
            <w:tcW w:w="8527" w:type="dxa"/>
          </w:tcPr>
          <w:p w14:paraId="3FF57475"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Norway's International Climate and Forest Initiative</w:t>
            </w:r>
          </w:p>
        </w:tc>
      </w:tr>
      <w:tr w:rsidR="002E3DE6" w:rsidRPr="00E813B0" w14:paraId="3E704BF2" w14:textId="77777777" w:rsidTr="001B5440">
        <w:trPr>
          <w:trHeight w:val="572"/>
        </w:trPr>
        <w:tc>
          <w:tcPr>
            <w:tcW w:w="1555" w:type="dxa"/>
          </w:tcPr>
          <w:p w14:paraId="6F6B0DE6"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ODA</w:t>
            </w:r>
          </w:p>
        </w:tc>
        <w:tc>
          <w:tcPr>
            <w:tcW w:w="8527" w:type="dxa"/>
          </w:tcPr>
          <w:p w14:paraId="7901358D"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Overseas Development Assistance</w:t>
            </w:r>
          </w:p>
        </w:tc>
      </w:tr>
      <w:tr w:rsidR="002E3DE6" w:rsidRPr="00E813B0" w14:paraId="27F3BCF1" w14:textId="77777777" w:rsidTr="001B5440">
        <w:trPr>
          <w:trHeight w:val="572"/>
        </w:trPr>
        <w:tc>
          <w:tcPr>
            <w:tcW w:w="1555" w:type="dxa"/>
          </w:tcPr>
          <w:p w14:paraId="751E6824"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PACM</w:t>
            </w:r>
          </w:p>
        </w:tc>
        <w:tc>
          <w:tcPr>
            <w:tcW w:w="8527" w:type="dxa"/>
          </w:tcPr>
          <w:p w14:paraId="2A8E1621" w14:textId="40B7B18F"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 xml:space="preserve">Paris Agreement Crediting Mechanism </w:t>
            </w:r>
          </w:p>
        </w:tc>
      </w:tr>
      <w:tr w:rsidR="00BF35DA" w:rsidRPr="00E813B0" w14:paraId="5A8D8F81" w14:textId="77777777" w:rsidTr="001B5440">
        <w:trPr>
          <w:trHeight w:val="572"/>
        </w:trPr>
        <w:tc>
          <w:tcPr>
            <w:tcW w:w="1555" w:type="dxa"/>
          </w:tcPr>
          <w:p w14:paraId="720D0331" w14:textId="426E7510" w:rsidR="00BF35DA" w:rsidRPr="00535EF0" w:rsidRDefault="00BF35DA" w:rsidP="00F805B3">
            <w:pPr>
              <w:rPr>
                <w:rStyle w:val="Superscript"/>
                <w:rFonts w:eastAsiaTheme="minorHAnsi" w:cstheme="minorBidi"/>
                <w:vertAlign w:val="baseline"/>
                <w:lang w:eastAsia="en-US"/>
              </w:rPr>
            </w:pPr>
            <w:r w:rsidRPr="00535EF0">
              <w:rPr>
                <w:rStyle w:val="Superscript"/>
                <w:vertAlign w:val="baseline"/>
              </w:rPr>
              <w:t>PGF</w:t>
            </w:r>
          </w:p>
        </w:tc>
        <w:tc>
          <w:tcPr>
            <w:tcW w:w="8527" w:type="dxa"/>
          </w:tcPr>
          <w:p w14:paraId="78406C74" w14:textId="3CA9EB7C" w:rsidR="00BF35DA" w:rsidRPr="00535EF0" w:rsidRDefault="00BF35DA" w:rsidP="00F805B3">
            <w:pPr>
              <w:rPr>
                <w:rStyle w:val="Superscript"/>
                <w:rFonts w:eastAsiaTheme="minorHAnsi" w:cstheme="minorBidi"/>
                <w:vertAlign w:val="baseline"/>
                <w:lang w:eastAsia="en-US"/>
              </w:rPr>
            </w:pPr>
            <w:r w:rsidRPr="00535EF0">
              <w:rPr>
                <w:rStyle w:val="Superscript"/>
                <w:vertAlign w:val="baseline"/>
              </w:rPr>
              <w:t>P</w:t>
            </w:r>
            <w:r w:rsidR="006770BF">
              <w:rPr>
                <w:rStyle w:val="Superscript"/>
              </w:rPr>
              <w:t xml:space="preserve">urchase </w:t>
            </w:r>
            <w:r w:rsidRPr="00535EF0">
              <w:rPr>
                <w:rStyle w:val="Superscript"/>
                <w:vertAlign w:val="baseline"/>
              </w:rPr>
              <w:t>Guarantee Fund</w:t>
            </w:r>
          </w:p>
        </w:tc>
      </w:tr>
      <w:tr w:rsidR="00DC47DF" w:rsidRPr="00E813B0" w14:paraId="72F0DA27" w14:textId="77777777" w:rsidTr="001B5440">
        <w:trPr>
          <w:trHeight w:val="572"/>
        </w:trPr>
        <w:tc>
          <w:tcPr>
            <w:tcW w:w="1555" w:type="dxa"/>
          </w:tcPr>
          <w:p w14:paraId="71360E52" w14:textId="2336EEDB" w:rsidR="00DC47DF" w:rsidRPr="00535EF0" w:rsidRDefault="00DC47DF" w:rsidP="00F805B3">
            <w:pPr>
              <w:rPr>
                <w:rStyle w:val="Superscript"/>
                <w:rFonts w:eastAsiaTheme="minorHAnsi" w:cstheme="minorBidi"/>
                <w:vertAlign w:val="baseline"/>
                <w:lang w:eastAsia="en-US"/>
              </w:rPr>
            </w:pPr>
            <w:r w:rsidRPr="00535EF0">
              <w:rPr>
                <w:rStyle w:val="Superscript"/>
                <w:vertAlign w:val="baseline"/>
              </w:rPr>
              <w:t>PSEAH</w:t>
            </w:r>
          </w:p>
        </w:tc>
        <w:tc>
          <w:tcPr>
            <w:tcW w:w="8527" w:type="dxa"/>
          </w:tcPr>
          <w:p w14:paraId="41D06649" w14:textId="4F5A56C3" w:rsidR="00DC47DF" w:rsidRPr="00535EF0" w:rsidRDefault="00406AEB" w:rsidP="00F805B3">
            <w:pPr>
              <w:rPr>
                <w:rStyle w:val="Superscript"/>
                <w:rFonts w:eastAsiaTheme="minorHAnsi" w:cstheme="minorBidi"/>
                <w:vertAlign w:val="baseline"/>
                <w:lang w:eastAsia="en-US"/>
              </w:rPr>
            </w:pPr>
            <w:r w:rsidRPr="00535EF0">
              <w:rPr>
                <w:rStyle w:val="Superscript"/>
                <w:vertAlign w:val="baseline"/>
              </w:rPr>
              <w:t xml:space="preserve">Protection from Sexual Exploitation, Abuse and </w:t>
            </w:r>
            <w:r w:rsidR="00860349" w:rsidRPr="00535EF0">
              <w:rPr>
                <w:rStyle w:val="Superscript"/>
                <w:vertAlign w:val="baseline"/>
              </w:rPr>
              <w:t>Har</w:t>
            </w:r>
            <w:r w:rsidR="00F4726D" w:rsidRPr="00535EF0">
              <w:rPr>
                <w:rStyle w:val="Superscript"/>
                <w:vertAlign w:val="baseline"/>
              </w:rPr>
              <w:t>assment</w:t>
            </w:r>
          </w:p>
        </w:tc>
      </w:tr>
      <w:tr w:rsidR="002E3DE6" w:rsidRPr="00E813B0" w14:paraId="2613E9DE" w14:textId="77777777" w:rsidTr="001B5440">
        <w:trPr>
          <w:trHeight w:val="572"/>
        </w:trPr>
        <w:tc>
          <w:tcPr>
            <w:tcW w:w="1555" w:type="dxa"/>
          </w:tcPr>
          <w:p w14:paraId="4CA431EE"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RBF</w:t>
            </w:r>
          </w:p>
        </w:tc>
        <w:tc>
          <w:tcPr>
            <w:tcW w:w="8527" w:type="dxa"/>
          </w:tcPr>
          <w:p w14:paraId="521C6322"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Results-Based Financing</w:t>
            </w:r>
          </w:p>
        </w:tc>
      </w:tr>
      <w:tr w:rsidR="002E3DE6" w:rsidRPr="00E813B0" w14:paraId="3FD0E362" w14:textId="77777777" w:rsidTr="001B5440">
        <w:trPr>
          <w:trHeight w:val="585"/>
        </w:trPr>
        <w:tc>
          <w:tcPr>
            <w:tcW w:w="1555" w:type="dxa"/>
          </w:tcPr>
          <w:p w14:paraId="64FFAD4F"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REDD</w:t>
            </w:r>
          </w:p>
        </w:tc>
        <w:tc>
          <w:tcPr>
            <w:tcW w:w="8527" w:type="dxa"/>
          </w:tcPr>
          <w:p w14:paraId="3FA88A5D"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Reducing Emissions from Deforestation and Forest Degradation</w:t>
            </w:r>
          </w:p>
        </w:tc>
      </w:tr>
      <w:tr w:rsidR="002E3DE6" w:rsidRPr="00E813B0" w14:paraId="176C5F6C" w14:textId="77777777" w:rsidTr="001B5440">
        <w:trPr>
          <w:trHeight w:val="572"/>
        </w:trPr>
        <w:tc>
          <w:tcPr>
            <w:tcW w:w="1555" w:type="dxa"/>
          </w:tcPr>
          <w:p w14:paraId="4BAFF906"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SBTi</w:t>
            </w:r>
          </w:p>
        </w:tc>
        <w:tc>
          <w:tcPr>
            <w:tcW w:w="8527" w:type="dxa"/>
          </w:tcPr>
          <w:p w14:paraId="38F12D87"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 xml:space="preserve">Science Based Targets initiative </w:t>
            </w:r>
          </w:p>
        </w:tc>
      </w:tr>
      <w:tr w:rsidR="002E3DE6" w:rsidRPr="00E813B0" w14:paraId="2DE179E2" w14:textId="77777777" w:rsidTr="001B5440">
        <w:trPr>
          <w:trHeight w:val="572"/>
        </w:trPr>
        <w:tc>
          <w:tcPr>
            <w:tcW w:w="1555" w:type="dxa"/>
          </w:tcPr>
          <w:p w14:paraId="339581BC"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SEG</w:t>
            </w:r>
          </w:p>
        </w:tc>
        <w:tc>
          <w:tcPr>
            <w:tcW w:w="8527" w:type="dxa"/>
          </w:tcPr>
          <w:p w14:paraId="099ED86D"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Stakeholder Engagement Group</w:t>
            </w:r>
          </w:p>
        </w:tc>
      </w:tr>
      <w:tr w:rsidR="00FF6EA8" w:rsidRPr="00E813B0" w14:paraId="1FEFFE1E" w14:textId="77777777" w:rsidTr="001B5440">
        <w:trPr>
          <w:trHeight w:val="572"/>
        </w:trPr>
        <w:tc>
          <w:tcPr>
            <w:tcW w:w="1555" w:type="dxa"/>
          </w:tcPr>
          <w:p w14:paraId="4CD5164D" w14:textId="3BFA9C71" w:rsidR="00FF6EA8" w:rsidRPr="00535EF0" w:rsidRDefault="00FF6EA8" w:rsidP="00F805B3">
            <w:pPr>
              <w:rPr>
                <w:rStyle w:val="Superscript"/>
                <w:rFonts w:eastAsiaTheme="minorHAnsi" w:cstheme="minorBidi"/>
                <w:vertAlign w:val="baseline"/>
                <w:lang w:eastAsia="en-US"/>
              </w:rPr>
            </w:pPr>
            <w:r w:rsidRPr="00535EF0">
              <w:rPr>
                <w:rStyle w:val="Superscript"/>
                <w:vertAlign w:val="baseline"/>
              </w:rPr>
              <w:t>SIS</w:t>
            </w:r>
          </w:p>
        </w:tc>
        <w:tc>
          <w:tcPr>
            <w:tcW w:w="8527" w:type="dxa"/>
          </w:tcPr>
          <w:p w14:paraId="25C55F91" w14:textId="5C835CDE" w:rsidR="00FF6EA8" w:rsidRPr="00535EF0" w:rsidRDefault="00FF6EA8" w:rsidP="00F805B3">
            <w:pPr>
              <w:rPr>
                <w:rStyle w:val="Superscript"/>
                <w:rFonts w:eastAsiaTheme="minorHAnsi" w:cstheme="minorBidi"/>
                <w:vertAlign w:val="baseline"/>
                <w:lang w:eastAsia="en-US"/>
              </w:rPr>
            </w:pPr>
            <w:r w:rsidRPr="00535EF0">
              <w:rPr>
                <w:rStyle w:val="Superscript"/>
                <w:vertAlign w:val="baseline"/>
              </w:rPr>
              <w:t>Safeguards Information System</w:t>
            </w:r>
          </w:p>
        </w:tc>
      </w:tr>
      <w:tr w:rsidR="002E3DE6" w:rsidRPr="00E813B0" w14:paraId="72768581" w14:textId="77777777" w:rsidTr="001B5440">
        <w:trPr>
          <w:trHeight w:val="572"/>
        </w:trPr>
        <w:tc>
          <w:tcPr>
            <w:tcW w:w="1555" w:type="dxa"/>
          </w:tcPr>
          <w:p w14:paraId="3E0D93FD"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TA</w:t>
            </w:r>
          </w:p>
        </w:tc>
        <w:tc>
          <w:tcPr>
            <w:tcW w:w="8527" w:type="dxa"/>
          </w:tcPr>
          <w:p w14:paraId="29F3364A"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Technical Assistance</w:t>
            </w:r>
          </w:p>
        </w:tc>
      </w:tr>
      <w:tr w:rsidR="002E3DE6" w:rsidRPr="00E813B0" w14:paraId="6AD1E424" w14:textId="77777777" w:rsidTr="001B5440">
        <w:trPr>
          <w:trHeight w:val="572"/>
        </w:trPr>
        <w:tc>
          <w:tcPr>
            <w:tcW w:w="1555" w:type="dxa"/>
          </w:tcPr>
          <w:p w14:paraId="47EC90C9"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TBA</w:t>
            </w:r>
          </w:p>
        </w:tc>
        <w:tc>
          <w:tcPr>
            <w:tcW w:w="8527" w:type="dxa"/>
          </w:tcPr>
          <w:p w14:paraId="597B50A6"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To be announced</w:t>
            </w:r>
          </w:p>
        </w:tc>
      </w:tr>
      <w:tr w:rsidR="002E3DE6" w:rsidRPr="00E813B0" w14:paraId="2325AC8E" w14:textId="77777777" w:rsidTr="001B5440">
        <w:trPr>
          <w:trHeight w:val="572"/>
        </w:trPr>
        <w:tc>
          <w:tcPr>
            <w:tcW w:w="1555" w:type="dxa"/>
          </w:tcPr>
          <w:p w14:paraId="112A323E"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TREES</w:t>
            </w:r>
          </w:p>
        </w:tc>
        <w:tc>
          <w:tcPr>
            <w:tcW w:w="8527" w:type="dxa"/>
          </w:tcPr>
          <w:p w14:paraId="1AD61D10"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The REDD+ Environmental Excellence Standard</w:t>
            </w:r>
          </w:p>
        </w:tc>
      </w:tr>
      <w:tr w:rsidR="002E3DE6" w:rsidRPr="00E813B0" w14:paraId="6B8822F9" w14:textId="77777777" w:rsidTr="001B5440">
        <w:trPr>
          <w:trHeight w:val="572"/>
        </w:trPr>
        <w:tc>
          <w:tcPr>
            <w:tcW w:w="1555" w:type="dxa"/>
          </w:tcPr>
          <w:p w14:paraId="775990D5"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ToC</w:t>
            </w:r>
          </w:p>
        </w:tc>
        <w:tc>
          <w:tcPr>
            <w:tcW w:w="8527" w:type="dxa"/>
          </w:tcPr>
          <w:p w14:paraId="421645FF"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Theory of Change</w:t>
            </w:r>
          </w:p>
        </w:tc>
      </w:tr>
      <w:tr w:rsidR="00CB5EF2" w:rsidRPr="00E813B0" w14:paraId="357EE9B6" w14:textId="77777777" w:rsidTr="001B5440">
        <w:trPr>
          <w:trHeight w:val="572"/>
        </w:trPr>
        <w:tc>
          <w:tcPr>
            <w:tcW w:w="1555" w:type="dxa"/>
          </w:tcPr>
          <w:p w14:paraId="582BAC9F" w14:textId="1BB7391C" w:rsidR="00CB5EF2" w:rsidRPr="00535EF0" w:rsidRDefault="00CB5EF2" w:rsidP="00F805B3">
            <w:pPr>
              <w:rPr>
                <w:rStyle w:val="Superscript"/>
                <w:rFonts w:eastAsiaTheme="minorHAnsi" w:cstheme="minorBidi"/>
                <w:vertAlign w:val="baseline"/>
                <w:lang w:eastAsia="en-US"/>
              </w:rPr>
            </w:pPr>
            <w:r w:rsidRPr="00535EF0">
              <w:rPr>
                <w:rStyle w:val="Superscript"/>
                <w:vertAlign w:val="baseline"/>
              </w:rPr>
              <w:t>UKTAP</w:t>
            </w:r>
          </w:p>
        </w:tc>
        <w:tc>
          <w:tcPr>
            <w:tcW w:w="8527" w:type="dxa"/>
          </w:tcPr>
          <w:p w14:paraId="1E8A2A21" w14:textId="10758A9A" w:rsidR="00CB5EF2" w:rsidRPr="00535EF0" w:rsidRDefault="00CB5EF2" w:rsidP="00F805B3">
            <w:pPr>
              <w:rPr>
                <w:rStyle w:val="Superscript"/>
                <w:rFonts w:eastAsiaTheme="minorHAnsi" w:cstheme="minorBidi"/>
                <w:vertAlign w:val="baseline"/>
                <w:lang w:eastAsia="en-US"/>
              </w:rPr>
            </w:pPr>
            <w:r w:rsidRPr="00535EF0">
              <w:rPr>
                <w:rStyle w:val="Superscript"/>
                <w:vertAlign w:val="baseline"/>
              </w:rPr>
              <w:t>UK Technical Assistance Programme</w:t>
            </w:r>
          </w:p>
        </w:tc>
      </w:tr>
      <w:tr w:rsidR="002E3DE6" w:rsidRPr="00E813B0" w14:paraId="5B8736C7" w14:textId="77777777" w:rsidTr="001B5440">
        <w:trPr>
          <w:trHeight w:val="572"/>
        </w:trPr>
        <w:tc>
          <w:tcPr>
            <w:tcW w:w="1555" w:type="dxa"/>
          </w:tcPr>
          <w:p w14:paraId="60B29467"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UMIC</w:t>
            </w:r>
          </w:p>
        </w:tc>
        <w:tc>
          <w:tcPr>
            <w:tcW w:w="8527" w:type="dxa"/>
          </w:tcPr>
          <w:p w14:paraId="3DF42DA0"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Upper Middle-Income Country</w:t>
            </w:r>
          </w:p>
        </w:tc>
      </w:tr>
      <w:tr w:rsidR="002E3DE6" w:rsidRPr="00E813B0" w14:paraId="0E941EFD" w14:textId="77777777" w:rsidTr="001B5440">
        <w:trPr>
          <w:trHeight w:val="572"/>
        </w:trPr>
        <w:tc>
          <w:tcPr>
            <w:tcW w:w="1555" w:type="dxa"/>
          </w:tcPr>
          <w:p w14:paraId="6D4D6075"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UNDP</w:t>
            </w:r>
          </w:p>
        </w:tc>
        <w:tc>
          <w:tcPr>
            <w:tcW w:w="8527" w:type="dxa"/>
          </w:tcPr>
          <w:p w14:paraId="4C7A657C"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United Nations Development Programme</w:t>
            </w:r>
          </w:p>
        </w:tc>
      </w:tr>
      <w:tr w:rsidR="002E3DE6" w:rsidRPr="00E813B0" w14:paraId="1C80709A" w14:textId="77777777" w:rsidTr="001B5440">
        <w:trPr>
          <w:trHeight w:val="572"/>
        </w:trPr>
        <w:tc>
          <w:tcPr>
            <w:tcW w:w="1555" w:type="dxa"/>
          </w:tcPr>
          <w:p w14:paraId="63759AB0"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UNEG</w:t>
            </w:r>
          </w:p>
        </w:tc>
        <w:tc>
          <w:tcPr>
            <w:tcW w:w="8527" w:type="dxa"/>
          </w:tcPr>
          <w:p w14:paraId="31BC366B"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United Nations Evaluation Group</w:t>
            </w:r>
          </w:p>
        </w:tc>
      </w:tr>
      <w:tr w:rsidR="002E3DE6" w:rsidRPr="00E813B0" w14:paraId="22289390" w14:textId="77777777" w:rsidTr="001B5440">
        <w:trPr>
          <w:trHeight w:val="572"/>
        </w:trPr>
        <w:tc>
          <w:tcPr>
            <w:tcW w:w="1555" w:type="dxa"/>
          </w:tcPr>
          <w:p w14:paraId="066C9399"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lastRenderedPageBreak/>
              <w:t>UNFCCC</w:t>
            </w:r>
          </w:p>
        </w:tc>
        <w:tc>
          <w:tcPr>
            <w:tcW w:w="8527" w:type="dxa"/>
          </w:tcPr>
          <w:p w14:paraId="0E670B48"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United Nations Framework Convention on Climate Change</w:t>
            </w:r>
          </w:p>
        </w:tc>
      </w:tr>
      <w:tr w:rsidR="002E3DE6" w:rsidRPr="00E813B0" w14:paraId="651418CF" w14:textId="77777777" w:rsidTr="001B5440">
        <w:trPr>
          <w:trHeight w:val="572"/>
        </w:trPr>
        <w:tc>
          <w:tcPr>
            <w:tcW w:w="1555" w:type="dxa"/>
          </w:tcPr>
          <w:p w14:paraId="09B1BCF4" w14:textId="54492689" w:rsidR="002E3DE6" w:rsidRPr="00535EF0" w:rsidRDefault="00F51E9E" w:rsidP="00F805B3">
            <w:pPr>
              <w:rPr>
                <w:rStyle w:val="Superscript"/>
                <w:rFonts w:eastAsiaTheme="minorHAnsi" w:cstheme="minorBidi"/>
                <w:vertAlign w:val="baseline"/>
                <w:lang w:eastAsia="en-US"/>
              </w:rPr>
            </w:pPr>
            <w:r>
              <w:rPr>
                <w:rStyle w:val="Superscript"/>
                <w:vertAlign w:val="baseline"/>
              </w:rPr>
              <w:t>UN-REDD</w:t>
            </w:r>
          </w:p>
        </w:tc>
        <w:tc>
          <w:tcPr>
            <w:tcW w:w="8527" w:type="dxa"/>
          </w:tcPr>
          <w:p w14:paraId="02AA949E"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United Nations Programme on Reducing Emissions from Deforestation and Forest Degradation</w:t>
            </w:r>
          </w:p>
        </w:tc>
      </w:tr>
      <w:tr w:rsidR="002E3DE6" w:rsidRPr="00E813B0" w14:paraId="6174FBA0" w14:textId="77777777" w:rsidTr="001B5440">
        <w:trPr>
          <w:trHeight w:val="572"/>
        </w:trPr>
        <w:tc>
          <w:tcPr>
            <w:tcW w:w="1555" w:type="dxa"/>
          </w:tcPr>
          <w:p w14:paraId="4F08ABDF"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USAID</w:t>
            </w:r>
          </w:p>
        </w:tc>
        <w:tc>
          <w:tcPr>
            <w:tcW w:w="8527" w:type="dxa"/>
          </w:tcPr>
          <w:p w14:paraId="1AB65F5C"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United States Agency for International Development</w:t>
            </w:r>
          </w:p>
        </w:tc>
      </w:tr>
      <w:tr w:rsidR="002E3DE6" w:rsidRPr="00E813B0" w14:paraId="1BF60F8A" w14:textId="77777777" w:rsidTr="001B5440">
        <w:trPr>
          <w:trHeight w:val="572"/>
        </w:trPr>
        <w:tc>
          <w:tcPr>
            <w:tcW w:w="1555" w:type="dxa"/>
          </w:tcPr>
          <w:p w14:paraId="5FE61399"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VCM</w:t>
            </w:r>
          </w:p>
        </w:tc>
        <w:tc>
          <w:tcPr>
            <w:tcW w:w="8527" w:type="dxa"/>
          </w:tcPr>
          <w:p w14:paraId="188AB2B2"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Voluntary Carbon Market</w:t>
            </w:r>
          </w:p>
        </w:tc>
      </w:tr>
      <w:tr w:rsidR="002E3DE6" w:rsidRPr="00E813B0" w14:paraId="130A1CE8" w14:textId="77777777" w:rsidTr="001B5440">
        <w:trPr>
          <w:trHeight w:val="572"/>
        </w:trPr>
        <w:tc>
          <w:tcPr>
            <w:tcW w:w="1555" w:type="dxa"/>
          </w:tcPr>
          <w:p w14:paraId="49BECF70"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VfM</w:t>
            </w:r>
          </w:p>
        </w:tc>
        <w:tc>
          <w:tcPr>
            <w:tcW w:w="8527" w:type="dxa"/>
          </w:tcPr>
          <w:p w14:paraId="3828DF45"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Value for Money</w:t>
            </w:r>
          </w:p>
        </w:tc>
      </w:tr>
      <w:tr w:rsidR="00DD7AF7" w:rsidRPr="00E813B0" w14:paraId="68265A7D" w14:textId="77777777" w:rsidTr="001B5440">
        <w:trPr>
          <w:trHeight w:val="572"/>
        </w:trPr>
        <w:tc>
          <w:tcPr>
            <w:tcW w:w="1555" w:type="dxa"/>
          </w:tcPr>
          <w:p w14:paraId="2F351FD0" w14:textId="72C17CD4" w:rsidR="00DD7AF7" w:rsidRPr="00535EF0" w:rsidRDefault="00DD7AF7" w:rsidP="00F805B3">
            <w:pPr>
              <w:rPr>
                <w:rStyle w:val="Superscript"/>
                <w:rFonts w:eastAsiaTheme="minorHAnsi" w:cstheme="minorBidi"/>
                <w:vertAlign w:val="baseline"/>
                <w:lang w:eastAsia="en-US"/>
              </w:rPr>
            </w:pPr>
            <w:r w:rsidRPr="00535EF0">
              <w:rPr>
                <w:rStyle w:val="Superscript"/>
                <w:vertAlign w:val="baseline"/>
              </w:rPr>
              <w:t>VVB</w:t>
            </w:r>
          </w:p>
        </w:tc>
        <w:tc>
          <w:tcPr>
            <w:tcW w:w="8527" w:type="dxa"/>
          </w:tcPr>
          <w:p w14:paraId="24122BC8" w14:textId="460A9C70" w:rsidR="00DD7AF7" w:rsidRPr="00535EF0" w:rsidRDefault="004350D2" w:rsidP="00F805B3">
            <w:pPr>
              <w:rPr>
                <w:rStyle w:val="Superscript"/>
                <w:rFonts w:eastAsiaTheme="minorHAnsi" w:cstheme="minorBidi"/>
                <w:vertAlign w:val="baseline"/>
                <w:lang w:eastAsia="en-US"/>
              </w:rPr>
            </w:pPr>
            <w:r w:rsidRPr="00535EF0">
              <w:rPr>
                <w:rStyle w:val="Superscript"/>
                <w:vertAlign w:val="baseline"/>
              </w:rPr>
              <w:t xml:space="preserve">Validation and Verification Bodies </w:t>
            </w:r>
          </w:p>
        </w:tc>
      </w:tr>
      <w:tr w:rsidR="002E3DE6" w:rsidRPr="00E813B0" w14:paraId="61A150E1" w14:textId="77777777" w:rsidTr="001B5440">
        <w:trPr>
          <w:trHeight w:val="572"/>
        </w:trPr>
        <w:tc>
          <w:tcPr>
            <w:tcW w:w="1555" w:type="dxa"/>
          </w:tcPr>
          <w:p w14:paraId="0603A4A9"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WFR</w:t>
            </w:r>
          </w:p>
        </w:tc>
        <w:tc>
          <w:tcPr>
            <w:tcW w:w="8527" w:type="dxa"/>
          </w:tcPr>
          <w:p w14:paraId="54D09998" w14:textId="77777777" w:rsidR="002E3DE6" w:rsidRPr="00535EF0" w:rsidRDefault="002E3DE6" w:rsidP="00F805B3">
            <w:pPr>
              <w:rPr>
                <w:rStyle w:val="Superscript"/>
                <w:rFonts w:eastAsiaTheme="minorHAnsi" w:cstheme="minorBidi"/>
                <w:vertAlign w:val="baseline"/>
                <w:lang w:eastAsia="en-US"/>
              </w:rPr>
            </w:pPr>
            <w:r w:rsidRPr="00535EF0">
              <w:rPr>
                <w:rStyle w:val="Superscript"/>
                <w:vertAlign w:val="baseline"/>
              </w:rPr>
              <w:t>Warsaw Framework for REDD+</w:t>
            </w:r>
          </w:p>
        </w:tc>
      </w:tr>
    </w:tbl>
    <w:p w14:paraId="6934974B" w14:textId="77777777" w:rsidR="007505F8" w:rsidRPr="00E813B0" w:rsidRDefault="007505F8" w:rsidP="00617EAD"/>
    <w:p w14:paraId="780734DD" w14:textId="77777777" w:rsidR="00535EF0" w:rsidRDefault="00535EF0">
      <w:pPr>
        <w:spacing w:after="160" w:line="259" w:lineRule="auto"/>
        <w:rPr>
          <w:rFonts w:eastAsiaTheme="majorEastAsia" w:cstheme="majorBidi"/>
          <w:color w:val="041E42"/>
          <w:sz w:val="52"/>
          <w:szCs w:val="32"/>
        </w:rPr>
      </w:pPr>
      <w:bookmarkStart w:id="16" w:name="_Toc203477587"/>
      <w:bookmarkStart w:id="17" w:name="_Toc204013111"/>
      <w:bookmarkStart w:id="18" w:name="_Toc204013169"/>
      <w:r>
        <w:br w:type="page"/>
      </w:r>
    </w:p>
    <w:p w14:paraId="17CFC02A" w14:textId="6D5BDBAC" w:rsidR="00C21207" w:rsidRPr="00E813B0" w:rsidRDefault="00C21207" w:rsidP="009C1136">
      <w:pPr>
        <w:pStyle w:val="Heading1"/>
      </w:pPr>
      <w:bookmarkStart w:id="19" w:name="_Toc204091197"/>
      <w:bookmarkStart w:id="20" w:name="_Toc209013273"/>
      <w:r w:rsidRPr="00E813B0">
        <w:lastRenderedPageBreak/>
        <w:t>Glossary</w:t>
      </w:r>
      <w:bookmarkEnd w:id="16"/>
      <w:bookmarkEnd w:id="17"/>
      <w:bookmarkEnd w:id="18"/>
      <w:bookmarkEnd w:id="19"/>
      <w:bookmarkEnd w:id="20"/>
    </w:p>
    <w:p w14:paraId="0B7E982A" w14:textId="301A82C2" w:rsidR="00607CA9" w:rsidRPr="00E813B0" w:rsidRDefault="00607CA9" w:rsidP="00607CA9">
      <w:r w:rsidRPr="00E813B0">
        <w:t xml:space="preserve">Numbers in the Source list refer to the document number in the </w:t>
      </w:r>
      <w:r w:rsidR="00D90A4A" w:rsidRPr="00E813B0">
        <w:t xml:space="preserve">Evaluation Team library. </w:t>
      </w:r>
    </w:p>
    <w:tbl>
      <w:tblPr>
        <w:tblStyle w:val="Table-Darkblue"/>
        <w:tblW w:w="0" w:type="auto"/>
        <w:tblLayout w:type="fixed"/>
        <w:tblLook w:val="04A0" w:firstRow="1" w:lastRow="0" w:firstColumn="1" w:lastColumn="0" w:noHBand="0" w:noVBand="1"/>
      </w:tblPr>
      <w:tblGrid>
        <w:gridCol w:w="1980"/>
        <w:gridCol w:w="5528"/>
        <w:gridCol w:w="2574"/>
      </w:tblGrid>
      <w:tr w:rsidR="00445F0D" w:rsidRPr="006E1DAC" w14:paraId="157891CE" w14:textId="77777777" w:rsidTr="00554D4F">
        <w:trPr>
          <w:cnfStyle w:val="100000000000" w:firstRow="1" w:lastRow="0" w:firstColumn="0" w:lastColumn="0" w:oddVBand="0" w:evenVBand="0" w:oddHBand="0" w:evenHBand="0" w:firstRowFirstColumn="0" w:firstRowLastColumn="0" w:lastRowFirstColumn="0" w:lastRowLastColumn="0"/>
          <w:trHeight w:val="519"/>
          <w:tblHeader/>
        </w:trPr>
        <w:tc>
          <w:tcPr>
            <w:tcW w:w="1980" w:type="dxa"/>
            <w:noWrap/>
            <w:hideMark/>
          </w:tcPr>
          <w:p w14:paraId="60A0F10D" w14:textId="77777777" w:rsidR="006C6244" w:rsidRPr="00BC4BBC" w:rsidRDefault="006C6244" w:rsidP="006C6244">
            <w:pPr>
              <w:rPr>
                <w:rStyle w:val="Subscript"/>
                <w:vertAlign w:val="baseline"/>
              </w:rPr>
            </w:pPr>
            <w:r w:rsidRPr="00BC4BBC">
              <w:rPr>
                <w:rStyle w:val="Subscript"/>
                <w:vertAlign w:val="baseline"/>
              </w:rPr>
              <w:t>Term</w:t>
            </w:r>
          </w:p>
        </w:tc>
        <w:tc>
          <w:tcPr>
            <w:tcW w:w="5528" w:type="dxa"/>
            <w:noWrap/>
            <w:hideMark/>
          </w:tcPr>
          <w:p w14:paraId="194C66AD" w14:textId="77777777" w:rsidR="006C6244" w:rsidRPr="00BC4BBC" w:rsidRDefault="006C6244" w:rsidP="006C6244">
            <w:pPr>
              <w:rPr>
                <w:rStyle w:val="Subscript"/>
                <w:vertAlign w:val="baseline"/>
              </w:rPr>
            </w:pPr>
            <w:r w:rsidRPr="00BC4BBC">
              <w:rPr>
                <w:rStyle w:val="Subscript"/>
                <w:vertAlign w:val="baseline"/>
              </w:rPr>
              <w:t>Definition</w:t>
            </w:r>
          </w:p>
        </w:tc>
        <w:tc>
          <w:tcPr>
            <w:tcW w:w="2574" w:type="dxa"/>
            <w:noWrap/>
            <w:hideMark/>
          </w:tcPr>
          <w:p w14:paraId="230BC45B" w14:textId="77777777" w:rsidR="006C6244" w:rsidRPr="00BC4BBC" w:rsidRDefault="006C6244" w:rsidP="006C6244">
            <w:pPr>
              <w:rPr>
                <w:rStyle w:val="Subscript"/>
                <w:vertAlign w:val="baseline"/>
              </w:rPr>
            </w:pPr>
            <w:r w:rsidRPr="00BC4BBC">
              <w:rPr>
                <w:rStyle w:val="Subscript"/>
                <w:vertAlign w:val="baseline"/>
              </w:rPr>
              <w:t>Source</w:t>
            </w:r>
          </w:p>
        </w:tc>
      </w:tr>
      <w:tr w:rsidR="006C6244" w:rsidRPr="006E1DAC" w14:paraId="180C2258" w14:textId="77777777" w:rsidTr="00554D4F">
        <w:trPr>
          <w:trHeight w:val="285"/>
        </w:trPr>
        <w:tc>
          <w:tcPr>
            <w:tcW w:w="1980" w:type="dxa"/>
            <w:noWrap/>
            <w:hideMark/>
          </w:tcPr>
          <w:p w14:paraId="4D7E4EE5" w14:textId="6E2ECCBF" w:rsidR="006C6244" w:rsidRPr="00BC4BBC" w:rsidRDefault="006C6244" w:rsidP="00E96665">
            <w:pPr>
              <w:pStyle w:val="Tabletext-Normal"/>
              <w:ind w:left="0"/>
              <w:rPr>
                <w:rStyle w:val="Subscript"/>
                <w:vertAlign w:val="baseline"/>
              </w:rPr>
            </w:pPr>
            <w:r w:rsidRPr="00BC4BBC">
              <w:rPr>
                <w:rStyle w:val="Subscript"/>
                <w:vertAlign w:val="baseline"/>
              </w:rPr>
              <w:t>Afforestation</w:t>
            </w:r>
          </w:p>
        </w:tc>
        <w:tc>
          <w:tcPr>
            <w:tcW w:w="5528" w:type="dxa"/>
            <w:noWrap/>
            <w:hideMark/>
          </w:tcPr>
          <w:p w14:paraId="01A596D7" w14:textId="77777777" w:rsidR="006C6244" w:rsidRPr="00BC4BBC" w:rsidRDefault="006C6244" w:rsidP="00E96665">
            <w:pPr>
              <w:pStyle w:val="Tabletext-Normal"/>
              <w:ind w:left="0"/>
              <w:rPr>
                <w:rStyle w:val="Subscript"/>
                <w:vertAlign w:val="baseline"/>
              </w:rPr>
            </w:pPr>
            <w:r w:rsidRPr="00BC4BBC">
              <w:rPr>
                <w:rStyle w:val="Subscript"/>
                <w:vertAlign w:val="baseline"/>
              </w:rPr>
              <w:t xml:space="preserve">Planting of new forests on lands that historically have not contained forests. </w:t>
            </w:r>
          </w:p>
        </w:tc>
        <w:tc>
          <w:tcPr>
            <w:tcW w:w="2574" w:type="dxa"/>
            <w:noWrap/>
            <w:hideMark/>
          </w:tcPr>
          <w:p w14:paraId="48985BF2" w14:textId="7F91C2D4" w:rsidR="006C6244" w:rsidRPr="00BC4BBC" w:rsidRDefault="00BC4BBC" w:rsidP="00E96665">
            <w:pPr>
              <w:pStyle w:val="Tabletext-Normal"/>
              <w:ind w:left="0"/>
              <w:rPr>
                <w:rStyle w:val="Subscript"/>
                <w:vertAlign w:val="baseline"/>
              </w:rPr>
            </w:pPr>
            <w:hyperlink r:id="rId20" w:history="1">
              <w:r w:rsidRPr="00BC4BBC">
                <w:rPr>
                  <w:rStyle w:val="Hyperlink"/>
                </w:rPr>
                <w:t>https://www.ipcc.ch/site/assets/uploads/2018/03/wg2TARannexB.pdf</w:t>
              </w:r>
            </w:hyperlink>
            <w:r w:rsidR="006C6244" w:rsidRPr="00BC4BBC">
              <w:rPr>
                <w:rStyle w:val="Subscript"/>
                <w:vertAlign w:val="baseline"/>
              </w:rPr>
              <w:t xml:space="preserve"> </w:t>
            </w:r>
          </w:p>
        </w:tc>
      </w:tr>
      <w:tr w:rsidR="006C6244" w:rsidRPr="006E1DAC" w14:paraId="182D7E26" w14:textId="77777777" w:rsidTr="00554D4F">
        <w:trPr>
          <w:trHeight w:val="285"/>
        </w:trPr>
        <w:tc>
          <w:tcPr>
            <w:tcW w:w="1980" w:type="dxa"/>
            <w:noWrap/>
            <w:hideMark/>
          </w:tcPr>
          <w:p w14:paraId="248E373A" w14:textId="77777777" w:rsidR="006C6244" w:rsidRPr="00BC4BBC" w:rsidRDefault="006C6244" w:rsidP="00E96665">
            <w:pPr>
              <w:pStyle w:val="Tabletext-Normal"/>
              <w:ind w:left="0"/>
              <w:rPr>
                <w:rStyle w:val="Subscript"/>
                <w:vertAlign w:val="baseline"/>
              </w:rPr>
            </w:pPr>
            <w:r w:rsidRPr="00BC4BBC">
              <w:rPr>
                <w:rStyle w:val="Subscript"/>
                <w:vertAlign w:val="baseline"/>
              </w:rPr>
              <w:t>Agroforestry</w:t>
            </w:r>
          </w:p>
        </w:tc>
        <w:tc>
          <w:tcPr>
            <w:tcW w:w="5528" w:type="dxa"/>
            <w:noWrap/>
            <w:hideMark/>
          </w:tcPr>
          <w:p w14:paraId="7EE97AD1" w14:textId="1D171D83" w:rsidR="006C6244" w:rsidRPr="00BC4BBC" w:rsidRDefault="006C6244" w:rsidP="00E96665">
            <w:pPr>
              <w:pStyle w:val="Tabletext-Normal"/>
              <w:ind w:left="0"/>
              <w:rPr>
                <w:rStyle w:val="Subscript"/>
                <w:vertAlign w:val="baseline"/>
              </w:rPr>
            </w:pPr>
            <w:r w:rsidRPr="00BC4BBC">
              <w:rPr>
                <w:rStyle w:val="Subscript"/>
                <w:vertAlign w:val="baseline"/>
              </w:rPr>
              <w:t>A land-use system that involves the use of perennial woody species with agricultural crops or livestock in a given space over a given period. The three main types of agroforestry system are: (1) agrosilvicultural (trees combined with crops); (2) silvopastoral (trees combined with animals); and (3) agrosilvopastoral (trees, animals and crops)</w:t>
            </w:r>
          </w:p>
        </w:tc>
        <w:tc>
          <w:tcPr>
            <w:tcW w:w="2574" w:type="dxa"/>
            <w:noWrap/>
            <w:hideMark/>
          </w:tcPr>
          <w:p w14:paraId="5E19A075" w14:textId="0043C0E9" w:rsidR="006C6244" w:rsidRPr="00BC4BBC" w:rsidRDefault="00BC4BBC" w:rsidP="00E96665">
            <w:pPr>
              <w:pStyle w:val="Tabletext-Normal"/>
              <w:ind w:left="0"/>
              <w:rPr>
                <w:rStyle w:val="Subscript"/>
                <w:vertAlign w:val="baseline"/>
              </w:rPr>
            </w:pPr>
            <w:hyperlink r:id="rId21" w:history="1">
              <w:r w:rsidRPr="00BC4BBC">
                <w:rPr>
                  <w:rStyle w:val="Hyperlink"/>
                </w:rPr>
                <w:t>https://openknowledge.fao.org/server/api/core/bitstreams/8f599970-661d-45f5-a598-2ea46ca1605f/content/src/html/glossary.html</w:t>
              </w:r>
            </w:hyperlink>
            <w:r w:rsidR="006C6244" w:rsidRPr="00BC4BBC">
              <w:rPr>
                <w:rStyle w:val="Subscript"/>
                <w:vertAlign w:val="baseline"/>
              </w:rPr>
              <w:t xml:space="preserve"> </w:t>
            </w:r>
          </w:p>
        </w:tc>
      </w:tr>
      <w:tr w:rsidR="006C6244" w:rsidRPr="006E1DAC" w14:paraId="70BE03E0" w14:textId="77777777" w:rsidTr="00554D4F">
        <w:trPr>
          <w:trHeight w:val="285"/>
        </w:trPr>
        <w:tc>
          <w:tcPr>
            <w:tcW w:w="1980" w:type="dxa"/>
            <w:noWrap/>
            <w:hideMark/>
          </w:tcPr>
          <w:p w14:paraId="244D42E3" w14:textId="77777777" w:rsidR="006C6244" w:rsidRPr="00BC4BBC" w:rsidRDefault="006C6244" w:rsidP="00E96665">
            <w:pPr>
              <w:pStyle w:val="Tabletext-Normal"/>
              <w:ind w:left="0"/>
              <w:rPr>
                <w:rStyle w:val="Subscript"/>
                <w:vertAlign w:val="baseline"/>
              </w:rPr>
            </w:pPr>
            <w:r w:rsidRPr="00BC4BBC">
              <w:rPr>
                <w:rStyle w:val="Subscript"/>
                <w:vertAlign w:val="baseline"/>
              </w:rPr>
              <w:t>Bioeconomy</w:t>
            </w:r>
          </w:p>
        </w:tc>
        <w:tc>
          <w:tcPr>
            <w:tcW w:w="5528" w:type="dxa"/>
            <w:noWrap/>
            <w:hideMark/>
          </w:tcPr>
          <w:p w14:paraId="430BB217" w14:textId="2C4CA190" w:rsidR="006C6244" w:rsidRPr="00BC4BBC" w:rsidRDefault="006C6244" w:rsidP="00E96665">
            <w:pPr>
              <w:pStyle w:val="Tabletext-Normal"/>
              <w:ind w:left="0"/>
              <w:rPr>
                <w:rStyle w:val="Subscript"/>
                <w:vertAlign w:val="baseline"/>
              </w:rPr>
            </w:pPr>
            <w:r w:rsidRPr="00BC4BBC">
              <w:rPr>
                <w:rStyle w:val="Subscript"/>
                <w:vertAlign w:val="baseline"/>
              </w:rPr>
              <w:t>The production, utilization, conservation and regeneration of biological resources, including related knowledge, science, technology and innovation, to provide sustainable solutions (information, products, processes and services) within and across all economic sectors and enable a transformation to a sustainable economy</w:t>
            </w:r>
          </w:p>
        </w:tc>
        <w:tc>
          <w:tcPr>
            <w:tcW w:w="2574" w:type="dxa"/>
            <w:noWrap/>
            <w:hideMark/>
          </w:tcPr>
          <w:p w14:paraId="32BBFBF7" w14:textId="450909FB" w:rsidR="006C6244" w:rsidRPr="00BC4BBC" w:rsidRDefault="00BC4BBC" w:rsidP="00E96665">
            <w:pPr>
              <w:pStyle w:val="Tabletext-Normal"/>
              <w:ind w:left="0"/>
              <w:rPr>
                <w:rStyle w:val="Subscript"/>
                <w:vertAlign w:val="baseline"/>
              </w:rPr>
            </w:pPr>
            <w:hyperlink r:id="rId22" w:history="1">
              <w:r w:rsidRPr="00BC4BBC">
                <w:rPr>
                  <w:rStyle w:val="Hyperlink"/>
                </w:rPr>
                <w:t>https://openknowledge.fao.org/server/api/core/bitstreams/8f599970-661d-45f5-a598-2ea46ca1605f/content/src/html/glossary.html</w:t>
              </w:r>
            </w:hyperlink>
            <w:r w:rsidR="006C6244" w:rsidRPr="00BC4BBC">
              <w:rPr>
                <w:rStyle w:val="Subscript"/>
                <w:vertAlign w:val="baseline"/>
              </w:rPr>
              <w:t xml:space="preserve"> </w:t>
            </w:r>
          </w:p>
        </w:tc>
      </w:tr>
      <w:tr w:rsidR="006C6244" w:rsidRPr="006E1DAC" w14:paraId="09768D06" w14:textId="77777777" w:rsidTr="00554D4F">
        <w:trPr>
          <w:trHeight w:val="285"/>
        </w:trPr>
        <w:tc>
          <w:tcPr>
            <w:tcW w:w="1980" w:type="dxa"/>
            <w:noWrap/>
            <w:hideMark/>
          </w:tcPr>
          <w:p w14:paraId="44A79DB6" w14:textId="77777777" w:rsidR="006C6244" w:rsidRPr="00BC4BBC" w:rsidRDefault="006C6244" w:rsidP="00E96665">
            <w:pPr>
              <w:pStyle w:val="Tabletext-Normal"/>
              <w:ind w:left="0"/>
              <w:rPr>
                <w:rStyle w:val="Subscript"/>
                <w:vertAlign w:val="baseline"/>
              </w:rPr>
            </w:pPr>
            <w:r w:rsidRPr="00BC4BBC">
              <w:rPr>
                <w:rStyle w:val="Subscript"/>
                <w:vertAlign w:val="baseline"/>
              </w:rPr>
              <w:t>Cascading use</w:t>
            </w:r>
          </w:p>
        </w:tc>
        <w:tc>
          <w:tcPr>
            <w:tcW w:w="5528" w:type="dxa"/>
            <w:noWrap/>
            <w:hideMark/>
          </w:tcPr>
          <w:p w14:paraId="6D5A3A56" w14:textId="4D64D884" w:rsidR="006C6244" w:rsidRPr="00BC4BBC" w:rsidRDefault="006C6244" w:rsidP="00E96665">
            <w:pPr>
              <w:pStyle w:val="Tabletext-Normal"/>
              <w:ind w:left="0"/>
              <w:rPr>
                <w:rStyle w:val="Subscript"/>
                <w:vertAlign w:val="baseline"/>
              </w:rPr>
            </w:pPr>
            <w:r w:rsidRPr="00BC4BBC">
              <w:rPr>
                <w:rStyle w:val="Subscript"/>
                <w:vertAlign w:val="baseline"/>
              </w:rPr>
              <w:t>The efficient utilization of resources by using residues and recycled materials to extend total biomass availability within a given system. One of the aims of the cascading use of woody biomass is the maximization of value added by optimizing wood processing and extending total biomass availability, thereby also creating more jobs.  The term can refer to a sequential use of woody biomass in which energy use is only considered after single or multiple material uses; that is, it excludes the direct energy use of harvested wood without prior material use (in wood products such as sawnwood, veneer and paper)</w:t>
            </w:r>
          </w:p>
        </w:tc>
        <w:tc>
          <w:tcPr>
            <w:tcW w:w="2574" w:type="dxa"/>
            <w:noWrap/>
            <w:hideMark/>
          </w:tcPr>
          <w:p w14:paraId="397CF2AC" w14:textId="280BF1A7" w:rsidR="006C6244" w:rsidRPr="00BC4BBC" w:rsidRDefault="00BC4BBC" w:rsidP="00E96665">
            <w:pPr>
              <w:pStyle w:val="Tabletext-Normal"/>
              <w:ind w:left="0"/>
              <w:rPr>
                <w:rStyle w:val="Subscript"/>
                <w:vertAlign w:val="baseline"/>
              </w:rPr>
            </w:pPr>
            <w:hyperlink r:id="rId23" w:history="1">
              <w:r w:rsidRPr="00BC4BBC">
                <w:rPr>
                  <w:rStyle w:val="Hyperlink"/>
                </w:rPr>
                <w:t>https://openknowledge.fao.org/server/api/core/bitstreams/8f599970-661d-45f5-a598-2ea46ca1605f/content/src/html/glossary.html</w:t>
              </w:r>
            </w:hyperlink>
            <w:r w:rsidR="006C6244" w:rsidRPr="00BC4BBC">
              <w:rPr>
                <w:rStyle w:val="Subscript"/>
                <w:vertAlign w:val="baseline"/>
              </w:rPr>
              <w:t xml:space="preserve"> </w:t>
            </w:r>
          </w:p>
        </w:tc>
      </w:tr>
      <w:tr w:rsidR="006C6244" w:rsidRPr="006E1DAC" w14:paraId="3640EABF" w14:textId="77777777" w:rsidTr="00554D4F">
        <w:trPr>
          <w:trHeight w:val="285"/>
        </w:trPr>
        <w:tc>
          <w:tcPr>
            <w:tcW w:w="1980" w:type="dxa"/>
            <w:noWrap/>
            <w:hideMark/>
          </w:tcPr>
          <w:p w14:paraId="240CDF2C" w14:textId="77777777" w:rsidR="006C6244" w:rsidRPr="00BC4BBC" w:rsidRDefault="006C6244" w:rsidP="00E96665">
            <w:pPr>
              <w:pStyle w:val="Tabletext-Normal"/>
              <w:ind w:left="0"/>
              <w:rPr>
                <w:rStyle w:val="Subscript"/>
                <w:vertAlign w:val="baseline"/>
              </w:rPr>
            </w:pPr>
            <w:r w:rsidRPr="00BC4BBC">
              <w:rPr>
                <w:rStyle w:val="Subscript"/>
                <w:vertAlign w:val="baseline"/>
              </w:rPr>
              <w:lastRenderedPageBreak/>
              <w:t>Circular economy</w:t>
            </w:r>
          </w:p>
        </w:tc>
        <w:tc>
          <w:tcPr>
            <w:tcW w:w="5528" w:type="dxa"/>
            <w:noWrap/>
            <w:hideMark/>
          </w:tcPr>
          <w:p w14:paraId="1CDA531C" w14:textId="30900983" w:rsidR="006C6244" w:rsidRPr="00BC4BBC" w:rsidRDefault="006C6244" w:rsidP="00E96665">
            <w:pPr>
              <w:pStyle w:val="Tabletext-Normal"/>
              <w:ind w:left="0"/>
              <w:rPr>
                <w:rStyle w:val="Subscript"/>
                <w:vertAlign w:val="baseline"/>
              </w:rPr>
            </w:pPr>
            <w:r w:rsidRPr="00BC4BBC">
              <w:rPr>
                <w:rStyle w:val="Subscript"/>
                <w:vertAlign w:val="baseline"/>
              </w:rPr>
              <w:t>Refers to economic systems based on business models that reuse, recycle and recover (also known as the three Rs of sustainability or the 3R approach) materials in production, distribution and consumption processes for achieving sustainable development. The concept can also be characterized as an approach that can reduce resource consumption by slowing, closing or narrowing natural resource loops. The cascading use of woody biomass is one of the strategies for such economic models.</w:t>
            </w:r>
          </w:p>
        </w:tc>
        <w:tc>
          <w:tcPr>
            <w:tcW w:w="2574" w:type="dxa"/>
            <w:noWrap/>
            <w:hideMark/>
          </w:tcPr>
          <w:p w14:paraId="7EB30E84" w14:textId="47017B40" w:rsidR="006C6244" w:rsidRPr="00BC4BBC" w:rsidRDefault="00BC4BBC" w:rsidP="00E96665">
            <w:pPr>
              <w:pStyle w:val="Tabletext-Normal"/>
              <w:ind w:left="0"/>
              <w:rPr>
                <w:rStyle w:val="Subscript"/>
                <w:vertAlign w:val="baseline"/>
              </w:rPr>
            </w:pPr>
            <w:hyperlink r:id="rId24" w:history="1">
              <w:r w:rsidRPr="00BC4BBC">
                <w:rPr>
                  <w:rStyle w:val="Hyperlink"/>
                </w:rPr>
                <w:t>https://openknowledge.fao.org/server/api/core/bitstreams/8f599970-661d-45f5-a598-2ea46ca1605f/content/src/html/glossary.html</w:t>
              </w:r>
            </w:hyperlink>
            <w:r w:rsidR="006C6244" w:rsidRPr="00BC4BBC">
              <w:rPr>
                <w:rStyle w:val="Subscript"/>
                <w:vertAlign w:val="baseline"/>
              </w:rPr>
              <w:t xml:space="preserve"> </w:t>
            </w:r>
          </w:p>
        </w:tc>
      </w:tr>
      <w:tr w:rsidR="006C6244" w:rsidRPr="006E1DAC" w14:paraId="7A8B2B49" w14:textId="77777777" w:rsidTr="00554D4F">
        <w:trPr>
          <w:trHeight w:val="285"/>
        </w:trPr>
        <w:tc>
          <w:tcPr>
            <w:tcW w:w="1980" w:type="dxa"/>
            <w:noWrap/>
            <w:hideMark/>
          </w:tcPr>
          <w:p w14:paraId="737A608C" w14:textId="77777777" w:rsidR="006C6244" w:rsidRPr="00BC4BBC" w:rsidRDefault="006C6244" w:rsidP="00E96665">
            <w:pPr>
              <w:pStyle w:val="Tabletext-Normal"/>
              <w:ind w:left="0"/>
              <w:rPr>
                <w:rStyle w:val="Subscript"/>
                <w:vertAlign w:val="baseline"/>
              </w:rPr>
            </w:pPr>
            <w:r w:rsidRPr="00BC4BBC">
              <w:rPr>
                <w:rStyle w:val="Subscript"/>
                <w:vertAlign w:val="baseline"/>
              </w:rPr>
              <w:t xml:space="preserve">Beneficiaries </w:t>
            </w:r>
          </w:p>
        </w:tc>
        <w:tc>
          <w:tcPr>
            <w:tcW w:w="5528" w:type="dxa"/>
            <w:noWrap/>
            <w:hideMark/>
          </w:tcPr>
          <w:p w14:paraId="38D6DFC8" w14:textId="77777777" w:rsidR="006C6244" w:rsidRPr="00BC4BBC" w:rsidRDefault="006C6244" w:rsidP="00E96665">
            <w:pPr>
              <w:pStyle w:val="Tabletext-Normal"/>
              <w:ind w:left="0"/>
              <w:rPr>
                <w:rStyle w:val="Subscript"/>
                <w:vertAlign w:val="baseline"/>
              </w:rPr>
            </w:pPr>
            <w:r w:rsidRPr="00BC4BBC">
              <w:rPr>
                <w:rStyle w:val="Subscript"/>
                <w:vertAlign w:val="baseline"/>
              </w:rPr>
              <w:t>Recipients of Monetary and Non-Monetary Benefits identified in the Benefit Sharing Plan. Beneficiaries may include sub-entities and other relevant stakeholders (including,</w:t>
            </w:r>
            <w:r w:rsidRPr="00BC4BBC">
              <w:rPr>
                <w:rStyle w:val="Subscript"/>
                <w:vertAlign w:val="baseline"/>
              </w:rPr>
              <w:br/>
              <w:t>e.g., forest dependent indigenous peoples and other forest dwellers, affected communities or groups, local civil society organizations, etc.) and may have to be updated from time to time.</w:t>
            </w:r>
          </w:p>
        </w:tc>
        <w:tc>
          <w:tcPr>
            <w:tcW w:w="2574" w:type="dxa"/>
            <w:noWrap/>
            <w:hideMark/>
          </w:tcPr>
          <w:p w14:paraId="2653DE7D" w14:textId="77777777" w:rsidR="006C6244" w:rsidRPr="00BC4BBC" w:rsidRDefault="006C6244" w:rsidP="00E96665">
            <w:pPr>
              <w:pStyle w:val="Tabletext-Normal"/>
              <w:ind w:left="0"/>
              <w:rPr>
                <w:rStyle w:val="Subscript"/>
                <w:vertAlign w:val="baseline"/>
              </w:rPr>
            </w:pPr>
            <w:r w:rsidRPr="00BC4BBC">
              <w:rPr>
                <w:rStyle w:val="Subscript"/>
                <w:vertAlign w:val="baseline"/>
              </w:rPr>
              <w:t>101. Forest Carbon Partnership, 2022, Glossary of Terms</w:t>
            </w:r>
          </w:p>
        </w:tc>
      </w:tr>
      <w:tr w:rsidR="006C6244" w:rsidRPr="006E1DAC" w14:paraId="2349A63F" w14:textId="77777777" w:rsidTr="00554D4F">
        <w:trPr>
          <w:trHeight w:val="285"/>
        </w:trPr>
        <w:tc>
          <w:tcPr>
            <w:tcW w:w="1980" w:type="dxa"/>
            <w:noWrap/>
            <w:hideMark/>
          </w:tcPr>
          <w:p w14:paraId="48089378" w14:textId="77777777" w:rsidR="006C6244" w:rsidRPr="00BC4BBC" w:rsidRDefault="006C6244" w:rsidP="00E96665">
            <w:pPr>
              <w:pStyle w:val="Tabletext-Normal"/>
              <w:ind w:left="0"/>
              <w:rPr>
                <w:rStyle w:val="Subscript"/>
                <w:vertAlign w:val="baseline"/>
              </w:rPr>
            </w:pPr>
            <w:r w:rsidRPr="00BC4BBC">
              <w:rPr>
                <w:rStyle w:val="Subscript"/>
                <w:vertAlign w:val="baseline"/>
              </w:rPr>
              <w:t>Benefit Sharing Plan</w:t>
            </w:r>
          </w:p>
        </w:tc>
        <w:tc>
          <w:tcPr>
            <w:tcW w:w="5528" w:type="dxa"/>
            <w:noWrap/>
            <w:hideMark/>
          </w:tcPr>
          <w:p w14:paraId="0C0E377E" w14:textId="77777777" w:rsidR="006C6244" w:rsidRPr="00BC4BBC" w:rsidRDefault="006C6244" w:rsidP="00E96665">
            <w:pPr>
              <w:pStyle w:val="Tabletext-Normal"/>
              <w:ind w:left="0"/>
              <w:rPr>
                <w:rStyle w:val="Subscript"/>
                <w:vertAlign w:val="baseline"/>
              </w:rPr>
            </w:pPr>
            <w:r w:rsidRPr="00BC4BBC">
              <w:rPr>
                <w:rStyle w:val="Subscript"/>
                <w:vertAlign w:val="baseline"/>
              </w:rPr>
              <w:t>A plan developed by the ER Program Entity in accordance with the ER Program Document and Methodological Framework and submitted to the World Bank on how the ER Program Entity will share the Monetary and Non-Monetary Benefits generated by the implementation and operation of the ER Program with Beneficiaries, as may be updated from time to time.</w:t>
            </w:r>
          </w:p>
        </w:tc>
        <w:tc>
          <w:tcPr>
            <w:tcW w:w="2574" w:type="dxa"/>
            <w:noWrap/>
            <w:hideMark/>
          </w:tcPr>
          <w:p w14:paraId="18738889" w14:textId="77777777" w:rsidR="006C6244" w:rsidRPr="00BC4BBC" w:rsidRDefault="006C6244" w:rsidP="00E96665">
            <w:pPr>
              <w:pStyle w:val="Tabletext-Normal"/>
              <w:ind w:left="0"/>
              <w:rPr>
                <w:rStyle w:val="Subscript"/>
                <w:vertAlign w:val="baseline"/>
              </w:rPr>
            </w:pPr>
            <w:r w:rsidRPr="00BC4BBC">
              <w:rPr>
                <w:rStyle w:val="Subscript"/>
                <w:vertAlign w:val="baseline"/>
              </w:rPr>
              <w:t>101. Forest Carbon Partnership, 2022, Glossary of Terms</w:t>
            </w:r>
          </w:p>
        </w:tc>
      </w:tr>
      <w:tr w:rsidR="006C6244" w:rsidRPr="006E1DAC" w14:paraId="08A294E5" w14:textId="77777777" w:rsidTr="00554D4F">
        <w:trPr>
          <w:trHeight w:val="285"/>
        </w:trPr>
        <w:tc>
          <w:tcPr>
            <w:tcW w:w="1980" w:type="dxa"/>
            <w:noWrap/>
            <w:hideMark/>
          </w:tcPr>
          <w:p w14:paraId="5B7B7462" w14:textId="77777777" w:rsidR="006C6244" w:rsidRPr="00BC4BBC" w:rsidRDefault="006C6244" w:rsidP="00E96665">
            <w:pPr>
              <w:pStyle w:val="Tabletext-Normal"/>
              <w:ind w:left="0"/>
              <w:rPr>
                <w:rStyle w:val="Subscript"/>
                <w:vertAlign w:val="baseline"/>
              </w:rPr>
            </w:pPr>
            <w:r w:rsidRPr="00BC4BBC">
              <w:rPr>
                <w:rStyle w:val="Subscript"/>
                <w:vertAlign w:val="baseline"/>
              </w:rPr>
              <w:lastRenderedPageBreak/>
              <w:t>Forest and landscape restoration</w:t>
            </w:r>
          </w:p>
        </w:tc>
        <w:tc>
          <w:tcPr>
            <w:tcW w:w="5528" w:type="dxa"/>
            <w:noWrap/>
            <w:hideMark/>
          </w:tcPr>
          <w:p w14:paraId="2A2CC7F8" w14:textId="48626C5A" w:rsidR="006C6244" w:rsidRPr="00BC4BBC" w:rsidRDefault="006C6244" w:rsidP="00E96665">
            <w:pPr>
              <w:pStyle w:val="Tabletext-Normal"/>
              <w:ind w:left="0"/>
              <w:rPr>
                <w:rStyle w:val="Subscript"/>
                <w:vertAlign w:val="baseline"/>
              </w:rPr>
            </w:pPr>
            <w:r w:rsidRPr="00BC4BBC">
              <w:rPr>
                <w:rStyle w:val="Subscript"/>
                <w:vertAlign w:val="baseline"/>
              </w:rPr>
              <w:t>A planned process that aims to regain ecological integrity and enhance human well-being in deforested or degraded landscapes. It does not seek to recreate past ecosystems given the uncertainty concerning the past, the significantly altered conditions of the present as well as anticipated but uncertain future changes. However, it does seek to restore a forested ecosystem that is self-sustaining and that provides benefits both to people and to biodiversity. For this reason, the landscape scale is particularly important because it provides the opportunity to balance ecological, social and economic priorities</w:t>
            </w:r>
          </w:p>
        </w:tc>
        <w:tc>
          <w:tcPr>
            <w:tcW w:w="2574" w:type="dxa"/>
            <w:noWrap/>
            <w:hideMark/>
          </w:tcPr>
          <w:p w14:paraId="13002BF2" w14:textId="59155379" w:rsidR="006C6244" w:rsidRPr="00BC4BBC" w:rsidRDefault="00BC4BBC" w:rsidP="00E96665">
            <w:pPr>
              <w:pStyle w:val="Tabletext-Normal"/>
              <w:ind w:left="0"/>
              <w:rPr>
                <w:rStyle w:val="Subscript"/>
                <w:vertAlign w:val="baseline"/>
              </w:rPr>
            </w:pPr>
            <w:hyperlink r:id="rId25" w:history="1">
              <w:r w:rsidRPr="00BC4BBC">
                <w:rPr>
                  <w:rStyle w:val="Hyperlink"/>
                </w:rPr>
                <w:t>https://openknowledge.fao.org/server/api/core/bitstreams/8f599970-661d-45f5-a598-2ea46ca1605f/content/src/html/glossary.html</w:t>
              </w:r>
            </w:hyperlink>
            <w:r w:rsidR="00D90A4A" w:rsidRPr="00BC4BBC">
              <w:rPr>
                <w:rStyle w:val="Subscript"/>
                <w:vertAlign w:val="baseline"/>
              </w:rPr>
              <w:t xml:space="preserve"> </w:t>
            </w:r>
          </w:p>
        </w:tc>
      </w:tr>
      <w:tr w:rsidR="006C6244" w:rsidRPr="006E1DAC" w14:paraId="71827EF5" w14:textId="77777777" w:rsidTr="00554D4F">
        <w:trPr>
          <w:trHeight w:val="285"/>
        </w:trPr>
        <w:tc>
          <w:tcPr>
            <w:tcW w:w="1980" w:type="dxa"/>
            <w:noWrap/>
            <w:hideMark/>
          </w:tcPr>
          <w:p w14:paraId="6036CE96" w14:textId="77777777" w:rsidR="006C6244" w:rsidRPr="00BC4BBC" w:rsidRDefault="006C6244" w:rsidP="00E96665">
            <w:pPr>
              <w:pStyle w:val="Tabletext-Normal"/>
              <w:ind w:left="0"/>
              <w:rPr>
                <w:rStyle w:val="Subscript"/>
                <w:vertAlign w:val="baseline"/>
              </w:rPr>
            </w:pPr>
            <w:r w:rsidRPr="00BC4BBC">
              <w:rPr>
                <w:rStyle w:val="Subscript"/>
                <w:vertAlign w:val="baseline"/>
              </w:rPr>
              <w:t>Forest degradation</w:t>
            </w:r>
          </w:p>
        </w:tc>
        <w:tc>
          <w:tcPr>
            <w:tcW w:w="5528" w:type="dxa"/>
            <w:noWrap/>
            <w:hideMark/>
          </w:tcPr>
          <w:p w14:paraId="31A02F94" w14:textId="3CB82A8C" w:rsidR="006C6244" w:rsidRPr="00BC4BBC" w:rsidRDefault="006C6244" w:rsidP="00E96665">
            <w:pPr>
              <w:pStyle w:val="Tabletext-Normal"/>
              <w:ind w:left="0"/>
              <w:rPr>
                <w:rStyle w:val="Subscript"/>
                <w:vertAlign w:val="baseline"/>
              </w:rPr>
            </w:pPr>
            <w:r w:rsidRPr="00BC4BBC">
              <w:rPr>
                <w:rStyle w:val="Subscript"/>
                <w:vertAlign w:val="baseline"/>
              </w:rPr>
              <w:t>The long-term reduction of the overall supply of benefits from forests, which includes wood, biodiversity and other products and services.  In the Global Forest Resources Assessment, countries are requested to indicate the definition of forest degradation they use in assessing the extent and severity of forest degradation</w:t>
            </w:r>
          </w:p>
        </w:tc>
        <w:tc>
          <w:tcPr>
            <w:tcW w:w="2574" w:type="dxa"/>
            <w:noWrap/>
            <w:hideMark/>
          </w:tcPr>
          <w:p w14:paraId="694E077F" w14:textId="01099701" w:rsidR="006C6244" w:rsidRPr="00BC4BBC" w:rsidRDefault="00BC4BBC" w:rsidP="00E96665">
            <w:pPr>
              <w:pStyle w:val="Tabletext-Normal"/>
              <w:ind w:left="0"/>
              <w:rPr>
                <w:rStyle w:val="Subscript"/>
                <w:vertAlign w:val="baseline"/>
              </w:rPr>
            </w:pPr>
            <w:hyperlink r:id="rId26" w:history="1">
              <w:r w:rsidRPr="00BC4BBC">
                <w:rPr>
                  <w:rStyle w:val="Hyperlink"/>
                </w:rPr>
                <w:t>https://openknowledge.fao.org/server/api/core/bitstreams/8f599970-661d-45f5-a598-2ea46ca1605f/content/src/html/glossary.html</w:t>
              </w:r>
            </w:hyperlink>
            <w:r w:rsidR="00D90A4A" w:rsidRPr="00BC4BBC">
              <w:rPr>
                <w:rStyle w:val="Subscript"/>
                <w:vertAlign w:val="baseline"/>
              </w:rPr>
              <w:t xml:space="preserve"> </w:t>
            </w:r>
          </w:p>
        </w:tc>
      </w:tr>
      <w:tr w:rsidR="006C6244" w:rsidRPr="006E1DAC" w14:paraId="653E9923" w14:textId="77777777" w:rsidTr="00554D4F">
        <w:trPr>
          <w:trHeight w:val="285"/>
        </w:trPr>
        <w:tc>
          <w:tcPr>
            <w:tcW w:w="1980" w:type="dxa"/>
            <w:noWrap/>
            <w:hideMark/>
          </w:tcPr>
          <w:p w14:paraId="364D6574" w14:textId="77777777" w:rsidR="006C6244" w:rsidRPr="00BC4BBC" w:rsidRDefault="006C6244" w:rsidP="00E96665">
            <w:pPr>
              <w:pStyle w:val="Tabletext-Normal"/>
              <w:ind w:left="0"/>
              <w:rPr>
                <w:rStyle w:val="Subscript"/>
                <w:vertAlign w:val="baseline"/>
              </w:rPr>
            </w:pPr>
            <w:r w:rsidRPr="00BC4BBC">
              <w:rPr>
                <w:rStyle w:val="Subscript"/>
                <w:vertAlign w:val="baseline"/>
              </w:rPr>
              <w:t>Forest ecosystem services</w:t>
            </w:r>
          </w:p>
        </w:tc>
        <w:tc>
          <w:tcPr>
            <w:tcW w:w="5528" w:type="dxa"/>
            <w:noWrap/>
            <w:hideMark/>
          </w:tcPr>
          <w:p w14:paraId="5239F512" w14:textId="13B16E57" w:rsidR="006C6244" w:rsidRPr="00BC4BBC" w:rsidRDefault="006C6244" w:rsidP="00E96665">
            <w:pPr>
              <w:pStyle w:val="Tabletext-Normal"/>
              <w:ind w:left="0"/>
              <w:rPr>
                <w:rStyle w:val="Subscript"/>
                <w:vertAlign w:val="baseline"/>
              </w:rPr>
            </w:pPr>
            <w:r w:rsidRPr="00BC4BBC">
              <w:rPr>
                <w:rStyle w:val="Subscript"/>
                <w:vertAlign w:val="baseline"/>
              </w:rPr>
              <w:t>The benefits people obtain from ecosystems. These include provisioning services such as food, water, timber and fibre; regulating services that affect climate, floods, disease, wastes and water quality; cultural services that provide recreational, aesthetic and spiritual benefits; and supporting services such as soil formation, photosynthesis and nutrient cycling. Forest ecosystem services are the ecosystem services derived from forests – they include the production of ecosystem goods; climate and water regulation; soil formation and conservation; the generation and maintenance of biodiversity; pollination; pest control; seed dispersal; cultural values; and aesthetic beauty.</w:t>
            </w:r>
          </w:p>
        </w:tc>
        <w:tc>
          <w:tcPr>
            <w:tcW w:w="2574" w:type="dxa"/>
            <w:noWrap/>
            <w:hideMark/>
          </w:tcPr>
          <w:p w14:paraId="147B9CE4" w14:textId="226D7CF5" w:rsidR="006C6244" w:rsidRPr="00BC4BBC" w:rsidRDefault="00BC4BBC" w:rsidP="00E96665">
            <w:pPr>
              <w:pStyle w:val="Tabletext-Normal"/>
              <w:ind w:left="0"/>
              <w:rPr>
                <w:rStyle w:val="Subscript"/>
                <w:vertAlign w:val="baseline"/>
              </w:rPr>
            </w:pPr>
            <w:hyperlink r:id="rId27" w:history="1">
              <w:r w:rsidRPr="00BC4BBC">
                <w:rPr>
                  <w:rStyle w:val="Hyperlink"/>
                </w:rPr>
                <w:t>https://openknowledge.fao.org/server/api/core/bitstreams/8f599970-661d-45f5-a598-2ea46ca1605f/content/src/html/glossary.html</w:t>
              </w:r>
            </w:hyperlink>
            <w:r w:rsidR="00D90A4A" w:rsidRPr="00BC4BBC">
              <w:rPr>
                <w:rStyle w:val="Subscript"/>
                <w:vertAlign w:val="baseline"/>
              </w:rPr>
              <w:t xml:space="preserve"> </w:t>
            </w:r>
          </w:p>
        </w:tc>
      </w:tr>
      <w:tr w:rsidR="006C6244" w:rsidRPr="006E1DAC" w14:paraId="532F2D70" w14:textId="77777777" w:rsidTr="00554D4F">
        <w:trPr>
          <w:trHeight w:val="285"/>
        </w:trPr>
        <w:tc>
          <w:tcPr>
            <w:tcW w:w="1980" w:type="dxa"/>
            <w:noWrap/>
            <w:hideMark/>
          </w:tcPr>
          <w:p w14:paraId="2D85CA67" w14:textId="77777777" w:rsidR="006C6244" w:rsidRPr="00BC4BBC" w:rsidRDefault="006C6244" w:rsidP="00E96665">
            <w:pPr>
              <w:pStyle w:val="Tabletext-Normal"/>
              <w:ind w:left="0"/>
              <w:rPr>
                <w:rStyle w:val="Subscript"/>
                <w:vertAlign w:val="baseline"/>
              </w:rPr>
            </w:pPr>
            <w:r w:rsidRPr="00BC4BBC">
              <w:rPr>
                <w:rStyle w:val="Subscript"/>
                <w:vertAlign w:val="baseline"/>
              </w:rPr>
              <w:lastRenderedPageBreak/>
              <w:t>Forest expansion</w:t>
            </w:r>
          </w:p>
        </w:tc>
        <w:tc>
          <w:tcPr>
            <w:tcW w:w="5528" w:type="dxa"/>
            <w:noWrap/>
            <w:hideMark/>
          </w:tcPr>
          <w:p w14:paraId="00B2A079" w14:textId="52A779A9" w:rsidR="006C6244" w:rsidRPr="00BC4BBC" w:rsidRDefault="006C6244" w:rsidP="00E96665">
            <w:pPr>
              <w:pStyle w:val="Tabletext-Normal"/>
              <w:ind w:left="0"/>
              <w:rPr>
                <w:rStyle w:val="Subscript"/>
                <w:vertAlign w:val="baseline"/>
              </w:rPr>
            </w:pPr>
            <w:r w:rsidRPr="00BC4BBC">
              <w:rPr>
                <w:rStyle w:val="Subscript"/>
                <w:vertAlign w:val="baseline"/>
              </w:rPr>
              <w:t>Expansion of forest on land that, until then, was under a different land use, implying a transformation of land use from non-forest to forest</w:t>
            </w:r>
          </w:p>
        </w:tc>
        <w:tc>
          <w:tcPr>
            <w:tcW w:w="2574" w:type="dxa"/>
            <w:noWrap/>
            <w:hideMark/>
          </w:tcPr>
          <w:p w14:paraId="5FC2E745" w14:textId="5E5DFA46" w:rsidR="006C6244" w:rsidRPr="00BC4BBC" w:rsidRDefault="00BC4BBC" w:rsidP="00E96665">
            <w:pPr>
              <w:pStyle w:val="Tabletext-Normal"/>
              <w:ind w:left="0"/>
              <w:rPr>
                <w:rStyle w:val="Subscript"/>
                <w:vertAlign w:val="baseline"/>
              </w:rPr>
            </w:pPr>
            <w:hyperlink r:id="rId28" w:history="1">
              <w:r w:rsidRPr="00BC4BBC">
                <w:rPr>
                  <w:rStyle w:val="Hyperlink"/>
                </w:rPr>
                <w:t>https://openknowledge.fao.org/server/api/core/bitstreams/8f599970-661d-45f5-a598-2ea46ca1605f/content/src/html/glossary.html</w:t>
              </w:r>
            </w:hyperlink>
            <w:r w:rsidR="00D90A4A" w:rsidRPr="00BC4BBC">
              <w:rPr>
                <w:rStyle w:val="Subscript"/>
                <w:vertAlign w:val="baseline"/>
              </w:rPr>
              <w:t xml:space="preserve"> </w:t>
            </w:r>
          </w:p>
        </w:tc>
      </w:tr>
      <w:tr w:rsidR="006C6244" w:rsidRPr="006E1DAC" w14:paraId="36A53A79" w14:textId="77777777" w:rsidTr="00554D4F">
        <w:trPr>
          <w:trHeight w:val="285"/>
        </w:trPr>
        <w:tc>
          <w:tcPr>
            <w:tcW w:w="1980" w:type="dxa"/>
            <w:noWrap/>
            <w:hideMark/>
          </w:tcPr>
          <w:p w14:paraId="53EF1227" w14:textId="77777777" w:rsidR="006C6244" w:rsidRPr="00BC4BBC" w:rsidRDefault="006C6244" w:rsidP="00E96665">
            <w:pPr>
              <w:pStyle w:val="Tabletext-Normal"/>
              <w:ind w:left="0"/>
              <w:rPr>
                <w:rStyle w:val="Subscript"/>
                <w:vertAlign w:val="baseline"/>
              </w:rPr>
            </w:pPr>
            <w:r w:rsidRPr="00BC4BBC">
              <w:rPr>
                <w:rStyle w:val="Subscript"/>
                <w:vertAlign w:val="baseline"/>
              </w:rPr>
              <w:t>Forest pathway</w:t>
            </w:r>
          </w:p>
        </w:tc>
        <w:tc>
          <w:tcPr>
            <w:tcW w:w="5528" w:type="dxa"/>
            <w:noWrap/>
            <w:hideMark/>
          </w:tcPr>
          <w:p w14:paraId="159854A9" w14:textId="666ED9D2" w:rsidR="006C6244" w:rsidRPr="00BC4BBC" w:rsidRDefault="006C6244" w:rsidP="00E96665">
            <w:pPr>
              <w:pStyle w:val="Tabletext-Normal"/>
              <w:ind w:left="0"/>
              <w:rPr>
                <w:rStyle w:val="Subscript"/>
                <w:vertAlign w:val="baseline"/>
              </w:rPr>
            </w:pPr>
            <w:r w:rsidRPr="00BC4BBC">
              <w:rPr>
                <w:rStyle w:val="Subscript"/>
                <w:vertAlign w:val="baseline"/>
              </w:rPr>
              <w:t>A development approach involving forests, of which the following three are identified in SOFO 2022: (1) halting deforestation and forest degradation as a crucial element for reversing the drivers of climate change, biodiversity loss, land degradation, desertification and the emergence of zoonotic diseases (“halting deforestation and maintaining forests”, also “halting deforestation”); (2) restoring degraded forests and landscapes and putting more trees into agricultural settings as cost-effective means for improving natural assets and generating economic, social and environmental benefits (“restoring degraded lands and expanding agroforestry”, also “restoration”); and (3) increasing sustainable forest use and building green value chains to help meet future demand for materials and ecosystem services and support greener and circular economies, particularly at the local level (“sustainably using forests and building green value chains”, also “sustainable use”)</w:t>
            </w:r>
          </w:p>
        </w:tc>
        <w:tc>
          <w:tcPr>
            <w:tcW w:w="2574" w:type="dxa"/>
            <w:noWrap/>
            <w:hideMark/>
          </w:tcPr>
          <w:p w14:paraId="0FF49FDA" w14:textId="489D4290" w:rsidR="006C6244" w:rsidRPr="00BC4BBC" w:rsidRDefault="00BC4BBC" w:rsidP="00E96665">
            <w:pPr>
              <w:pStyle w:val="Tabletext-Normal"/>
              <w:ind w:left="0"/>
              <w:rPr>
                <w:rStyle w:val="Subscript"/>
                <w:vertAlign w:val="baseline"/>
              </w:rPr>
            </w:pPr>
            <w:hyperlink r:id="rId29" w:history="1">
              <w:r w:rsidRPr="00BC4BBC">
                <w:rPr>
                  <w:rStyle w:val="Hyperlink"/>
                </w:rPr>
                <w:t>https://openknowledge.fao.org/server/api/core/bitstreams/8f599970-661d-45f5-a598-2ea46ca1605f/content/src/html/glossary.html</w:t>
              </w:r>
            </w:hyperlink>
            <w:r w:rsidR="00D90A4A" w:rsidRPr="00BC4BBC">
              <w:rPr>
                <w:rStyle w:val="Subscript"/>
                <w:vertAlign w:val="baseline"/>
              </w:rPr>
              <w:t xml:space="preserve"> </w:t>
            </w:r>
          </w:p>
        </w:tc>
      </w:tr>
      <w:tr w:rsidR="006C6244" w:rsidRPr="006E1DAC" w14:paraId="6B277741" w14:textId="77777777" w:rsidTr="00554D4F">
        <w:trPr>
          <w:trHeight w:val="285"/>
        </w:trPr>
        <w:tc>
          <w:tcPr>
            <w:tcW w:w="1980" w:type="dxa"/>
            <w:noWrap/>
            <w:hideMark/>
          </w:tcPr>
          <w:p w14:paraId="7BC10A59" w14:textId="77777777" w:rsidR="006C6244" w:rsidRPr="00BC4BBC" w:rsidRDefault="006C6244" w:rsidP="00E96665">
            <w:pPr>
              <w:pStyle w:val="Tabletext-Normal"/>
              <w:ind w:left="0"/>
              <w:rPr>
                <w:rStyle w:val="Subscript"/>
                <w:vertAlign w:val="baseline"/>
              </w:rPr>
            </w:pPr>
            <w:r w:rsidRPr="00BC4BBC">
              <w:rPr>
                <w:rStyle w:val="Subscript"/>
                <w:vertAlign w:val="baseline"/>
              </w:rPr>
              <w:t>Green</w:t>
            </w:r>
          </w:p>
        </w:tc>
        <w:tc>
          <w:tcPr>
            <w:tcW w:w="5528" w:type="dxa"/>
            <w:noWrap/>
            <w:hideMark/>
          </w:tcPr>
          <w:p w14:paraId="37B6E2BB" w14:textId="2317095A" w:rsidR="006C6244" w:rsidRPr="00BC4BBC" w:rsidRDefault="006C6244" w:rsidP="00E96665">
            <w:pPr>
              <w:pStyle w:val="Tabletext-Normal"/>
              <w:ind w:left="0"/>
              <w:rPr>
                <w:rStyle w:val="Subscript"/>
                <w:vertAlign w:val="baseline"/>
              </w:rPr>
            </w:pPr>
            <w:r w:rsidRPr="00BC4BBC">
              <w:rPr>
                <w:rStyle w:val="Subscript"/>
                <w:vertAlign w:val="baseline"/>
              </w:rPr>
              <w:t>Used in this report (e.g. green value chains, green jobs, green economy) to refer to approaches involving the pursuit of knowledge, technology, innovation and practices with the aim of creating more environmentally friendly and ecologically responsible production systems, producing more with less, minimizing impacts on the environment and sustaining natural resources for current and future generations.</w:t>
            </w:r>
          </w:p>
        </w:tc>
        <w:tc>
          <w:tcPr>
            <w:tcW w:w="2574" w:type="dxa"/>
            <w:noWrap/>
            <w:hideMark/>
          </w:tcPr>
          <w:p w14:paraId="7E24F712" w14:textId="20EB3DC0" w:rsidR="006C6244" w:rsidRPr="00BC4BBC" w:rsidRDefault="00BC4BBC" w:rsidP="00E96665">
            <w:pPr>
              <w:pStyle w:val="Tabletext-Normal"/>
              <w:ind w:left="0"/>
              <w:rPr>
                <w:rStyle w:val="Subscript"/>
                <w:vertAlign w:val="baseline"/>
              </w:rPr>
            </w:pPr>
            <w:hyperlink r:id="rId30" w:history="1">
              <w:r w:rsidRPr="00BC4BBC">
                <w:rPr>
                  <w:rStyle w:val="Hyperlink"/>
                </w:rPr>
                <w:t>https://openknowledge.fao.org/server/api/core/bitstreams/8f599970-661d-45f5-a598-2ea46ca1605f/content/src/html/glossary.html</w:t>
              </w:r>
            </w:hyperlink>
            <w:r w:rsidR="00D90A4A" w:rsidRPr="00BC4BBC">
              <w:rPr>
                <w:rStyle w:val="Subscript"/>
                <w:vertAlign w:val="baseline"/>
              </w:rPr>
              <w:t xml:space="preserve"> </w:t>
            </w:r>
          </w:p>
        </w:tc>
      </w:tr>
      <w:tr w:rsidR="006C6244" w:rsidRPr="006E1DAC" w14:paraId="1E163AFA" w14:textId="77777777" w:rsidTr="00554D4F">
        <w:trPr>
          <w:trHeight w:val="285"/>
        </w:trPr>
        <w:tc>
          <w:tcPr>
            <w:tcW w:w="1980" w:type="dxa"/>
            <w:noWrap/>
            <w:hideMark/>
          </w:tcPr>
          <w:p w14:paraId="6416F36B" w14:textId="77777777" w:rsidR="006C6244" w:rsidRPr="00BC4BBC" w:rsidRDefault="006C6244" w:rsidP="00E96665">
            <w:pPr>
              <w:pStyle w:val="Tabletext-Normal"/>
              <w:ind w:left="0"/>
              <w:rPr>
                <w:rStyle w:val="Subscript"/>
                <w:vertAlign w:val="baseline"/>
              </w:rPr>
            </w:pPr>
            <w:r w:rsidRPr="00BC4BBC">
              <w:rPr>
                <w:rStyle w:val="Subscript"/>
                <w:vertAlign w:val="baseline"/>
              </w:rPr>
              <w:lastRenderedPageBreak/>
              <w:t>Green jobs</w:t>
            </w:r>
          </w:p>
        </w:tc>
        <w:tc>
          <w:tcPr>
            <w:tcW w:w="5528" w:type="dxa"/>
            <w:noWrap/>
            <w:hideMark/>
          </w:tcPr>
          <w:p w14:paraId="5F8544FB" w14:textId="2D78D381" w:rsidR="006C6244" w:rsidRPr="00BC4BBC" w:rsidRDefault="006C6244" w:rsidP="00E96665">
            <w:pPr>
              <w:pStyle w:val="Tabletext-Normal"/>
              <w:ind w:left="0"/>
              <w:rPr>
                <w:rStyle w:val="Subscript"/>
                <w:vertAlign w:val="baseline"/>
              </w:rPr>
            </w:pPr>
            <w:r w:rsidRPr="00BC4BBC">
              <w:rPr>
                <w:rStyle w:val="Subscript"/>
                <w:vertAlign w:val="baseline"/>
              </w:rPr>
              <w:t>Decent jobs that contribute to conserving or restoring the environment, be they in traditional sectors such as manufacturing and construction or in new, emerging green sectors such as renewable energy and energy efficiency</w:t>
            </w:r>
          </w:p>
        </w:tc>
        <w:tc>
          <w:tcPr>
            <w:tcW w:w="2574" w:type="dxa"/>
            <w:noWrap/>
            <w:hideMark/>
          </w:tcPr>
          <w:p w14:paraId="16B44DB8" w14:textId="5B4D3D7A" w:rsidR="006C6244" w:rsidRPr="00BC4BBC" w:rsidRDefault="00BC4BBC" w:rsidP="00E96665">
            <w:pPr>
              <w:pStyle w:val="Tabletext-Normal"/>
              <w:ind w:left="0"/>
              <w:rPr>
                <w:rStyle w:val="Subscript"/>
                <w:vertAlign w:val="baseline"/>
              </w:rPr>
            </w:pPr>
            <w:hyperlink r:id="rId31" w:history="1">
              <w:r w:rsidRPr="00BC4BBC">
                <w:rPr>
                  <w:rStyle w:val="Hyperlink"/>
                </w:rPr>
                <w:t>https://openknowledge.fao.org/server/api/core/bitstreams/8f599970-661d-45f5-a598-2ea46ca1605f/content/src/html/glossary.html</w:t>
              </w:r>
            </w:hyperlink>
            <w:r w:rsidR="00D90A4A" w:rsidRPr="00BC4BBC">
              <w:rPr>
                <w:rStyle w:val="Subscript"/>
                <w:vertAlign w:val="baseline"/>
              </w:rPr>
              <w:t xml:space="preserve"> </w:t>
            </w:r>
          </w:p>
        </w:tc>
      </w:tr>
      <w:tr w:rsidR="006C6244" w:rsidRPr="006E1DAC" w14:paraId="66C7333D" w14:textId="77777777" w:rsidTr="00554D4F">
        <w:trPr>
          <w:trHeight w:val="285"/>
        </w:trPr>
        <w:tc>
          <w:tcPr>
            <w:tcW w:w="1980" w:type="dxa"/>
            <w:noWrap/>
            <w:hideMark/>
          </w:tcPr>
          <w:p w14:paraId="55E145F6" w14:textId="77777777" w:rsidR="006C6244" w:rsidRPr="00BC4BBC" w:rsidRDefault="006C6244" w:rsidP="00E96665">
            <w:pPr>
              <w:pStyle w:val="Tabletext-Normal"/>
              <w:ind w:left="0"/>
              <w:rPr>
                <w:rStyle w:val="Subscript"/>
                <w:vertAlign w:val="baseline"/>
              </w:rPr>
            </w:pPr>
            <w:r w:rsidRPr="00BC4BBC">
              <w:rPr>
                <w:rStyle w:val="Subscript"/>
                <w:vertAlign w:val="baseline"/>
              </w:rPr>
              <w:t>Green recovery</w:t>
            </w:r>
          </w:p>
        </w:tc>
        <w:tc>
          <w:tcPr>
            <w:tcW w:w="5528" w:type="dxa"/>
            <w:noWrap/>
            <w:hideMark/>
          </w:tcPr>
          <w:p w14:paraId="3E45D099" w14:textId="02D75A5C" w:rsidR="006C6244" w:rsidRPr="00BC4BBC" w:rsidRDefault="006C6244" w:rsidP="00E96665">
            <w:pPr>
              <w:pStyle w:val="Tabletext-Normal"/>
              <w:ind w:left="0"/>
              <w:rPr>
                <w:rStyle w:val="Subscript"/>
                <w:vertAlign w:val="baseline"/>
              </w:rPr>
            </w:pPr>
            <w:r w:rsidRPr="00BC4BBC">
              <w:rPr>
                <w:rStyle w:val="Subscript"/>
                <w:vertAlign w:val="baseline"/>
              </w:rPr>
              <w:t>The process of revitalizing economies and reversing disruptions to trade and transport caused by the COVID-19 pandemic and associated containment measures by prioritizing investments that reduce the risks presented by climate change, biodiversity loss and other environmental challenges and promote sustainable development. A green recovery would enable countries to build back better, with investments driving economic growth, short-term job creation and significant longer-term economic, social and environmental benefits.</w:t>
            </w:r>
          </w:p>
        </w:tc>
        <w:tc>
          <w:tcPr>
            <w:tcW w:w="2574" w:type="dxa"/>
            <w:noWrap/>
            <w:hideMark/>
          </w:tcPr>
          <w:p w14:paraId="17605C72" w14:textId="4A4881DA" w:rsidR="006C6244" w:rsidRPr="00BC4BBC" w:rsidRDefault="00BC4BBC" w:rsidP="00E96665">
            <w:pPr>
              <w:pStyle w:val="Tabletext-Normal"/>
              <w:ind w:left="0"/>
              <w:rPr>
                <w:rStyle w:val="Subscript"/>
                <w:vertAlign w:val="baseline"/>
              </w:rPr>
            </w:pPr>
            <w:hyperlink r:id="rId32" w:history="1">
              <w:r w:rsidRPr="00BC4BBC">
                <w:rPr>
                  <w:rStyle w:val="Hyperlink"/>
                </w:rPr>
                <w:t>https://openknowledge.fao.org/server/api/core/bitstreams/8f599970-661d-45f5-a598-2ea46ca1605f/content/src/html/glossary.html</w:t>
              </w:r>
            </w:hyperlink>
            <w:r w:rsidR="00D90A4A" w:rsidRPr="00BC4BBC">
              <w:rPr>
                <w:rStyle w:val="Subscript"/>
                <w:vertAlign w:val="baseline"/>
              </w:rPr>
              <w:t xml:space="preserve"> </w:t>
            </w:r>
          </w:p>
        </w:tc>
      </w:tr>
      <w:tr w:rsidR="006C6244" w:rsidRPr="006E1DAC" w14:paraId="0BEBCDB8" w14:textId="77777777" w:rsidTr="00554D4F">
        <w:trPr>
          <w:trHeight w:val="285"/>
        </w:trPr>
        <w:tc>
          <w:tcPr>
            <w:tcW w:w="1980" w:type="dxa"/>
            <w:noWrap/>
            <w:hideMark/>
          </w:tcPr>
          <w:p w14:paraId="0305A359" w14:textId="77777777" w:rsidR="006C6244" w:rsidRPr="00BC4BBC" w:rsidRDefault="006C6244" w:rsidP="00E96665">
            <w:pPr>
              <w:pStyle w:val="Tabletext-Normal"/>
              <w:ind w:left="0"/>
              <w:rPr>
                <w:rStyle w:val="Subscript"/>
                <w:vertAlign w:val="baseline"/>
              </w:rPr>
            </w:pPr>
            <w:r w:rsidRPr="00BC4BBC">
              <w:rPr>
                <w:rStyle w:val="Subscript"/>
                <w:vertAlign w:val="baseline"/>
              </w:rPr>
              <w:t>Non-timber forest products</w:t>
            </w:r>
          </w:p>
        </w:tc>
        <w:tc>
          <w:tcPr>
            <w:tcW w:w="5528" w:type="dxa"/>
            <w:noWrap/>
            <w:hideMark/>
          </w:tcPr>
          <w:p w14:paraId="0A584E4C" w14:textId="6EC6CC7E" w:rsidR="006C6244" w:rsidRPr="00BC4BBC" w:rsidRDefault="006C6244" w:rsidP="00E96665">
            <w:pPr>
              <w:pStyle w:val="Tabletext-Normal"/>
              <w:ind w:left="0"/>
              <w:rPr>
                <w:rStyle w:val="Subscript"/>
                <w:vertAlign w:val="baseline"/>
              </w:rPr>
            </w:pPr>
            <w:r w:rsidRPr="00BC4BBC">
              <w:rPr>
                <w:rStyle w:val="Subscript"/>
                <w:vertAlign w:val="baseline"/>
              </w:rPr>
              <w:t>All biological materials other than timber which are extracted from forests for human use. Note that this definition differs from that used in one paper cited in this report, which is as follows: Wild native or non-native biological organisms and materials, other than high-value timber, collected from landscapes and habitats.</w:t>
            </w:r>
          </w:p>
        </w:tc>
        <w:tc>
          <w:tcPr>
            <w:tcW w:w="2574" w:type="dxa"/>
            <w:noWrap/>
            <w:hideMark/>
          </w:tcPr>
          <w:p w14:paraId="78C07F97" w14:textId="2BA30899" w:rsidR="006C6244" w:rsidRPr="00BC4BBC" w:rsidRDefault="00BC4BBC" w:rsidP="00E96665">
            <w:pPr>
              <w:pStyle w:val="Tabletext-Normal"/>
              <w:ind w:left="0"/>
              <w:rPr>
                <w:rStyle w:val="Subscript"/>
                <w:vertAlign w:val="baseline"/>
              </w:rPr>
            </w:pPr>
            <w:hyperlink r:id="rId33" w:history="1">
              <w:r w:rsidRPr="00BC4BBC">
                <w:rPr>
                  <w:rStyle w:val="Hyperlink"/>
                </w:rPr>
                <w:t>https://openknowledge.fao.org/server/api/core/bitstreams/8f599970-661d-45f5-a598-2ea46ca1605f/content/src/html/glossary.html</w:t>
              </w:r>
            </w:hyperlink>
            <w:r w:rsidR="00D90A4A" w:rsidRPr="00BC4BBC">
              <w:rPr>
                <w:rStyle w:val="Subscript"/>
                <w:vertAlign w:val="baseline"/>
              </w:rPr>
              <w:t xml:space="preserve"> </w:t>
            </w:r>
          </w:p>
        </w:tc>
      </w:tr>
      <w:tr w:rsidR="006C6244" w:rsidRPr="006E1DAC" w14:paraId="34A5D5F4" w14:textId="77777777" w:rsidTr="00554D4F">
        <w:trPr>
          <w:trHeight w:val="285"/>
        </w:trPr>
        <w:tc>
          <w:tcPr>
            <w:tcW w:w="1980" w:type="dxa"/>
            <w:noWrap/>
            <w:hideMark/>
          </w:tcPr>
          <w:p w14:paraId="703FB893" w14:textId="77777777" w:rsidR="006C6244" w:rsidRPr="00BC4BBC" w:rsidRDefault="006C6244" w:rsidP="00E96665">
            <w:pPr>
              <w:pStyle w:val="Tabletext-Normal"/>
              <w:ind w:left="0"/>
              <w:rPr>
                <w:rStyle w:val="Subscript"/>
                <w:vertAlign w:val="baseline"/>
              </w:rPr>
            </w:pPr>
            <w:r w:rsidRPr="00BC4BBC">
              <w:rPr>
                <w:rStyle w:val="Subscript"/>
                <w:vertAlign w:val="baseline"/>
              </w:rPr>
              <w:t>Non-wood forest products</w:t>
            </w:r>
          </w:p>
        </w:tc>
        <w:tc>
          <w:tcPr>
            <w:tcW w:w="5528" w:type="dxa"/>
            <w:noWrap/>
            <w:hideMark/>
          </w:tcPr>
          <w:p w14:paraId="5798CA19" w14:textId="781E0DB4" w:rsidR="006C6244" w:rsidRPr="00BC4BBC" w:rsidRDefault="006C6244" w:rsidP="00E96665">
            <w:pPr>
              <w:pStyle w:val="Tabletext-Normal"/>
              <w:ind w:left="0"/>
              <w:rPr>
                <w:rStyle w:val="Subscript"/>
                <w:vertAlign w:val="baseline"/>
              </w:rPr>
            </w:pPr>
            <w:r w:rsidRPr="00BC4BBC">
              <w:rPr>
                <w:rStyle w:val="Subscript"/>
                <w:vertAlign w:val="baseline"/>
              </w:rPr>
              <w:t>Goods of biological origin other than wood, derived from forests, other wooded land and trees outside forests</w:t>
            </w:r>
          </w:p>
        </w:tc>
        <w:tc>
          <w:tcPr>
            <w:tcW w:w="2574" w:type="dxa"/>
            <w:noWrap/>
            <w:hideMark/>
          </w:tcPr>
          <w:p w14:paraId="1B8E1419" w14:textId="0D33D0DA" w:rsidR="006C6244" w:rsidRPr="00BC4BBC" w:rsidRDefault="00BC4BBC" w:rsidP="00E96665">
            <w:pPr>
              <w:pStyle w:val="Tabletext-Normal"/>
              <w:ind w:left="0"/>
              <w:rPr>
                <w:rStyle w:val="Subscript"/>
                <w:vertAlign w:val="baseline"/>
              </w:rPr>
            </w:pPr>
            <w:hyperlink r:id="rId34" w:history="1">
              <w:r w:rsidRPr="00BC4BBC">
                <w:rPr>
                  <w:rStyle w:val="Hyperlink"/>
                </w:rPr>
                <w:t>https://openknowledge.fao.org/server/api/core/bitstreams/8f599970-661d-45f5-a598-2ea46ca1605f/content/src/html/glossary.html</w:t>
              </w:r>
            </w:hyperlink>
            <w:r w:rsidR="00D90A4A" w:rsidRPr="00BC4BBC">
              <w:rPr>
                <w:rStyle w:val="Subscript"/>
                <w:vertAlign w:val="baseline"/>
              </w:rPr>
              <w:t xml:space="preserve"> </w:t>
            </w:r>
          </w:p>
        </w:tc>
      </w:tr>
      <w:tr w:rsidR="006C6244" w:rsidRPr="006E1DAC" w14:paraId="22B2620E" w14:textId="77777777" w:rsidTr="00554D4F">
        <w:trPr>
          <w:trHeight w:val="285"/>
        </w:trPr>
        <w:tc>
          <w:tcPr>
            <w:tcW w:w="1980" w:type="dxa"/>
            <w:noWrap/>
            <w:hideMark/>
          </w:tcPr>
          <w:p w14:paraId="590DC76F" w14:textId="77777777" w:rsidR="006C6244" w:rsidRPr="00BC4BBC" w:rsidRDefault="006C6244" w:rsidP="00E96665">
            <w:pPr>
              <w:pStyle w:val="Tabletext-Normal"/>
              <w:ind w:left="0"/>
              <w:rPr>
                <w:rStyle w:val="Subscript"/>
                <w:vertAlign w:val="baseline"/>
              </w:rPr>
            </w:pPr>
            <w:r w:rsidRPr="00BC4BBC">
              <w:rPr>
                <w:rStyle w:val="Subscript"/>
                <w:vertAlign w:val="baseline"/>
              </w:rPr>
              <w:t>Other land with tree cover</w:t>
            </w:r>
          </w:p>
        </w:tc>
        <w:tc>
          <w:tcPr>
            <w:tcW w:w="5528" w:type="dxa"/>
            <w:noWrap/>
            <w:hideMark/>
          </w:tcPr>
          <w:p w14:paraId="00A8C658" w14:textId="78A5C475" w:rsidR="006C6244" w:rsidRPr="00BC4BBC" w:rsidRDefault="006C6244" w:rsidP="00E96665">
            <w:pPr>
              <w:pStyle w:val="Tabletext-Normal"/>
              <w:ind w:left="0"/>
              <w:rPr>
                <w:rStyle w:val="Subscript"/>
                <w:vertAlign w:val="baseline"/>
              </w:rPr>
            </w:pPr>
            <w:r w:rsidRPr="00BC4BBC">
              <w:rPr>
                <w:rStyle w:val="Subscript"/>
                <w:vertAlign w:val="baseline"/>
              </w:rPr>
              <w:t>Land not classified as forest but which has a tree-canopy cover of at least 10 percent and an area of more than 0.5 ha (e.g. orchards)</w:t>
            </w:r>
          </w:p>
        </w:tc>
        <w:tc>
          <w:tcPr>
            <w:tcW w:w="2574" w:type="dxa"/>
            <w:noWrap/>
            <w:hideMark/>
          </w:tcPr>
          <w:p w14:paraId="65CDC95A" w14:textId="5482E617" w:rsidR="006C6244" w:rsidRPr="00BC4BBC" w:rsidRDefault="00BC4BBC" w:rsidP="00E96665">
            <w:pPr>
              <w:pStyle w:val="Tabletext-Normal"/>
              <w:ind w:left="0"/>
              <w:rPr>
                <w:rStyle w:val="Subscript"/>
                <w:vertAlign w:val="baseline"/>
              </w:rPr>
            </w:pPr>
            <w:hyperlink r:id="rId35" w:history="1">
              <w:r w:rsidRPr="00BC4BBC">
                <w:rPr>
                  <w:rStyle w:val="Hyperlink"/>
                </w:rPr>
                <w:t>https://openknowledge.fao.org/server/api/core/bitstreams/8f599970-661d-45f5-a598-2ea46ca1605f/content/src/html/glossary.html</w:t>
              </w:r>
            </w:hyperlink>
            <w:r w:rsidR="00D90A4A" w:rsidRPr="00BC4BBC">
              <w:rPr>
                <w:rStyle w:val="Subscript"/>
                <w:vertAlign w:val="baseline"/>
              </w:rPr>
              <w:t xml:space="preserve"> </w:t>
            </w:r>
          </w:p>
        </w:tc>
      </w:tr>
      <w:tr w:rsidR="006C6244" w:rsidRPr="006E1DAC" w14:paraId="7DAA48AB" w14:textId="77777777" w:rsidTr="00554D4F">
        <w:trPr>
          <w:trHeight w:val="285"/>
        </w:trPr>
        <w:tc>
          <w:tcPr>
            <w:tcW w:w="1980" w:type="dxa"/>
            <w:noWrap/>
            <w:hideMark/>
          </w:tcPr>
          <w:p w14:paraId="306888A8" w14:textId="77777777" w:rsidR="006C6244" w:rsidRPr="00BC4BBC" w:rsidRDefault="006C6244" w:rsidP="00E96665">
            <w:pPr>
              <w:pStyle w:val="Tabletext-Normal"/>
              <w:ind w:left="0"/>
              <w:rPr>
                <w:rStyle w:val="Subscript"/>
                <w:vertAlign w:val="baseline"/>
              </w:rPr>
            </w:pPr>
            <w:r w:rsidRPr="00BC4BBC">
              <w:rPr>
                <w:rStyle w:val="Subscript"/>
                <w:vertAlign w:val="baseline"/>
              </w:rPr>
              <w:lastRenderedPageBreak/>
              <w:t>Other wooded land</w:t>
            </w:r>
          </w:p>
        </w:tc>
        <w:tc>
          <w:tcPr>
            <w:tcW w:w="5528" w:type="dxa"/>
            <w:noWrap/>
            <w:hideMark/>
          </w:tcPr>
          <w:p w14:paraId="354F5924" w14:textId="7A40319F" w:rsidR="006C6244" w:rsidRPr="00BC4BBC" w:rsidRDefault="006C6244" w:rsidP="00E96665">
            <w:pPr>
              <w:pStyle w:val="Tabletext-Normal"/>
              <w:ind w:left="0"/>
              <w:rPr>
                <w:rStyle w:val="Subscript"/>
                <w:vertAlign w:val="baseline"/>
              </w:rPr>
            </w:pPr>
            <w:r w:rsidRPr="00BC4BBC">
              <w:rPr>
                <w:rStyle w:val="Subscript"/>
                <w:vertAlign w:val="baseline"/>
              </w:rPr>
              <w:t>Land not classified as “forest”, spanning more than 0.5 hectares; with trees higher than 5 metres and a canopy cover of 5–10 percent, or trees able to reach these thresholds in situ; or with a combined cover of shrubs, bushes and trees above 10 percent. It does not include land that is predominantly under agricultural or urban land use.</w:t>
            </w:r>
          </w:p>
        </w:tc>
        <w:tc>
          <w:tcPr>
            <w:tcW w:w="2574" w:type="dxa"/>
            <w:noWrap/>
            <w:hideMark/>
          </w:tcPr>
          <w:p w14:paraId="401B9830" w14:textId="3C7A1F67" w:rsidR="006C6244" w:rsidRPr="00BC4BBC" w:rsidRDefault="00BC4BBC" w:rsidP="00E96665">
            <w:pPr>
              <w:pStyle w:val="Tabletext-Normal"/>
              <w:ind w:left="0"/>
              <w:rPr>
                <w:rStyle w:val="Subscript"/>
                <w:vertAlign w:val="baseline"/>
              </w:rPr>
            </w:pPr>
            <w:hyperlink r:id="rId36" w:history="1">
              <w:r w:rsidRPr="00BC4BBC">
                <w:rPr>
                  <w:rStyle w:val="Hyperlink"/>
                </w:rPr>
                <w:t>https://openknowledge.fao.org/server/api/core/bitstreams/8f599970-661d-45f5-a598-2ea46ca1605f/content/src/html/glossary.html</w:t>
              </w:r>
            </w:hyperlink>
            <w:r w:rsidR="00D90A4A" w:rsidRPr="00BC4BBC">
              <w:rPr>
                <w:rStyle w:val="Subscript"/>
                <w:vertAlign w:val="baseline"/>
              </w:rPr>
              <w:t xml:space="preserve"> </w:t>
            </w:r>
          </w:p>
        </w:tc>
      </w:tr>
      <w:tr w:rsidR="006C6244" w:rsidRPr="006E1DAC" w14:paraId="27903303" w14:textId="77777777" w:rsidTr="00554D4F">
        <w:trPr>
          <w:trHeight w:val="285"/>
        </w:trPr>
        <w:tc>
          <w:tcPr>
            <w:tcW w:w="1980" w:type="dxa"/>
            <w:noWrap/>
            <w:hideMark/>
          </w:tcPr>
          <w:p w14:paraId="08B2C328" w14:textId="77777777" w:rsidR="006C6244" w:rsidRPr="00BC4BBC" w:rsidRDefault="006C6244" w:rsidP="00E96665">
            <w:pPr>
              <w:pStyle w:val="Tabletext-Normal"/>
              <w:ind w:left="0"/>
              <w:rPr>
                <w:rStyle w:val="Subscript"/>
                <w:vertAlign w:val="baseline"/>
              </w:rPr>
            </w:pPr>
            <w:r w:rsidRPr="00BC4BBC">
              <w:rPr>
                <w:rStyle w:val="Subscript"/>
                <w:vertAlign w:val="baseline"/>
              </w:rPr>
              <w:t>Payment for ecosystem services</w:t>
            </w:r>
          </w:p>
        </w:tc>
        <w:tc>
          <w:tcPr>
            <w:tcW w:w="5528" w:type="dxa"/>
            <w:noWrap/>
            <w:hideMark/>
          </w:tcPr>
          <w:p w14:paraId="4CF592E6" w14:textId="153E51B5" w:rsidR="006C6244" w:rsidRPr="00BC4BBC" w:rsidRDefault="006C6244" w:rsidP="00E96665">
            <w:pPr>
              <w:pStyle w:val="Tabletext-Normal"/>
              <w:ind w:left="0"/>
              <w:rPr>
                <w:rStyle w:val="Subscript"/>
                <w:vertAlign w:val="baseline"/>
              </w:rPr>
            </w:pPr>
            <w:r w:rsidRPr="00BC4BBC">
              <w:rPr>
                <w:rStyle w:val="Subscript"/>
                <w:vertAlign w:val="baseline"/>
              </w:rPr>
              <w:t>A payment made by the beneficiaries or users of an ecosystem service to the providers of that service. In practice, this may take the form of a series of payments in return for receiving a flow of benefits or ecosystem services.</w:t>
            </w:r>
          </w:p>
        </w:tc>
        <w:tc>
          <w:tcPr>
            <w:tcW w:w="2574" w:type="dxa"/>
            <w:noWrap/>
            <w:hideMark/>
          </w:tcPr>
          <w:p w14:paraId="04115255" w14:textId="201BB573" w:rsidR="006C6244" w:rsidRPr="00BC4BBC" w:rsidRDefault="00BC4BBC" w:rsidP="00E96665">
            <w:pPr>
              <w:pStyle w:val="Tabletext-Normal"/>
              <w:ind w:left="0"/>
              <w:rPr>
                <w:rStyle w:val="Subscript"/>
                <w:vertAlign w:val="baseline"/>
              </w:rPr>
            </w:pPr>
            <w:hyperlink r:id="rId37" w:history="1">
              <w:r w:rsidRPr="00BC4BBC">
                <w:rPr>
                  <w:rStyle w:val="Hyperlink"/>
                </w:rPr>
                <w:t>https://openknowledge.fao.org/server/api/core/bitstreams/8f599970-661d-45f5-a598-2ea46ca1605f/content/src/html/glossary.html</w:t>
              </w:r>
            </w:hyperlink>
            <w:r w:rsidR="00D90A4A" w:rsidRPr="00BC4BBC">
              <w:rPr>
                <w:rStyle w:val="Subscript"/>
                <w:vertAlign w:val="baseline"/>
              </w:rPr>
              <w:t xml:space="preserve"> </w:t>
            </w:r>
          </w:p>
        </w:tc>
      </w:tr>
      <w:tr w:rsidR="006C6244" w:rsidRPr="006E1DAC" w14:paraId="6BDC1DFA" w14:textId="77777777" w:rsidTr="00554D4F">
        <w:trPr>
          <w:trHeight w:val="285"/>
        </w:trPr>
        <w:tc>
          <w:tcPr>
            <w:tcW w:w="1980" w:type="dxa"/>
            <w:noWrap/>
            <w:hideMark/>
          </w:tcPr>
          <w:p w14:paraId="6201D367" w14:textId="77777777" w:rsidR="006C6244" w:rsidRPr="00BC4BBC" w:rsidRDefault="006C6244" w:rsidP="00E96665">
            <w:pPr>
              <w:pStyle w:val="Tabletext-Normal"/>
              <w:ind w:left="0"/>
              <w:rPr>
                <w:rStyle w:val="Subscript"/>
                <w:vertAlign w:val="baseline"/>
              </w:rPr>
            </w:pPr>
            <w:r w:rsidRPr="00BC4BBC">
              <w:rPr>
                <w:rStyle w:val="Subscript"/>
                <w:vertAlign w:val="baseline"/>
              </w:rPr>
              <w:t>Deforestation</w:t>
            </w:r>
          </w:p>
        </w:tc>
        <w:tc>
          <w:tcPr>
            <w:tcW w:w="5528" w:type="dxa"/>
            <w:noWrap/>
            <w:hideMark/>
          </w:tcPr>
          <w:p w14:paraId="7B180409" w14:textId="3C6CEA11" w:rsidR="006C6244" w:rsidRPr="00BC4BBC" w:rsidRDefault="006C6244" w:rsidP="00E96665">
            <w:pPr>
              <w:pStyle w:val="Tabletext-Normal"/>
              <w:ind w:left="0"/>
              <w:rPr>
                <w:rStyle w:val="Subscript"/>
                <w:vertAlign w:val="baseline"/>
              </w:rPr>
            </w:pPr>
            <w:r w:rsidRPr="00BC4BBC">
              <w:rPr>
                <w:rStyle w:val="Subscript"/>
                <w:vertAlign w:val="baseline"/>
              </w:rPr>
              <w:t>The conversion of forest to other land use independently of whether human-induced or not</w:t>
            </w:r>
          </w:p>
        </w:tc>
        <w:tc>
          <w:tcPr>
            <w:tcW w:w="2574" w:type="dxa"/>
            <w:noWrap/>
            <w:hideMark/>
          </w:tcPr>
          <w:p w14:paraId="635FC381" w14:textId="19323650" w:rsidR="006C6244" w:rsidRPr="00BC4BBC" w:rsidRDefault="00BC4BBC" w:rsidP="00E96665">
            <w:pPr>
              <w:pStyle w:val="Tabletext-Normal"/>
              <w:ind w:left="0"/>
              <w:rPr>
                <w:rStyle w:val="Subscript"/>
                <w:vertAlign w:val="baseline"/>
              </w:rPr>
            </w:pPr>
            <w:hyperlink r:id="rId38" w:history="1">
              <w:r w:rsidRPr="00BC4BBC">
                <w:rPr>
                  <w:rStyle w:val="Hyperlink"/>
                </w:rPr>
                <w:t>https://openknowledge.fao.org/server/api/core/bitstreams/8f599970-661d-45f5-a598-2ea46ca1605f/content/src/html/glossary.html</w:t>
              </w:r>
            </w:hyperlink>
            <w:r w:rsidR="00D90A4A" w:rsidRPr="00BC4BBC">
              <w:rPr>
                <w:rStyle w:val="Subscript"/>
                <w:vertAlign w:val="baseline"/>
              </w:rPr>
              <w:t xml:space="preserve"> </w:t>
            </w:r>
          </w:p>
        </w:tc>
      </w:tr>
      <w:tr w:rsidR="006C6244" w:rsidRPr="006E1DAC" w14:paraId="65E0A9DB" w14:textId="77777777" w:rsidTr="00554D4F">
        <w:trPr>
          <w:trHeight w:val="285"/>
        </w:trPr>
        <w:tc>
          <w:tcPr>
            <w:tcW w:w="1980" w:type="dxa"/>
            <w:hideMark/>
          </w:tcPr>
          <w:p w14:paraId="7676F228" w14:textId="77777777" w:rsidR="006C6244" w:rsidRPr="00BC4BBC" w:rsidRDefault="006C6244" w:rsidP="00E96665">
            <w:pPr>
              <w:pStyle w:val="Tabletext-Normal"/>
              <w:ind w:left="0"/>
              <w:rPr>
                <w:rStyle w:val="Subscript"/>
                <w:vertAlign w:val="baseline"/>
              </w:rPr>
            </w:pPr>
            <w:r w:rsidRPr="00BC4BBC">
              <w:rPr>
                <w:rStyle w:val="Subscript"/>
                <w:vertAlign w:val="baseline"/>
              </w:rPr>
              <w:t>Regeneration</w:t>
            </w:r>
          </w:p>
        </w:tc>
        <w:tc>
          <w:tcPr>
            <w:tcW w:w="5528" w:type="dxa"/>
            <w:noWrap/>
            <w:hideMark/>
          </w:tcPr>
          <w:p w14:paraId="4C34EFED" w14:textId="77777777" w:rsidR="006C6244" w:rsidRPr="00BC4BBC" w:rsidRDefault="006C6244" w:rsidP="00E96665">
            <w:pPr>
              <w:pStyle w:val="Tabletext-Normal"/>
              <w:ind w:left="0"/>
              <w:rPr>
                <w:rStyle w:val="Subscript"/>
                <w:vertAlign w:val="baseline"/>
              </w:rPr>
            </w:pPr>
            <w:r w:rsidRPr="00BC4BBC">
              <w:rPr>
                <w:rStyle w:val="Subscript"/>
                <w:vertAlign w:val="baseline"/>
              </w:rPr>
              <w:t>The renewal of a stand of trees through either natural means (seeded onsite or adjacent stands or deposited by wind, birds, or animals) or artificial means (by planting seedlings or direct seeding).</w:t>
            </w:r>
          </w:p>
        </w:tc>
        <w:tc>
          <w:tcPr>
            <w:tcW w:w="2574" w:type="dxa"/>
            <w:noWrap/>
            <w:hideMark/>
          </w:tcPr>
          <w:p w14:paraId="25E539A1" w14:textId="1E6B0946" w:rsidR="006C6244" w:rsidRPr="00BC4BBC" w:rsidRDefault="00BC4BBC" w:rsidP="00E96665">
            <w:pPr>
              <w:pStyle w:val="Tabletext-Normal"/>
              <w:ind w:left="0"/>
              <w:rPr>
                <w:rStyle w:val="Subscript"/>
                <w:vertAlign w:val="baseline"/>
              </w:rPr>
            </w:pPr>
            <w:hyperlink r:id="rId39" w:history="1">
              <w:r w:rsidRPr="00BC4BBC">
                <w:rPr>
                  <w:rStyle w:val="Hyperlink"/>
                </w:rPr>
                <w:t>https://www.ipcc.ch/site/assets/uploads/2018/03/wg2TARannexB.pdf</w:t>
              </w:r>
            </w:hyperlink>
            <w:r w:rsidR="00D90A4A" w:rsidRPr="00BC4BBC">
              <w:rPr>
                <w:rStyle w:val="Subscript"/>
                <w:vertAlign w:val="baseline"/>
              </w:rPr>
              <w:t xml:space="preserve"> </w:t>
            </w:r>
          </w:p>
        </w:tc>
      </w:tr>
      <w:tr w:rsidR="006C6244" w:rsidRPr="006E1DAC" w14:paraId="43F0D457" w14:textId="77777777" w:rsidTr="00554D4F">
        <w:trPr>
          <w:trHeight w:val="285"/>
        </w:trPr>
        <w:tc>
          <w:tcPr>
            <w:tcW w:w="1980" w:type="dxa"/>
            <w:noWrap/>
            <w:hideMark/>
          </w:tcPr>
          <w:p w14:paraId="76E124A0" w14:textId="77777777" w:rsidR="006C6244" w:rsidRPr="00BC4BBC" w:rsidRDefault="006C6244" w:rsidP="00E96665">
            <w:pPr>
              <w:pStyle w:val="Tabletext-Normal"/>
              <w:ind w:left="0"/>
              <w:rPr>
                <w:rStyle w:val="Subscript"/>
                <w:vertAlign w:val="baseline"/>
              </w:rPr>
            </w:pPr>
            <w:r w:rsidRPr="00BC4BBC">
              <w:rPr>
                <w:rStyle w:val="Subscript"/>
                <w:vertAlign w:val="baseline"/>
              </w:rPr>
              <w:t>Silviculture</w:t>
            </w:r>
          </w:p>
        </w:tc>
        <w:tc>
          <w:tcPr>
            <w:tcW w:w="5528" w:type="dxa"/>
            <w:noWrap/>
            <w:hideMark/>
          </w:tcPr>
          <w:p w14:paraId="364707CF" w14:textId="77777777" w:rsidR="006C6244" w:rsidRPr="00BC4BBC" w:rsidRDefault="006C6244" w:rsidP="00E96665">
            <w:pPr>
              <w:pStyle w:val="Tabletext-Normal"/>
              <w:ind w:left="0"/>
              <w:rPr>
                <w:rStyle w:val="Subscript"/>
                <w:vertAlign w:val="baseline"/>
              </w:rPr>
            </w:pPr>
            <w:r w:rsidRPr="00BC4BBC">
              <w:rPr>
                <w:rStyle w:val="Subscript"/>
                <w:vertAlign w:val="baseline"/>
              </w:rPr>
              <w:t>Development and care of forests.</w:t>
            </w:r>
          </w:p>
        </w:tc>
        <w:tc>
          <w:tcPr>
            <w:tcW w:w="2574" w:type="dxa"/>
            <w:noWrap/>
            <w:hideMark/>
          </w:tcPr>
          <w:p w14:paraId="5E036970" w14:textId="73E3EBF6" w:rsidR="006C6244" w:rsidRPr="00BC4BBC" w:rsidRDefault="00BC4BBC" w:rsidP="00E96665">
            <w:pPr>
              <w:pStyle w:val="Tabletext-Normal"/>
              <w:ind w:left="0"/>
              <w:rPr>
                <w:rStyle w:val="Subscript"/>
                <w:vertAlign w:val="baseline"/>
              </w:rPr>
            </w:pPr>
            <w:hyperlink r:id="rId40" w:history="1">
              <w:r w:rsidRPr="00BC4BBC">
                <w:rPr>
                  <w:rStyle w:val="Hyperlink"/>
                </w:rPr>
                <w:t>https://www.ipcc.ch/site/assets/uploads/2018/03/wg2TARannexB.pdf</w:t>
              </w:r>
            </w:hyperlink>
            <w:r w:rsidR="00D90A4A" w:rsidRPr="00BC4BBC">
              <w:rPr>
                <w:rStyle w:val="Subscript"/>
                <w:vertAlign w:val="baseline"/>
              </w:rPr>
              <w:t xml:space="preserve"> </w:t>
            </w:r>
          </w:p>
        </w:tc>
      </w:tr>
      <w:tr w:rsidR="006C6244" w:rsidRPr="006E1DAC" w14:paraId="41FE6103" w14:textId="77777777" w:rsidTr="00554D4F">
        <w:trPr>
          <w:trHeight w:val="285"/>
        </w:trPr>
        <w:tc>
          <w:tcPr>
            <w:tcW w:w="1980" w:type="dxa"/>
            <w:noWrap/>
            <w:hideMark/>
          </w:tcPr>
          <w:p w14:paraId="090EE19B" w14:textId="77777777" w:rsidR="006C6244" w:rsidRPr="00BC4BBC" w:rsidRDefault="006C6244" w:rsidP="00E96665">
            <w:pPr>
              <w:pStyle w:val="Tabletext-Normal"/>
              <w:ind w:left="0"/>
              <w:rPr>
                <w:rStyle w:val="Subscript"/>
                <w:vertAlign w:val="baseline"/>
              </w:rPr>
            </w:pPr>
            <w:r w:rsidRPr="00BC4BBC">
              <w:rPr>
                <w:rStyle w:val="Subscript"/>
                <w:vertAlign w:val="baseline"/>
              </w:rPr>
              <w:lastRenderedPageBreak/>
              <w:t>Substitution factor</w:t>
            </w:r>
          </w:p>
        </w:tc>
        <w:tc>
          <w:tcPr>
            <w:tcW w:w="5528" w:type="dxa"/>
            <w:noWrap/>
            <w:hideMark/>
          </w:tcPr>
          <w:p w14:paraId="1AF19C2D" w14:textId="3E9AE610" w:rsidR="006C6244" w:rsidRPr="00BC4BBC" w:rsidRDefault="006C6244" w:rsidP="00E96665">
            <w:pPr>
              <w:pStyle w:val="Tabletext-Normal"/>
              <w:ind w:left="0"/>
              <w:rPr>
                <w:rStyle w:val="Subscript"/>
                <w:vertAlign w:val="baseline"/>
              </w:rPr>
            </w:pPr>
            <w:r w:rsidRPr="00BC4BBC">
              <w:rPr>
                <w:rStyle w:val="Subscript"/>
                <w:vertAlign w:val="baseline"/>
              </w:rPr>
              <w:t>Typically used to express the emissions that would be avoided if a wood-based product is used instead of a product made from another material providing the same function. Thus, a substitution factor of 1 would mean a reduction of 1 kg of carbon emissions for every 1 kg of wood used in place of non-wood materials. Substitution gains may be counterbalanced by a reduction in forest carbon stock and other leakage effects between regions and need to be further assessed and considered.</w:t>
            </w:r>
          </w:p>
        </w:tc>
        <w:tc>
          <w:tcPr>
            <w:tcW w:w="2574" w:type="dxa"/>
            <w:noWrap/>
            <w:hideMark/>
          </w:tcPr>
          <w:p w14:paraId="42012BE9" w14:textId="340426C3" w:rsidR="006C6244" w:rsidRPr="00BC4BBC" w:rsidRDefault="00BC4BBC" w:rsidP="00E96665">
            <w:pPr>
              <w:pStyle w:val="Tabletext-Normal"/>
              <w:ind w:left="0"/>
              <w:rPr>
                <w:rStyle w:val="Subscript"/>
                <w:vertAlign w:val="baseline"/>
              </w:rPr>
            </w:pPr>
            <w:hyperlink r:id="rId41" w:history="1">
              <w:r w:rsidRPr="00BC4BBC">
                <w:rPr>
                  <w:rStyle w:val="Hyperlink"/>
                </w:rPr>
                <w:t>https://openknowledge.fao.org/server/api/core/bitstreams/8f599970-661d-45f5-a598-2ea46ca1605f/content/src/html/glossary.html</w:t>
              </w:r>
            </w:hyperlink>
            <w:r w:rsidR="00D90A4A" w:rsidRPr="00BC4BBC">
              <w:rPr>
                <w:rStyle w:val="Subscript"/>
                <w:vertAlign w:val="baseline"/>
              </w:rPr>
              <w:t xml:space="preserve"> </w:t>
            </w:r>
          </w:p>
        </w:tc>
      </w:tr>
      <w:tr w:rsidR="006C6244" w:rsidRPr="006E1DAC" w14:paraId="4DCEA7C1" w14:textId="77777777" w:rsidTr="00554D4F">
        <w:trPr>
          <w:trHeight w:val="285"/>
        </w:trPr>
        <w:tc>
          <w:tcPr>
            <w:tcW w:w="1980" w:type="dxa"/>
            <w:noWrap/>
            <w:hideMark/>
          </w:tcPr>
          <w:p w14:paraId="56DC81FC" w14:textId="77777777" w:rsidR="006C6244" w:rsidRPr="00BC4BBC" w:rsidRDefault="006C6244" w:rsidP="00E96665">
            <w:pPr>
              <w:pStyle w:val="Tabletext-Normal"/>
              <w:ind w:left="0"/>
              <w:rPr>
                <w:rStyle w:val="Subscript"/>
                <w:vertAlign w:val="baseline"/>
              </w:rPr>
            </w:pPr>
            <w:r w:rsidRPr="00BC4BBC">
              <w:rPr>
                <w:rStyle w:val="Subscript"/>
                <w:vertAlign w:val="baseline"/>
              </w:rPr>
              <w:t>Trees outside forests</w:t>
            </w:r>
          </w:p>
        </w:tc>
        <w:tc>
          <w:tcPr>
            <w:tcW w:w="5528" w:type="dxa"/>
            <w:noWrap/>
            <w:hideMark/>
          </w:tcPr>
          <w:p w14:paraId="64738ED7" w14:textId="7AA6BC40" w:rsidR="006C6244" w:rsidRPr="00BC4BBC" w:rsidRDefault="006C6244" w:rsidP="00E96665">
            <w:pPr>
              <w:pStyle w:val="Tabletext-Normal"/>
              <w:ind w:left="0"/>
              <w:rPr>
                <w:rStyle w:val="Subscript"/>
                <w:vertAlign w:val="baseline"/>
              </w:rPr>
            </w:pPr>
            <w:r w:rsidRPr="00BC4BBC">
              <w:rPr>
                <w:rStyle w:val="Subscript"/>
                <w:vertAlign w:val="baseline"/>
              </w:rPr>
              <w:t>Trees growing in land uses not categorized as forest (e.g. other wooded land and other land with tree cover)</w:t>
            </w:r>
          </w:p>
        </w:tc>
        <w:tc>
          <w:tcPr>
            <w:tcW w:w="2574" w:type="dxa"/>
            <w:noWrap/>
            <w:hideMark/>
          </w:tcPr>
          <w:p w14:paraId="403BB655" w14:textId="00CF2AD0" w:rsidR="006C6244" w:rsidRPr="00BC4BBC" w:rsidRDefault="00BC4BBC" w:rsidP="00E96665">
            <w:pPr>
              <w:pStyle w:val="Tabletext-Normal"/>
              <w:ind w:left="0"/>
              <w:rPr>
                <w:rStyle w:val="Subscript"/>
                <w:vertAlign w:val="baseline"/>
              </w:rPr>
            </w:pPr>
            <w:hyperlink r:id="rId42" w:history="1">
              <w:r w:rsidRPr="00BC4BBC">
                <w:rPr>
                  <w:rStyle w:val="Hyperlink"/>
                </w:rPr>
                <w:t>https://openknowledge.fao.org/server/api/core/bitstreams/8f599970-661d-45f5-a598-2ea46ca1605f/content/src/html/glossary.html</w:t>
              </w:r>
            </w:hyperlink>
            <w:r w:rsidR="00D90A4A" w:rsidRPr="00BC4BBC">
              <w:rPr>
                <w:rStyle w:val="Subscript"/>
                <w:vertAlign w:val="baseline"/>
              </w:rPr>
              <w:t xml:space="preserve"> </w:t>
            </w:r>
          </w:p>
        </w:tc>
      </w:tr>
      <w:tr w:rsidR="006C6244" w:rsidRPr="006E1DAC" w14:paraId="091A5629" w14:textId="77777777" w:rsidTr="00554D4F">
        <w:trPr>
          <w:trHeight w:val="285"/>
        </w:trPr>
        <w:tc>
          <w:tcPr>
            <w:tcW w:w="1980" w:type="dxa"/>
            <w:noWrap/>
            <w:hideMark/>
          </w:tcPr>
          <w:p w14:paraId="0C067EE4" w14:textId="77777777" w:rsidR="006C6244" w:rsidRPr="00BC4BBC" w:rsidRDefault="006C6244" w:rsidP="00E96665">
            <w:pPr>
              <w:pStyle w:val="Tabletext-Normal"/>
              <w:ind w:left="0"/>
              <w:rPr>
                <w:rStyle w:val="Subscript"/>
                <w:vertAlign w:val="baseline"/>
              </w:rPr>
            </w:pPr>
            <w:r w:rsidRPr="00BC4BBC">
              <w:rPr>
                <w:rStyle w:val="Subscript"/>
                <w:vertAlign w:val="baseline"/>
              </w:rPr>
              <w:t>Emission Reduction (ER)</w:t>
            </w:r>
          </w:p>
        </w:tc>
        <w:tc>
          <w:tcPr>
            <w:tcW w:w="5528" w:type="dxa"/>
            <w:noWrap/>
            <w:hideMark/>
          </w:tcPr>
          <w:p w14:paraId="703EBA41" w14:textId="5112BCFB" w:rsidR="006C6244" w:rsidRPr="00BC4BBC" w:rsidRDefault="006C6244" w:rsidP="00E96665">
            <w:pPr>
              <w:pStyle w:val="Tabletext-Normal"/>
              <w:ind w:left="0"/>
              <w:rPr>
                <w:rStyle w:val="Subscript"/>
                <w:vertAlign w:val="baseline"/>
              </w:rPr>
            </w:pPr>
            <w:r w:rsidRPr="00BC4BBC">
              <w:rPr>
                <w:rStyle w:val="Subscript"/>
                <w:vertAlign w:val="baseline"/>
              </w:rPr>
              <w:t xml:space="preserve">Means one metric tonne of carbon dioxide equivalent reduced, avoided, removed or sequestered within the Accounting Area under the ER Program below the Reference Level, as measured, reported and </w:t>
            </w:r>
            <w:r w:rsidR="004606FB" w:rsidRPr="00BC4BBC">
              <w:rPr>
                <w:rStyle w:val="Subscript"/>
                <w:vertAlign w:val="baseline"/>
              </w:rPr>
              <w:t>verified</w:t>
            </w:r>
            <w:r w:rsidRPr="00BC4BBC">
              <w:rPr>
                <w:rStyle w:val="Subscript"/>
                <w:vertAlign w:val="baseline"/>
              </w:rPr>
              <w:t xml:space="preserve"> in accordance with the ER Monitoring Plan, the Methodological Framework and the Verification Guidelines.</w:t>
            </w:r>
          </w:p>
        </w:tc>
        <w:tc>
          <w:tcPr>
            <w:tcW w:w="2574" w:type="dxa"/>
            <w:noWrap/>
            <w:hideMark/>
          </w:tcPr>
          <w:p w14:paraId="317C501E" w14:textId="77777777" w:rsidR="006C6244" w:rsidRPr="00BC4BBC" w:rsidRDefault="006C6244" w:rsidP="00E96665">
            <w:pPr>
              <w:pStyle w:val="Tabletext-Normal"/>
              <w:ind w:left="0"/>
              <w:rPr>
                <w:rStyle w:val="Subscript"/>
                <w:vertAlign w:val="baseline"/>
              </w:rPr>
            </w:pPr>
            <w:r w:rsidRPr="00BC4BBC">
              <w:rPr>
                <w:rStyle w:val="Subscript"/>
                <w:vertAlign w:val="baseline"/>
              </w:rPr>
              <w:t>101. Forest Carbon Partnership, 2022, Glossary of Terms</w:t>
            </w:r>
          </w:p>
        </w:tc>
      </w:tr>
      <w:tr w:rsidR="006C6244" w:rsidRPr="006E1DAC" w14:paraId="7157387C" w14:textId="77777777" w:rsidTr="00554D4F">
        <w:trPr>
          <w:trHeight w:val="285"/>
        </w:trPr>
        <w:tc>
          <w:tcPr>
            <w:tcW w:w="1980" w:type="dxa"/>
            <w:noWrap/>
            <w:hideMark/>
          </w:tcPr>
          <w:p w14:paraId="52680C67" w14:textId="77777777" w:rsidR="006C6244" w:rsidRPr="00BC4BBC" w:rsidRDefault="006C6244" w:rsidP="00E96665">
            <w:pPr>
              <w:pStyle w:val="Tabletext-Normal"/>
              <w:ind w:left="0"/>
              <w:rPr>
                <w:rStyle w:val="Subscript"/>
                <w:vertAlign w:val="baseline"/>
              </w:rPr>
            </w:pPr>
            <w:r w:rsidRPr="00BC4BBC">
              <w:rPr>
                <w:rStyle w:val="Subscript"/>
                <w:vertAlign w:val="baseline"/>
              </w:rPr>
              <w:t>Emission Reductions Payment Agreement (ERPA)</w:t>
            </w:r>
          </w:p>
        </w:tc>
        <w:tc>
          <w:tcPr>
            <w:tcW w:w="5528" w:type="dxa"/>
            <w:noWrap/>
            <w:hideMark/>
          </w:tcPr>
          <w:p w14:paraId="7CB0BD61" w14:textId="77777777" w:rsidR="006C6244" w:rsidRPr="00BC4BBC" w:rsidRDefault="006C6244" w:rsidP="00E96665">
            <w:pPr>
              <w:pStyle w:val="Tabletext-Normal"/>
              <w:ind w:left="0"/>
              <w:rPr>
                <w:rStyle w:val="Subscript"/>
                <w:vertAlign w:val="baseline"/>
              </w:rPr>
            </w:pPr>
            <w:r w:rsidRPr="00BC4BBC">
              <w:rPr>
                <w:rStyle w:val="Subscript"/>
                <w:vertAlign w:val="baseline"/>
              </w:rPr>
              <w:t>The agreement governing the acquisition and transfer of Emission Reductions entered into between a buyer (e.g. the Trustee of the Carbon Fund) and a REDD Country Participant or an entity approved by a REDD Country Participant.</w:t>
            </w:r>
          </w:p>
        </w:tc>
        <w:tc>
          <w:tcPr>
            <w:tcW w:w="2574" w:type="dxa"/>
            <w:noWrap/>
            <w:hideMark/>
          </w:tcPr>
          <w:p w14:paraId="235E3D02" w14:textId="77777777" w:rsidR="006C6244" w:rsidRPr="00BC4BBC" w:rsidRDefault="006C6244" w:rsidP="00E96665">
            <w:pPr>
              <w:pStyle w:val="Tabletext-Normal"/>
              <w:ind w:left="0"/>
              <w:rPr>
                <w:rStyle w:val="Subscript"/>
                <w:vertAlign w:val="baseline"/>
              </w:rPr>
            </w:pPr>
            <w:r w:rsidRPr="00BC4BBC">
              <w:rPr>
                <w:rStyle w:val="Subscript"/>
                <w:vertAlign w:val="baseline"/>
              </w:rPr>
              <w:t>101. Forest Carbon Partnership, 2022, Glossary of Terms</w:t>
            </w:r>
          </w:p>
        </w:tc>
      </w:tr>
      <w:tr w:rsidR="006C6244" w:rsidRPr="006E1DAC" w14:paraId="7F495134" w14:textId="77777777" w:rsidTr="00554D4F">
        <w:trPr>
          <w:trHeight w:val="285"/>
        </w:trPr>
        <w:tc>
          <w:tcPr>
            <w:tcW w:w="1980" w:type="dxa"/>
            <w:noWrap/>
            <w:hideMark/>
          </w:tcPr>
          <w:p w14:paraId="3A1EE72E" w14:textId="77777777" w:rsidR="006C6244" w:rsidRPr="00BC4BBC" w:rsidRDefault="006C6244" w:rsidP="00E96665">
            <w:pPr>
              <w:pStyle w:val="Tabletext-Normal"/>
              <w:ind w:left="0"/>
              <w:rPr>
                <w:rStyle w:val="Subscript"/>
                <w:vertAlign w:val="baseline"/>
              </w:rPr>
            </w:pPr>
            <w:r w:rsidRPr="00BC4BBC">
              <w:rPr>
                <w:rStyle w:val="Subscript"/>
                <w:vertAlign w:val="baseline"/>
              </w:rPr>
              <w:t>Feedback and Grievance Redress Mechanism (FGRM)</w:t>
            </w:r>
          </w:p>
        </w:tc>
        <w:tc>
          <w:tcPr>
            <w:tcW w:w="5528" w:type="dxa"/>
            <w:noWrap/>
            <w:hideMark/>
          </w:tcPr>
          <w:p w14:paraId="4E97AC8C" w14:textId="77777777" w:rsidR="006C6244" w:rsidRPr="00BC4BBC" w:rsidRDefault="006C6244" w:rsidP="00E96665">
            <w:pPr>
              <w:pStyle w:val="Tabletext-Normal"/>
              <w:ind w:left="0"/>
              <w:rPr>
                <w:rStyle w:val="Subscript"/>
                <w:vertAlign w:val="baseline"/>
              </w:rPr>
            </w:pPr>
            <w:r w:rsidRPr="00BC4BBC">
              <w:rPr>
                <w:rStyle w:val="Subscript"/>
                <w:vertAlign w:val="baseline"/>
              </w:rPr>
              <w:t>A mechanism to accept, assess, and resolve stakeholder feedback or complaints related to the preparation and implementation of the ER Program</w:t>
            </w:r>
          </w:p>
        </w:tc>
        <w:tc>
          <w:tcPr>
            <w:tcW w:w="2574" w:type="dxa"/>
            <w:noWrap/>
            <w:hideMark/>
          </w:tcPr>
          <w:p w14:paraId="2BC352B9" w14:textId="77777777" w:rsidR="006C6244" w:rsidRPr="00BC4BBC" w:rsidRDefault="006C6244" w:rsidP="00E96665">
            <w:pPr>
              <w:pStyle w:val="Tabletext-Normal"/>
              <w:ind w:left="0"/>
              <w:rPr>
                <w:rStyle w:val="Subscript"/>
                <w:vertAlign w:val="baseline"/>
              </w:rPr>
            </w:pPr>
            <w:r w:rsidRPr="00BC4BBC">
              <w:rPr>
                <w:rStyle w:val="Subscript"/>
                <w:vertAlign w:val="baseline"/>
              </w:rPr>
              <w:t>101. Forest Carbon Partnership, 2022, Glossary of Terms</w:t>
            </w:r>
          </w:p>
        </w:tc>
      </w:tr>
      <w:tr w:rsidR="006C6244" w:rsidRPr="006E1DAC" w14:paraId="3FE42D32" w14:textId="77777777" w:rsidTr="00554D4F">
        <w:trPr>
          <w:trHeight w:val="285"/>
        </w:trPr>
        <w:tc>
          <w:tcPr>
            <w:tcW w:w="1980" w:type="dxa"/>
            <w:noWrap/>
            <w:hideMark/>
          </w:tcPr>
          <w:p w14:paraId="3ABD3B77" w14:textId="77777777" w:rsidR="006C6244" w:rsidRPr="00BC4BBC" w:rsidRDefault="006C6244" w:rsidP="00E96665">
            <w:pPr>
              <w:pStyle w:val="Tabletext-Normal"/>
              <w:ind w:left="0"/>
              <w:rPr>
                <w:rStyle w:val="Subscript"/>
                <w:vertAlign w:val="baseline"/>
              </w:rPr>
            </w:pPr>
            <w:r w:rsidRPr="00BC4BBC">
              <w:rPr>
                <w:rStyle w:val="Subscript"/>
                <w:vertAlign w:val="baseline"/>
              </w:rPr>
              <w:lastRenderedPageBreak/>
              <w:t>Forest</w:t>
            </w:r>
          </w:p>
        </w:tc>
        <w:tc>
          <w:tcPr>
            <w:tcW w:w="5528" w:type="dxa"/>
            <w:noWrap/>
            <w:hideMark/>
          </w:tcPr>
          <w:p w14:paraId="089F1C93" w14:textId="5144774E" w:rsidR="006C6244" w:rsidRPr="00BC4BBC" w:rsidRDefault="006C6244" w:rsidP="00E96665">
            <w:pPr>
              <w:pStyle w:val="Tabletext-Normal"/>
              <w:rPr>
                <w:rStyle w:val="Subscript"/>
                <w:vertAlign w:val="baseline"/>
              </w:rPr>
            </w:pPr>
            <w:r w:rsidRPr="00BC4BBC">
              <w:rPr>
                <w:rStyle w:val="Subscript"/>
                <w:vertAlign w:val="baseline"/>
              </w:rPr>
              <w:t>Land spanning more than 0. 5 hectares with trees higher than 5 metres and a canopy cover of more than 10 percent, or trees able to reach these thresholds in situ.  It does not include land that is predominantly under agricultural or urban land use.</w:t>
            </w:r>
          </w:p>
        </w:tc>
        <w:tc>
          <w:tcPr>
            <w:tcW w:w="2574" w:type="dxa"/>
            <w:noWrap/>
            <w:hideMark/>
          </w:tcPr>
          <w:p w14:paraId="5B17ECCC" w14:textId="78F420D9" w:rsidR="006C6244" w:rsidRPr="00BC4BBC" w:rsidRDefault="00BC4BBC" w:rsidP="00E96665">
            <w:pPr>
              <w:pStyle w:val="Tabletext-Normal"/>
              <w:ind w:left="0"/>
              <w:rPr>
                <w:rStyle w:val="Subscript"/>
                <w:vertAlign w:val="baseline"/>
              </w:rPr>
            </w:pPr>
            <w:hyperlink r:id="rId43" w:history="1">
              <w:r w:rsidRPr="00BC4BBC">
                <w:rPr>
                  <w:rStyle w:val="Hyperlink"/>
                </w:rPr>
                <w:t>https://openknowledge.fao.org/server/api/core/bitstreams/8f599970-661d-45f5-a598-2ea46ca1605f/content/src/html/glossary.html</w:t>
              </w:r>
            </w:hyperlink>
            <w:r w:rsidR="00D90A4A" w:rsidRPr="00BC4BBC">
              <w:rPr>
                <w:rStyle w:val="Subscript"/>
                <w:vertAlign w:val="baseline"/>
              </w:rPr>
              <w:t xml:space="preserve"> </w:t>
            </w:r>
          </w:p>
        </w:tc>
      </w:tr>
      <w:tr w:rsidR="006C6244" w:rsidRPr="006E1DAC" w14:paraId="258694EB" w14:textId="77777777" w:rsidTr="00554D4F">
        <w:trPr>
          <w:trHeight w:val="285"/>
        </w:trPr>
        <w:tc>
          <w:tcPr>
            <w:tcW w:w="1980" w:type="dxa"/>
            <w:noWrap/>
            <w:hideMark/>
          </w:tcPr>
          <w:p w14:paraId="2FA69DE6" w14:textId="77777777" w:rsidR="006C6244" w:rsidRPr="00BC4BBC" w:rsidRDefault="006C6244" w:rsidP="00E96665">
            <w:pPr>
              <w:pStyle w:val="Tabletext-Normal"/>
              <w:ind w:left="0"/>
              <w:rPr>
                <w:rStyle w:val="Subscript"/>
                <w:vertAlign w:val="baseline"/>
              </w:rPr>
            </w:pPr>
            <w:r w:rsidRPr="00BC4BBC">
              <w:rPr>
                <w:rStyle w:val="Subscript"/>
                <w:vertAlign w:val="baseline"/>
              </w:rPr>
              <w:t>Host jurisdiction</w:t>
            </w:r>
          </w:p>
        </w:tc>
        <w:tc>
          <w:tcPr>
            <w:tcW w:w="5528" w:type="dxa"/>
            <w:noWrap/>
            <w:hideMark/>
          </w:tcPr>
          <w:p w14:paraId="26044604" w14:textId="77777777" w:rsidR="006C6244" w:rsidRPr="00BC4BBC" w:rsidRDefault="006C6244" w:rsidP="00E96665">
            <w:pPr>
              <w:pStyle w:val="Tabletext-Normal"/>
              <w:ind w:left="0"/>
              <w:rPr>
                <w:rStyle w:val="Subscript"/>
                <w:vertAlign w:val="baseline"/>
              </w:rPr>
            </w:pPr>
            <w:r w:rsidRPr="00BC4BBC">
              <w:rPr>
                <w:rStyle w:val="Subscript"/>
                <w:vertAlign w:val="baseline"/>
              </w:rPr>
              <w:t>A national or sub-national tropical forest region participating in the LEAF programme, responsible for implementing policies and actions to reduce deforestation and generate carbon credits.</w:t>
            </w:r>
          </w:p>
        </w:tc>
        <w:tc>
          <w:tcPr>
            <w:tcW w:w="2574" w:type="dxa"/>
            <w:noWrap/>
            <w:hideMark/>
          </w:tcPr>
          <w:p w14:paraId="0CFEC98B" w14:textId="77777777" w:rsidR="006C6244" w:rsidRPr="00BC4BBC" w:rsidRDefault="006C6244" w:rsidP="00E96665">
            <w:pPr>
              <w:pStyle w:val="Tabletext-Normal"/>
              <w:ind w:left="0"/>
              <w:rPr>
                <w:rStyle w:val="Subscript"/>
                <w:vertAlign w:val="baseline"/>
              </w:rPr>
            </w:pPr>
            <w:r w:rsidRPr="00BC4BBC">
              <w:rPr>
                <w:rStyle w:val="Subscript"/>
                <w:vertAlign w:val="baseline"/>
              </w:rPr>
              <w:t>88. DESNZ, 2023, Invitation to tender LEAF TA Delivery Partner</w:t>
            </w:r>
          </w:p>
        </w:tc>
      </w:tr>
      <w:tr w:rsidR="006C6244" w:rsidRPr="006E1DAC" w14:paraId="181EC219" w14:textId="77777777" w:rsidTr="00554D4F">
        <w:trPr>
          <w:trHeight w:val="285"/>
        </w:trPr>
        <w:tc>
          <w:tcPr>
            <w:tcW w:w="1980" w:type="dxa"/>
            <w:noWrap/>
            <w:hideMark/>
          </w:tcPr>
          <w:p w14:paraId="370BB06C" w14:textId="77777777" w:rsidR="006C6244" w:rsidRPr="00BC4BBC" w:rsidRDefault="006C6244" w:rsidP="00E96665">
            <w:pPr>
              <w:pStyle w:val="Tabletext-Normal"/>
              <w:ind w:left="0"/>
              <w:rPr>
                <w:rStyle w:val="Subscript"/>
                <w:vertAlign w:val="baseline"/>
              </w:rPr>
            </w:pPr>
            <w:r w:rsidRPr="00BC4BBC">
              <w:rPr>
                <w:rStyle w:val="Subscript"/>
                <w:vertAlign w:val="baseline"/>
              </w:rPr>
              <w:t>IPLC</w:t>
            </w:r>
          </w:p>
        </w:tc>
        <w:tc>
          <w:tcPr>
            <w:tcW w:w="5528" w:type="dxa"/>
            <w:noWrap/>
            <w:hideMark/>
          </w:tcPr>
          <w:p w14:paraId="567BE9C9" w14:textId="77777777" w:rsidR="006C6244" w:rsidRPr="00BC4BBC" w:rsidRDefault="006C6244" w:rsidP="00E96665">
            <w:pPr>
              <w:pStyle w:val="Tabletext-Normal"/>
              <w:ind w:left="0"/>
              <w:rPr>
                <w:rStyle w:val="Subscript"/>
                <w:vertAlign w:val="baseline"/>
              </w:rPr>
            </w:pPr>
            <w:r w:rsidRPr="00BC4BBC">
              <w:rPr>
                <w:rStyle w:val="Subscript"/>
                <w:vertAlign w:val="baseline"/>
              </w:rPr>
              <w:t>Communities with traditional ties to forests and natural resources, playing a key role in conservation and sustainable land management. LEAF emphasizes their rights, participation, and benefit-sharing in climate finance initiatives.</w:t>
            </w:r>
          </w:p>
        </w:tc>
        <w:tc>
          <w:tcPr>
            <w:tcW w:w="2574" w:type="dxa"/>
            <w:noWrap/>
            <w:hideMark/>
          </w:tcPr>
          <w:p w14:paraId="6AC4B9F4" w14:textId="77777777" w:rsidR="006C6244" w:rsidRPr="00BC4BBC" w:rsidRDefault="006C6244" w:rsidP="00E96665">
            <w:pPr>
              <w:pStyle w:val="Tabletext-Normal"/>
              <w:ind w:left="0"/>
              <w:rPr>
                <w:rStyle w:val="Subscript"/>
                <w:vertAlign w:val="baseline"/>
              </w:rPr>
            </w:pPr>
            <w:r w:rsidRPr="00BC4BBC">
              <w:rPr>
                <w:rStyle w:val="Subscript"/>
                <w:vertAlign w:val="baseline"/>
              </w:rPr>
              <w:t>88. DESNZ, 2023, Invitation to tender LEAF TA Delivery Partner</w:t>
            </w:r>
          </w:p>
        </w:tc>
      </w:tr>
      <w:tr w:rsidR="006C6244" w:rsidRPr="006E1DAC" w14:paraId="51EFFBCB" w14:textId="77777777" w:rsidTr="00554D4F">
        <w:trPr>
          <w:trHeight w:val="285"/>
        </w:trPr>
        <w:tc>
          <w:tcPr>
            <w:tcW w:w="1980" w:type="dxa"/>
            <w:noWrap/>
            <w:hideMark/>
          </w:tcPr>
          <w:p w14:paraId="6F0907AE" w14:textId="300A7976" w:rsidR="006C6244" w:rsidRPr="00BC4BBC" w:rsidRDefault="006C6244" w:rsidP="00E96665">
            <w:pPr>
              <w:pStyle w:val="Tabletext-Normal"/>
              <w:ind w:left="0"/>
              <w:rPr>
                <w:rStyle w:val="Subscript"/>
                <w:vertAlign w:val="baseline"/>
              </w:rPr>
            </w:pPr>
            <w:r w:rsidRPr="00BC4BBC">
              <w:rPr>
                <w:rStyle w:val="Subscript"/>
                <w:vertAlign w:val="baseline"/>
              </w:rPr>
              <w:t xml:space="preserve">Monetary and </w:t>
            </w:r>
            <w:r w:rsidR="006124EC" w:rsidRPr="00BC4BBC">
              <w:rPr>
                <w:rStyle w:val="Subscript"/>
                <w:vertAlign w:val="baseline"/>
              </w:rPr>
              <w:t>Non-Monetary</w:t>
            </w:r>
            <w:r w:rsidRPr="00BC4BBC">
              <w:rPr>
                <w:rStyle w:val="Subscript"/>
                <w:vertAlign w:val="baseline"/>
              </w:rPr>
              <w:t xml:space="preserve"> Benefits</w:t>
            </w:r>
          </w:p>
        </w:tc>
        <w:tc>
          <w:tcPr>
            <w:tcW w:w="5528" w:type="dxa"/>
            <w:noWrap/>
            <w:hideMark/>
          </w:tcPr>
          <w:p w14:paraId="48788CCE" w14:textId="77777777" w:rsidR="006C6244" w:rsidRPr="00BC4BBC" w:rsidRDefault="006C6244" w:rsidP="00E96665">
            <w:pPr>
              <w:pStyle w:val="Tabletext-Normal"/>
              <w:ind w:left="0"/>
              <w:rPr>
                <w:rStyle w:val="Subscript"/>
                <w:vertAlign w:val="baseline"/>
              </w:rPr>
            </w:pPr>
            <w:r w:rsidRPr="00BC4BBC">
              <w:rPr>
                <w:rStyle w:val="Subscript"/>
                <w:vertAlign w:val="baseline"/>
              </w:rPr>
              <w:t>Any (1) monetary or non-monetary goods, services or other benefits related to payments received under an ERPA by the ER Program Entity, or funded with such received payments, and (2) other monetary or non-monetary benefits which (i) are</w:t>
            </w:r>
            <w:r w:rsidRPr="00BC4BBC">
              <w:rPr>
                <w:rStyle w:val="Subscript"/>
                <w:vertAlign w:val="baseline"/>
              </w:rPr>
              <w:br/>
              <w:t>directly related to the implementation and operation of the ER Program, (ii) provide a direct incentive to Beneficiaries to help implement the ER Program, and (iii) can be monitored in an objective manner. Such Benefits shall be specified in the ER Program Document, the Benefit-Sharing Plan and, as relevant, the Safeguards Plans</w:t>
            </w:r>
          </w:p>
        </w:tc>
        <w:tc>
          <w:tcPr>
            <w:tcW w:w="2574" w:type="dxa"/>
            <w:noWrap/>
            <w:hideMark/>
          </w:tcPr>
          <w:p w14:paraId="53BE9892" w14:textId="77777777" w:rsidR="006C6244" w:rsidRPr="00BC4BBC" w:rsidRDefault="006C6244" w:rsidP="00E96665">
            <w:pPr>
              <w:pStyle w:val="Tabletext-Normal"/>
              <w:ind w:left="0"/>
              <w:rPr>
                <w:rStyle w:val="Subscript"/>
                <w:vertAlign w:val="baseline"/>
              </w:rPr>
            </w:pPr>
            <w:r w:rsidRPr="00BC4BBC">
              <w:rPr>
                <w:rStyle w:val="Subscript"/>
                <w:vertAlign w:val="baseline"/>
              </w:rPr>
              <w:t>101. Forest Carbon Partnership, 2022, Glossary of Terms</w:t>
            </w:r>
          </w:p>
        </w:tc>
      </w:tr>
      <w:tr w:rsidR="006C6244" w:rsidRPr="006E1DAC" w14:paraId="09563C4E" w14:textId="77777777" w:rsidTr="00554D4F">
        <w:trPr>
          <w:trHeight w:val="285"/>
        </w:trPr>
        <w:tc>
          <w:tcPr>
            <w:tcW w:w="1980" w:type="dxa"/>
            <w:noWrap/>
            <w:hideMark/>
          </w:tcPr>
          <w:p w14:paraId="7E9B8404" w14:textId="77777777" w:rsidR="006C6244" w:rsidRPr="00BC4BBC" w:rsidRDefault="006C6244" w:rsidP="00E96665">
            <w:pPr>
              <w:pStyle w:val="Tabletext-Normal"/>
              <w:ind w:left="0"/>
              <w:rPr>
                <w:rStyle w:val="Subscript"/>
                <w:vertAlign w:val="baseline"/>
              </w:rPr>
            </w:pPr>
            <w:r w:rsidRPr="00BC4BBC">
              <w:rPr>
                <w:rStyle w:val="Subscript"/>
                <w:vertAlign w:val="baseline"/>
              </w:rPr>
              <w:lastRenderedPageBreak/>
              <w:t>Non-Carbon Benefits</w:t>
            </w:r>
          </w:p>
        </w:tc>
        <w:tc>
          <w:tcPr>
            <w:tcW w:w="5528" w:type="dxa"/>
            <w:noWrap/>
            <w:hideMark/>
          </w:tcPr>
          <w:p w14:paraId="2F249586" w14:textId="77777777" w:rsidR="006C6244" w:rsidRPr="00BC4BBC" w:rsidRDefault="006C6244" w:rsidP="00E96665">
            <w:pPr>
              <w:pStyle w:val="Tabletext-Normal"/>
              <w:ind w:left="0"/>
              <w:rPr>
                <w:rStyle w:val="Subscript"/>
                <w:vertAlign w:val="baseline"/>
              </w:rPr>
            </w:pPr>
            <w:r w:rsidRPr="00BC4BBC">
              <w:rPr>
                <w:rStyle w:val="Subscript"/>
                <w:vertAlign w:val="baseline"/>
              </w:rPr>
              <w:t>Any benefits produced by or in relation to the implementation and operation of the ER Program, other than ERs and Monetary and Non-Monetary Benefits, as specified in the ER Program Document, and, as relevant, any Safeguards Plans. Such Non-Carbon Benefits may include, but not be limited to, the improvement of local livelihoods, building of transparent and effective forest governance structures, making progress on securing land tenure, and enhancing or maintaining biodiversity and/or other ecosystem services.</w:t>
            </w:r>
          </w:p>
        </w:tc>
        <w:tc>
          <w:tcPr>
            <w:tcW w:w="2574" w:type="dxa"/>
            <w:noWrap/>
            <w:hideMark/>
          </w:tcPr>
          <w:p w14:paraId="29890A20" w14:textId="77777777" w:rsidR="006C6244" w:rsidRPr="00BC4BBC" w:rsidRDefault="006C6244" w:rsidP="00E96665">
            <w:pPr>
              <w:pStyle w:val="Tabletext-Normal"/>
              <w:ind w:left="0"/>
              <w:rPr>
                <w:rStyle w:val="Subscript"/>
                <w:vertAlign w:val="baseline"/>
              </w:rPr>
            </w:pPr>
            <w:r w:rsidRPr="00BC4BBC">
              <w:rPr>
                <w:rStyle w:val="Subscript"/>
                <w:vertAlign w:val="baseline"/>
              </w:rPr>
              <w:t>101. Forest Carbon Partnership, 2022, Glossary of Terms</w:t>
            </w:r>
          </w:p>
        </w:tc>
      </w:tr>
      <w:tr w:rsidR="006C6244" w:rsidRPr="006E1DAC" w14:paraId="6D482DDE" w14:textId="77777777" w:rsidTr="00554D4F">
        <w:trPr>
          <w:trHeight w:val="285"/>
        </w:trPr>
        <w:tc>
          <w:tcPr>
            <w:tcW w:w="1980" w:type="dxa"/>
            <w:noWrap/>
            <w:hideMark/>
          </w:tcPr>
          <w:p w14:paraId="4C54252C" w14:textId="77777777" w:rsidR="006C6244" w:rsidRPr="00BC4BBC" w:rsidRDefault="006C6244" w:rsidP="00E96665">
            <w:pPr>
              <w:pStyle w:val="Tabletext-Normal"/>
              <w:ind w:left="0"/>
              <w:rPr>
                <w:rStyle w:val="Subscript"/>
                <w:vertAlign w:val="baseline"/>
              </w:rPr>
            </w:pPr>
            <w:r w:rsidRPr="00BC4BBC">
              <w:rPr>
                <w:rStyle w:val="Subscript"/>
                <w:vertAlign w:val="baseline"/>
              </w:rPr>
              <w:t>RBP</w:t>
            </w:r>
          </w:p>
        </w:tc>
        <w:tc>
          <w:tcPr>
            <w:tcW w:w="5528" w:type="dxa"/>
            <w:noWrap/>
            <w:hideMark/>
          </w:tcPr>
          <w:p w14:paraId="5322E299" w14:textId="77777777" w:rsidR="006C6244" w:rsidRPr="00BC4BBC" w:rsidRDefault="006C6244" w:rsidP="00E96665">
            <w:pPr>
              <w:pStyle w:val="Tabletext-Normal"/>
              <w:ind w:left="0"/>
              <w:rPr>
                <w:rStyle w:val="Subscript"/>
                <w:vertAlign w:val="baseline"/>
              </w:rPr>
            </w:pPr>
            <w:r w:rsidRPr="00BC4BBC">
              <w:rPr>
                <w:rStyle w:val="Subscript"/>
                <w:vertAlign w:val="baseline"/>
              </w:rPr>
              <w:t>A financing mechanism where payments are made based on verified achievements of predefined environmental or climate-related outcomes, such as reducing deforestation and emissions.</w:t>
            </w:r>
          </w:p>
        </w:tc>
        <w:tc>
          <w:tcPr>
            <w:tcW w:w="2574" w:type="dxa"/>
            <w:noWrap/>
            <w:hideMark/>
          </w:tcPr>
          <w:p w14:paraId="7C5BEAB5" w14:textId="77777777" w:rsidR="006C6244" w:rsidRPr="00BC4BBC" w:rsidRDefault="006C6244" w:rsidP="00E96665">
            <w:pPr>
              <w:pStyle w:val="Tabletext-Normal"/>
              <w:ind w:left="0"/>
              <w:rPr>
                <w:rStyle w:val="Subscript"/>
                <w:vertAlign w:val="baseline"/>
              </w:rPr>
            </w:pPr>
            <w:r w:rsidRPr="00BC4BBC">
              <w:rPr>
                <w:rStyle w:val="Subscript"/>
                <w:vertAlign w:val="baseline"/>
              </w:rPr>
              <w:t>88. DESNZ, 2023, Invitation to tender LEAF TA Delivery Partner</w:t>
            </w:r>
          </w:p>
        </w:tc>
      </w:tr>
      <w:tr w:rsidR="006C6244" w:rsidRPr="006E1DAC" w14:paraId="21C668B0" w14:textId="77777777" w:rsidTr="00554D4F">
        <w:trPr>
          <w:trHeight w:val="285"/>
        </w:trPr>
        <w:tc>
          <w:tcPr>
            <w:tcW w:w="1980" w:type="dxa"/>
            <w:noWrap/>
            <w:hideMark/>
          </w:tcPr>
          <w:p w14:paraId="05149144" w14:textId="77777777" w:rsidR="006C6244" w:rsidRPr="00BC4BBC" w:rsidRDefault="006C6244" w:rsidP="00E96665">
            <w:pPr>
              <w:pStyle w:val="Tabletext-Normal"/>
              <w:ind w:left="0"/>
              <w:rPr>
                <w:rStyle w:val="Subscript"/>
                <w:vertAlign w:val="baseline"/>
              </w:rPr>
            </w:pPr>
            <w:r w:rsidRPr="00BC4BBC">
              <w:rPr>
                <w:rStyle w:val="Subscript"/>
                <w:vertAlign w:val="baseline"/>
              </w:rPr>
              <w:t xml:space="preserve">REDD+ </w:t>
            </w:r>
          </w:p>
        </w:tc>
        <w:tc>
          <w:tcPr>
            <w:tcW w:w="5528" w:type="dxa"/>
            <w:noWrap/>
            <w:hideMark/>
          </w:tcPr>
          <w:p w14:paraId="01159BAC" w14:textId="77777777" w:rsidR="006C6244" w:rsidRPr="00BC4BBC" w:rsidRDefault="006C6244" w:rsidP="00E96665">
            <w:pPr>
              <w:pStyle w:val="Tabletext-Normal"/>
              <w:ind w:left="0"/>
              <w:rPr>
                <w:rStyle w:val="Subscript"/>
                <w:vertAlign w:val="baseline"/>
              </w:rPr>
            </w:pPr>
            <w:r w:rsidRPr="00BC4BBC">
              <w:rPr>
                <w:rStyle w:val="Subscript"/>
                <w:vertAlign w:val="baseline"/>
              </w:rPr>
              <w:t>Means REDD plus, i.e. reducing emissions from deforestation and forest degradation, and the role of conservation, sustainable management of forests and enhancement of forest carbon stocks, as may be modified to be consistent with the UNFCCC Guidance on REDD.</w:t>
            </w:r>
          </w:p>
        </w:tc>
        <w:tc>
          <w:tcPr>
            <w:tcW w:w="2574" w:type="dxa"/>
            <w:noWrap/>
            <w:hideMark/>
          </w:tcPr>
          <w:p w14:paraId="3501D147" w14:textId="77777777" w:rsidR="006C6244" w:rsidRPr="00BC4BBC" w:rsidRDefault="006C6244" w:rsidP="00E96665">
            <w:pPr>
              <w:pStyle w:val="Tabletext-Normal"/>
              <w:ind w:left="0"/>
              <w:rPr>
                <w:rStyle w:val="Subscript"/>
                <w:vertAlign w:val="baseline"/>
              </w:rPr>
            </w:pPr>
            <w:r w:rsidRPr="00BC4BBC">
              <w:rPr>
                <w:rStyle w:val="Subscript"/>
                <w:vertAlign w:val="baseline"/>
              </w:rPr>
              <w:t>101. Forest Carbon Partnership, 2022, Glossary of Terms</w:t>
            </w:r>
          </w:p>
        </w:tc>
      </w:tr>
      <w:tr w:rsidR="006C6244" w:rsidRPr="006E1DAC" w14:paraId="6B66326B" w14:textId="77777777" w:rsidTr="00554D4F">
        <w:trPr>
          <w:trHeight w:val="285"/>
        </w:trPr>
        <w:tc>
          <w:tcPr>
            <w:tcW w:w="1980" w:type="dxa"/>
            <w:noWrap/>
            <w:hideMark/>
          </w:tcPr>
          <w:p w14:paraId="53AAE963" w14:textId="77777777" w:rsidR="006C6244" w:rsidRPr="00BC4BBC" w:rsidRDefault="006C6244" w:rsidP="00E96665">
            <w:pPr>
              <w:pStyle w:val="Tabletext-Normal"/>
              <w:ind w:left="0"/>
              <w:rPr>
                <w:rStyle w:val="Subscript"/>
                <w:vertAlign w:val="baseline"/>
              </w:rPr>
            </w:pPr>
            <w:r w:rsidRPr="00BC4BBC">
              <w:rPr>
                <w:rStyle w:val="Subscript"/>
                <w:vertAlign w:val="baseline"/>
              </w:rPr>
              <w:t>Reforestation</w:t>
            </w:r>
          </w:p>
        </w:tc>
        <w:tc>
          <w:tcPr>
            <w:tcW w:w="5528" w:type="dxa"/>
            <w:noWrap/>
            <w:hideMark/>
          </w:tcPr>
          <w:p w14:paraId="5EC85B0F" w14:textId="77777777" w:rsidR="006C6244" w:rsidRPr="00BC4BBC" w:rsidRDefault="006C6244" w:rsidP="00E96665">
            <w:pPr>
              <w:pStyle w:val="Tabletext-Normal"/>
              <w:ind w:left="0"/>
              <w:rPr>
                <w:rStyle w:val="Subscript"/>
                <w:vertAlign w:val="baseline"/>
              </w:rPr>
            </w:pPr>
            <w:r w:rsidRPr="00BC4BBC">
              <w:rPr>
                <w:rStyle w:val="Subscript"/>
                <w:vertAlign w:val="baseline"/>
              </w:rPr>
              <w:t>Planting of forests on lands that have previously contained forests but that have been converted to some other use.</w:t>
            </w:r>
          </w:p>
        </w:tc>
        <w:tc>
          <w:tcPr>
            <w:tcW w:w="2574" w:type="dxa"/>
            <w:noWrap/>
            <w:hideMark/>
          </w:tcPr>
          <w:p w14:paraId="475A39BF" w14:textId="1D3E0EBB" w:rsidR="006C6244" w:rsidRPr="00BC4BBC" w:rsidRDefault="00E96665" w:rsidP="00E96665">
            <w:pPr>
              <w:pStyle w:val="Tabletext-Normal"/>
              <w:ind w:left="0"/>
              <w:rPr>
                <w:rStyle w:val="Subscript"/>
                <w:vertAlign w:val="baseline"/>
              </w:rPr>
            </w:pPr>
            <w:hyperlink r:id="rId44" w:history="1">
              <w:r w:rsidRPr="00E96665">
                <w:rPr>
                  <w:rStyle w:val="Hyperlink"/>
                </w:rPr>
                <w:t>https://www.ipcc.ch/site/assets/uploads/2018/03/wg2TARannexB.pdf</w:t>
              </w:r>
            </w:hyperlink>
            <w:r w:rsidR="00D90A4A" w:rsidRPr="00BC4BBC">
              <w:rPr>
                <w:rStyle w:val="Subscript"/>
                <w:vertAlign w:val="baseline"/>
              </w:rPr>
              <w:t xml:space="preserve"> </w:t>
            </w:r>
          </w:p>
        </w:tc>
      </w:tr>
      <w:tr w:rsidR="006C6244" w:rsidRPr="006E1DAC" w14:paraId="0F55527F" w14:textId="77777777" w:rsidTr="00554D4F">
        <w:trPr>
          <w:trHeight w:val="285"/>
        </w:trPr>
        <w:tc>
          <w:tcPr>
            <w:tcW w:w="1980" w:type="dxa"/>
            <w:noWrap/>
            <w:hideMark/>
          </w:tcPr>
          <w:p w14:paraId="4AA93180" w14:textId="77777777" w:rsidR="006C6244" w:rsidRPr="00BC4BBC" w:rsidRDefault="006C6244" w:rsidP="00E96665">
            <w:pPr>
              <w:pStyle w:val="Tabletext-Normal"/>
              <w:ind w:left="0"/>
              <w:rPr>
                <w:rStyle w:val="Subscript"/>
                <w:vertAlign w:val="baseline"/>
              </w:rPr>
            </w:pPr>
            <w:r w:rsidRPr="00BC4BBC">
              <w:rPr>
                <w:rStyle w:val="Subscript"/>
                <w:vertAlign w:val="baseline"/>
              </w:rPr>
              <w:t>Safeguards Information System (SIS)</w:t>
            </w:r>
          </w:p>
        </w:tc>
        <w:tc>
          <w:tcPr>
            <w:tcW w:w="5528" w:type="dxa"/>
            <w:noWrap/>
            <w:hideMark/>
          </w:tcPr>
          <w:p w14:paraId="57DCD470" w14:textId="77777777" w:rsidR="006C6244" w:rsidRPr="00BC4BBC" w:rsidRDefault="006C6244" w:rsidP="00E96665">
            <w:pPr>
              <w:pStyle w:val="Tabletext-Normal"/>
              <w:ind w:left="0"/>
              <w:rPr>
                <w:rStyle w:val="Subscript"/>
                <w:vertAlign w:val="baseline"/>
              </w:rPr>
            </w:pPr>
            <w:r w:rsidRPr="00BC4BBC">
              <w:rPr>
                <w:rStyle w:val="Subscript"/>
                <w:vertAlign w:val="baseline"/>
              </w:rPr>
              <w:t>A national system for providing information on how the Cancun safeguards are addressed and respected, as contained in UNFCCC Decision 12/CP.17 (http://unfccc.int/resource/docs/2011/cop17/eng/09a02.pdf#page=16, page 16/17).</w:t>
            </w:r>
          </w:p>
        </w:tc>
        <w:tc>
          <w:tcPr>
            <w:tcW w:w="2574" w:type="dxa"/>
            <w:noWrap/>
            <w:hideMark/>
          </w:tcPr>
          <w:p w14:paraId="4DCEBDD4" w14:textId="77777777" w:rsidR="006C6244" w:rsidRPr="00BC4BBC" w:rsidRDefault="006C6244" w:rsidP="00E96665">
            <w:pPr>
              <w:pStyle w:val="Tabletext-Normal"/>
              <w:ind w:left="0"/>
              <w:rPr>
                <w:rStyle w:val="Subscript"/>
                <w:vertAlign w:val="baseline"/>
              </w:rPr>
            </w:pPr>
            <w:r w:rsidRPr="00BC4BBC">
              <w:rPr>
                <w:rStyle w:val="Subscript"/>
                <w:vertAlign w:val="baseline"/>
              </w:rPr>
              <w:t>101. Forest Carbon Partnership, 2022, Glossary of Terms</w:t>
            </w:r>
          </w:p>
        </w:tc>
      </w:tr>
      <w:tr w:rsidR="006C6244" w:rsidRPr="006E1DAC" w14:paraId="12F48BE4" w14:textId="77777777" w:rsidTr="00554D4F">
        <w:trPr>
          <w:trHeight w:val="285"/>
        </w:trPr>
        <w:tc>
          <w:tcPr>
            <w:tcW w:w="1980" w:type="dxa"/>
            <w:noWrap/>
            <w:hideMark/>
          </w:tcPr>
          <w:p w14:paraId="574A9BDD" w14:textId="77777777" w:rsidR="006C6244" w:rsidRPr="00BC4BBC" w:rsidRDefault="006C6244" w:rsidP="00E96665">
            <w:pPr>
              <w:pStyle w:val="Tabletext-Normal"/>
              <w:ind w:left="0"/>
              <w:rPr>
                <w:rStyle w:val="Subscript"/>
                <w:vertAlign w:val="baseline"/>
              </w:rPr>
            </w:pPr>
            <w:r w:rsidRPr="00BC4BBC">
              <w:rPr>
                <w:rStyle w:val="Subscript"/>
                <w:vertAlign w:val="baseline"/>
              </w:rPr>
              <w:lastRenderedPageBreak/>
              <w:t>Safeguards Plan</w:t>
            </w:r>
          </w:p>
        </w:tc>
        <w:tc>
          <w:tcPr>
            <w:tcW w:w="5528" w:type="dxa"/>
            <w:noWrap/>
            <w:hideMark/>
          </w:tcPr>
          <w:p w14:paraId="644A634C" w14:textId="77777777" w:rsidR="006C6244" w:rsidRPr="00BC4BBC" w:rsidRDefault="006C6244" w:rsidP="00E96665">
            <w:pPr>
              <w:pStyle w:val="Tabletext-Normal"/>
              <w:ind w:left="0"/>
              <w:rPr>
                <w:rStyle w:val="Subscript"/>
                <w:vertAlign w:val="baseline"/>
              </w:rPr>
            </w:pPr>
            <w:r w:rsidRPr="00BC4BBC">
              <w:rPr>
                <w:rStyle w:val="Subscript"/>
                <w:vertAlign w:val="baseline"/>
              </w:rPr>
              <w:t>As applicable, the Environmental Management Plan, the Resettlement Plan, the Indigenous Peoples Plan and any other environmental or social related plan or document required under the World Bank Operational Policies and describing measures to be implemented by the Program Entity during the implementation and operation of the ER Program and the ER Program Measure(s) to eliminate, offset or reduce any adverse environmental and social impacts of the ER Program and ER Program Measure(s), in accordance with World Bank requirements.</w:t>
            </w:r>
          </w:p>
        </w:tc>
        <w:tc>
          <w:tcPr>
            <w:tcW w:w="2574" w:type="dxa"/>
            <w:noWrap/>
            <w:hideMark/>
          </w:tcPr>
          <w:p w14:paraId="14D037AC" w14:textId="77777777" w:rsidR="006C6244" w:rsidRPr="00BC4BBC" w:rsidRDefault="006C6244" w:rsidP="00E96665">
            <w:pPr>
              <w:pStyle w:val="Tabletext-Normal"/>
              <w:ind w:left="0"/>
              <w:rPr>
                <w:rStyle w:val="Subscript"/>
                <w:vertAlign w:val="baseline"/>
              </w:rPr>
            </w:pPr>
            <w:r w:rsidRPr="00BC4BBC">
              <w:rPr>
                <w:rStyle w:val="Subscript"/>
                <w:vertAlign w:val="baseline"/>
              </w:rPr>
              <w:t>101. Forest Carbon Partnership, 2022, Glossary of Terms</w:t>
            </w:r>
          </w:p>
        </w:tc>
      </w:tr>
      <w:tr w:rsidR="00C660A4" w:rsidRPr="006E1DAC" w14:paraId="5B745874" w14:textId="77777777" w:rsidTr="00554D4F">
        <w:trPr>
          <w:trHeight w:val="285"/>
        </w:trPr>
        <w:tc>
          <w:tcPr>
            <w:tcW w:w="1980" w:type="dxa"/>
            <w:noWrap/>
          </w:tcPr>
          <w:p w14:paraId="7EDBF9EE" w14:textId="60EFF1CA" w:rsidR="00C660A4" w:rsidRPr="00BC4BBC" w:rsidRDefault="00C660A4" w:rsidP="00E96665">
            <w:pPr>
              <w:pStyle w:val="Tabletext-Normal"/>
              <w:ind w:left="0"/>
              <w:rPr>
                <w:rStyle w:val="Subscript"/>
                <w:vertAlign w:val="baseline"/>
              </w:rPr>
            </w:pPr>
            <w:r w:rsidRPr="00BC4BBC">
              <w:rPr>
                <w:rStyle w:val="Subscript"/>
                <w:vertAlign w:val="baseline"/>
              </w:rPr>
              <w:t>Sovereign Donor</w:t>
            </w:r>
          </w:p>
        </w:tc>
        <w:tc>
          <w:tcPr>
            <w:tcW w:w="5528" w:type="dxa"/>
            <w:noWrap/>
          </w:tcPr>
          <w:p w14:paraId="58102595" w14:textId="620DEAED" w:rsidR="00C660A4" w:rsidRPr="00BC4BBC" w:rsidRDefault="00C660A4" w:rsidP="00E96665">
            <w:pPr>
              <w:pStyle w:val="Tabletext-Normal"/>
              <w:ind w:left="0"/>
              <w:rPr>
                <w:rStyle w:val="Subscript"/>
                <w:vertAlign w:val="baseline"/>
              </w:rPr>
            </w:pPr>
            <w:r w:rsidRPr="00BC4BBC">
              <w:rPr>
                <w:rStyle w:val="Subscript"/>
                <w:vertAlign w:val="baseline"/>
              </w:rPr>
              <w:t>Funders of the LEAF Coalition (UK, Norway, USA and South Korea Governments)</w:t>
            </w:r>
          </w:p>
        </w:tc>
        <w:tc>
          <w:tcPr>
            <w:tcW w:w="2574" w:type="dxa"/>
            <w:noWrap/>
          </w:tcPr>
          <w:p w14:paraId="7E7EA45C" w14:textId="77777777" w:rsidR="00C660A4" w:rsidRPr="00BC4BBC" w:rsidRDefault="00C660A4" w:rsidP="00E96665">
            <w:pPr>
              <w:pStyle w:val="Tabletext-Normal"/>
              <w:rPr>
                <w:rStyle w:val="Subscript"/>
                <w:vertAlign w:val="baseline"/>
              </w:rPr>
            </w:pPr>
          </w:p>
        </w:tc>
      </w:tr>
      <w:tr w:rsidR="006C6244" w:rsidRPr="006E1DAC" w14:paraId="0AF83473" w14:textId="77777777" w:rsidTr="00554D4F">
        <w:trPr>
          <w:trHeight w:val="285"/>
        </w:trPr>
        <w:tc>
          <w:tcPr>
            <w:tcW w:w="1980" w:type="dxa"/>
            <w:noWrap/>
            <w:hideMark/>
          </w:tcPr>
          <w:p w14:paraId="4AA76B77" w14:textId="77777777" w:rsidR="006C6244" w:rsidRPr="00BC4BBC" w:rsidRDefault="006C6244" w:rsidP="00E96665">
            <w:pPr>
              <w:pStyle w:val="Tabletext-Normal"/>
              <w:ind w:left="0"/>
              <w:rPr>
                <w:rStyle w:val="Subscript"/>
                <w:vertAlign w:val="baseline"/>
              </w:rPr>
            </w:pPr>
            <w:r w:rsidRPr="00BC4BBC">
              <w:rPr>
                <w:rStyle w:val="Subscript"/>
                <w:vertAlign w:val="baseline"/>
              </w:rPr>
              <w:t>Technical Assistance</w:t>
            </w:r>
          </w:p>
        </w:tc>
        <w:tc>
          <w:tcPr>
            <w:tcW w:w="5528" w:type="dxa"/>
            <w:noWrap/>
            <w:hideMark/>
          </w:tcPr>
          <w:p w14:paraId="13D29291" w14:textId="77777777" w:rsidR="006C6244" w:rsidRPr="00BC4BBC" w:rsidRDefault="006C6244" w:rsidP="00E96665">
            <w:pPr>
              <w:pStyle w:val="Tabletext-Normal"/>
              <w:ind w:left="0"/>
              <w:rPr>
                <w:rStyle w:val="Subscript"/>
                <w:vertAlign w:val="baseline"/>
              </w:rPr>
            </w:pPr>
            <w:r w:rsidRPr="00BC4BBC">
              <w:rPr>
                <w:rStyle w:val="Subscript"/>
                <w:vertAlign w:val="baseline"/>
              </w:rPr>
              <w:t>Support provided to help implement, manage, or improve a program or project. In the context of LEAF, this may include capacity building, training, and advisory services to ensure compliance with carbon crediting and forest conservation requirements.</w:t>
            </w:r>
          </w:p>
        </w:tc>
        <w:tc>
          <w:tcPr>
            <w:tcW w:w="2574" w:type="dxa"/>
            <w:noWrap/>
            <w:hideMark/>
          </w:tcPr>
          <w:p w14:paraId="104D9274" w14:textId="77777777" w:rsidR="006C6244" w:rsidRPr="00BC4BBC" w:rsidRDefault="006C6244" w:rsidP="00E96665">
            <w:pPr>
              <w:pStyle w:val="Tabletext-Normal"/>
              <w:ind w:left="0"/>
              <w:rPr>
                <w:rStyle w:val="Subscript"/>
                <w:vertAlign w:val="baseline"/>
              </w:rPr>
            </w:pPr>
            <w:r w:rsidRPr="00BC4BBC">
              <w:rPr>
                <w:rStyle w:val="Subscript"/>
                <w:vertAlign w:val="baseline"/>
              </w:rPr>
              <w:t>88. DESNZ, 2023, Invitation to tender LEAF TA Delivery Partner</w:t>
            </w:r>
          </w:p>
        </w:tc>
      </w:tr>
      <w:tr w:rsidR="004B47CA" w:rsidRPr="002F17D9" w14:paraId="41B28161" w14:textId="77777777" w:rsidTr="00554D4F">
        <w:trPr>
          <w:trHeight w:val="285"/>
        </w:trPr>
        <w:tc>
          <w:tcPr>
            <w:tcW w:w="1980" w:type="dxa"/>
            <w:noWrap/>
          </w:tcPr>
          <w:p w14:paraId="1B068BE1" w14:textId="43DEAD81" w:rsidR="004B47CA" w:rsidRPr="002F17D9" w:rsidRDefault="007E0A2C" w:rsidP="002F17D9">
            <w:r w:rsidRPr="002F17D9">
              <w:t>Vintage</w:t>
            </w:r>
          </w:p>
        </w:tc>
        <w:tc>
          <w:tcPr>
            <w:tcW w:w="5528" w:type="dxa"/>
            <w:noWrap/>
          </w:tcPr>
          <w:p w14:paraId="6530F7B3" w14:textId="1A53A997" w:rsidR="004B47CA" w:rsidRPr="002F17D9" w:rsidRDefault="007E0A2C" w:rsidP="002F17D9">
            <w:r w:rsidRPr="002F17D9">
              <w:t>The vintage of a forest carbon credit refers to the specific year in which the carbon sequestration or emission reduction associated with the credit occurred. It indicates when the underlying environmental benefit—such as carbon absorption by trees—was measured, verified, or generated. Vintage is important for evaluating the relevance, credibility, and market value of a credit, as older vintages may be subject to different standards, methodologies, or risks compared to more recent ones.</w:t>
            </w:r>
          </w:p>
        </w:tc>
        <w:tc>
          <w:tcPr>
            <w:tcW w:w="2574" w:type="dxa"/>
            <w:noWrap/>
          </w:tcPr>
          <w:p w14:paraId="229B7A60" w14:textId="376EFAB0" w:rsidR="004B47CA" w:rsidRPr="002F17D9" w:rsidRDefault="00F5617D" w:rsidP="002F17D9">
            <w:r w:rsidRPr="002F17D9">
              <w:t>https://goldstandard.org/sites/default/files/documents/voluntary_carbon_market_post-2020_part_2.pdf</w:t>
            </w:r>
          </w:p>
        </w:tc>
      </w:tr>
      <w:tr w:rsidR="006C6244" w:rsidRPr="006E1DAC" w14:paraId="2F0B7125" w14:textId="77777777" w:rsidTr="00554D4F">
        <w:trPr>
          <w:trHeight w:val="285"/>
        </w:trPr>
        <w:tc>
          <w:tcPr>
            <w:tcW w:w="1980" w:type="dxa"/>
            <w:noWrap/>
            <w:hideMark/>
          </w:tcPr>
          <w:p w14:paraId="6F00DE1D" w14:textId="77777777" w:rsidR="006C6244" w:rsidRPr="00BC4BBC" w:rsidRDefault="006C6244" w:rsidP="00E96665">
            <w:pPr>
              <w:pStyle w:val="Tabletext-Normal"/>
              <w:ind w:left="0"/>
              <w:rPr>
                <w:rStyle w:val="Subscript"/>
                <w:vertAlign w:val="baseline"/>
              </w:rPr>
            </w:pPr>
            <w:r w:rsidRPr="00BC4BBC">
              <w:rPr>
                <w:rStyle w:val="Subscript"/>
                <w:vertAlign w:val="baseline"/>
              </w:rPr>
              <w:t>Voluntary Carbon Market</w:t>
            </w:r>
          </w:p>
        </w:tc>
        <w:tc>
          <w:tcPr>
            <w:tcW w:w="5528" w:type="dxa"/>
            <w:noWrap/>
            <w:hideMark/>
          </w:tcPr>
          <w:p w14:paraId="0F560389" w14:textId="77777777" w:rsidR="006C6244" w:rsidRPr="00BC4BBC" w:rsidRDefault="006C6244" w:rsidP="00E96665">
            <w:pPr>
              <w:pStyle w:val="Tabletext-Normal"/>
              <w:ind w:left="0"/>
              <w:rPr>
                <w:rStyle w:val="Subscript"/>
                <w:vertAlign w:val="baseline"/>
              </w:rPr>
            </w:pPr>
            <w:r w:rsidRPr="00BC4BBC">
              <w:rPr>
                <w:rStyle w:val="Subscript"/>
                <w:vertAlign w:val="baseline"/>
              </w:rPr>
              <w:t>A marketplace where organizations, governments, and individuals can buy and sell carbon credits voluntarily (outside of compliance markets) to offset their emissions or support climate mitigation projects.</w:t>
            </w:r>
          </w:p>
        </w:tc>
        <w:tc>
          <w:tcPr>
            <w:tcW w:w="2574" w:type="dxa"/>
            <w:noWrap/>
            <w:hideMark/>
          </w:tcPr>
          <w:p w14:paraId="71D26221" w14:textId="4831F402" w:rsidR="006C6244" w:rsidRPr="00BC4BBC" w:rsidRDefault="006C6244" w:rsidP="00E96665">
            <w:pPr>
              <w:pStyle w:val="Tabletext-Normal"/>
              <w:ind w:left="0"/>
              <w:rPr>
                <w:rStyle w:val="Subscript"/>
                <w:vertAlign w:val="baseline"/>
              </w:rPr>
            </w:pPr>
            <w:r w:rsidRPr="00BC4BBC">
              <w:rPr>
                <w:rStyle w:val="Subscript"/>
                <w:vertAlign w:val="baseline"/>
              </w:rPr>
              <w:t>88. DESNZ, 2023, Invitation to tender LEAF TA Delivery Partner</w:t>
            </w:r>
          </w:p>
        </w:tc>
      </w:tr>
    </w:tbl>
    <w:p w14:paraId="7134733C" w14:textId="77777777" w:rsidR="006C6244" w:rsidRPr="00E813B0" w:rsidRDefault="006C6244" w:rsidP="006C6244"/>
    <w:p w14:paraId="1DE8DD31" w14:textId="26C9FAE5" w:rsidR="007505F8" w:rsidRPr="00E813B0" w:rsidRDefault="00EE1C25" w:rsidP="00617EAD">
      <w:r w:rsidRPr="00E813B0">
        <w:rPr>
          <w:noProof/>
        </w:rPr>
        <w:lastRenderedPageBreak/>
        <mc:AlternateContent>
          <mc:Choice Requires="wps">
            <w:drawing>
              <wp:anchor distT="45720" distB="45720" distL="114300" distR="114300" simplePos="0" relativeHeight="251658240" behindDoc="0" locked="0" layoutInCell="1" allowOverlap="1" wp14:anchorId="58F4F032" wp14:editId="2193F943">
                <wp:simplePos x="0" y="0"/>
                <wp:positionH relativeFrom="column">
                  <wp:posOffset>100330</wp:posOffset>
                </wp:positionH>
                <wp:positionV relativeFrom="paragraph">
                  <wp:posOffset>257810</wp:posOffset>
                </wp:positionV>
                <wp:extent cx="6240145" cy="1404620"/>
                <wp:effectExtent l="0" t="0" r="2730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145" cy="1404620"/>
                        </a:xfrm>
                        <a:prstGeom prst="rect">
                          <a:avLst/>
                        </a:prstGeom>
                        <a:solidFill>
                          <a:srgbClr val="FFFFFF"/>
                        </a:solidFill>
                        <a:ln w="9525">
                          <a:solidFill>
                            <a:srgbClr val="000000"/>
                          </a:solidFill>
                          <a:miter lim="800000"/>
                          <a:headEnd/>
                          <a:tailEnd/>
                        </a:ln>
                      </wps:spPr>
                      <wps:txbx>
                        <w:txbxContent>
                          <w:p w14:paraId="35083FE2" w14:textId="5B297FFC" w:rsidR="00EE1C25" w:rsidRDefault="00EE1C25">
                            <w:r w:rsidRPr="00EE1C25">
                              <w:rPr>
                                <w:rStyle w:val="Boldtext"/>
                              </w:rPr>
                              <w:t>Terminology</w:t>
                            </w:r>
                            <w:r>
                              <w:t xml:space="preserve">: </w:t>
                            </w:r>
                            <w:r w:rsidR="00351023">
                              <w:t>Whilst t</w:t>
                            </w:r>
                            <w:r>
                              <w:t xml:space="preserve">he Evaluation Team have </w:t>
                            </w:r>
                            <w:r w:rsidR="001B34F1">
                              <w:t>utilised</w:t>
                            </w:r>
                            <w:r>
                              <w:t xml:space="preserve"> key terminology which is in common use in </w:t>
                            </w:r>
                            <w:r w:rsidR="00A74B59">
                              <w:t xml:space="preserve">LEAF, DESNZ and wider public documents </w:t>
                            </w:r>
                            <w:r w:rsidR="00351023">
                              <w:t>(specifically ‘</w:t>
                            </w:r>
                            <w:r w:rsidR="00EB20A0">
                              <w:t>H</w:t>
                            </w:r>
                            <w:r w:rsidR="00DA63BB">
                              <w:t xml:space="preserve">ost </w:t>
                            </w:r>
                            <w:r w:rsidR="00EB20A0">
                              <w:t>J</w:t>
                            </w:r>
                            <w:r w:rsidR="00DA63BB">
                              <w:t>urisdiction</w:t>
                            </w:r>
                            <w:r w:rsidR="00351023">
                              <w:t>s’ and ‘Sovereign’ donors)</w:t>
                            </w:r>
                            <w:r w:rsidR="00B356F2">
                              <w:t>,</w:t>
                            </w:r>
                            <w:r w:rsidR="00351023">
                              <w:t xml:space="preserve"> we would advise that </w:t>
                            </w:r>
                            <w:r w:rsidR="00221B8C">
                              <w:t xml:space="preserve">DESNZ consider revising </w:t>
                            </w:r>
                            <w:r w:rsidR="00E372B2">
                              <w:t xml:space="preserve">these terms to </w:t>
                            </w:r>
                            <w:r w:rsidR="00FC3CE0">
                              <w:t xml:space="preserve">better reflect </w:t>
                            </w:r>
                            <w:r w:rsidR="00CB58B9">
                              <w:t>how development actors</w:t>
                            </w:r>
                            <w:r w:rsidR="00506CCF">
                              <w:t xml:space="preserve"> are shifting language to </w:t>
                            </w:r>
                            <w:r w:rsidR="00C46226">
                              <w:t xml:space="preserve">bring equality and respect to all development actors. The term ‘host’ implies </w:t>
                            </w:r>
                            <w:r w:rsidR="001B7BC1">
                              <w:t>a power relationship between actors, whilst ‘sovereign’ is a term which should be applied to all nations</w:t>
                            </w:r>
                            <w:r w:rsidR="00B62A8D">
                              <w:t xml:space="preserve">, ‘donor’ is </w:t>
                            </w:r>
                            <w:r w:rsidR="000B07E8">
                              <w:t>also a term which is being phased out</w:t>
                            </w:r>
                            <w:r w:rsidR="000B3A87">
                              <w:t xml:space="preserve"> under </w:t>
                            </w:r>
                            <w:r w:rsidR="004A2284">
                              <w:t xml:space="preserve">localisation and </w:t>
                            </w:r>
                            <w:r w:rsidR="000B3A87">
                              <w:t>‘Shifting Power South’ agendas</w:t>
                            </w:r>
                            <w:r w:rsidR="000B07E8">
                              <w:t xml:space="preserve">. For further guidance see: </w:t>
                            </w:r>
                            <w:r w:rsidR="001B7BC1">
                              <w:t xml:space="preserve"> </w:t>
                            </w:r>
                            <w:hyperlink r:id="rId45" w:history="1">
                              <w:r w:rsidR="000B3A87" w:rsidRPr="000B3A87">
                                <w:rPr>
                                  <w:rStyle w:val="Hyperlink"/>
                                </w:rPr>
                                <w:t>Decolonising_language_in_international_development_in_Scotland_branded_draft_Jan_2021.pdf</w:t>
                              </w:r>
                            </w:hyperlink>
                            <w:r w:rsidR="000B3A87">
                              <w:t xml:space="preserve"> and </w:t>
                            </w:r>
                            <w:hyperlink r:id="rId46" w:history="1">
                              <w:r w:rsidR="00607DBA" w:rsidRPr="00607DBA">
                                <w:rPr>
                                  <w:rStyle w:val="Hyperlink"/>
                                </w:rPr>
                                <w:t>Sum-Of-Us-Progressive-Style-Guide.pdf</w:t>
                              </w:r>
                            </w:hyperlink>
                            <w:r w:rsidR="00FD0050">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F4F032" id="_x0000_t202" coordsize="21600,21600" o:spt="202" path="m,l,21600r21600,l21600,xe">
                <v:stroke joinstyle="miter"/>
                <v:path gradientshapeok="t" o:connecttype="rect"/>
              </v:shapetype>
              <v:shape id="Text Box 2" o:spid="_x0000_s1026" type="#_x0000_t202" style="position:absolute;margin-left:7.9pt;margin-top:20.3pt;width:491.3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">
                <v:textbox style="mso-fit-shape-to-text:t">
                  <w:txbxContent>
                    <w:p w14:paraId="35083FE2" w14:textId="5B297FFC" w:rsidR="00EE1C25" w:rsidRDefault="00EE1C25">
                      <w:r w:rsidRPr="00EE1C25">
                        <w:rPr>
                          <w:rStyle w:val="Boldtext"/>
                        </w:rPr>
                        <w:t>Terminology</w:t>
                      </w:r>
                      <w:r>
                        <w:t xml:space="preserve">: </w:t>
                      </w:r>
                      <w:r w:rsidR="00351023">
                        <w:t>Whilst t</w:t>
                      </w:r>
                      <w:r>
                        <w:t xml:space="preserve">he Evaluation Team have </w:t>
                      </w:r>
                      <w:r w:rsidR="001B34F1">
                        <w:t>utilised</w:t>
                      </w:r>
                      <w:r>
                        <w:t xml:space="preserve"> key terminology which is in common use in </w:t>
                      </w:r>
                      <w:r w:rsidR="00A74B59">
                        <w:t xml:space="preserve">LEAF, DESNZ and wider public documents </w:t>
                      </w:r>
                      <w:r w:rsidR="00351023">
                        <w:t>(specifically ‘</w:t>
                      </w:r>
                      <w:r w:rsidR="00EB20A0">
                        <w:t>H</w:t>
                      </w:r>
                      <w:r w:rsidR="00DA63BB">
                        <w:t xml:space="preserve">ost </w:t>
                      </w:r>
                      <w:r w:rsidR="00EB20A0">
                        <w:t>J</w:t>
                      </w:r>
                      <w:r w:rsidR="00DA63BB">
                        <w:t>urisdiction</w:t>
                      </w:r>
                      <w:r w:rsidR="00351023">
                        <w:t>s’ and ‘Sovereign’ donors)</w:t>
                      </w:r>
                      <w:r w:rsidR="00B356F2">
                        <w:t>,</w:t>
                      </w:r>
                      <w:r w:rsidR="00351023">
                        <w:t xml:space="preserve"> we would advise that </w:t>
                      </w:r>
                      <w:r w:rsidR="00221B8C">
                        <w:t xml:space="preserve">DESNZ consider revising </w:t>
                      </w:r>
                      <w:r w:rsidR="00E372B2">
                        <w:t xml:space="preserve">these terms to </w:t>
                      </w:r>
                      <w:r w:rsidR="00FC3CE0">
                        <w:t xml:space="preserve">better reflect </w:t>
                      </w:r>
                      <w:r w:rsidR="00CB58B9">
                        <w:t>how development actors</w:t>
                      </w:r>
                      <w:r w:rsidR="00506CCF">
                        <w:t xml:space="preserve"> are shifting language to </w:t>
                      </w:r>
                      <w:r w:rsidR="00C46226">
                        <w:t xml:space="preserve">bring equality and respect to all development actors. The term ‘host’ implies </w:t>
                      </w:r>
                      <w:r w:rsidR="001B7BC1">
                        <w:t>a power relationship between actors, whilst ‘sovereign’ is a term which should be applied to all nations</w:t>
                      </w:r>
                      <w:r w:rsidR="00B62A8D">
                        <w:t xml:space="preserve">, ‘donor’ is </w:t>
                      </w:r>
                      <w:r w:rsidR="000B07E8">
                        <w:t>also a term which is being phased out</w:t>
                      </w:r>
                      <w:r w:rsidR="000B3A87">
                        <w:t xml:space="preserve"> under </w:t>
                      </w:r>
                      <w:r w:rsidR="004A2284">
                        <w:t xml:space="preserve">localisation and </w:t>
                      </w:r>
                      <w:r w:rsidR="000B3A87">
                        <w:t>‘Shifting Power South’ agendas</w:t>
                      </w:r>
                      <w:r w:rsidR="000B07E8">
                        <w:t xml:space="preserve">. For further guidance see: </w:t>
                      </w:r>
                      <w:r w:rsidR="001B7BC1">
                        <w:t xml:space="preserve"> </w:t>
                      </w:r>
                      <w:hyperlink r:id="rId47" w:history="1">
                        <w:r w:rsidR="000B3A87" w:rsidRPr="000B3A87">
                          <w:rPr>
                            <w:rStyle w:val="Hyperlink"/>
                          </w:rPr>
                          <w:t>Decolonising_language_in_international_development_in_Scotland_branded_draft_Jan_2021.pdf</w:t>
                        </w:r>
                      </w:hyperlink>
                      <w:r w:rsidR="000B3A87">
                        <w:t xml:space="preserve"> and </w:t>
                      </w:r>
                      <w:hyperlink r:id="rId48" w:history="1">
                        <w:r w:rsidR="00607DBA" w:rsidRPr="00607DBA">
                          <w:rPr>
                            <w:rStyle w:val="Hyperlink"/>
                          </w:rPr>
                          <w:t>Sum-Of-Us-Progressive-Style-Guide.pdf</w:t>
                        </w:r>
                      </w:hyperlink>
                      <w:r w:rsidR="00FD0050">
                        <w:t xml:space="preserve"> </w:t>
                      </w:r>
                    </w:p>
                  </w:txbxContent>
                </v:textbox>
                <w10:wrap type="square"/>
              </v:shape>
            </w:pict>
          </mc:Fallback>
        </mc:AlternateContent>
      </w:r>
    </w:p>
    <w:p w14:paraId="3A10B738" w14:textId="1C1031BA" w:rsidR="001B4936" w:rsidRPr="00E226AE" w:rsidRDefault="00BF474E" w:rsidP="004953C2">
      <w:r w:rsidRPr="00E813B0">
        <w:br w:type="page"/>
      </w:r>
    </w:p>
    <w:p w14:paraId="75CCAA7A" w14:textId="0C0C20CF" w:rsidR="009E2C59" w:rsidRPr="00E813B0" w:rsidRDefault="00AC557F" w:rsidP="00734B7D">
      <w:pPr>
        <w:pStyle w:val="Heading1"/>
        <w:numPr>
          <w:ilvl w:val="0"/>
          <w:numId w:val="8"/>
        </w:numPr>
      </w:pPr>
      <w:bookmarkStart w:id="21" w:name="_Charts"/>
      <w:bookmarkStart w:id="22" w:name="_Toc204091199"/>
      <w:bookmarkStart w:id="23" w:name="_Toc209013274"/>
      <w:bookmarkEnd w:id="21"/>
      <w:r w:rsidRPr="00E813B0">
        <w:lastRenderedPageBreak/>
        <w:t>Introduction</w:t>
      </w:r>
      <w:bookmarkEnd w:id="22"/>
      <w:bookmarkEnd w:id="23"/>
    </w:p>
    <w:p w14:paraId="758FC713" w14:textId="52CABF2A" w:rsidR="009A21FC" w:rsidRPr="00E813B0" w:rsidRDefault="00032C74" w:rsidP="009A21FC">
      <w:r w:rsidRPr="00E813B0">
        <w:t xml:space="preserve">As part of the UK’s commitment to fostering a ‘nature positive’ economy, the UK has committed </w:t>
      </w:r>
      <w:r w:rsidR="00764C79" w:rsidRPr="00E813B0">
        <w:t>£</w:t>
      </w:r>
      <w:r w:rsidR="00DB5EC6">
        <w:t>175</w:t>
      </w:r>
      <w:r w:rsidR="00764C79" w:rsidRPr="00E813B0">
        <w:t xml:space="preserve">m </w:t>
      </w:r>
      <w:r w:rsidRPr="00E813B0">
        <w:t>to the LEAF Coalition</w:t>
      </w:r>
      <w:r w:rsidR="00187C3D">
        <w:t xml:space="preserve">, and </w:t>
      </w:r>
      <w:r w:rsidR="00B43F46" w:rsidRPr="00B43F46">
        <w:t>£25m for T</w:t>
      </w:r>
      <w:r w:rsidR="003B04FD">
        <w:t xml:space="preserve">echnical </w:t>
      </w:r>
      <w:r w:rsidR="00B43F46" w:rsidRPr="00B43F46">
        <w:t>A</w:t>
      </w:r>
      <w:r w:rsidR="003B04FD">
        <w:t>ssistance (TA)</w:t>
      </w:r>
      <w:r w:rsidR="00B43F46">
        <w:t>,</w:t>
      </w:r>
      <w:r w:rsidRPr="00E813B0">
        <w:t xml:space="preserve"> between 2021-2027 (now extended to 2030). The LEAF Coalition </w:t>
      </w:r>
      <w:r w:rsidR="00F02FF3" w:rsidRPr="00E813B0">
        <w:t xml:space="preserve">aims to </w:t>
      </w:r>
      <w:r w:rsidRPr="00E813B0">
        <w:t xml:space="preserve">advance efforts to reverse deforestation by scaling demand and supply for </w:t>
      </w:r>
      <w:r w:rsidR="00F36101">
        <w:t>Results-Based</w:t>
      </w:r>
      <w:r w:rsidR="00C974D4" w:rsidRPr="00E813B0">
        <w:t xml:space="preserve"> </w:t>
      </w:r>
      <w:r w:rsidRPr="00E813B0">
        <w:t>F</w:t>
      </w:r>
      <w:r w:rsidR="00C974D4" w:rsidRPr="00E813B0">
        <w:t>inancing (RBF)</w:t>
      </w:r>
      <w:r w:rsidRPr="00E813B0">
        <w:t xml:space="preserve"> and jurisdictional REDD+ carbon credits, with high-integrity carbon markets playing a key role in mobilising finance for forest protection. </w:t>
      </w:r>
      <w:r w:rsidR="009A21FC" w:rsidRPr="00E813B0">
        <w:t xml:space="preserve">IOD PARC has been </w:t>
      </w:r>
      <w:r w:rsidR="00EF7241" w:rsidRPr="00E813B0">
        <w:t>contracted</w:t>
      </w:r>
      <w:r w:rsidR="009A21FC" w:rsidRPr="00E813B0">
        <w:t xml:space="preserve"> by DESNZ</w:t>
      </w:r>
      <w:r w:rsidRPr="00E813B0">
        <w:t>,</w:t>
      </w:r>
      <w:r w:rsidR="009A21FC" w:rsidRPr="00E813B0">
        <w:t xml:space="preserve"> </w:t>
      </w:r>
      <w:r w:rsidR="00EF7241" w:rsidRPr="00E813B0">
        <w:t>to undertake</w:t>
      </w:r>
      <w:r w:rsidR="009A21FC" w:rsidRPr="00E813B0">
        <w:t xml:space="preserve"> </w:t>
      </w:r>
      <w:r w:rsidR="00EF7241" w:rsidRPr="00E813B0">
        <w:t>this</w:t>
      </w:r>
      <w:r w:rsidR="009A21FC" w:rsidRPr="00E813B0">
        <w:t xml:space="preserve"> process evaluation of the LEAF Coalition to further DESNZ’s understanding of the effectiveness of the UK fund’s contribution to the LEAF Coalition and its T</w:t>
      </w:r>
      <w:r w:rsidR="0028464B" w:rsidRPr="00E813B0">
        <w:t xml:space="preserve">echnical </w:t>
      </w:r>
      <w:r w:rsidR="009A21FC" w:rsidRPr="00E813B0">
        <w:t>A</w:t>
      </w:r>
      <w:r w:rsidR="0028464B" w:rsidRPr="00E813B0">
        <w:t>ssistance (TA)</w:t>
      </w:r>
      <w:r w:rsidR="009A21FC" w:rsidRPr="00E813B0">
        <w:t xml:space="preserve"> package.</w:t>
      </w:r>
    </w:p>
    <w:p w14:paraId="70B535BC" w14:textId="5FCD7889" w:rsidR="00D0305C" w:rsidRPr="00E813B0" w:rsidRDefault="00AC1386" w:rsidP="00715700">
      <w:pPr>
        <w:pStyle w:val="Heading2"/>
      </w:pPr>
      <w:bookmarkStart w:id="24" w:name="_Toc204091200"/>
      <w:bookmarkStart w:id="25" w:name="_Toc209013275"/>
      <w:r w:rsidRPr="00E813B0">
        <w:t xml:space="preserve">1.1 </w:t>
      </w:r>
      <w:r w:rsidR="00715700" w:rsidRPr="00E813B0">
        <w:t>LEAF Coalition Background</w:t>
      </w:r>
      <w:bookmarkEnd w:id="24"/>
      <w:bookmarkEnd w:id="25"/>
    </w:p>
    <w:p w14:paraId="770FC2CF" w14:textId="74F3D422" w:rsidR="00B53BA1" w:rsidRPr="00E813B0" w:rsidRDefault="00637D9F" w:rsidP="00B53BA1">
      <w:r w:rsidRPr="00E813B0">
        <w:t xml:space="preserve">The </w:t>
      </w:r>
      <w:hyperlink r:id="rId49" w:history="1">
        <w:r w:rsidRPr="007A228B">
          <w:rPr>
            <w:rStyle w:val="Hyperlink"/>
          </w:rPr>
          <w:t>LEAF Coalition</w:t>
        </w:r>
      </w:hyperlink>
      <w:r w:rsidRPr="00E813B0">
        <w:t xml:space="preserve"> is a voluntary public-private initiative aimed at addressing barriers in the V</w:t>
      </w:r>
      <w:r w:rsidR="00A76DE5" w:rsidRPr="00E813B0">
        <w:t xml:space="preserve">oluntary </w:t>
      </w:r>
      <w:r w:rsidRPr="00E813B0">
        <w:t>C</w:t>
      </w:r>
      <w:r w:rsidR="00A76DE5" w:rsidRPr="00E813B0">
        <w:t xml:space="preserve">arbon </w:t>
      </w:r>
      <w:r w:rsidRPr="00E813B0">
        <w:t>M</w:t>
      </w:r>
      <w:r w:rsidR="00A76DE5" w:rsidRPr="00E813B0">
        <w:t>arket (VCM)</w:t>
      </w:r>
      <w:r w:rsidRPr="00E813B0">
        <w:t xml:space="preserve"> and catalysing a self-sustaining global market for high-quality, verified emissions reductions. Its goal is to reduce deforestation and forest degradation while promoting sustainable development in forest jurisdictions by 2030. LEAF </w:t>
      </w:r>
      <w:r w:rsidR="00EF7241" w:rsidRPr="00E813B0">
        <w:t>seeks</w:t>
      </w:r>
      <w:r w:rsidRPr="00E813B0">
        <w:t xml:space="preserve"> to create a high-integrity supply of forest carbon credits, establish reliable demand from public and private buyers, and channel significant finance to forest-rich developing countries. Through</w:t>
      </w:r>
      <w:r w:rsidR="00BE6DD2" w:rsidRPr="00E813B0">
        <w:t xml:space="preserve"> related TA</w:t>
      </w:r>
      <w:r w:rsidRPr="00E813B0">
        <w:t>, LEAF support</w:t>
      </w:r>
      <w:r w:rsidR="00C604CF" w:rsidRPr="00E813B0">
        <w:t>s</w:t>
      </w:r>
      <w:r w:rsidRPr="00E813B0">
        <w:t xml:space="preserve"> jurisdictions in meeting </w:t>
      </w:r>
      <w:r w:rsidR="005B2571">
        <w:t xml:space="preserve">the </w:t>
      </w:r>
      <w:r w:rsidRPr="00E813B0">
        <w:t>ART-TREES standard</w:t>
      </w:r>
      <w:r w:rsidR="00F3136F" w:rsidRPr="00E813B0">
        <w:rPr>
          <w:rStyle w:val="FootnoteReference"/>
        </w:rPr>
        <w:footnoteReference w:id="1"/>
      </w:r>
      <w:r w:rsidRPr="00E813B0">
        <w:t>, and enabling broader forest governance reforms. The initiative target</w:t>
      </w:r>
      <w:r w:rsidR="00BE6DD2" w:rsidRPr="00E813B0">
        <w:t>s</w:t>
      </w:r>
      <w:r w:rsidRPr="00E813B0">
        <w:t xml:space="preserve"> tropical</w:t>
      </w:r>
      <w:r w:rsidR="00BE6DD2" w:rsidRPr="00E813B0">
        <w:t xml:space="preserve"> and subtropical</w:t>
      </w:r>
      <w:r w:rsidRPr="00E813B0">
        <w:t xml:space="preserve"> </w:t>
      </w:r>
      <w:r w:rsidR="0064234E" w:rsidRPr="00E813B0">
        <w:t>host jurisdictions</w:t>
      </w:r>
      <w:r w:rsidR="00997B60" w:rsidRPr="00E813B0">
        <w:t xml:space="preserve"> (HJ</w:t>
      </w:r>
      <w:r w:rsidR="0017482C">
        <w:t>s</w:t>
      </w:r>
      <w:r w:rsidR="00997B60" w:rsidRPr="00E813B0">
        <w:t>)</w:t>
      </w:r>
      <w:r w:rsidRPr="00E813B0">
        <w:t xml:space="preserve"> and private sector buyers committed to science-based net-zero goals. </w:t>
      </w:r>
      <w:r w:rsidR="00BE6DD2" w:rsidRPr="00E813B0">
        <w:t>The primary d</w:t>
      </w:r>
      <w:r w:rsidRPr="00E813B0">
        <w:t xml:space="preserve">elivery partner </w:t>
      </w:r>
      <w:r w:rsidR="00BE6DD2" w:rsidRPr="00E813B0">
        <w:t>is</w:t>
      </w:r>
      <w:r w:rsidRPr="00E813B0">
        <w:t xml:space="preserve"> Emergent</w:t>
      </w:r>
      <w:r w:rsidR="0093778D">
        <w:t xml:space="preserve">, </w:t>
      </w:r>
      <w:r w:rsidR="0093778D" w:rsidRPr="0093778D">
        <w:t>with funding from the UK, USA, Norway, and South Korea</w:t>
      </w:r>
      <w:r w:rsidR="0093778D">
        <w:t>,</w:t>
      </w:r>
      <w:r w:rsidR="00BE6DD2" w:rsidRPr="00E813B0">
        <w:t xml:space="preserve"> with TA providers including</w:t>
      </w:r>
      <w:r w:rsidRPr="00E813B0">
        <w:t xml:space="preserve"> </w:t>
      </w:r>
      <w:r w:rsidR="007201FE" w:rsidRPr="00E813B0">
        <w:t>the United Nations Programme on Reducing Emissions from Deforestation and Forest Degradation (</w:t>
      </w:r>
      <w:r w:rsidR="00F51E9E">
        <w:t>UN-REDD</w:t>
      </w:r>
      <w:r w:rsidR="007201FE" w:rsidRPr="00E813B0">
        <w:t>)</w:t>
      </w:r>
      <w:r w:rsidRPr="00E813B0">
        <w:t>, Ricardo, Winrock, and Climate Law and Policy</w:t>
      </w:r>
      <w:r w:rsidR="0093778D">
        <w:t>,</w:t>
      </w:r>
      <w:r w:rsidRPr="00E813B0">
        <w:t xml:space="preserve"> with funding from the UK.</w:t>
      </w:r>
    </w:p>
    <w:p w14:paraId="33FA6615" w14:textId="051511A5" w:rsidR="00EC3641" w:rsidRPr="00E813B0" w:rsidRDefault="00EC3641" w:rsidP="00EC3641">
      <w:r w:rsidRPr="00E813B0">
        <w:t xml:space="preserve">The </w:t>
      </w:r>
      <w:r w:rsidR="00114EE9">
        <w:t xml:space="preserve">UK’s contribution to the LEAF Coalition </w:t>
      </w:r>
      <w:r w:rsidR="009A5A9E">
        <w:t xml:space="preserve">is funded using </w:t>
      </w:r>
      <w:r w:rsidR="008A4B67" w:rsidRPr="00E813B0">
        <w:t>UK International Climate Finance (ICF)</w:t>
      </w:r>
      <w:r w:rsidRPr="00E813B0">
        <w:t xml:space="preserve"> </w:t>
      </w:r>
      <w:r w:rsidR="003B7DC2">
        <w:t xml:space="preserve">which is </w:t>
      </w:r>
      <w:r w:rsidRPr="00E813B0">
        <w:t>UK O</w:t>
      </w:r>
      <w:r w:rsidR="00B96A0B" w:rsidRPr="00E813B0">
        <w:t xml:space="preserve">verseas </w:t>
      </w:r>
      <w:r w:rsidRPr="00E813B0">
        <w:t>D</w:t>
      </w:r>
      <w:r w:rsidR="00B96A0B" w:rsidRPr="00E813B0">
        <w:t xml:space="preserve">evelopment </w:t>
      </w:r>
      <w:r w:rsidRPr="00E813B0">
        <w:t>A</w:t>
      </w:r>
      <w:r w:rsidR="00B96A0B" w:rsidRPr="00E813B0">
        <w:t>ssistance (ODA)</w:t>
      </w:r>
      <w:r w:rsidRPr="00E813B0">
        <w:t xml:space="preserve"> </w:t>
      </w:r>
      <w:r w:rsidR="003B7DC2">
        <w:t>for climate change</w:t>
      </w:r>
      <w:r w:rsidRPr="00E813B0">
        <w:t xml:space="preserve">. </w:t>
      </w:r>
      <w:r w:rsidR="00E82004" w:rsidRPr="00E813B0">
        <w:t>The LEAF Coalition builds on previous UK ICF initiatives like the F</w:t>
      </w:r>
      <w:r w:rsidR="00D73AC4" w:rsidRPr="00E813B0">
        <w:t xml:space="preserve">orest </w:t>
      </w:r>
      <w:r w:rsidR="00E82004" w:rsidRPr="00E813B0">
        <w:t>C</w:t>
      </w:r>
      <w:r w:rsidR="00D73AC4" w:rsidRPr="00E813B0">
        <w:t xml:space="preserve">arbon </w:t>
      </w:r>
      <w:r w:rsidR="00E82004" w:rsidRPr="00E813B0">
        <w:t>P</w:t>
      </w:r>
      <w:r w:rsidR="00D73AC4" w:rsidRPr="00E813B0">
        <w:t xml:space="preserve">artnership </w:t>
      </w:r>
      <w:r w:rsidR="00E82004" w:rsidRPr="00E813B0">
        <w:t>F</w:t>
      </w:r>
      <w:r w:rsidR="00D73AC4" w:rsidRPr="00E813B0">
        <w:t>acility (FCPF)</w:t>
      </w:r>
      <w:r w:rsidR="00E82004" w:rsidRPr="00E813B0">
        <w:t xml:space="preserve"> and </w:t>
      </w:r>
      <w:r w:rsidR="0084052E" w:rsidRPr="00E813B0">
        <w:t>the Initiative for Sustainable Forest Landscapes (</w:t>
      </w:r>
      <w:r w:rsidR="00E82004" w:rsidRPr="00E813B0">
        <w:t>ISFL</w:t>
      </w:r>
      <w:r w:rsidR="0084052E" w:rsidRPr="00E813B0">
        <w:t>)</w:t>
      </w:r>
      <w:r w:rsidR="00E82004" w:rsidRPr="00E813B0">
        <w:t xml:space="preserve">, aiming to catalyse a self-sustaining global market for high-quality, verified emissions reductions. </w:t>
      </w:r>
      <w:r w:rsidRPr="00E813B0">
        <w:t xml:space="preserve">Although poverty reduction </w:t>
      </w:r>
      <w:r w:rsidR="00910131" w:rsidRPr="00E813B0">
        <w:t>is</w:t>
      </w:r>
      <w:r w:rsidRPr="00E813B0">
        <w:t xml:space="preserve"> not a primary objective, benefit-sharing from sustainable forest management </w:t>
      </w:r>
      <w:r w:rsidR="00910131" w:rsidRPr="00E813B0">
        <w:t>is</w:t>
      </w:r>
      <w:r w:rsidRPr="00E813B0">
        <w:t xml:space="preserve"> expected as a by-product, with early-stage attention to safeguards, gender, and power dynamics. LEAF is committed to G</w:t>
      </w:r>
      <w:r w:rsidR="0084052E" w:rsidRPr="00E813B0">
        <w:t>ender, Equality, Disability and Inclusion (GED</w:t>
      </w:r>
      <w:r w:rsidRPr="00E813B0">
        <w:t>SI</w:t>
      </w:r>
      <w:r w:rsidR="0084052E" w:rsidRPr="00E813B0">
        <w:t>)</w:t>
      </w:r>
      <w:r w:rsidRPr="00E813B0">
        <w:t>, recognising the marginalisation of women and girls in IP</w:t>
      </w:r>
      <w:r w:rsidR="002F0CB9">
        <w:t xml:space="preserve"> and</w:t>
      </w:r>
      <w:r w:rsidR="006E414B">
        <w:t xml:space="preserve"> </w:t>
      </w:r>
      <w:r w:rsidRPr="00E813B0">
        <w:t xml:space="preserve">LCs, and aligned with UK legal obligations to promote equality and reduce gender-based disparities. Environmental </w:t>
      </w:r>
      <w:r w:rsidR="00D239C2" w:rsidRPr="00E813B0">
        <w:lastRenderedPageBreak/>
        <w:t>protections</w:t>
      </w:r>
      <w:r w:rsidRPr="00E813B0">
        <w:t xml:space="preserve"> </w:t>
      </w:r>
      <w:r w:rsidR="00910131" w:rsidRPr="00E813B0">
        <w:t>are</w:t>
      </w:r>
      <w:r w:rsidRPr="00E813B0">
        <w:t xml:space="preserve"> guided by REDD+ Cancún Safeguards, ensuring biodiversity conservation and community participation, while human rights were embedded through respect for IP</w:t>
      </w:r>
      <w:r w:rsidR="00B11D50">
        <w:t xml:space="preserve"> and </w:t>
      </w:r>
      <w:r w:rsidRPr="00E813B0">
        <w:t>LCs rights, with funding contingent on adherence to social safeguards. LEAF also promote</w:t>
      </w:r>
      <w:r w:rsidR="00910131" w:rsidRPr="00E813B0">
        <w:t>s</w:t>
      </w:r>
      <w:r w:rsidRPr="00E813B0">
        <w:t xml:space="preserve"> inclusion of low-income and high-forest, low-deforestation countries, and emphasise</w:t>
      </w:r>
      <w:r w:rsidR="00910131" w:rsidRPr="00E813B0">
        <w:t>s</w:t>
      </w:r>
      <w:r w:rsidRPr="00E813B0">
        <w:t xml:space="preserve"> responsible data practices and transparency in its </w:t>
      </w:r>
      <w:r w:rsidR="00910131" w:rsidRPr="00E813B0">
        <w:t>TA</w:t>
      </w:r>
      <w:r w:rsidRPr="00E813B0">
        <w:t xml:space="preserve"> and governance reforms.</w:t>
      </w:r>
    </w:p>
    <w:p w14:paraId="3885ED5A" w14:textId="22DDB827" w:rsidR="006E1DAC" w:rsidRDefault="00222731" w:rsidP="00F365A3">
      <w:r w:rsidRPr="00E813B0">
        <w:t>The LEAF Coalition</w:t>
      </w:r>
      <w:r w:rsidR="00910131" w:rsidRPr="00E813B0">
        <w:t xml:space="preserve"> operates within a complex and evolving international policy landscape, including developments under </w:t>
      </w:r>
      <w:hyperlink r:id="rId50" w:history="1">
        <w:r w:rsidR="00910131" w:rsidRPr="00F668F0">
          <w:rPr>
            <w:rStyle w:val="Hyperlink"/>
          </w:rPr>
          <w:t>Article 6 of the Paris Agreement</w:t>
        </w:r>
      </w:hyperlink>
      <w:r w:rsidR="00847030" w:rsidRPr="00E813B0">
        <w:t>,</w:t>
      </w:r>
      <w:r w:rsidR="00910131" w:rsidRPr="00E813B0">
        <w:t xml:space="preserve"> the expansion of ART-TREES credits under </w:t>
      </w:r>
      <w:r w:rsidR="00A30EAA" w:rsidRPr="00E813B0">
        <w:t xml:space="preserve">the </w:t>
      </w:r>
      <w:hyperlink r:id="rId51" w:history="1">
        <w:r w:rsidR="00A30EAA" w:rsidRPr="00F668F0">
          <w:rPr>
            <w:rStyle w:val="Hyperlink"/>
          </w:rPr>
          <w:t>Carbon Offsetting and Reduction Scheme for International Aviation (</w:t>
        </w:r>
        <w:r w:rsidR="00910131" w:rsidRPr="00F668F0">
          <w:rPr>
            <w:rStyle w:val="Hyperlink"/>
          </w:rPr>
          <w:t>CORSIA</w:t>
        </w:r>
        <w:r w:rsidR="00A30EAA" w:rsidRPr="00F668F0">
          <w:rPr>
            <w:rStyle w:val="Hyperlink"/>
          </w:rPr>
          <w:t>)</w:t>
        </w:r>
      </w:hyperlink>
      <w:r w:rsidR="00847030" w:rsidRPr="00E813B0">
        <w:t xml:space="preserve"> and </w:t>
      </w:r>
      <w:r w:rsidR="000B7AFC" w:rsidRPr="00E813B0">
        <w:t>global reductions in ODA</w:t>
      </w:r>
      <w:r w:rsidR="00910131" w:rsidRPr="00E813B0">
        <w:t xml:space="preserve">. It works with diverse </w:t>
      </w:r>
      <w:r w:rsidR="0064234E" w:rsidRPr="00E813B0">
        <w:t>host jurisdictions</w:t>
      </w:r>
      <w:r w:rsidR="00910131" w:rsidRPr="00E813B0">
        <w:t xml:space="preserve"> at varying stages of REDD+ readiness, each with unique legal, social, and economic contexts.</w:t>
      </w:r>
      <w:r w:rsidR="008653FA">
        <w:t xml:space="preserve"> </w:t>
      </w:r>
      <w:bookmarkStart w:id="26" w:name="_Ref202345384"/>
    </w:p>
    <w:p w14:paraId="0C6C6DA3" w14:textId="77777777" w:rsidR="0091792F" w:rsidRPr="0091792F" w:rsidRDefault="0091792F" w:rsidP="0091792F">
      <w:pPr>
        <w:pStyle w:val="Heading4"/>
      </w:pPr>
      <w:r w:rsidRPr="0091792F">
        <w:t xml:space="preserve">LEAF’s anticipated impact, outcomes and outputs </w:t>
      </w:r>
    </w:p>
    <w:p w14:paraId="36B6AC5B" w14:textId="2824CC12" w:rsidR="0091792F" w:rsidRPr="0091792F" w:rsidRDefault="0091792F" w:rsidP="0091792F">
      <w:r w:rsidRPr="0091792F">
        <w:t>The LEAF Coalition is a voluntary ‘ambitious new public-private initiative’ that is looking to examine the barriers and failures in VCM developments and ultimately to ‘catalyse a self-sustaining global market for high-quality verified emissions reductions, increasing finance flows to tropical forest protection’</w:t>
      </w:r>
      <w:r w:rsidRPr="0091792F">
        <w:rPr>
          <w:rStyle w:val="FootnoteReference"/>
        </w:rPr>
        <w:footnoteReference w:id="2"/>
      </w:r>
      <w:r w:rsidRPr="0091792F">
        <w:t xml:space="preserve">. </w:t>
      </w:r>
    </w:p>
    <w:p w14:paraId="18FEE3FF" w14:textId="1D77778C" w:rsidR="0091792F" w:rsidRPr="0091792F" w:rsidRDefault="0091792F" w:rsidP="0091792F">
      <w:r w:rsidRPr="0091792F">
        <w:t xml:space="preserve">The anticipated impact of the LEAF Coalition and the related TA is reducing deforestation rates and forest degradation, while also strengthening sustainable development pathways across key identified jurisdictions in developing countries by 2030. The anticipated outcomes are </w:t>
      </w:r>
      <w:r w:rsidR="00444C0F">
        <w:t>threefold</w:t>
      </w:r>
      <w:r w:rsidRPr="0091792F">
        <w:t xml:space="preserve">: </w:t>
      </w:r>
    </w:p>
    <w:p w14:paraId="057D6550" w14:textId="391E9F68" w:rsidR="0091792F" w:rsidRPr="0091792F" w:rsidRDefault="0091792F" w:rsidP="00F365A3">
      <w:pPr>
        <w:pStyle w:val="DESNZbulletedlist"/>
      </w:pPr>
      <w:r w:rsidRPr="0091792F">
        <w:t xml:space="preserve">to create a robust, high-integrity supply of forest carbon </w:t>
      </w:r>
      <w:r w:rsidR="004606FB" w:rsidRPr="0091792F">
        <w:t>credits.</w:t>
      </w:r>
      <w:r w:rsidRPr="0091792F">
        <w:t xml:space="preserve"> </w:t>
      </w:r>
    </w:p>
    <w:p w14:paraId="36A45FF7" w14:textId="77777777" w:rsidR="0091792F" w:rsidRPr="0091792F" w:rsidRDefault="0091792F" w:rsidP="00F365A3">
      <w:pPr>
        <w:pStyle w:val="DESNZbulletedlist"/>
      </w:pPr>
      <w:r w:rsidRPr="0091792F">
        <w:t xml:space="preserve">to establish reliable demand from both public and private buyers; and </w:t>
      </w:r>
    </w:p>
    <w:p w14:paraId="5B025F85" w14:textId="77777777" w:rsidR="0091792F" w:rsidRPr="0091792F" w:rsidRDefault="0091792F" w:rsidP="00F365A3">
      <w:pPr>
        <w:pStyle w:val="DESNZbulletedlist"/>
      </w:pPr>
      <w:r w:rsidRPr="0091792F">
        <w:t>to channel significant financial resources to forest-rich, developing countries.</w:t>
      </w:r>
    </w:p>
    <w:p w14:paraId="05175486" w14:textId="77777777" w:rsidR="0091792F" w:rsidRPr="0091792F" w:rsidRDefault="0091792F" w:rsidP="0091792F">
      <w:r w:rsidRPr="0091792F">
        <w:t xml:space="preserve">Together, these outcomes intend to shift economic incentives towards preserving standing forests, and also enhance local governance and capacity, which in turn will ultimately catalyse private-sector investments in higher-value, low-deforestation industries and the development of a self-sustaining jurisdictional REDD+ carbon credit market. </w:t>
      </w:r>
    </w:p>
    <w:p w14:paraId="6B125F09" w14:textId="7192AC1E" w:rsidR="0091792F" w:rsidRPr="0091792F" w:rsidRDefault="0091792F" w:rsidP="0091792F">
      <w:r w:rsidRPr="0091792F">
        <w:t>In terms of outputs, LEAF will support national and sub-national governments in meeting ART-TREES</w:t>
      </w:r>
      <w:r w:rsidRPr="0091792F">
        <w:rPr>
          <w:rStyle w:val="FootnoteReference"/>
        </w:rPr>
        <w:footnoteReference w:id="3"/>
      </w:r>
      <w:r w:rsidRPr="0091792F">
        <w:t xml:space="preserve">, a rigorous carbon credit standard, by providing </w:t>
      </w:r>
      <w:r w:rsidR="009316CA">
        <w:t>TA</w:t>
      </w:r>
      <w:r w:rsidRPr="0091792F">
        <w:t xml:space="preserve">, which will also support carbon measurement and social safeguarding. Then, LEAF will award performance-based payments for verified emissions reductions and provide an enabling environment for broader forest governance reforms that also support </w:t>
      </w:r>
      <w:r w:rsidR="009316CA">
        <w:t>IP</w:t>
      </w:r>
      <w:r w:rsidR="0096614B">
        <w:t xml:space="preserve"> and </w:t>
      </w:r>
      <w:r w:rsidR="008F0DC7">
        <w:t>LC</w:t>
      </w:r>
      <w:r w:rsidRPr="0091792F">
        <w:t xml:space="preserve"> rights. </w:t>
      </w:r>
    </w:p>
    <w:p w14:paraId="3AD4CB9D" w14:textId="77777777" w:rsidR="0091792F" w:rsidRPr="0091792F" w:rsidRDefault="0091792F" w:rsidP="0091792F">
      <w:pPr>
        <w:pStyle w:val="Heading4"/>
      </w:pPr>
      <w:r w:rsidRPr="0091792F">
        <w:lastRenderedPageBreak/>
        <w:t xml:space="preserve">LEAF’s Target Groups </w:t>
      </w:r>
    </w:p>
    <w:p w14:paraId="10941CE1" w14:textId="3211BC91" w:rsidR="0091792F" w:rsidRPr="0091792F" w:rsidRDefault="0091792F" w:rsidP="0091792F">
      <w:r w:rsidRPr="0091792F">
        <w:t xml:space="preserve">The LEAF Coalition targets two primary groups: </w:t>
      </w:r>
      <w:r w:rsidR="008F0DC7">
        <w:t>HJs</w:t>
      </w:r>
      <w:r w:rsidRPr="0091792F">
        <w:t xml:space="preserve"> and private sector buyers. Host jurisdictions include tropical and subtropical forest governments, both national and subnational, that demonstrate strong commitments to reducing deforestation and implementing sustainable land-use policies. These jurisdictions receive financial support for verified emissions reductions under high-integrity carbon credit standards. Private sector buyers (of which there are 2</w:t>
      </w:r>
      <w:r w:rsidR="0051709B">
        <w:t>6</w:t>
      </w:r>
      <w:r w:rsidRPr="0091792F">
        <w:t xml:space="preserve"> currently</w:t>
      </w:r>
      <w:r w:rsidR="005F5073">
        <w:t>,</w:t>
      </w:r>
      <w:r w:rsidR="0082202F">
        <w:t xml:space="preserve"> of which 23 are listed publicly</w:t>
      </w:r>
      <w:r w:rsidR="00E14ECD">
        <w:rPr>
          <w:rStyle w:val="FootnoteReference"/>
        </w:rPr>
        <w:footnoteReference w:id="4"/>
      </w:r>
      <w:r w:rsidRPr="0091792F">
        <w:t>) consist of companies with ambitious climate commitments that seek to purchase high-quality carbon credits to compensate for their unavoidable emissions. These corporations must align with science-based net-zero pathways and adhere to environmental and social safeguards.</w:t>
      </w:r>
    </w:p>
    <w:p w14:paraId="1D24AB39" w14:textId="77777777" w:rsidR="0091792F" w:rsidRPr="0091792F" w:rsidRDefault="0091792F" w:rsidP="0091792F">
      <w:r w:rsidRPr="0091792F">
        <w:t xml:space="preserve">The Delivery Partners for LEAF are Emergent, who coordinate the Coalition; and UNREDD and Ricardo, who deliver TA to jurisdictions in the form of capacity building, policy support, and project and investment support. Ricardo lead a consortium to deliver this TA, alongside Winrock and Climate Law and Policy. TA is provided to countries requiring capacity building and technical support to meet LEAF’s requirements. There are currently four donor governments for the LEAF Coalition, the UK, USA, Norway and South Korea. </w:t>
      </w:r>
    </w:p>
    <w:p w14:paraId="22C96820" w14:textId="77777777" w:rsidR="0091792F" w:rsidRPr="0091792F" w:rsidRDefault="0091792F" w:rsidP="0091792F">
      <w:pPr>
        <w:pStyle w:val="Heading4"/>
      </w:pPr>
      <w:r w:rsidRPr="0091792F">
        <w:t>LEAF’s Timeline</w:t>
      </w:r>
    </w:p>
    <w:p w14:paraId="490051C3" w14:textId="6D7BDB44" w:rsidR="009A28A2" w:rsidRDefault="0091792F" w:rsidP="0091792F">
      <w:r w:rsidRPr="0091792F">
        <w:t xml:space="preserve">The LEAF Coalition was launched in April 2021 with the signing of the first ERPA anticipated for November 2022. DESNZ </w:t>
      </w:r>
      <w:r w:rsidR="005F5073">
        <w:t xml:space="preserve">is </w:t>
      </w:r>
      <w:r w:rsidRPr="0091792F">
        <w:t xml:space="preserve">committed to supporting the Coalition until 2027 and has subsequently extended its support until 2030. DESNZ signed an initial grant agreement with Emergent to fund operational costs until May 2025, </w:t>
      </w:r>
      <w:r w:rsidR="00B3474E">
        <w:t>with an extension granted until 2026</w:t>
      </w:r>
      <w:r w:rsidRPr="0091792F">
        <w:t xml:space="preserve">. </w:t>
      </w:r>
      <w:r w:rsidR="00B3474E" w:rsidRPr="00B3474E">
        <w:fldChar w:fldCharType="begin"/>
      </w:r>
      <w:r w:rsidR="00B3474E" w:rsidRPr="00B3474E">
        <w:instrText xml:space="preserve"> REF _Ref202345384 \h </w:instrText>
      </w:r>
      <w:r w:rsidR="00B3474E" w:rsidRPr="00B3474E">
        <w:fldChar w:fldCharType="separate"/>
      </w:r>
      <w:r w:rsidR="00B3474E" w:rsidRPr="00B3474E">
        <w:t>Figure 1</w:t>
      </w:r>
      <w:r w:rsidR="00B3474E" w:rsidRPr="00B3474E">
        <w:fldChar w:fldCharType="end"/>
      </w:r>
      <w:r w:rsidR="00B3474E" w:rsidRPr="00B3474E">
        <w:t xml:space="preserve"> below shows the timeline of LEAF activities and events from 2021 to 2030.</w:t>
      </w:r>
      <w:r w:rsidR="00B3474E">
        <w:t xml:space="preserve"> </w:t>
      </w:r>
    </w:p>
    <w:p w14:paraId="21D7AE9E" w14:textId="77777777" w:rsidR="009A28A2" w:rsidRPr="009A28A2" w:rsidRDefault="009A28A2" w:rsidP="009A28A2">
      <w:pPr>
        <w:pStyle w:val="Heading4"/>
      </w:pPr>
      <w:r w:rsidRPr="009A28A2">
        <w:t xml:space="preserve">LEAF Geographical Coverage </w:t>
      </w:r>
    </w:p>
    <w:p w14:paraId="1CBFC3C5" w14:textId="2132AAA6" w:rsidR="009A28A2" w:rsidRPr="0091792F" w:rsidRDefault="009A28A2" w:rsidP="00F365A3">
      <w:pPr>
        <w:rPr>
          <w:b/>
        </w:rPr>
        <w:sectPr w:rsidR="009A28A2" w:rsidRPr="0091792F" w:rsidSect="00303390">
          <w:headerReference w:type="default" r:id="rId52"/>
          <w:pgSz w:w="11906" w:h="16838"/>
          <w:pgMar w:top="1418" w:right="907" w:bottom="907" w:left="907" w:header="709" w:footer="266" w:gutter="0"/>
          <w:cols w:space="708"/>
          <w:docGrid w:linePitch="360"/>
        </w:sectPr>
      </w:pPr>
      <w:r w:rsidRPr="009A28A2">
        <w:t>To date, 24 jurisdictions have submitted proposals to LEAF. This includes 12 national jurisdictions (Bolivia, Burkina Faso, Costa Rica, Ecuador, Ghana, Guyana, Kenya, Nepal, Nigeria, Papua New Guinea, Republic of Congo and Vietnam)  and 12 sub-national jurisdictions in a further four countries (Brazil: Acre, Amapá, Amazonas, Maranhão, Mato Grosso, Pará, Roraima, Tocantins; Colombia: Choco; DRC: Province de la Tshuapa; and Mexico: Jalisco and Quintana Roo). Out of these, 18 have progressed to signing a Letter of Intent (LoI) or a Memorandum of Understanding (MoU), with three progressing to signing an ERPA (Costa Rica, Ghana and Pará (Brazil). A further five countries have signalled intent to submit proposals to LEAF (Cambodia, Ethiopia, Lao PDR, Uganda and Zambia).</w:t>
      </w:r>
      <w:r w:rsidR="005F5073">
        <w:t xml:space="preserve"> </w:t>
      </w:r>
      <w:r w:rsidR="003F1556">
        <w:fldChar w:fldCharType="begin"/>
      </w:r>
      <w:r w:rsidR="003F1556">
        <w:instrText xml:space="preserve"> REF _Ref208583382 \h </w:instrText>
      </w:r>
      <w:r w:rsidR="003F1556">
        <w:fldChar w:fldCharType="separate"/>
      </w:r>
      <w:r w:rsidR="003F1556" w:rsidRPr="00875699">
        <w:t>Figure 2</w:t>
      </w:r>
      <w:r w:rsidR="003F1556">
        <w:fldChar w:fldCharType="end"/>
      </w:r>
      <w:r w:rsidR="003F1556">
        <w:t xml:space="preserve"> below</w:t>
      </w:r>
      <w:r w:rsidR="00790910">
        <w:t xml:space="preserve"> </w:t>
      </w:r>
      <w:r w:rsidR="00790910" w:rsidRPr="00790910">
        <w:t xml:space="preserve">highlights the geographical coverage of the LEAF Coalition and the progress of </w:t>
      </w:r>
      <w:r w:rsidR="00790910">
        <w:t>HJs</w:t>
      </w:r>
      <w:r w:rsidR="00790910" w:rsidRPr="00790910">
        <w:t xml:space="preserve"> towards signing ERPAs.</w:t>
      </w:r>
    </w:p>
    <w:p w14:paraId="2BE2DA4D" w14:textId="40C63A36" w:rsidR="00FE136A" w:rsidRDefault="0070596F" w:rsidP="0070596F">
      <w:pPr>
        <w:pStyle w:val="Caption"/>
      </w:pPr>
      <w:bookmarkStart w:id="27" w:name="_Toc204158643"/>
      <w:bookmarkStart w:id="28" w:name="_Toc209019068"/>
      <w:r w:rsidRPr="00E813B0">
        <w:lastRenderedPageBreak/>
        <w:t xml:space="preserve">Figure </w:t>
      </w:r>
      <w:fldSimple w:instr=" SEQ Figure \* ARABIC ">
        <w:r w:rsidR="00E0305E">
          <w:rPr>
            <w:noProof/>
          </w:rPr>
          <w:t>1</w:t>
        </w:r>
      </w:fldSimple>
      <w:bookmarkEnd w:id="26"/>
      <w:r w:rsidR="00AE3B2F" w:rsidRPr="00E813B0">
        <w:t>: Timeline of LEAF events 2021-2030</w:t>
      </w:r>
      <w:bookmarkEnd w:id="27"/>
      <w:bookmarkEnd w:id="28"/>
    </w:p>
    <w:p w14:paraId="215392FD" w14:textId="3A4E1760" w:rsidR="00767742" w:rsidRPr="00767742" w:rsidRDefault="00767742" w:rsidP="001B5440">
      <w:r w:rsidRPr="00767742">
        <w:rPr>
          <w:noProof/>
        </w:rPr>
        <w:drawing>
          <wp:inline distT="0" distB="0" distL="0" distR="0" wp14:anchorId="60E39FE1" wp14:editId="589C47E2">
            <wp:extent cx="9540240" cy="5363845"/>
            <wp:effectExtent l="0" t="0" r="3810" b="8255"/>
            <wp:docPr id="369391436" name="Picture 1" descr="A timeline for the LEAF Coalition from 2021 to 2030. This documents the progress of the programme and the involvement of the Department for Energy Security and Net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91436" name="Picture 1" descr="A timeline for the LEAF Coalition from 2021 to 2030. This documents the progress of the programme and the involvement of the Department for Energy Security and Net Zero"/>
                    <pic:cNvPicPr/>
                  </pic:nvPicPr>
                  <pic:blipFill>
                    <a:blip r:embed="rId53"/>
                    <a:stretch>
                      <a:fillRect/>
                    </a:stretch>
                  </pic:blipFill>
                  <pic:spPr>
                    <a:xfrm>
                      <a:off x="0" y="0"/>
                      <a:ext cx="9540240" cy="5363845"/>
                    </a:xfrm>
                    <a:prstGeom prst="rect">
                      <a:avLst/>
                    </a:prstGeom>
                  </pic:spPr>
                </pic:pic>
              </a:graphicData>
            </a:graphic>
          </wp:inline>
        </w:drawing>
      </w:r>
    </w:p>
    <w:p w14:paraId="433F3FA9" w14:textId="70B70108" w:rsidR="00C17B78" w:rsidRPr="00E813B0" w:rsidRDefault="00C17B78" w:rsidP="00D0305C"/>
    <w:p w14:paraId="5A73E52D" w14:textId="21C71B98" w:rsidR="00FB07C3" w:rsidRDefault="00875699" w:rsidP="00231625">
      <w:pPr>
        <w:pStyle w:val="Caption"/>
        <w:rPr>
          <w:noProof/>
        </w:rPr>
      </w:pPr>
      <w:bookmarkStart w:id="29" w:name="_Ref208583382"/>
      <w:bookmarkStart w:id="30" w:name="_Toc209019069"/>
      <w:r w:rsidRPr="00875699">
        <w:lastRenderedPageBreak/>
        <w:t xml:space="preserve">Figure </w:t>
      </w:r>
      <w:r w:rsidR="00E0305E">
        <w:fldChar w:fldCharType="begin"/>
      </w:r>
      <w:r w:rsidR="00E0305E">
        <w:rPr>
          <w:b w:val="0"/>
        </w:rPr>
        <w:instrText xml:space="preserve"> SEQ Figure \* ARABIC </w:instrText>
      </w:r>
      <w:r w:rsidR="00E0305E">
        <w:fldChar w:fldCharType="separate"/>
      </w:r>
      <w:r w:rsidR="00E0305E">
        <w:rPr>
          <w:noProof/>
        </w:rPr>
        <w:t>2</w:t>
      </w:r>
      <w:r w:rsidR="00E0305E">
        <w:rPr>
          <w:noProof/>
        </w:rPr>
        <w:fldChar w:fldCharType="end"/>
      </w:r>
      <w:bookmarkEnd w:id="29"/>
      <w:r w:rsidRPr="00875699">
        <w:t>: Geographical Coverage of the LEAF Coalition</w:t>
      </w:r>
      <w:r w:rsidRPr="00875699">
        <w:rPr>
          <w:rStyle w:val="FootnoteReference"/>
        </w:rPr>
        <w:footnoteReference w:id="5"/>
      </w:r>
      <w:bookmarkEnd w:id="30"/>
    </w:p>
    <w:p w14:paraId="7D7798B6" w14:textId="4C701741" w:rsidR="006E1DAC" w:rsidRDefault="00FB07C3" w:rsidP="00231625">
      <w:pPr>
        <w:pStyle w:val="Caption"/>
        <w:sectPr w:rsidR="006E1DAC" w:rsidSect="006E1DAC">
          <w:pgSz w:w="16838" w:h="11906" w:orient="landscape"/>
          <w:pgMar w:top="1418" w:right="907" w:bottom="907" w:left="907" w:header="709" w:footer="266" w:gutter="0"/>
          <w:cols w:space="708"/>
          <w:docGrid w:linePitch="360"/>
        </w:sectPr>
      </w:pPr>
      <w:r w:rsidRPr="00FB07C3">
        <w:rPr>
          <w:noProof/>
        </w:rPr>
        <w:drawing>
          <wp:inline distT="0" distB="0" distL="0" distR="0" wp14:anchorId="5F3CCDFF" wp14:editId="389C2141">
            <wp:extent cx="9506152" cy="5211173"/>
            <wp:effectExtent l="0" t="0" r="0" b="8890"/>
            <wp:docPr id="2030183053" name="Picture 1" descr="A map showing the geographic coverage of the LEAF Coalition including countries which have signed Emissions Reduction Payment Agreements, Letters of Intent or a Memorandum of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83053" name="Picture 1" descr="A map showing the geographic coverage of the LEAF Coalition including countries which have signed Emissions Reduction Payment Agreements, Letters of Intent or a Memorandum of Understanding."/>
                    <pic:cNvPicPr/>
                  </pic:nvPicPr>
                  <pic:blipFill>
                    <a:blip r:embed="rId54"/>
                    <a:stretch>
                      <a:fillRect/>
                    </a:stretch>
                  </pic:blipFill>
                  <pic:spPr>
                    <a:xfrm>
                      <a:off x="0" y="0"/>
                      <a:ext cx="9517280" cy="5217273"/>
                    </a:xfrm>
                    <a:prstGeom prst="rect">
                      <a:avLst/>
                    </a:prstGeom>
                  </pic:spPr>
                </pic:pic>
              </a:graphicData>
            </a:graphic>
          </wp:inline>
        </w:drawing>
      </w:r>
      <w:bookmarkStart w:id="31" w:name="_Ref202345538"/>
      <w:bookmarkStart w:id="32" w:name="_Toc204158644"/>
    </w:p>
    <w:bookmarkEnd w:id="31"/>
    <w:bookmarkEnd w:id="32"/>
    <w:p w14:paraId="31588709" w14:textId="77777777" w:rsidR="0009590C" w:rsidRDefault="0009590C" w:rsidP="00A34DC4">
      <w:r>
        <w:lastRenderedPageBreak/>
        <w:t>The LEAF Coalition transactions are carried out under 4 pathways as below:</w:t>
      </w:r>
    </w:p>
    <w:p w14:paraId="641ACFEF" w14:textId="1C68C684" w:rsidR="00A34DC4" w:rsidRPr="00A34DC4" w:rsidRDefault="00A34DC4" w:rsidP="00E03DAF">
      <w:pPr>
        <w:pStyle w:val="DESNZbulletedlist"/>
      </w:pPr>
      <w:r w:rsidRPr="00A34DC4">
        <w:t xml:space="preserve">Sovereign contributors will provide results-based payments (RBPs) and neither take title to the ERs nor use them towards their NDC targets. Supplier receiving RBPs will be required to retire the ERs on the ART registry, or Emergent may retire the ERs; in either event the Supplier Country may include the underlying mitigation in accounting for its NDC. </w:t>
      </w:r>
    </w:p>
    <w:p w14:paraId="73A7E0CF" w14:textId="4B10A95A" w:rsidR="00A34DC4" w:rsidRPr="00A34DC4" w:rsidRDefault="00A34DC4" w:rsidP="00E03DAF">
      <w:pPr>
        <w:pStyle w:val="DESNZbulletedlist"/>
      </w:pPr>
      <w:r w:rsidRPr="00A34DC4">
        <w:t>Private sector buyers may replicate the sovereign approach (e.g., RBP without taking title). Supplier receiving RBPs will be required to retire the ERs on the ART registry, or Emergent may retire the ERs; in either event the Supplier Country may include the</w:t>
      </w:r>
      <w:r w:rsidR="008C04F1">
        <w:t xml:space="preserve"> </w:t>
      </w:r>
      <w:r w:rsidRPr="00A34DC4">
        <w:t xml:space="preserve">underlying mitigation in accounting for its NDC. </w:t>
      </w:r>
    </w:p>
    <w:p w14:paraId="7344886F" w14:textId="7776996C" w:rsidR="00A34DC4" w:rsidRPr="00A34DC4" w:rsidRDefault="00A34DC4" w:rsidP="00E03DAF">
      <w:pPr>
        <w:pStyle w:val="DESNZbulletedlist"/>
      </w:pPr>
      <w:r w:rsidRPr="00A34DC4">
        <w:t xml:space="preserve">Private sector buyers may provide results-based finance and take title to the ERs. If private sector buyers take title to the ERs under this option, the Supplier will transfer the ERs to Emergent on the ART registry, and Emergent will then transfer the ERs to private sector buyers, but the Supplier Country will include the underlying mitigation in accounting for its NDC. The private sector buyer will transparently communicate that the underlying mitigation counts towards the Supplier Country’s NDC implementation and achievement. </w:t>
      </w:r>
    </w:p>
    <w:p w14:paraId="6A63055F" w14:textId="6DD56901" w:rsidR="00A34DC4" w:rsidRDefault="00A34DC4" w:rsidP="00E03DAF">
      <w:pPr>
        <w:pStyle w:val="DESNZbulletedlist"/>
      </w:pPr>
      <w:r w:rsidRPr="00A34DC4">
        <w:t>Private sector buyers may take title to ERs, including for use towards compliance targets, for which the Supplier Country is willing to make a corresponding adjustment. Under this option the Supplier will transfer the ERs to Emergent on the ART registry, and Emergent will then transfer the ERs to private sector buyers, and the Supplier Country will apply corresponding adjustments for the underlying mitigation in accounting for its NDC.</w:t>
      </w:r>
      <w:r w:rsidR="008C04F1">
        <w:rPr>
          <w:rStyle w:val="FootnoteReference"/>
        </w:rPr>
        <w:footnoteReference w:id="6"/>
      </w:r>
    </w:p>
    <w:p w14:paraId="1733C955" w14:textId="66DEDF8D" w:rsidR="004E29BC" w:rsidRPr="00E813B0" w:rsidRDefault="000E4DDB" w:rsidP="000E4DDB">
      <w:r w:rsidRPr="00E813B0">
        <w:t xml:space="preserve">The overall aim of this evaluation is to further </w:t>
      </w:r>
      <w:r w:rsidR="00E85E3E">
        <w:t xml:space="preserve">the </w:t>
      </w:r>
      <w:r w:rsidRPr="00E813B0">
        <w:t>UK Government</w:t>
      </w:r>
      <w:r w:rsidR="00E85E3E">
        <w:t>’s</w:t>
      </w:r>
      <w:r w:rsidRPr="00E813B0">
        <w:t xml:space="preserve"> understanding of the effectiveness of the UK fund’s contribution to the LEAF Coalition and its TA package. The evaluation covers all aspects of LEAF and associated TA as set out in the business case. </w:t>
      </w:r>
      <w:r w:rsidR="00605F34" w:rsidRPr="00E813B0">
        <w:t xml:space="preserve">This evaluation and the findings on </w:t>
      </w:r>
      <w:r w:rsidR="00A907D4">
        <w:t xml:space="preserve">the </w:t>
      </w:r>
      <w:r w:rsidR="00605F34" w:rsidRPr="00E813B0">
        <w:t>availability of data and progress of the LEAF Coalition will also inform scoping of a future impact evaluation.</w:t>
      </w:r>
      <w:r w:rsidR="00231625" w:rsidRPr="00E813B0">
        <w:t xml:space="preserve"> </w:t>
      </w:r>
      <w:r w:rsidRPr="00E813B0">
        <w:t xml:space="preserve">The commissioner and main user of the evaluation is DESNZ who will use </w:t>
      </w:r>
      <w:r w:rsidR="00A907D4">
        <w:t xml:space="preserve">the </w:t>
      </w:r>
      <w:r w:rsidRPr="00E813B0">
        <w:t xml:space="preserve">findings to support future programme decisions. </w:t>
      </w:r>
      <w:r w:rsidR="00D440BC" w:rsidRPr="00E813B0">
        <w:t>Findings will be disseminated through several webinars to wider LEAF stakeholders.</w:t>
      </w:r>
      <w:r w:rsidR="00441D33" w:rsidRPr="00E813B0">
        <w:t xml:space="preserve"> </w:t>
      </w:r>
      <w:r w:rsidR="00CB0CEB" w:rsidRPr="00E813B0">
        <w:t>Annex</w:t>
      </w:r>
      <w:r w:rsidR="00D440BC" w:rsidRPr="00E813B0">
        <w:t xml:space="preserve"> </w:t>
      </w:r>
      <w:r w:rsidR="00CA51E8">
        <w:t>8</w:t>
      </w:r>
      <w:r w:rsidR="00441D33" w:rsidRPr="00E813B0">
        <w:t xml:space="preserve"> provides further details of the evaluation use and influence plan.</w:t>
      </w:r>
      <w:r w:rsidR="004E29BC" w:rsidRPr="00E813B0">
        <w:t xml:space="preserve"> The evaluation was framed around the </w:t>
      </w:r>
      <w:r w:rsidR="0078585F" w:rsidRPr="00E813B0">
        <w:t xml:space="preserve">following overarching evaluation </w:t>
      </w:r>
      <w:r w:rsidR="004E29BC" w:rsidRPr="00E813B0">
        <w:t>questions</w:t>
      </w:r>
      <w:r w:rsidR="00EB33B5">
        <w:t xml:space="preserve"> </w:t>
      </w:r>
      <w:r w:rsidR="00A468CC">
        <w:t>(EQs)</w:t>
      </w:r>
      <w:r w:rsidR="003F16A5">
        <w:t xml:space="preserve"> aligned with the </w:t>
      </w:r>
      <w:r w:rsidR="003F16A5" w:rsidRPr="003F16A5">
        <w:t>OECD's Development Assistance Committee (DAC)</w:t>
      </w:r>
      <w:r w:rsidR="003F16A5">
        <w:t xml:space="preserve"> evaluation criteria</w:t>
      </w:r>
      <w:r w:rsidR="00A468CC">
        <w:t xml:space="preserve"> </w:t>
      </w:r>
      <w:r w:rsidR="00EB33B5">
        <w:t>(for detailed</w:t>
      </w:r>
      <w:r w:rsidR="00A468CC">
        <w:t xml:space="preserve"> EQs see Annex 2)</w:t>
      </w:r>
      <w:r w:rsidR="00F4075D" w:rsidRPr="00E813B0">
        <w:t>:</w:t>
      </w:r>
    </w:p>
    <w:p w14:paraId="09435193" w14:textId="0786C641" w:rsidR="00A57C6D" w:rsidRPr="00E813B0" w:rsidRDefault="001D5ADE" w:rsidP="00837E24">
      <w:pPr>
        <w:pStyle w:val="DESNZbulletedlist"/>
      </w:pPr>
      <w:r w:rsidRPr="00E813B0">
        <w:rPr>
          <w:lang w:eastAsia="en-GB"/>
        </w:rPr>
        <w:t>Relevance: Is the intervention doing the right thing?</w:t>
      </w:r>
    </w:p>
    <w:p w14:paraId="342F9D3F" w14:textId="04BD5DCC" w:rsidR="001D5ADE" w:rsidRPr="00E813B0" w:rsidRDefault="00DA4615" w:rsidP="00837E24">
      <w:pPr>
        <w:pStyle w:val="DESNZbulletedlist"/>
      </w:pPr>
      <w:r w:rsidRPr="00E813B0">
        <w:t>Coherence: How well does the intervention fit?</w:t>
      </w:r>
    </w:p>
    <w:p w14:paraId="15AF138A" w14:textId="788D5EEF" w:rsidR="00105254" w:rsidRPr="00E813B0" w:rsidRDefault="00105254" w:rsidP="00837E24">
      <w:pPr>
        <w:pStyle w:val="DESNZbulletedlist"/>
      </w:pPr>
      <w:r w:rsidRPr="00E813B0">
        <w:t>Effectiveness: Is the intervention achieving its objectives?</w:t>
      </w:r>
    </w:p>
    <w:p w14:paraId="161E007D" w14:textId="1805896A" w:rsidR="00E37346" w:rsidRPr="00E813B0" w:rsidRDefault="00E37346" w:rsidP="00837E24">
      <w:pPr>
        <w:pStyle w:val="DESNZbulletedlist"/>
      </w:pPr>
      <w:r w:rsidRPr="00E813B0">
        <w:t>Efficiency: How well are resources being used?</w:t>
      </w:r>
    </w:p>
    <w:p w14:paraId="7BF0F3D7" w14:textId="614167EF" w:rsidR="00046B9E" w:rsidRPr="00E813B0" w:rsidRDefault="00046B9E" w:rsidP="00837E24">
      <w:pPr>
        <w:pStyle w:val="DESNZbulletedlist"/>
      </w:pPr>
      <w:r w:rsidRPr="00E813B0">
        <w:t>Value for Money: To what extent does the interv</w:t>
      </w:r>
      <w:r w:rsidR="00B051EB" w:rsidRPr="00E813B0">
        <w:t>ention</w:t>
      </w:r>
      <w:r w:rsidRPr="00E813B0">
        <w:t xml:space="preserve"> represent value for money?</w:t>
      </w:r>
    </w:p>
    <w:p w14:paraId="2CEBCA27" w14:textId="7CAC7283" w:rsidR="00046B9E" w:rsidRPr="00E813B0" w:rsidRDefault="00C42519" w:rsidP="00837E24">
      <w:pPr>
        <w:pStyle w:val="DESNZbulletedlist"/>
      </w:pPr>
      <w:r w:rsidRPr="00E813B0">
        <w:lastRenderedPageBreak/>
        <w:t>GEDSI and Equity: To what extent does the intervention address GEDSI and equity?</w:t>
      </w:r>
    </w:p>
    <w:p w14:paraId="05D63700" w14:textId="3C65A07A" w:rsidR="00A57C6D" w:rsidRPr="00E813B0" w:rsidRDefault="00A57C6D" w:rsidP="000E4DDB">
      <w:r w:rsidRPr="00E813B0">
        <w:t xml:space="preserve">Annex 2 presents </w:t>
      </w:r>
      <w:r w:rsidR="00B262EC">
        <w:t xml:space="preserve">the </w:t>
      </w:r>
      <w:r w:rsidRPr="00E813B0">
        <w:t>detailed evaluation framework, questions and sub-questions</w:t>
      </w:r>
      <w:r w:rsidR="00B262EC">
        <w:t xml:space="preserve">, a summary of the </w:t>
      </w:r>
      <w:r w:rsidR="00985C48">
        <w:t xml:space="preserve">specific </w:t>
      </w:r>
      <w:r w:rsidR="00B262EC">
        <w:t xml:space="preserve">findings </w:t>
      </w:r>
      <w:r w:rsidR="00985C48">
        <w:t xml:space="preserve">and evidence </w:t>
      </w:r>
      <w:r w:rsidR="00B262EC">
        <w:t>against each of these questions and sub-questions</w:t>
      </w:r>
      <w:r w:rsidR="00985C48">
        <w:t xml:space="preserve"> and a strength of evidence rating</w:t>
      </w:r>
      <w:r w:rsidRPr="00E813B0">
        <w:t>.</w:t>
      </w:r>
    </w:p>
    <w:p w14:paraId="60CC995C" w14:textId="2D5B8497" w:rsidR="00C17B78" w:rsidRPr="00E813B0" w:rsidRDefault="00AC1386" w:rsidP="00C17B78">
      <w:pPr>
        <w:pStyle w:val="Heading2"/>
      </w:pPr>
      <w:bookmarkStart w:id="33" w:name="_Toc204091201"/>
      <w:bookmarkStart w:id="34" w:name="_Toc209013276"/>
      <w:r w:rsidRPr="00E813B0">
        <w:t xml:space="preserve">1.2 </w:t>
      </w:r>
      <w:r w:rsidR="0041623C" w:rsidRPr="00E813B0">
        <w:t xml:space="preserve">Evaluation Approach, </w:t>
      </w:r>
      <w:r w:rsidR="00C17B78" w:rsidRPr="00E813B0">
        <w:t>Design and Methods</w:t>
      </w:r>
      <w:bookmarkEnd w:id="33"/>
      <w:bookmarkEnd w:id="34"/>
    </w:p>
    <w:p w14:paraId="6205CA5E" w14:textId="349F6296" w:rsidR="009875F8" w:rsidRDefault="004F169F" w:rsidP="00C948F8">
      <w:r w:rsidRPr="00E813B0">
        <w:t xml:space="preserve">This </w:t>
      </w:r>
      <w:r w:rsidR="00655CBA" w:rsidRPr="00E813B0">
        <w:t>process evaluation</w:t>
      </w:r>
      <w:r w:rsidRPr="00E813B0">
        <w:t xml:space="preserve"> used a </w:t>
      </w:r>
      <w:r w:rsidRPr="00E813B0">
        <w:rPr>
          <w:rStyle w:val="Boldtext"/>
        </w:rPr>
        <w:t>theory-based approach</w:t>
      </w:r>
      <w:r w:rsidRPr="00E813B0">
        <w:t xml:space="preserve"> to provide a comprehensive understanding of the mechanisms which underpin the LEAF Coalition. </w:t>
      </w:r>
      <w:r w:rsidR="00424FEE" w:rsidRPr="00E813B0">
        <w:t>The</w:t>
      </w:r>
      <w:r w:rsidRPr="00E813B0">
        <w:t xml:space="preserve"> E</w:t>
      </w:r>
      <w:r w:rsidR="001E3A8F" w:rsidRPr="00E813B0">
        <w:t xml:space="preserve">valuation </w:t>
      </w:r>
      <w:r w:rsidRPr="00E813B0">
        <w:t>T</w:t>
      </w:r>
      <w:r w:rsidR="001E3A8F" w:rsidRPr="00E813B0">
        <w:t>eam (ET)</w:t>
      </w:r>
      <w:r w:rsidRPr="00E813B0">
        <w:t xml:space="preserve"> </w:t>
      </w:r>
      <w:r w:rsidR="00AA221E" w:rsidRPr="00E813B0">
        <w:t>reviewed</w:t>
      </w:r>
      <w:r w:rsidRPr="00E813B0">
        <w:t xml:space="preserve"> and refin</w:t>
      </w:r>
      <w:r w:rsidR="00AA221E" w:rsidRPr="00E813B0">
        <w:t>ed</w:t>
      </w:r>
      <w:r w:rsidRPr="00E813B0">
        <w:t xml:space="preserve"> the LEAF Coalition business case </w:t>
      </w:r>
      <w:r w:rsidR="00424FEE" w:rsidRPr="00E813B0">
        <w:t>Theory of Change</w:t>
      </w:r>
      <w:r w:rsidR="008D4D7E" w:rsidRPr="00E813B0">
        <w:t xml:space="preserve"> (ToC)</w:t>
      </w:r>
      <w:r w:rsidR="00424FEE" w:rsidRPr="00E813B0">
        <w:t xml:space="preserve"> </w:t>
      </w:r>
      <w:r w:rsidRPr="00E813B0">
        <w:t>to ensure that the revised ToC accurately reflects the evolving pathways to results and underlying assumptions</w:t>
      </w:r>
      <w:r w:rsidR="000C4F8B" w:rsidRPr="00E813B0">
        <w:t xml:space="preserve"> (</w:t>
      </w:r>
      <w:r w:rsidR="00B61EC7">
        <w:t xml:space="preserve">see </w:t>
      </w:r>
      <w:r w:rsidR="00785E74">
        <w:fldChar w:fldCharType="begin"/>
      </w:r>
      <w:r w:rsidR="00785E74">
        <w:instrText xml:space="preserve"> REF _Ref208584921 \h </w:instrText>
      </w:r>
      <w:r w:rsidR="00785E74">
        <w:fldChar w:fldCharType="separate"/>
      </w:r>
      <w:r w:rsidR="00785E74">
        <w:t xml:space="preserve">Figure </w:t>
      </w:r>
      <w:r w:rsidR="00785E74">
        <w:rPr>
          <w:noProof/>
        </w:rPr>
        <w:t>3</w:t>
      </w:r>
      <w:r w:rsidR="00785E74">
        <w:fldChar w:fldCharType="end"/>
      </w:r>
      <w:r w:rsidR="00881824" w:rsidRPr="00E813B0">
        <w:t>)</w:t>
      </w:r>
      <w:r w:rsidRPr="00E813B0">
        <w:t xml:space="preserve">. </w:t>
      </w:r>
      <w:r w:rsidR="00655CBA" w:rsidRPr="00E813B0">
        <w:t xml:space="preserve">The evaluation </w:t>
      </w:r>
      <w:r w:rsidR="00BD18E3" w:rsidRPr="00E813B0">
        <w:t>is</w:t>
      </w:r>
      <w:r w:rsidR="00655CBA" w:rsidRPr="00E813B0">
        <w:t xml:space="preserve"> </w:t>
      </w:r>
      <w:r w:rsidR="00A907D4">
        <w:rPr>
          <w:rStyle w:val="Boldtext"/>
        </w:rPr>
        <w:t>utility-focused</w:t>
      </w:r>
      <w:r w:rsidR="00BD18E3" w:rsidRPr="00E813B0">
        <w:rPr>
          <w:rStyle w:val="Boldtext"/>
        </w:rPr>
        <w:t xml:space="preserve">, </w:t>
      </w:r>
      <w:r w:rsidR="00A30082" w:rsidRPr="00E813B0">
        <w:t>with a</w:t>
      </w:r>
      <w:r w:rsidR="00BD18E3" w:rsidRPr="00E813B0">
        <w:t xml:space="preserve">ctionable recommendations </w:t>
      </w:r>
      <w:r w:rsidR="00F076F0" w:rsidRPr="00E813B0">
        <w:t xml:space="preserve">developed alongside DESNZ and based on </w:t>
      </w:r>
      <w:r w:rsidR="005F0EA4" w:rsidRPr="00E813B0">
        <w:t>the analysis, findings and conclusions of the evaluation.</w:t>
      </w:r>
      <w:r w:rsidR="006A7EAB" w:rsidRPr="00E813B0">
        <w:rPr>
          <w:rStyle w:val="Boldtext"/>
        </w:rPr>
        <w:t xml:space="preserve"> </w:t>
      </w:r>
      <w:r w:rsidR="009875F8" w:rsidRPr="00E813B0">
        <w:t xml:space="preserve">The evaluation </w:t>
      </w:r>
      <w:r w:rsidR="00994AF6" w:rsidRPr="00E813B0">
        <w:t>utilised</w:t>
      </w:r>
      <w:r w:rsidR="005F0EA4" w:rsidRPr="00E813B0">
        <w:t xml:space="preserve"> </w:t>
      </w:r>
      <w:r w:rsidR="005F0EA4" w:rsidRPr="00E813B0">
        <w:rPr>
          <w:rStyle w:val="Boldtext"/>
        </w:rPr>
        <w:t>mixed methods</w:t>
      </w:r>
      <w:r w:rsidR="005F0EA4" w:rsidRPr="00E813B0">
        <w:t>.</w:t>
      </w:r>
    </w:p>
    <w:p w14:paraId="15DEDFF7" w14:textId="115B8138" w:rsidR="006448F0" w:rsidRDefault="006448F0" w:rsidP="00C948F8">
      <w:r w:rsidRPr="006448F0">
        <w:t xml:space="preserve">An extensive exercise was undertaken to review the </w:t>
      </w:r>
      <w:r w:rsidR="00A125D1">
        <w:t>evaluation questions (</w:t>
      </w:r>
      <w:r w:rsidRPr="006448F0">
        <w:t>EQs</w:t>
      </w:r>
      <w:r w:rsidR="00A125D1">
        <w:t>)</w:t>
      </w:r>
      <w:r w:rsidRPr="006448F0">
        <w:t xml:space="preserve"> (as per the </w:t>
      </w:r>
      <w:r w:rsidR="0037041B">
        <w:t>Terms of Reference</w:t>
      </w:r>
      <w:r w:rsidRPr="006448F0">
        <w:t xml:space="preserve">). This involved internal team meetings and a workshop with </w:t>
      </w:r>
      <w:r w:rsidR="00A125D1">
        <w:t>DESNZ</w:t>
      </w:r>
      <w:r w:rsidRPr="006448F0">
        <w:t xml:space="preserve"> to finalise the EQ’s</w:t>
      </w:r>
      <w:r w:rsidR="0063299E">
        <w:t xml:space="preserve"> (Annex 2)</w:t>
      </w:r>
      <w:r w:rsidRPr="006448F0">
        <w:t xml:space="preserve">. As part of the EQ revisions, it was decided that the impact questions were not suitable to assess at this stage due to </w:t>
      </w:r>
      <w:r w:rsidR="000051E6">
        <w:t>this being</w:t>
      </w:r>
      <w:r w:rsidRPr="006448F0">
        <w:t xml:space="preserve"> a process evaluation and very few countries had reached outcome and impact level change states.</w:t>
      </w:r>
    </w:p>
    <w:p w14:paraId="4C34BE45" w14:textId="76721897" w:rsidR="00A36777" w:rsidRPr="00A36777" w:rsidRDefault="00A36777" w:rsidP="00A36777">
      <w:r>
        <w:t>In terms of primary evidence, the</w:t>
      </w:r>
      <w:r w:rsidRPr="00A36777">
        <w:t xml:space="preserve"> </w:t>
      </w:r>
      <w:r>
        <w:t>ET</w:t>
      </w:r>
      <w:r w:rsidRPr="00A36777">
        <w:t xml:space="preserve"> carried out </w:t>
      </w:r>
      <w:r w:rsidRPr="001B5440">
        <w:rPr>
          <w:rStyle w:val="Boldtext"/>
        </w:rPr>
        <w:t xml:space="preserve">57 </w:t>
      </w:r>
      <w:r>
        <w:rPr>
          <w:rStyle w:val="Boldtext"/>
        </w:rPr>
        <w:t xml:space="preserve">key informant </w:t>
      </w:r>
      <w:r w:rsidRPr="001B5440">
        <w:rPr>
          <w:rStyle w:val="Boldtext"/>
        </w:rPr>
        <w:t>interviews</w:t>
      </w:r>
      <w:r w:rsidRPr="00A36777">
        <w:t xml:space="preserve"> </w:t>
      </w:r>
      <w:r w:rsidRPr="001B5440">
        <w:rPr>
          <w:rStyle w:val="Boldtext"/>
        </w:rPr>
        <w:t>involving a total of 71 participants</w:t>
      </w:r>
      <w:r w:rsidRPr="00A36777">
        <w:t xml:space="preserve">. </w:t>
      </w:r>
      <w:r>
        <w:t>The interviews were selected purposively to capture a broad set of stakeholders including the LEAF implementing partners</w:t>
      </w:r>
      <w:r w:rsidR="00F85434">
        <w:t>,</w:t>
      </w:r>
      <w:r>
        <w:t xml:space="preserve"> TA providers, </w:t>
      </w:r>
      <w:r w:rsidR="004D4684">
        <w:t>HJs</w:t>
      </w:r>
      <w:r>
        <w:t xml:space="preserve">, </w:t>
      </w:r>
      <w:r w:rsidR="004D4684">
        <w:t xml:space="preserve">corporate buyers </w:t>
      </w:r>
      <w:r>
        <w:t>HMG stakeholders and other civil society. The interviews took place between May 7</w:t>
      </w:r>
      <w:r w:rsidRPr="00A36777">
        <w:t>th</w:t>
      </w:r>
      <w:r>
        <w:t xml:space="preserve"> and June 23</w:t>
      </w:r>
      <w:r w:rsidRPr="00A36777">
        <w:t>rd</w:t>
      </w:r>
      <w:r>
        <w:t xml:space="preserve">, 2025. </w:t>
      </w:r>
      <w:r w:rsidRPr="00A36777">
        <w:t>These interviews included:</w:t>
      </w:r>
      <w:r>
        <w:t xml:space="preserve"> </w:t>
      </w:r>
      <w:r w:rsidRPr="00A36777">
        <w:t>11 with Emergent</w:t>
      </w:r>
      <w:r w:rsidR="006C730E">
        <w:t xml:space="preserve"> as the primary delivery partner</w:t>
      </w:r>
      <w:r>
        <w:t xml:space="preserve">; </w:t>
      </w:r>
      <w:r w:rsidRPr="00A36777">
        <w:t xml:space="preserve">14 with stakeholders from 10 </w:t>
      </w:r>
      <w:r w:rsidR="006C730E">
        <w:t xml:space="preserve">HJs </w:t>
      </w:r>
      <w:r w:rsidR="00ED0C67">
        <w:t xml:space="preserve">selected based upon their </w:t>
      </w:r>
      <w:r w:rsidR="00ED0C67" w:rsidRPr="35182277">
        <w:t xml:space="preserve">status of engagement with </w:t>
      </w:r>
      <w:r w:rsidR="006C730E">
        <w:t xml:space="preserve">the </w:t>
      </w:r>
      <w:r w:rsidR="00ED0C67" w:rsidRPr="35182277">
        <w:t xml:space="preserve">LEAF Coalition, </w:t>
      </w:r>
      <w:r w:rsidR="006C730E">
        <w:t xml:space="preserve">whether they were engaging at the </w:t>
      </w:r>
      <w:r w:rsidR="00ED0C67" w:rsidRPr="35182277">
        <w:t xml:space="preserve">national or sub-national level, provision of TA </w:t>
      </w:r>
      <w:r w:rsidR="006C730E">
        <w:t xml:space="preserve">to the HJ </w:t>
      </w:r>
      <w:r w:rsidR="00ED0C67" w:rsidRPr="35182277">
        <w:t>and economic status of country</w:t>
      </w:r>
      <w:r>
        <w:t xml:space="preserve">; </w:t>
      </w:r>
      <w:r w:rsidRPr="00A36777">
        <w:t>9 with in-post FCDO staff</w:t>
      </w:r>
      <w:r w:rsidR="00ED0C67">
        <w:t xml:space="preserve"> in the same countries as the HJs sampled</w:t>
      </w:r>
      <w:r>
        <w:t xml:space="preserve">; </w:t>
      </w:r>
      <w:r w:rsidRPr="00A36777">
        <w:t>4 with corporate buyers</w:t>
      </w:r>
      <w:r w:rsidR="001D68B1">
        <w:t xml:space="preserve"> to represent a range of market sectors</w:t>
      </w:r>
      <w:r>
        <w:t xml:space="preserve">; </w:t>
      </w:r>
      <w:r w:rsidRPr="00A36777">
        <w:t>8 with</w:t>
      </w:r>
      <w:r w:rsidR="001D68B1">
        <w:t xml:space="preserve"> all</w:t>
      </w:r>
      <w:r w:rsidRPr="00A36777">
        <w:t xml:space="preserve"> TA providers</w:t>
      </w:r>
      <w:r w:rsidR="001D68B1">
        <w:t xml:space="preserve"> under UK TAP</w:t>
      </w:r>
      <w:r>
        <w:t xml:space="preserve">; </w:t>
      </w:r>
      <w:r w:rsidRPr="00A36777">
        <w:t xml:space="preserve">6 with representatives from other </w:t>
      </w:r>
      <w:r w:rsidR="006C730E">
        <w:t xml:space="preserve">relevant </w:t>
      </w:r>
      <w:r w:rsidRPr="00A36777">
        <w:t>UK Government departments</w:t>
      </w:r>
      <w:r>
        <w:t xml:space="preserve">; </w:t>
      </w:r>
      <w:r w:rsidRPr="00A36777">
        <w:t>2 with other LEAF donors</w:t>
      </w:r>
      <w:r>
        <w:t xml:space="preserve">; and </w:t>
      </w:r>
      <w:r w:rsidRPr="00A36777">
        <w:t xml:space="preserve">3 with </w:t>
      </w:r>
      <w:r w:rsidR="00044F13">
        <w:t xml:space="preserve">relevant </w:t>
      </w:r>
      <w:r w:rsidRPr="00A36777">
        <w:t>civil society stakeholders</w:t>
      </w:r>
      <w:r>
        <w:t>.</w:t>
      </w:r>
      <w:r w:rsidR="00F85434">
        <w:t xml:space="preserve"> As no LEAF transactions have occurred </w:t>
      </w:r>
      <w:r w:rsidR="007822FC">
        <w:t>to date</w:t>
      </w:r>
      <w:r w:rsidR="00F85434">
        <w:t>, there were no direct beneficiary groups consulted.</w:t>
      </w:r>
      <w:r>
        <w:t xml:space="preserve"> </w:t>
      </w:r>
      <w:r w:rsidRPr="005F04E8">
        <w:t xml:space="preserve">The full list of consultees </w:t>
      </w:r>
      <w:r w:rsidR="00AF471C">
        <w:t>is</w:t>
      </w:r>
      <w:r w:rsidRPr="005F04E8">
        <w:t xml:space="preserve"> available </w:t>
      </w:r>
      <w:r w:rsidR="00AF471C">
        <w:t>at</w:t>
      </w:r>
      <w:r w:rsidRPr="005F04E8">
        <w:t xml:space="preserve"> Annex </w:t>
      </w:r>
      <w:r w:rsidR="00AF471C">
        <w:t xml:space="preserve">4 and the </w:t>
      </w:r>
      <w:r w:rsidR="004D4684">
        <w:t xml:space="preserve">key informant interview </w:t>
      </w:r>
      <w:r w:rsidR="00AF471C">
        <w:t>protocol is available at Annex 11 noting that this was adapted to specific stakeholders.</w:t>
      </w:r>
    </w:p>
    <w:p w14:paraId="71D4F4D0" w14:textId="7043E647" w:rsidR="00DE76D2" w:rsidRDefault="00B34ED0" w:rsidP="00E47E80">
      <w:r>
        <w:t xml:space="preserve">In terms of </w:t>
      </w:r>
      <w:r w:rsidR="00A36777">
        <w:t xml:space="preserve">secondary evidence, </w:t>
      </w:r>
      <w:r w:rsidR="00E47E80">
        <w:t>t</w:t>
      </w:r>
      <w:r w:rsidR="00E47E80" w:rsidRPr="00E47E80">
        <w:rPr>
          <w:lang w:eastAsia="en-GB"/>
        </w:rPr>
        <w:t xml:space="preserve">he </w:t>
      </w:r>
      <w:r w:rsidR="00E47E80">
        <w:t>ET</w:t>
      </w:r>
      <w:r w:rsidR="00E47E80" w:rsidRPr="00E47E80">
        <w:rPr>
          <w:lang w:eastAsia="en-GB"/>
        </w:rPr>
        <w:t xml:space="preserve"> conducted a comprehensive </w:t>
      </w:r>
      <w:r w:rsidR="00A36777" w:rsidRPr="00F365A3">
        <w:rPr>
          <w:rStyle w:val="Boldtext"/>
        </w:rPr>
        <w:t xml:space="preserve">document </w:t>
      </w:r>
      <w:r w:rsidR="00E47E80" w:rsidRPr="00F365A3">
        <w:rPr>
          <w:rStyle w:val="Boldtext"/>
        </w:rPr>
        <w:t>review</w:t>
      </w:r>
      <w:r w:rsidR="00E47E80" w:rsidRPr="00E47E80">
        <w:rPr>
          <w:lang w:eastAsia="en-GB"/>
        </w:rPr>
        <w:t xml:space="preserve"> of</w:t>
      </w:r>
      <w:r w:rsidR="00E47E80">
        <w:t xml:space="preserve"> over</w:t>
      </w:r>
      <w:r w:rsidR="00E47E80" w:rsidRPr="00E47E80">
        <w:rPr>
          <w:lang w:eastAsia="en-GB"/>
        </w:rPr>
        <w:t xml:space="preserve"> 200 documents, encompassing internal LEAF documentation (including annual reviews and quarterly performance meeting records), UK Government reporting (notably the ICF annual reports), and broader academic and grey literature. </w:t>
      </w:r>
      <w:r w:rsidR="007365A9">
        <w:t xml:space="preserve">A </w:t>
      </w:r>
      <w:r w:rsidR="001174C9">
        <w:t xml:space="preserve">full list of documents reviewed is </w:t>
      </w:r>
      <w:r w:rsidR="00D2247C">
        <w:t>in Annex 10</w:t>
      </w:r>
      <w:r w:rsidR="00BD45B7">
        <w:t>.</w:t>
      </w:r>
      <w:r w:rsidR="00D2247C">
        <w:t xml:space="preserve"> </w:t>
      </w:r>
      <w:r w:rsidR="00E47E80" w:rsidRPr="00E47E80">
        <w:rPr>
          <w:lang w:eastAsia="en-GB"/>
        </w:rPr>
        <w:t xml:space="preserve">As part of this process, the team developed literature reviews focused on external coherence, private sector trends, and Indigenous Peoples </w:t>
      </w:r>
      <w:r w:rsidR="00036D30">
        <w:t>and</w:t>
      </w:r>
      <w:r w:rsidR="00E47E80" w:rsidRPr="00E47E80">
        <w:rPr>
          <w:lang w:eastAsia="en-GB"/>
        </w:rPr>
        <w:t xml:space="preserve"> Local Communities (IP</w:t>
      </w:r>
      <w:r w:rsidR="00036D30">
        <w:t xml:space="preserve"> and </w:t>
      </w:r>
      <w:r w:rsidR="00E47E80" w:rsidRPr="00E47E80">
        <w:rPr>
          <w:lang w:eastAsia="en-GB"/>
        </w:rPr>
        <w:t>LC) engagement, which are included in the annexes of the final report.</w:t>
      </w:r>
      <w:r w:rsidR="00AF471C" w:rsidRPr="00AF471C">
        <w:t xml:space="preserve"> </w:t>
      </w:r>
      <w:r w:rsidR="00AF471C" w:rsidRPr="005F04E8">
        <w:t xml:space="preserve">The full list of consultees </w:t>
      </w:r>
      <w:r w:rsidR="00AF471C">
        <w:t>is</w:t>
      </w:r>
      <w:r w:rsidR="00AF471C" w:rsidRPr="005F04E8">
        <w:t xml:space="preserve"> available in Annex </w:t>
      </w:r>
      <w:r w:rsidR="00AF471C">
        <w:t>10</w:t>
      </w:r>
      <w:r w:rsidR="00AF471C" w:rsidRPr="005F04E8">
        <w:t>.</w:t>
      </w:r>
    </w:p>
    <w:p w14:paraId="4F269EDA" w14:textId="2A7E5FE4" w:rsidR="002C5FB5" w:rsidRDefault="005E4536" w:rsidP="00F365A3">
      <w:pPr>
        <w:rPr>
          <w:rFonts w:eastAsia="Times New Roman" w:cs="Times New Roman"/>
          <w:b/>
          <w:sz w:val="23"/>
          <w:szCs w:val="24"/>
        </w:rPr>
      </w:pPr>
      <w:r w:rsidRPr="005E4536">
        <w:lastRenderedPageBreak/>
        <w:t xml:space="preserve">All evidence </w:t>
      </w:r>
      <w:r>
        <w:t>from the document review and key informant interviews was</w:t>
      </w:r>
      <w:r w:rsidRPr="005E4536">
        <w:t xml:space="preserve"> coded in MAXQDA</w:t>
      </w:r>
      <w:r>
        <w:t>. T</w:t>
      </w:r>
      <w:r w:rsidRPr="005E4536">
        <w:t>he evaluation team members review</w:t>
      </w:r>
      <w:r>
        <w:t>ed</w:t>
      </w:r>
      <w:r w:rsidRPr="005E4536">
        <w:t xml:space="preserve"> the coded evidence to identify patterns and emerging findings. These findings w</w:t>
      </w:r>
      <w:r>
        <w:t xml:space="preserve">ere </w:t>
      </w:r>
      <w:r w:rsidRPr="005E4536">
        <w:t>compared against the DE</w:t>
      </w:r>
      <w:r>
        <w:t xml:space="preserve">SNZ </w:t>
      </w:r>
      <w:r w:rsidRPr="005E4536">
        <w:t xml:space="preserve">LEAF business case and subsequent revisions to assess fidelity, test assumptions, and identify barriers and enablers. The </w:t>
      </w:r>
      <w:r w:rsidR="00DF1AC2">
        <w:t>data was triangulated</w:t>
      </w:r>
      <w:r w:rsidRPr="005E4536">
        <w:t xml:space="preserve"> and reviewed through</w:t>
      </w:r>
      <w:r w:rsidR="00E65F71">
        <w:t xml:space="preserve"> </w:t>
      </w:r>
      <w:r w:rsidR="003B1DF5">
        <w:t>a</w:t>
      </w:r>
      <w:r w:rsidRPr="005E4536">
        <w:t xml:space="preserve"> rapid and rigorous data </w:t>
      </w:r>
      <w:r w:rsidR="003B1DF5">
        <w:t xml:space="preserve">quality </w:t>
      </w:r>
      <w:r w:rsidRPr="005E4536">
        <w:t>analysis.</w:t>
      </w:r>
      <w:r w:rsidR="008163B6">
        <w:t xml:space="preserve"> </w:t>
      </w:r>
      <w:r w:rsidR="00E65F71" w:rsidRPr="00E813B0">
        <w:t xml:space="preserve">The </w:t>
      </w:r>
      <w:r w:rsidR="00E65F71">
        <w:t>ET</w:t>
      </w:r>
      <w:r w:rsidR="00E65F71" w:rsidRPr="00E813B0">
        <w:t xml:space="preserve"> assessed the quality, timeliness and utility of the evidence available for the findings using the criteria in </w:t>
      </w:r>
      <w:r w:rsidR="00E65F71" w:rsidRPr="00E813B0">
        <w:fldChar w:fldCharType="begin"/>
      </w:r>
      <w:r w:rsidR="00E65F71" w:rsidRPr="00E813B0">
        <w:instrText xml:space="preserve"> REF _Ref202348362 \h </w:instrText>
      </w:r>
      <w:r w:rsidR="00E65F71" w:rsidRPr="00E813B0">
        <w:fldChar w:fldCharType="separate"/>
      </w:r>
      <w:r w:rsidR="00E65F71" w:rsidRPr="00E813B0">
        <w:t xml:space="preserve">Table </w:t>
      </w:r>
      <w:r w:rsidR="00E65F71" w:rsidRPr="00E65F71">
        <w:t>1</w:t>
      </w:r>
      <w:r w:rsidR="00E65F71" w:rsidRPr="00E813B0">
        <w:fldChar w:fldCharType="end"/>
      </w:r>
      <w:r w:rsidR="00E65F71" w:rsidRPr="00E813B0">
        <w:t xml:space="preserve"> below.</w:t>
      </w:r>
      <w:bookmarkStart w:id="35" w:name="_Ref202348362"/>
    </w:p>
    <w:p w14:paraId="46367CB3" w14:textId="6195E0B1" w:rsidR="00E65F71" w:rsidRPr="00E813B0" w:rsidRDefault="00E65F71" w:rsidP="00E65F71">
      <w:pPr>
        <w:pStyle w:val="Caption"/>
      </w:pPr>
      <w:bookmarkStart w:id="36" w:name="_Toc209019073"/>
      <w:r w:rsidRPr="00E813B0">
        <w:t xml:space="preserve">Table </w:t>
      </w:r>
      <w:r w:rsidRPr="00E65F71">
        <w:fldChar w:fldCharType="begin"/>
      </w:r>
      <w:r>
        <w:instrText xml:space="preserve"> SEQ Table \* ARABIC </w:instrText>
      </w:r>
      <w:r w:rsidRPr="00E65F71">
        <w:fldChar w:fldCharType="separate"/>
      </w:r>
      <w:r w:rsidR="00460B8A">
        <w:rPr>
          <w:noProof/>
        </w:rPr>
        <w:t>1</w:t>
      </w:r>
      <w:r w:rsidRPr="00E65F71">
        <w:fldChar w:fldCharType="end"/>
      </w:r>
      <w:bookmarkEnd w:id="35"/>
      <w:r w:rsidRPr="00E813B0">
        <w:t xml:space="preserve">: Assessment criteria for </w:t>
      </w:r>
      <w:r w:rsidR="00A907D4">
        <w:t xml:space="preserve">the </w:t>
      </w:r>
      <w:r>
        <w:t>strength of evidence for decision making</w:t>
      </w:r>
      <w:bookmarkEnd w:id="36"/>
    </w:p>
    <w:tbl>
      <w:tblPr>
        <w:tblStyle w:val="Table-Darkblue"/>
        <w:tblW w:w="0" w:type="auto"/>
        <w:tblLook w:val="04A0" w:firstRow="1" w:lastRow="0" w:firstColumn="1" w:lastColumn="0" w:noHBand="0" w:noVBand="1"/>
      </w:tblPr>
      <w:tblGrid>
        <w:gridCol w:w="5807"/>
        <w:gridCol w:w="4275"/>
      </w:tblGrid>
      <w:tr w:rsidR="00E65F71" w:rsidRPr="00E813B0" w14:paraId="4C9A3899" w14:textId="77777777">
        <w:trPr>
          <w:cnfStyle w:val="100000000000" w:firstRow="1" w:lastRow="0" w:firstColumn="0" w:lastColumn="0" w:oddVBand="0" w:evenVBand="0" w:oddHBand="0" w:evenHBand="0" w:firstRowFirstColumn="0" w:firstRowLastColumn="0" w:lastRowFirstColumn="0" w:lastRowLastColumn="0"/>
          <w:trHeight w:val="300"/>
        </w:trPr>
        <w:tc>
          <w:tcPr>
            <w:tcW w:w="5807" w:type="dxa"/>
            <w:hideMark/>
          </w:tcPr>
          <w:p w14:paraId="335AB7E5" w14:textId="77777777" w:rsidR="00E65F71" w:rsidRPr="00E65F71" w:rsidRDefault="00E65F71" w:rsidP="00E65F71">
            <w:r w:rsidRPr="001B5440">
              <w:t>Criteria </w:t>
            </w:r>
          </w:p>
        </w:tc>
        <w:tc>
          <w:tcPr>
            <w:tcW w:w="4275" w:type="dxa"/>
            <w:hideMark/>
          </w:tcPr>
          <w:p w14:paraId="3A4D9001" w14:textId="77777777" w:rsidR="00E65F71" w:rsidRPr="00E65F71" w:rsidRDefault="00E65F71" w:rsidP="00E65F71">
            <w:r w:rsidRPr="001B5440">
              <w:t>Utility for decision making/ contribution </w:t>
            </w:r>
          </w:p>
        </w:tc>
      </w:tr>
      <w:tr w:rsidR="00E65F71" w:rsidRPr="00E813B0" w14:paraId="5FCEBCBE" w14:textId="77777777">
        <w:trPr>
          <w:trHeight w:val="821"/>
        </w:trPr>
        <w:tc>
          <w:tcPr>
            <w:tcW w:w="5807" w:type="dxa"/>
            <w:hideMark/>
          </w:tcPr>
          <w:p w14:paraId="537A354D" w14:textId="77777777" w:rsidR="00E65F71" w:rsidRPr="00E65F71" w:rsidRDefault="00E65F71" w:rsidP="00E65F71">
            <w:r w:rsidRPr="001B5440">
              <w:t>High - finding is supported by multiple data points, including written documents, key informant interviews from different stakeholder types/groups, and has been validated during further consultations; overall there is consistent and coherent evidence to support the finding. Data is timely and therefore easily aggregated.   </w:t>
            </w:r>
          </w:p>
        </w:tc>
        <w:tc>
          <w:tcPr>
            <w:tcW w:w="4275" w:type="dxa"/>
            <w:hideMark/>
          </w:tcPr>
          <w:p w14:paraId="125B9E25" w14:textId="77777777" w:rsidR="00E65F71" w:rsidRPr="00E65F71" w:rsidRDefault="00E65F71" w:rsidP="00E65F71">
            <w:r w:rsidRPr="001B5440">
              <w:t>Strong utility for decision making </w:t>
            </w:r>
            <w:r w:rsidRPr="00E65F71">
              <w:t>and clear understanding of DESNZ contribution to LEAF Coalition and results </w:t>
            </w:r>
          </w:p>
        </w:tc>
      </w:tr>
      <w:tr w:rsidR="00E65F71" w:rsidRPr="00E813B0" w14:paraId="308AACAC" w14:textId="77777777">
        <w:trPr>
          <w:trHeight w:val="406"/>
        </w:trPr>
        <w:tc>
          <w:tcPr>
            <w:tcW w:w="5807" w:type="dxa"/>
            <w:hideMark/>
          </w:tcPr>
          <w:p w14:paraId="192BB3EC" w14:textId="77777777" w:rsidR="00E65F71" w:rsidRPr="00E65F71" w:rsidRDefault="00E65F71" w:rsidP="00E65F71">
            <w:r w:rsidRPr="001B5440">
              <w:t>Medium - finding is supported by more than one data point (documents, interviews, etc.) but there is not yet definitive evidence to support it and/or there is some degree of ambiguity/limited contradictions in the evidence base. Data is from various timeframes and aggregation is possible annually, but of variable quality.   </w:t>
            </w:r>
          </w:p>
        </w:tc>
        <w:tc>
          <w:tcPr>
            <w:tcW w:w="4275" w:type="dxa"/>
            <w:hideMark/>
          </w:tcPr>
          <w:p w14:paraId="3CA2119E" w14:textId="77777777" w:rsidR="00E65F71" w:rsidRPr="00E65F71" w:rsidRDefault="00E65F71" w:rsidP="00E65F71">
            <w:r w:rsidRPr="001B5440">
              <w:t>Good utility for decision making, but limitations should be made clear</w:t>
            </w:r>
            <w:r w:rsidRPr="00E65F71">
              <w:t xml:space="preserve"> and reasonable understanding of DESNZ contribution to LEAF Coalition and results </w:t>
            </w:r>
          </w:p>
        </w:tc>
      </w:tr>
      <w:tr w:rsidR="00E65F71" w:rsidRPr="00E813B0" w14:paraId="42DDC450" w14:textId="77777777">
        <w:trPr>
          <w:trHeight w:val="1266"/>
        </w:trPr>
        <w:tc>
          <w:tcPr>
            <w:tcW w:w="5807" w:type="dxa"/>
            <w:hideMark/>
          </w:tcPr>
          <w:p w14:paraId="530F06E5" w14:textId="77777777" w:rsidR="00E65F71" w:rsidRPr="00E65F71" w:rsidRDefault="00E65F71" w:rsidP="00E65F71">
            <w:r w:rsidRPr="001B5440">
              <w:t>Low - finding is tentative, either because it is based on limited data (for example a single document, a single informant, etc.) or because there are major gaps/contradictions in the evidence base (e.g. differing experiences across countries or providers) or due to a high level of disagreement between various sources as to the finding’s validity. Data is from various timeframes that are too disparate to be aggregated annually.   </w:t>
            </w:r>
          </w:p>
        </w:tc>
        <w:tc>
          <w:tcPr>
            <w:tcW w:w="4275" w:type="dxa"/>
            <w:hideMark/>
          </w:tcPr>
          <w:p w14:paraId="028852D1" w14:textId="77777777" w:rsidR="00E65F71" w:rsidRPr="00E65F71" w:rsidRDefault="00E65F71" w:rsidP="00E65F71">
            <w:r w:rsidRPr="001B5440">
              <w:t>It should be noted that low confidence-level findings are still presented as findings in the report and that they may be entirely valid; however, due to the limitations in the evidence base their interpretation should be taken with caution.  </w:t>
            </w:r>
            <w:r w:rsidRPr="00E65F71">
              <w:t>Limited evidence of DESNZ contribution to the LEAF Coalition.</w:t>
            </w:r>
          </w:p>
        </w:tc>
      </w:tr>
    </w:tbl>
    <w:p w14:paraId="00816F38" w14:textId="50C1073B" w:rsidR="005E4536" w:rsidRPr="00E47E80" w:rsidRDefault="005E4536" w:rsidP="00E47E80">
      <w:pPr>
        <w:rPr>
          <w:lang w:eastAsia="en-GB"/>
        </w:rPr>
      </w:pPr>
    </w:p>
    <w:p w14:paraId="78740EE9" w14:textId="6F474DB2" w:rsidR="00C9201B" w:rsidRDefault="00E47E80" w:rsidP="00E47E80">
      <w:pPr>
        <w:rPr>
          <w:lang w:eastAsia="en-GB"/>
        </w:rPr>
      </w:pPr>
      <w:r w:rsidRPr="00E47E80">
        <w:rPr>
          <w:lang w:eastAsia="en-GB"/>
        </w:rPr>
        <w:t xml:space="preserve">The evaluation also involved a </w:t>
      </w:r>
      <w:r w:rsidRPr="001B5440">
        <w:rPr>
          <w:rStyle w:val="Boldtext"/>
        </w:rPr>
        <w:t xml:space="preserve">review and revision of DESNZ’s LEAF Coalition </w:t>
      </w:r>
      <w:r w:rsidR="00B61EC7">
        <w:rPr>
          <w:rStyle w:val="Boldtext"/>
        </w:rPr>
        <w:t>ToC</w:t>
      </w:r>
      <w:r w:rsidRPr="00E47E80">
        <w:rPr>
          <w:lang w:eastAsia="en-GB"/>
        </w:rPr>
        <w:t>. This process included a dedicated workshop with DESNZ and other UK Government stakeholders, followed by multiple rounds of discussion and iteration.</w:t>
      </w:r>
      <w:r w:rsidR="00C9201B">
        <w:t xml:space="preserve"> </w:t>
      </w:r>
    </w:p>
    <w:p w14:paraId="20FE8A40" w14:textId="0F4B1A0C" w:rsidR="00E47E80" w:rsidRDefault="00E47E80" w:rsidP="00E47E80">
      <w:pPr>
        <w:rPr>
          <w:lang w:eastAsia="en-GB"/>
        </w:rPr>
      </w:pPr>
      <w:r w:rsidRPr="00E47E80">
        <w:rPr>
          <w:lang w:eastAsia="en-GB"/>
        </w:rPr>
        <w:lastRenderedPageBreak/>
        <w:t xml:space="preserve">Finally, the team conducted a </w:t>
      </w:r>
      <w:r w:rsidRPr="001B5440">
        <w:rPr>
          <w:rStyle w:val="Boldtext"/>
        </w:rPr>
        <w:t>Value for Money analysis</w:t>
      </w:r>
      <w:r w:rsidRPr="00E47E80">
        <w:rPr>
          <w:lang w:eastAsia="en-GB"/>
        </w:rPr>
        <w:t xml:space="preserve"> using budget data provided by LEAF Coalition partners to assess programme costs and benefits.</w:t>
      </w:r>
      <w:r w:rsidR="00825618">
        <w:t xml:space="preserve"> The analysis </w:t>
      </w:r>
      <w:r w:rsidR="00825618" w:rsidRPr="00825618">
        <w:rPr>
          <w:lang w:eastAsia="en-GB"/>
        </w:rPr>
        <w:t>use</w:t>
      </w:r>
      <w:r w:rsidR="00825618">
        <w:t>s</w:t>
      </w:r>
      <w:r w:rsidR="00825618" w:rsidRPr="00825618">
        <w:rPr>
          <w:lang w:eastAsia="en-GB"/>
        </w:rPr>
        <w:t xml:space="preserve"> the standard 5Es framework, adapted to include relevance, coherence and sustainability (“5Es+” framework). Relevance</w:t>
      </w:r>
      <w:r w:rsidR="00825618">
        <w:t xml:space="preserve"> </w:t>
      </w:r>
      <w:r w:rsidR="00825618" w:rsidRPr="00825618">
        <w:rPr>
          <w:lang w:eastAsia="en-GB"/>
        </w:rPr>
        <w:t xml:space="preserve">is added into the framework because this addresses the point about sufficient resources being allocated according to market failures, needs and objectives identified up front. </w:t>
      </w:r>
    </w:p>
    <w:p w14:paraId="7972F85D" w14:textId="1D7CA8F1" w:rsidR="00EB70E9" w:rsidRDefault="00EB70E9" w:rsidP="00E47E80">
      <w:r>
        <w:t xml:space="preserve">An overview of how the evaluation was managed is available at Annex 9. </w:t>
      </w:r>
    </w:p>
    <w:p w14:paraId="47C6C529" w14:textId="7064C13F" w:rsidR="0033712D" w:rsidRDefault="00CD4258" w:rsidP="00CD4258">
      <w:r w:rsidRPr="00CD4258">
        <w:t xml:space="preserve">The evaluation </w:t>
      </w:r>
      <w:r w:rsidR="009311B3">
        <w:t>is</w:t>
      </w:r>
      <w:r w:rsidRPr="00CD4258">
        <w:t xml:space="preserve"> scheduled for completion in October 2025 to provide DESNZ with a timely, independent assessment of progress after four years of programme implementation. </w:t>
      </w:r>
      <w:r>
        <w:t>T</w:t>
      </w:r>
      <w:r w:rsidRPr="00CD4258">
        <w:t xml:space="preserve">he evaluation outputs </w:t>
      </w:r>
      <w:r>
        <w:t>are to inform</w:t>
      </w:r>
      <w:r w:rsidRPr="00CD4258">
        <w:t xml:space="preserve"> key decision-making </w:t>
      </w:r>
      <w:r>
        <w:t xml:space="preserve">and </w:t>
      </w:r>
      <w:r w:rsidRPr="00CD4258">
        <w:t>ongoing programme adjustments</w:t>
      </w:r>
      <w:r>
        <w:t xml:space="preserve">. The findings from this evaluation are also </w:t>
      </w:r>
      <w:r w:rsidR="00A06C47">
        <w:t xml:space="preserve">aimed at informing </w:t>
      </w:r>
      <w:r w:rsidRPr="00CD4258">
        <w:t xml:space="preserve">the design of a future impact evaluation. </w:t>
      </w:r>
    </w:p>
    <w:p w14:paraId="31BCEB74" w14:textId="56CB07A0" w:rsidR="00CD4258" w:rsidRPr="00F365A3" w:rsidRDefault="00355BB3" w:rsidP="00CD4258">
      <w:r>
        <w:t xml:space="preserve">The evaluation scope includes </w:t>
      </w:r>
      <w:r w:rsidRPr="00EC1AD5">
        <w:t xml:space="preserve">the UK fund’s contribution to the LEAF Coalition and its TA package. The evaluation covers all aspects of LEAF and associated TA as set out in the business case. Since the UK is one of four donors who have all contributed to LEAF the evaluation will look broadly at the effectiveness of the work to date. </w:t>
      </w:r>
      <w:r w:rsidR="00381CB8">
        <w:t>Due to the lack of LEAF transactions to date, i</w:t>
      </w:r>
      <w:r w:rsidR="00381CB8" w:rsidRPr="00381CB8">
        <w:t xml:space="preserve">n agreement with DESNZ </w:t>
      </w:r>
      <w:r w:rsidR="00381CB8">
        <w:t>the ET</w:t>
      </w:r>
      <w:r w:rsidR="00381CB8" w:rsidRPr="00381CB8">
        <w:t xml:space="preserve"> removed the </w:t>
      </w:r>
      <w:r w:rsidR="00381CB8">
        <w:t>i</w:t>
      </w:r>
      <w:r w:rsidR="00381CB8" w:rsidRPr="00381CB8">
        <w:t xml:space="preserve">mpact </w:t>
      </w:r>
      <w:r w:rsidR="00381CB8">
        <w:t>e</w:t>
      </w:r>
      <w:r w:rsidR="00381CB8" w:rsidRPr="00381CB8">
        <w:t xml:space="preserve">valuation </w:t>
      </w:r>
      <w:r w:rsidR="00381CB8">
        <w:t>q</w:t>
      </w:r>
      <w:r w:rsidR="00381CB8" w:rsidRPr="00381CB8">
        <w:t>uestions</w:t>
      </w:r>
      <w:r w:rsidR="00381CB8">
        <w:t xml:space="preserve"> in the original terms of reference. </w:t>
      </w:r>
    </w:p>
    <w:p w14:paraId="5CC0F62B" w14:textId="64568911" w:rsidR="00C948F8" w:rsidRPr="00E813B0" w:rsidRDefault="00AC1386" w:rsidP="00EB70E9">
      <w:pPr>
        <w:pStyle w:val="Heading2"/>
      </w:pPr>
      <w:bookmarkStart w:id="37" w:name="_Toc204091202"/>
      <w:bookmarkStart w:id="38" w:name="_Toc209013277"/>
      <w:r w:rsidRPr="00E813B0">
        <w:t>1.</w:t>
      </w:r>
      <w:r w:rsidR="0033712D">
        <w:t>5</w:t>
      </w:r>
      <w:r w:rsidRPr="00E813B0">
        <w:t xml:space="preserve"> </w:t>
      </w:r>
      <w:r w:rsidR="00C948F8" w:rsidRPr="00E813B0">
        <w:t>Ethics and Safeguarding</w:t>
      </w:r>
      <w:bookmarkEnd w:id="37"/>
      <w:bookmarkEnd w:id="38"/>
    </w:p>
    <w:p w14:paraId="320ACB16" w14:textId="21506846" w:rsidR="0066015A" w:rsidRPr="00E813B0" w:rsidRDefault="0066015A" w:rsidP="0066015A">
      <w:pPr>
        <w:rPr>
          <w:lang w:eastAsia="en-GB"/>
        </w:rPr>
      </w:pPr>
      <w:r w:rsidRPr="00E813B0">
        <w:rPr>
          <w:lang w:eastAsia="en-GB"/>
        </w:rPr>
        <w:t>IOD PARC was committed to upholding international best practices and ethical standards throughout the evaluation process, drawing on key frameworks including th</w:t>
      </w:r>
      <w:r w:rsidRPr="00E813B0">
        <w:t>ose from</w:t>
      </w:r>
      <w:r w:rsidRPr="00E813B0">
        <w:rPr>
          <w:lang w:eastAsia="en-GB"/>
        </w:rPr>
        <w:t xml:space="preserve"> UN</w:t>
      </w:r>
      <w:r w:rsidR="00E964BC" w:rsidRPr="00E813B0">
        <w:t xml:space="preserve"> </w:t>
      </w:r>
      <w:r w:rsidRPr="00E813B0">
        <w:rPr>
          <w:lang w:eastAsia="en-GB"/>
        </w:rPr>
        <w:t>E</w:t>
      </w:r>
      <w:r w:rsidR="00E964BC" w:rsidRPr="00E813B0">
        <w:t xml:space="preserve">valuation </w:t>
      </w:r>
      <w:r w:rsidRPr="00E813B0">
        <w:rPr>
          <w:lang w:eastAsia="en-GB"/>
        </w:rPr>
        <w:t>G</w:t>
      </w:r>
      <w:r w:rsidR="00E964BC" w:rsidRPr="00E813B0">
        <w:t>roup</w:t>
      </w:r>
      <w:r w:rsidRPr="00E813B0">
        <w:rPr>
          <w:lang w:eastAsia="en-GB"/>
        </w:rPr>
        <w:t xml:space="preserve">, FCDO, </w:t>
      </w:r>
      <w:r w:rsidRPr="00E813B0">
        <w:t xml:space="preserve">and </w:t>
      </w:r>
      <w:r w:rsidR="001B7BA1" w:rsidRPr="00E813B0">
        <w:t>the Economic and Social Research Council</w:t>
      </w:r>
      <w:r w:rsidR="00C434C1" w:rsidRPr="00E813B0">
        <w:t>,</w:t>
      </w:r>
      <w:r w:rsidRPr="00E813B0">
        <w:t xml:space="preserve"> and followed the </w:t>
      </w:r>
      <w:hyperlink r:id="rId55" w:history="1">
        <w:r w:rsidRPr="007A1A36">
          <w:rPr>
            <w:rStyle w:val="Hyperlink"/>
          </w:rPr>
          <w:t>Government Social Research Ethical Principles</w:t>
        </w:r>
      </w:hyperlink>
      <w:r w:rsidRPr="00E813B0">
        <w:rPr>
          <w:lang w:eastAsia="en-GB"/>
        </w:rPr>
        <w:t xml:space="preserve">. The evaluation adhered to the principle of “do no harm,” ensuring that all activities were designed to protect participants’ safety, dignity, and autonomy. Ethical considerations were embedded throughout, with particular attention to gender balance, power dynamics, and the privacy and confidentiality of participants. Informed consent was obtained through clear, accessible materials, and participants were given the right to withdraw at any stage. No in-person data collection was conducted with </w:t>
      </w:r>
      <w:r w:rsidR="00C802FD">
        <w:t>vulnerable</w:t>
      </w:r>
      <w:r w:rsidRPr="00E813B0">
        <w:rPr>
          <w:lang w:eastAsia="en-GB"/>
        </w:rPr>
        <w:t xml:space="preserve"> groups; however, the ET engaged </w:t>
      </w:r>
      <w:r w:rsidR="003A14E7" w:rsidRPr="00E813B0">
        <w:t>HJs</w:t>
      </w:r>
      <w:r w:rsidRPr="00E813B0">
        <w:rPr>
          <w:lang w:eastAsia="en-GB"/>
        </w:rPr>
        <w:t xml:space="preserve"> and</w:t>
      </w:r>
      <w:r w:rsidR="00053A96">
        <w:t xml:space="preserve"> LEAF</w:t>
      </w:r>
      <w:r w:rsidRPr="00E813B0">
        <w:rPr>
          <w:lang w:eastAsia="en-GB"/>
        </w:rPr>
        <w:t xml:space="preserve"> </w:t>
      </w:r>
      <w:r w:rsidR="002E5E08">
        <w:t>IP</w:t>
      </w:r>
      <w:r w:rsidR="004C743F">
        <w:t xml:space="preserve"> and </w:t>
      </w:r>
      <w:r w:rsidR="002E5E08">
        <w:t xml:space="preserve">LC </w:t>
      </w:r>
      <w:r w:rsidR="00053A96">
        <w:t>advisory</w:t>
      </w:r>
      <w:r w:rsidR="00053A96" w:rsidRPr="00E813B0">
        <w:rPr>
          <w:lang w:eastAsia="en-GB"/>
        </w:rPr>
        <w:t xml:space="preserve"> </w:t>
      </w:r>
      <w:r w:rsidRPr="00E813B0">
        <w:rPr>
          <w:lang w:eastAsia="en-GB"/>
        </w:rPr>
        <w:t>groups, ensuring sensitivities were respected. The ET collaborated closely with DESNZ to tailor interview and discussion guides appropriately and to remain alert to contextual sensitivities.</w:t>
      </w:r>
      <w:r w:rsidR="0051713C">
        <w:t xml:space="preserve"> In terms of gender and social inclusion, </w:t>
      </w:r>
      <w:r w:rsidR="00F13DB8">
        <w:t xml:space="preserve">the GEDSI expert on the team provided training to the ET on GEDSI considerations at the beginning of the evaluation process. </w:t>
      </w:r>
      <w:r w:rsidR="0022082E">
        <w:t>The ET ensured that GEDSI was integrated into specific evaluation questions as well as considered in the overarching analysis</w:t>
      </w:r>
      <w:r w:rsidR="00FA7752">
        <w:t xml:space="preserve">, including a specific literature review on challenges and best practice </w:t>
      </w:r>
      <w:r w:rsidR="00955249">
        <w:t>regarding GEDSI in the VCM+ sector (See Annex</w:t>
      </w:r>
      <w:r w:rsidR="00053A96">
        <w:t xml:space="preserve"> 7)</w:t>
      </w:r>
      <w:r w:rsidR="0022082E">
        <w:t xml:space="preserve">. </w:t>
      </w:r>
      <w:r w:rsidR="00FA7752">
        <w:t>The ET looked to ensure a gender balance in the interviewees</w:t>
      </w:r>
      <w:r w:rsidR="000755E7">
        <w:t>.</w:t>
      </w:r>
    </w:p>
    <w:p w14:paraId="31656FDF" w14:textId="0E26A443" w:rsidR="00EB70E9" w:rsidRPr="00E813B0" w:rsidRDefault="0066015A" w:rsidP="006A7EAB">
      <w:pPr>
        <w:rPr>
          <w:lang w:eastAsia="en-GB"/>
        </w:rPr>
      </w:pPr>
      <w:r w:rsidRPr="00E813B0">
        <w:rPr>
          <w:lang w:eastAsia="en-GB"/>
        </w:rPr>
        <w:t xml:space="preserve">Safeguarding measures included secure data handling, anonymisation of responses, and strict adherence to data protection regulations. The ET also ensured that digital tools used for remote data collection complied with the Principles for Digital Development, including </w:t>
      </w:r>
      <w:r w:rsidRPr="00E813B0">
        <w:rPr>
          <w:lang w:eastAsia="en-GB"/>
        </w:rPr>
        <w:lastRenderedPageBreak/>
        <w:t xml:space="preserve">responsible data practices, privacy, and consent. No compensation was provided to participants, and the ET assessed and mitigated any potential burden to avoid bias in results. Finally, stakeholders affected by the intervention were and will be provided with access to evaluation findings </w:t>
      </w:r>
      <w:r w:rsidR="00295E6F" w:rsidRPr="00E813B0">
        <w:t>in a published report</w:t>
      </w:r>
      <w:r w:rsidR="00147585">
        <w:t>,</w:t>
      </w:r>
      <w:r w:rsidR="007E4D1B" w:rsidRPr="00E813B0">
        <w:t xml:space="preserve"> </w:t>
      </w:r>
      <w:r w:rsidRPr="00E813B0">
        <w:rPr>
          <w:lang w:eastAsia="en-GB"/>
        </w:rPr>
        <w:t>promot</w:t>
      </w:r>
      <w:r w:rsidR="007E4D1B" w:rsidRPr="00E813B0">
        <w:t>ing</w:t>
      </w:r>
      <w:r w:rsidRPr="00E813B0">
        <w:rPr>
          <w:lang w:eastAsia="en-GB"/>
        </w:rPr>
        <w:t xml:space="preserve"> transparency.</w:t>
      </w:r>
    </w:p>
    <w:p w14:paraId="4C644625" w14:textId="504DC20B" w:rsidR="00C948F8" w:rsidRPr="00E813B0" w:rsidRDefault="00C948F8" w:rsidP="00734B7D">
      <w:pPr>
        <w:pStyle w:val="Heading1"/>
        <w:numPr>
          <w:ilvl w:val="0"/>
          <w:numId w:val="8"/>
        </w:numPr>
      </w:pPr>
      <w:bookmarkStart w:id="39" w:name="_Toc204091203"/>
      <w:bookmarkStart w:id="40" w:name="_Toc209013278"/>
      <w:r w:rsidRPr="00E813B0">
        <w:t>Evaluation Findings</w:t>
      </w:r>
      <w:bookmarkEnd w:id="39"/>
      <w:bookmarkEnd w:id="40"/>
    </w:p>
    <w:p w14:paraId="2EF461BA" w14:textId="20A87FB9" w:rsidR="00260045" w:rsidRPr="00E813B0" w:rsidRDefault="00260045" w:rsidP="00260045">
      <w:r w:rsidRPr="00E813B0">
        <w:t xml:space="preserve">The following section </w:t>
      </w:r>
      <w:r w:rsidR="00F06900" w:rsidRPr="00E813B0">
        <w:t>summarises the evaluation findings</w:t>
      </w:r>
      <w:r w:rsidR="006B17BD" w:rsidRPr="00E813B0">
        <w:t xml:space="preserve"> by relevance, coherence, effectiveness</w:t>
      </w:r>
      <w:r w:rsidR="001966E9" w:rsidRPr="00E813B0">
        <w:t xml:space="preserve">, </w:t>
      </w:r>
      <w:r w:rsidR="001B6D14" w:rsidRPr="00E813B0">
        <w:t>efficiency</w:t>
      </w:r>
      <w:r w:rsidR="001966E9" w:rsidRPr="00E813B0">
        <w:t>, value for money (Vf</w:t>
      </w:r>
      <w:r w:rsidR="00CA4577" w:rsidRPr="00E813B0">
        <w:t>M</w:t>
      </w:r>
      <w:r w:rsidR="001966E9" w:rsidRPr="00E813B0">
        <w:t>) and GEDSI</w:t>
      </w:r>
      <w:r w:rsidR="00D82508">
        <w:t>,</w:t>
      </w:r>
      <w:r w:rsidR="00C56BBB" w:rsidRPr="00E813B0">
        <w:t xml:space="preserve"> noting the strength of evidence (</w:t>
      </w:r>
      <w:r w:rsidR="00C56BBB" w:rsidRPr="00E813B0">
        <w:fldChar w:fldCharType="begin"/>
      </w:r>
      <w:r w:rsidR="00C56BBB" w:rsidRPr="00E813B0">
        <w:instrText xml:space="preserve"> REF _Ref202348362 \h </w:instrText>
      </w:r>
      <w:r w:rsidR="00C56BBB" w:rsidRPr="00E813B0">
        <w:fldChar w:fldCharType="separate"/>
      </w:r>
      <w:r w:rsidR="006E1DAC" w:rsidRPr="00E813B0">
        <w:t xml:space="preserve">Table </w:t>
      </w:r>
      <w:r w:rsidR="006E1DAC">
        <w:rPr>
          <w:noProof/>
        </w:rPr>
        <w:t>1</w:t>
      </w:r>
      <w:r w:rsidR="00C56BBB" w:rsidRPr="00E813B0">
        <w:fldChar w:fldCharType="end"/>
      </w:r>
      <w:r w:rsidR="00C56BBB" w:rsidRPr="00E813B0">
        <w:t>)</w:t>
      </w:r>
      <w:r w:rsidR="001B6D14" w:rsidRPr="00E813B0">
        <w:t>.</w:t>
      </w:r>
      <w:r w:rsidR="002E2408" w:rsidRPr="00E813B0">
        <w:t xml:space="preserve"> Summaries of evidence by </w:t>
      </w:r>
      <w:r w:rsidR="00FE6224">
        <w:t>EQ</w:t>
      </w:r>
      <w:r w:rsidR="002E2408" w:rsidRPr="00E813B0">
        <w:t xml:space="preserve"> can be found in Annex 2</w:t>
      </w:r>
      <w:r w:rsidR="005A5164" w:rsidRPr="00E813B0">
        <w:t xml:space="preserve"> which documents</w:t>
      </w:r>
      <w:r w:rsidR="00AC1386" w:rsidRPr="00E813B0">
        <w:t xml:space="preserve"> sources and evidence quality by EQ.</w:t>
      </w:r>
      <w:r w:rsidR="002E2408" w:rsidRPr="00E813B0">
        <w:t xml:space="preserve"> </w:t>
      </w:r>
    </w:p>
    <w:p w14:paraId="08ECCF17" w14:textId="4CA6DEFE" w:rsidR="005777AC" w:rsidRPr="00E813B0" w:rsidRDefault="00AC1386" w:rsidP="005777AC">
      <w:pPr>
        <w:pStyle w:val="Heading2"/>
      </w:pPr>
      <w:bookmarkStart w:id="41" w:name="_Toc204091204"/>
      <w:bookmarkStart w:id="42" w:name="_Toc209013279"/>
      <w:r w:rsidRPr="00E813B0">
        <w:t xml:space="preserve">2.1 </w:t>
      </w:r>
      <w:r w:rsidR="00C948F8" w:rsidRPr="00E813B0">
        <w:t>Relevance</w:t>
      </w:r>
      <w:r w:rsidR="00062C70">
        <w:t xml:space="preserve"> (responding to EQ1)</w:t>
      </w:r>
      <w:bookmarkEnd w:id="41"/>
      <w:bookmarkEnd w:id="42"/>
    </w:p>
    <w:p w14:paraId="305D705D" w14:textId="3858006B" w:rsidR="00FE7BF1" w:rsidRPr="00571C07" w:rsidRDefault="00820DF6" w:rsidP="00F365A3">
      <w:pPr>
        <w:rPr>
          <w:b/>
        </w:rPr>
      </w:pPr>
      <w:bookmarkStart w:id="43" w:name="_Hlk203503023"/>
      <w:r w:rsidRPr="00E813B0">
        <w:rPr>
          <w:rStyle w:val="Boldtext"/>
        </w:rPr>
        <w:t xml:space="preserve">LEAF </w:t>
      </w:r>
      <w:r w:rsidR="00147585">
        <w:rPr>
          <w:rStyle w:val="Boldtext"/>
        </w:rPr>
        <w:t>o</w:t>
      </w:r>
      <w:r w:rsidRPr="00E813B0">
        <w:rPr>
          <w:rStyle w:val="Boldtext"/>
        </w:rPr>
        <w:t>bjectives and design were well-intentioned</w:t>
      </w:r>
      <w:r w:rsidR="006A6C23">
        <w:rPr>
          <w:rStyle w:val="Boldtext"/>
        </w:rPr>
        <w:t xml:space="preserve"> </w:t>
      </w:r>
      <w:r w:rsidR="003827E4">
        <w:rPr>
          <w:rStyle w:val="Boldtext"/>
        </w:rPr>
        <w:t xml:space="preserve">in meeting </w:t>
      </w:r>
      <w:r w:rsidR="00147585">
        <w:rPr>
          <w:rStyle w:val="Boldtext"/>
        </w:rPr>
        <w:t xml:space="preserve">the </w:t>
      </w:r>
      <w:r w:rsidR="003827E4">
        <w:rPr>
          <w:rStyle w:val="Boldtext"/>
        </w:rPr>
        <w:t xml:space="preserve">needs of </w:t>
      </w:r>
      <w:r w:rsidR="004C488C" w:rsidRPr="00E813B0">
        <w:rPr>
          <w:rStyle w:val="Boldtext"/>
        </w:rPr>
        <w:t>HJ</w:t>
      </w:r>
      <w:r w:rsidRPr="00E813B0">
        <w:rPr>
          <w:rStyle w:val="Boldtext"/>
        </w:rPr>
        <w:t xml:space="preserve">s, global stakeholders, sovereign donors and corporates. </w:t>
      </w:r>
      <w:r w:rsidR="00147585">
        <w:rPr>
          <w:rStyle w:val="Boldtext"/>
        </w:rPr>
        <w:t>However,</w:t>
      </w:r>
      <w:r w:rsidRPr="00E813B0">
        <w:rPr>
          <w:rStyle w:val="Boldtext"/>
        </w:rPr>
        <w:t xml:space="preserve"> IP and LC inclusion was lacking in both the design and implementation to</w:t>
      </w:r>
      <w:r w:rsidR="00BE6641" w:rsidRPr="00E813B0">
        <w:rPr>
          <w:rStyle w:val="Boldtext"/>
        </w:rPr>
        <w:t xml:space="preserve"> </w:t>
      </w:r>
      <w:r w:rsidRPr="00E813B0">
        <w:rPr>
          <w:rStyle w:val="Boldtext"/>
        </w:rPr>
        <w:t>date, with weak and inconsistent engagement and inclusion (particularly in terms of benefit-sharing)</w:t>
      </w:r>
      <w:r w:rsidR="00C24843">
        <w:rPr>
          <w:rStyle w:val="Boldtext"/>
        </w:rPr>
        <w:t>.</w:t>
      </w:r>
      <w:r w:rsidR="00122153">
        <w:rPr>
          <w:rStyle w:val="Boldtext"/>
        </w:rPr>
        <w:t xml:space="preserve"> I</w:t>
      </w:r>
      <w:r w:rsidRPr="00E813B0">
        <w:rPr>
          <w:rStyle w:val="Boldtext"/>
        </w:rPr>
        <w:t>n turn</w:t>
      </w:r>
      <w:r w:rsidR="00C24843">
        <w:rPr>
          <w:rStyle w:val="Boldtext"/>
        </w:rPr>
        <w:t>,</w:t>
      </w:r>
      <w:r w:rsidRPr="00E813B0">
        <w:rPr>
          <w:rStyle w:val="Boldtext"/>
        </w:rPr>
        <w:t xml:space="preserve"> this limit</w:t>
      </w:r>
      <w:r w:rsidR="00FE1CD0">
        <w:rPr>
          <w:rStyle w:val="Boldtext"/>
        </w:rPr>
        <w:t>ed</w:t>
      </w:r>
      <w:r w:rsidRPr="00E813B0">
        <w:rPr>
          <w:rStyle w:val="Boldtext"/>
        </w:rPr>
        <w:t xml:space="preserve"> meaningful inclusion in terms of women, persons with disabilities and other marginalised/vulnerable groups. Progress overall </w:t>
      </w:r>
      <w:r w:rsidR="003743A7">
        <w:rPr>
          <w:rStyle w:val="Boldtext"/>
        </w:rPr>
        <w:t>to date</w:t>
      </w:r>
      <w:r w:rsidRPr="00E813B0">
        <w:rPr>
          <w:rStyle w:val="Boldtext"/>
        </w:rPr>
        <w:t xml:space="preserve"> has been slow and disappointing for many, with stakeholders pointing to the ambitious nature of the design as one reason. There are also concerns that there are significant risks of negative impacts if the focus on IP and LC inclusion and benefit sharing is not increased going forward, as well as </w:t>
      </w:r>
      <w:r w:rsidR="00310C1C" w:rsidRPr="00E813B0">
        <w:rPr>
          <w:rStyle w:val="Boldtext"/>
        </w:rPr>
        <w:t xml:space="preserve">increased </w:t>
      </w:r>
      <w:r w:rsidR="002C5A3C" w:rsidRPr="00E813B0">
        <w:rPr>
          <w:rStyle w:val="Boldtext"/>
        </w:rPr>
        <w:t xml:space="preserve">attention to </w:t>
      </w:r>
      <w:r w:rsidR="007F7007">
        <w:rPr>
          <w:rStyle w:val="Boldtext"/>
        </w:rPr>
        <w:t>less advanced</w:t>
      </w:r>
      <w:r w:rsidR="002C5A3C" w:rsidRPr="00E813B0">
        <w:rPr>
          <w:rStyle w:val="Boldtext"/>
        </w:rPr>
        <w:t xml:space="preserve"> </w:t>
      </w:r>
      <w:r w:rsidR="0058753F">
        <w:rPr>
          <w:rStyle w:val="Boldtext"/>
        </w:rPr>
        <w:t>c</w:t>
      </w:r>
      <w:r w:rsidR="002C5A3C" w:rsidRPr="00E813B0">
        <w:rPr>
          <w:rStyle w:val="Boldtext"/>
        </w:rPr>
        <w:t>ountries.</w:t>
      </w:r>
      <w:bookmarkStart w:id="44" w:name="_Toc204091205"/>
      <w:bookmarkEnd w:id="43"/>
    </w:p>
    <w:p w14:paraId="741088DD" w14:textId="77777777" w:rsidR="00571C07" w:rsidRDefault="00571C07">
      <w:pPr>
        <w:spacing w:after="160" w:line="259" w:lineRule="auto"/>
        <w:rPr>
          <w:rFonts w:eastAsiaTheme="majorEastAsia" w:cstheme="majorBidi"/>
          <w:color w:val="041E42"/>
          <w:sz w:val="28"/>
          <w:szCs w:val="24"/>
        </w:rPr>
      </w:pPr>
      <w:bookmarkStart w:id="45" w:name="_Toc209013280"/>
      <w:r>
        <w:br w:type="page"/>
      </w:r>
    </w:p>
    <w:p w14:paraId="1551A4B2" w14:textId="2314E7E2" w:rsidR="005777AC" w:rsidRPr="00E813B0" w:rsidRDefault="00841F48" w:rsidP="00BB3C74">
      <w:pPr>
        <w:pStyle w:val="Heading3"/>
      </w:pPr>
      <w:r w:rsidRPr="00E813B0">
        <w:lastRenderedPageBreak/>
        <w:t xml:space="preserve">2.1.1 </w:t>
      </w:r>
      <w:r w:rsidR="005777AC" w:rsidRPr="00E813B0">
        <w:t xml:space="preserve">Relevance </w:t>
      </w:r>
      <w:r w:rsidR="00BB3C74" w:rsidRPr="00E813B0">
        <w:t>of LEAF objectives and design relevance to wider stakeholders</w:t>
      </w:r>
      <w:bookmarkEnd w:id="44"/>
      <w:bookmarkEnd w:id="45"/>
    </w:p>
    <w:tbl>
      <w:tblPr>
        <w:tblStyle w:val="Table-DarkblueBackground"/>
        <w:tblW w:w="0" w:type="auto"/>
        <w:tblLook w:val="04A0" w:firstRow="1" w:lastRow="0" w:firstColumn="1" w:lastColumn="0" w:noHBand="0" w:noVBand="1"/>
      </w:tblPr>
      <w:tblGrid>
        <w:gridCol w:w="8505"/>
        <w:gridCol w:w="1577"/>
      </w:tblGrid>
      <w:tr w:rsidR="007F7F09" w:rsidRPr="00E813B0" w14:paraId="7D824C62" w14:textId="77777777" w:rsidTr="00E26C3B">
        <w:trPr>
          <w:cnfStyle w:val="100000000000" w:firstRow="1" w:lastRow="0" w:firstColumn="0" w:lastColumn="0" w:oddVBand="0" w:evenVBand="0" w:oddHBand="0" w:evenHBand="0" w:firstRowFirstColumn="0" w:firstRowLastColumn="0" w:lastRowFirstColumn="0" w:lastRowLastColumn="0"/>
          <w:trHeight w:val="375"/>
        </w:trPr>
        <w:tc>
          <w:tcPr>
            <w:tcW w:w="8505" w:type="dxa"/>
          </w:tcPr>
          <w:p w14:paraId="30967706" w14:textId="2E4B9846" w:rsidR="00813401" w:rsidRPr="00E813B0" w:rsidRDefault="00B77809" w:rsidP="00813401">
            <w:r w:rsidRPr="00E813B0">
              <w:t>Overall finding</w:t>
            </w:r>
          </w:p>
        </w:tc>
        <w:tc>
          <w:tcPr>
            <w:tcW w:w="1577" w:type="dxa"/>
          </w:tcPr>
          <w:p w14:paraId="1760F421" w14:textId="0C5660EF" w:rsidR="00813401" w:rsidRPr="00E813B0" w:rsidRDefault="005E1414" w:rsidP="00813401">
            <w:r w:rsidRPr="00E813B0">
              <w:t>Strength of Evidence</w:t>
            </w:r>
          </w:p>
        </w:tc>
      </w:tr>
      <w:tr w:rsidR="00813401" w:rsidRPr="00E813B0" w14:paraId="34D5BAB4" w14:textId="77777777" w:rsidTr="00E26C3B">
        <w:trPr>
          <w:trHeight w:val="19"/>
        </w:trPr>
        <w:tc>
          <w:tcPr>
            <w:tcW w:w="8505" w:type="dxa"/>
          </w:tcPr>
          <w:p w14:paraId="0AB946DD" w14:textId="0D000F13" w:rsidR="00813401" w:rsidRPr="00E813B0" w:rsidRDefault="008E3585" w:rsidP="00813401">
            <w:r w:rsidRPr="00E813B0">
              <w:t xml:space="preserve">LEAF objectives and design were not sufficiently explicit and directive in terms of IP and LC (and wider beneficiary) </w:t>
            </w:r>
            <w:r w:rsidR="008F1C64" w:rsidRPr="00E813B0">
              <w:t>inclusion</w:t>
            </w:r>
            <w:r w:rsidR="008F1C64">
              <w:t xml:space="preserve"> and</w:t>
            </w:r>
            <w:r w:rsidR="00C17072">
              <w:t xml:space="preserve"> therefore </w:t>
            </w:r>
            <w:r w:rsidR="00C04E43">
              <w:t xml:space="preserve">are </w:t>
            </w:r>
            <w:r w:rsidR="000D6F09">
              <w:t xml:space="preserve">viewed as less relevant to </w:t>
            </w:r>
            <w:r w:rsidR="005C7F2F">
              <w:t>these stakeholders</w:t>
            </w:r>
            <w:r w:rsidR="0017088C">
              <w:t xml:space="preserve"> (there was a reliance on the TREES standard to provide this aspect, but </w:t>
            </w:r>
            <w:r w:rsidR="007D4852">
              <w:t xml:space="preserve">this report outlines </w:t>
            </w:r>
            <w:r w:rsidR="00F04B3E">
              <w:t>some</w:t>
            </w:r>
            <w:r w:rsidR="00720D03">
              <w:t xml:space="preserve"> areas for improvement concerning TREES in this regard)</w:t>
            </w:r>
            <w:r w:rsidRPr="00E813B0">
              <w:t xml:space="preserve">. Inclusion of beneficiaries is also not well evidenced across </w:t>
            </w:r>
            <w:r w:rsidR="00243ED7">
              <w:t>all HJs</w:t>
            </w:r>
            <w:r w:rsidRPr="00E813B0">
              <w:t xml:space="preserve"> and is inconsistent. The design/objectives met the needs of global stakeholders on the whole, particularly in terms of mitigation goals (providing significant additionality in terms of mobilisation of private sector finance), </w:t>
            </w:r>
            <w:r w:rsidR="002242E6" w:rsidRPr="00E813B0">
              <w:t>and</w:t>
            </w:r>
            <w:r w:rsidRPr="00E813B0">
              <w:t xml:space="preserve"> also had the potential (if ‘sensitively’ implemented) of contribution to wider sustainable development goals</w:t>
            </w:r>
            <w:r w:rsidR="007029FE">
              <w:t xml:space="preserve"> (SDGs)</w:t>
            </w:r>
            <w:r w:rsidRPr="00E813B0">
              <w:t xml:space="preserve">. Sovereign donors and corporate partners </w:t>
            </w:r>
            <w:r w:rsidR="008525A1">
              <w:t>(CP</w:t>
            </w:r>
            <w:r w:rsidR="00A95B91">
              <w:t>s</w:t>
            </w:r>
            <w:r w:rsidR="008525A1">
              <w:t xml:space="preserve">) </w:t>
            </w:r>
            <w:r w:rsidRPr="00E813B0">
              <w:t xml:space="preserve">indicate a strong mutuality in strategic fit. </w:t>
            </w:r>
            <w:r w:rsidR="003743A7">
              <w:t>To date</w:t>
            </w:r>
            <w:r w:rsidRPr="00E813B0">
              <w:t xml:space="preserve">, LEAF is deemed to have progressed slowly and is </w:t>
            </w:r>
            <w:r w:rsidR="00977385">
              <w:t>not living</w:t>
            </w:r>
            <w:r w:rsidRPr="00E813B0">
              <w:t xml:space="preserve"> up to its potential for many of the stakeholder groups.</w:t>
            </w:r>
          </w:p>
        </w:tc>
        <w:tc>
          <w:tcPr>
            <w:tcW w:w="1577" w:type="dxa"/>
          </w:tcPr>
          <w:p w14:paraId="00E0381F" w14:textId="6E4AE21A" w:rsidR="00813401" w:rsidRPr="00E813B0" w:rsidRDefault="005E1414" w:rsidP="00813401">
            <w:pPr>
              <w:rPr>
                <w:rStyle w:val="Boldtext"/>
              </w:rPr>
            </w:pPr>
            <w:r w:rsidRPr="00E813B0">
              <w:rPr>
                <w:rStyle w:val="Boldtext"/>
              </w:rPr>
              <w:t>Medium</w:t>
            </w:r>
          </w:p>
        </w:tc>
      </w:tr>
    </w:tbl>
    <w:p w14:paraId="001EC671" w14:textId="7F372A2C" w:rsidR="00685250" w:rsidRPr="00E813B0" w:rsidRDefault="00685250" w:rsidP="00685250">
      <w:r w:rsidRPr="00E813B0">
        <w:rPr>
          <w:rStyle w:val="Boldtext"/>
        </w:rPr>
        <w:t>LEAF objectives and design met the needs of many global-level stakeholders.</w:t>
      </w:r>
      <w:r w:rsidRPr="00E813B0">
        <w:t xml:space="preserve"> Overall</w:t>
      </w:r>
      <w:r w:rsidR="00574302">
        <w:t>,</w:t>
      </w:r>
      <w:r w:rsidRPr="00E813B0">
        <w:t xml:space="preserve"> the design met many identified needs in the global climate action/REDD</w:t>
      </w:r>
      <w:r w:rsidR="00151409" w:rsidRPr="00E813B0">
        <w:t>+</w:t>
      </w:r>
      <w:r w:rsidRPr="00E813B0">
        <w:t xml:space="preserve"> space, particularly in terms of the potential to meet mitigation goals. Potential development impact is also high – aligning with many SDGs – via the creation of ‘public goods’ in terms of sustainable forests and carbon sinks. The mobilisation of private finance was seen to provide significant additionality to the sector, building on learning from previous REDD+ investment in terms of more accessible and ‘ready’ finance being required. As one stakeholder put it: “LEAF jump-started a market which didn’t exist at the time.”</w:t>
      </w:r>
    </w:p>
    <w:p w14:paraId="37AF8E6E" w14:textId="4A050831" w:rsidR="00685250" w:rsidRPr="00E813B0" w:rsidRDefault="00056D3E" w:rsidP="00685250">
      <w:r>
        <w:rPr>
          <w:rStyle w:val="Boldtext"/>
        </w:rPr>
        <w:t xml:space="preserve">However, </w:t>
      </w:r>
      <w:r w:rsidR="00685250" w:rsidRPr="00E813B0">
        <w:rPr>
          <w:rStyle w:val="Boldtext"/>
        </w:rPr>
        <w:t xml:space="preserve">LEAF has so far </w:t>
      </w:r>
      <w:r w:rsidR="00993D0F">
        <w:rPr>
          <w:rStyle w:val="Boldtext"/>
        </w:rPr>
        <w:t>not</w:t>
      </w:r>
      <w:r w:rsidR="00993D0F" w:rsidRPr="00E813B0">
        <w:rPr>
          <w:rStyle w:val="Boldtext"/>
        </w:rPr>
        <w:t xml:space="preserve"> </w:t>
      </w:r>
      <w:r w:rsidR="00685250" w:rsidRPr="00E813B0">
        <w:rPr>
          <w:rStyle w:val="Boldtext"/>
        </w:rPr>
        <w:t>live</w:t>
      </w:r>
      <w:r w:rsidR="00993D0F">
        <w:rPr>
          <w:rStyle w:val="Boldtext"/>
        </w:rPr>
        <w:t>d</w:t>
      </w:r>
      <w:r w:rsidR="00685250" w:rsidRPr="00E813B0">
        <w:rPr>
          <w:rStyle w:val="Boldtext"/>
        </w:rPr>
        <w:t xml:space="preserve"> up to its potential, with the slow progress and inadequate oversight so far </w:t>
      </w:r>
      <w:r w:rsidR="00003F96">
        <w:rPr>
          <w:rStyle w:val="Boldtext"/>
        </w:rPr>
        <w:t>meaning that it may no longer</w:t>
      </w:r>
      <w:r w:rsidR="00DA174B">
        <w:rPr>
          <w:rStyle w:val="Boldtext"/>
        </w:rPr>
        <w:t xml:space="preserve"> hold</w:t>
      </w:r>
      <w:r w:rsidR="00685250" w:rsidRPr="00E813B0">
        <w:rPr>
          <w:rStyle w:val="Boldtext"/>
        </w:rPr>
        <w:t xml:space="preserve"> a </w:t>
      </w:r>
      <w:r w:rsidR="00DA174B">
        <w:rPr>
          <w:rStyle w:val="Boldtext"/>
        </w:rPr>
        <w:t>prime position</w:t>
      </w:r>
      <w:r w:rsidR="00685250" w:rsidRPr="00E813B0">
        <w:rPr>
          <w:rStyle w:val="Boldtext"/>
        </w:rPr>
        <w:t xml:space="preserve"> in the sector</w:t>
      </w:r>
      <w:r w:rsidR="00822E83">
        <w:rPr>
          <w:rStyle w:val="Boldtext"/>
        </w:rPr>
        <w:t xml:space="preserve"> and increasing the </w:t>
      </w:r>
      <w:r w:rsidR="00571CBB">
        <w:rPr>
          <w:rStyle w:val="Boldtext"/>
        </w:rPr>
        <w:t xml:space="preserve">potential </w:t>
      </w:r>
      <w:r w:rsidR="00822E83">
        <w:rPr>
          <w:rStyle w:val="Boldtext"/>
        </w:rPr>
        <w:t>risk of adverse impacts</w:t>
      </w:r>
      <w:r w:rsidR="004209AE">
        <w:rPr>
          <w:rStyle w:val="Boldtext"/>
        </w:rPr>
        <w:t xml:space="preserve">. </w:t>
      </w:r>
      <w:r w:rsidR="00685250" w:rsidRPr="00E813B0">
        <w:t xml:space="preserve">Many stakeholders (FCDO, Sovereign donors and TA partners) commented that the potential and additionality in LEAF in terms of learning is still strong, but that there are risks that these could be lost due to slow and ‘insensitive’ implementation. Some commented that the lack of oversight, attention to detail and following </w:t>
      </w:r>
      <w:r w:rsidR="0065500A">
        <w:t xml:space="preserve">of </w:t>
      </w:r>
      <w:r w:rsidR="00685250" w:rsidRPr="00E813B0">
        <w:t>due process</w:t>
      </w:r>
      <w:r w:rsidR="00EE1295" w:rsidRPr="00E813B0">
        <w:t xml:space="preserve"> - </w:t>
      </w:r>
      <w:r w:rsidR="00685250" w:rsidRPr="00E813B0">
        <w:t xml:space="preserve">particularly around social safeguards and benefits </w:t>
      </w:r>
      <w:r w:rsidR="00EE1295" w:rsidRPr="00E813B0">
        <w:t xml:space="preserve">- </w:t>
      </w:r>
      <w:r w:rsidR="00685250" w:rsidRPr="00E813B0">
        <w:t>was raising the risks of negative impacts from the programme, particularly for vulnerable and marginalised groups.</w:t>
      </w:r>
      <w:r w:rsidR="00B13C86">
        <w:t xml:space="preserve"> </w:t>
      </w:r>
      <w:r w:rsidR="00FB2040">
        <w:t xml:space="preserve">Attention and monitoring/reporting around these issues was found to be absent or limited on reviewing documentation and in interviews. </w:t>
      </w:r>
      <w:r w:rsidR="00FC120B">
        <w:t>When commenting on a lack of oversight stakeholders</w:t>
      </w:r>
      <w:r w:rsidR="00D61155">
        <w:t xml:space="preserve"> </w:t>
      </w:r>
      <w:r w:rsidR="0086033C">
        <w:t>noted that</w:t>
      </w:r>
      <w:r w:rsidR="00D61155">
        <w:t xml:space="preserve"> a stronger directive line </w:t>
      </w:r>
      <w:r w:rsidR="0086033C">
        <w:t>is</w:t>
      </w:r>
      <w:r w:rsidR="00D61155">
        <w:t xml:space="preserve"> required from donors via Emergent and through to HJs on these issues </w:t>
      </w:r>
      <w:r w:rsidR="00A37B13">
        <w:t>however</w:t>
      </w:r>
      <w:r w:rsidR="00D61155">
        <w:t xml:space="preserve"> </w:t>
      </w:r>
    </w:p>
    <w:p w14:paraId="64F7E056" w14:textId="4FBF476B" w:rsidR="00685250" w:rsidRPr="00E813B0" w:rsidRDefault="00685250" w:rsidP="00685250">
      <w:r w:rsidRPr="00E813B0">
        <w:rPr>
          <w:rStyle w:val="Boldtext"/>
        </w:rPr>
        <w:lastRenderedPageBreak/>
        <w:t xml:space="preserve">LEAF aligns well with key partner (including donor) needs and priorities. </w:t>
      </w:r>
      <w:r w:rsidRPr="00E813B0">
        <w:t>LEAF aligns well with sovereign donor and fund priorities (e.g. UK</w:t>
      </w:r>
      <w:r w:rsidR="00F851AE">
        <w:rPr>
          <w:rStyle w:val="FootnoteReference"/>
        </w:rPr>
        <w:footnoteReference w:id="7"/>
      </w:r>
      <w:r w:rsidRPr="00E813B0">
        <w:t xml:space="preserve"> and ICF – </w:t>
      </w:r>
      <w:r w:rsidR="00AC04C8" w:rsidRPr="00E813B0">
        <w:t xml:space="preserve">it </w:t>
      </w:r>
      <w:r w:rsidRPr="00E813B0">
        <w:t>also demonstrates good alignment with other UK climate programmes</w:t>
      </w:r>
      <w:r w:rsidR="00641DED" w:rsidRPr="00E813B0">
        <w:t>,</w:t>
      </w:r>
      <w:r w:rsidR="004A4FD7" w:rsidRPr="00E813B0">
        <w:t xml:space="preserve"> and wider bilateral work led by </w:t>
      </w:r>
      <w:r w:rsidRPr="00E813B0">
        <w:t xml:space="preserve">Norway, particularly in terms of the strong mitigation focus and potential. This is reflected well in the objectives and programme Theory of Change. </w:t>
      </w:r>
      <w:r w:rsidR="003743A7">
        <w:t>CPs</w:t>
      </w:r>
      <w:r w:rsidRPr="00E813B0">
        <w:t xml:space="preserve"> indicate good mutuality in terms of strategic fit (e.g. funding landscape-based initiatives in critical regions/areas).</w:t>
      </w:r>
    </w:p>
    <w:p w14:paraId="5CEA9561" w14:textId="53A8AAE1" w:rsidR="00F8091B" w:rsidRDefault="00F8091B" w:rsidP="00F8091B">
      <w:r w:rsidRPr="00E813B0">
        <w:rPr>
          <w:rStyle w:val="Boldtext"/>
        </w:rPr>
        <w:t>LEAF</w:t>
      </w:r>
      <w:r>
        <w:rPr>
          <w:rStyle w:val="Boldtext"/>
        </w:rPr>
        <w:t>’s</w:t>
      </w:r>
      <w:r w:rsidRPr="00E813B0">
        <w:rPr>
          <w:rStyle w:val="Boldtext"/>
        </w:rPr>
        <w:t xml:space="preserve"> objectives and design </w:t>
      </w:r>
      <w:r w:rsidR="00877B70">
        <w:rPr>
          <w:rStyle w:val="Boldtext"/>
        </w:rPr>
        <w:t>were</w:t>
      </w:r>
      <w:r w:rsidRPr="00E813B0">
        <w:rPr>
          <w:rStyle w:val="Boldtext"/>
        </w:rPr>
        <w:t xml:space="preserve"> not sufficiently explicit and directive in terms of IP and LC (and wider beneficiary) inclusion, with an over-reliance on TREES and HJ enforcement. </w:t>
      </w:r>
      <w:r w:rsidRPr="00E813B0">
        <w:t>The design and objectives of LEAF relied too heavily on the quality of and robust implementation of the ART TREES standard to ensure IP and LC (and wider beneficiaries) engagement and inclusion (including in terms of receipt of benefits). Various studies</w:t>
      </w:r>
      <w:r w:rsidRPr="00E813B0">
        <w:rPr>
          <w:rStyle w:val="FootnoteReference"/>
        </w:rPr>
        <w:footnoteReference w:id="8"/>
      </w:r>
      <w:r w:rsidRPr="00E813B0">
        <w:t xml:space="preserve"> indicate that TREES is weak in terms of social safeguards, with key mentions and details confined to annexes; </w:t>
      </w:r>
      <w:r w:rsidR="00C219E8" w:rsidRPr="00E813B0">
        <w:t>and</w:t>
      </w:r>
      <w:r w:rsidRPr="00E813B0">
        <w:t xml:space="preserve"> weak in terms of benefit sharing and other measures to meaningfully include IP and LC groups (and wider beneficiaries). Several stakeholders indicated lack of close engagement </w:t>
      </w:r>
      <w:r>
        <w:t xml:space="preserve">between Emergent and </w:t>
      </w:r>
      <w:r w:rsidRPr="00E813B0">
        <w:t xml:space="preserve">TREES and one TA stakeholder questioned the quality of the monitoring as regards IP and LCs and wider inclusion issues. Responsibility for inclusion of IP and LCs (and wider beneficiaries) relies heavily on HJs in the design, with </w:t>
      </w:r>
      <w:r w:rsidR="00E82DCB">
        <w:t xml:space="preserve">insufficient </w:t>
      </w:r>
      <w:r w:rsidRPr="00E813B0">
        <w:t xml:space="preserve">oversight (e.g. self-reporting </w:t>
      </w:r>
      <w:r w:rsidR="009A7993">
        <w:t>mainly</w:t>
      </w:r>
      <w:r w:rsidRPr="00E813B0">
        <w:t xml:space="preserve">, </w:t>
      </w:r>
      <w:r w:rsidR="00B26966">
        <w:t>limited</w:t>
      </w:r>
      <w:r w:rsidRPr="00E813B0">
        <w:t xml:space="preserve"> consequences for </w:t>
      </w:r>
      <w:r>
        <w:t>not</w:t>
      </w:r>
      <w:r w:rsidRPr="00E813B0">
        <w:t xml:space="preserve"> deliver</w:t>
      </w:r>
      <w:r>
        <w:t>ing</w:t>
      </w:r>
      <w:r w:rsidRPr="00E813B0">
        <w:t>). This can be summed up as follows: where government</w:t>
      </w:r>
      <w:r w:rsidR="006715ED">
        <w:t>s</w:t>
      </w:r>
      <w:r w:rsidRPr="00E813B0">
        <w:t xml:space="preserve"> prioritise IP and LC engagement: LEAF supports inclusive design. Where they do not: engagement risks being minimal or symbolic.</w:t>
      </w:r>
    </w:p>
    <w:p w14:paraId="3BF11D81" w14:textId="08DFB0E5" w:rsidR="00047A26" w:rsidRDefault="003C3C2B" w:rsidP="00F365A3">
      <w:pPr>
        <w:rPr>
          <w:rFonts w:eastAsiaTheme="majorEastAsia" w:cstheme="majorBidi"/>
          <w:color w:val="041E42"/>
          <w:sz w:val="28"/>
          <w:szCs w:val="24"/>
        </w:rPr>
      </w:pPr>
      <w:r w:rsidRPr="00E813B0">
        <w:rPr>
          <w:rStyle w:val="Boldtext"/>
        </w:rPr>
        <w:t>Inclusion of beneficiaries is not well evidenced and is inconsistent across HJs.</w:t>
      </w:r>
      <w:r w:rsidRPr="00E813B0">
        <w:t xml:space="preserve"> There is inconsistent and weak documentary evidence that LEAF design/objectives have led to robust inclusion/engagement of IP and LCs; with much of the evidence also being HJ proposals and therefore ‘intent’ rather than action at this </w:t>
      </w:r>
      <w:r w:rsidR="00BD4A77">
        <w:t>early stage of implementation</w:t>
      </w:r>
      <w:r w:rsidR="004327DA">
        <w:t xml:space="preserve"> (i</w:t>
      </w:r>
      <w:r w:rsidR="00F80C0F">
        <w:t>t is important to note that there have been significant delays to implementation</w:t>
      </w:r>
      <w:r w:rsidR="00F574C2">
        <w:t>,</w:t>
      </w:r>
      <w:r w:rsidR="00DC253D">
        <w:t xml:space="preserve"> so this aspect can only be assessed more fully as</w:t>
      </w:r>
      <w:r w:rsidR="00CB718C">
        <w:t xml:space="preserve"> FGs</w:t>
      </w:r>
      <w:r w:rsidR="002D4CE6">
        <w:t xml:space="preserve"> </w:t>
      </w:r>
      <w:r w:rsidR="006C13D5">
        <w:t>progress further in the next phase</w:t>
      </w:r>
      <w:r w:rsidR="00B17724">
        <w:t>)</w:t>
      </w:r>
      <w:r w:rsidR="006C13D5">
        <w:t xml:space="preserve">. </w:t>
      </w:r>
      <w:r w:rsidRPr="00E813B0">
        <w:t xml:space="preserve">There are some stronger examples from countries/sub-nationals that </w:t>
      </w:r>
      <w:r>
        <w:t>have</w:t>
      </w:r>
      <w:r w:rsidRPr="00E813B0">
        <w:t xml:space="preserve"> ‘progressed’ on their REDD+ journeys</w:t>
      </w:r>
      <w:r>
        <w:t xml:space="preserve">, </w:t>
      </w:r>
      <w:r w:rsidRPr="00E813B0">
        <w:t xml:space="preserve">e.g. Brazil states and Ghana demonstrating structured consultations, community-led planning and revenue allocation mechanisms that respect </w:t>
      </w:r>
      <w:r w:rsidRPr="00F36F75">
        <w:t>Free, Prior and Informed Consent</w:t>
      </w:r>
      <w:r>
        <w:t xml:space="preserve"> (</w:t>
      </w:r>
      <w:r w:rsidRPr="00E813B0">
        <w:t>FPIC</w:t>
      </w:r>
      <w:r>
        <w:t>)</w:t>
      </w:r>
      <w:r w:rsidRPr="00E813B0">
        <w:t>. However, it could be argued that these achievements are not driven by LEAF: but rather by previous investment, support and engagement by the HJ, sub-national and donor parties (e.g. through previous FCPF work).</w:t>
      </w:r>
      <w:bookmarkStart w:id="46" w:name="_Toc204091206"/>
    </w:p>
    <w:p w14:paraId="078E7973" w14:textId="1A761385" w:rsidR="00233852" w:rsidRPr="00E813B0" w:rsidRDefault="00841F48" w:rsidP="00233852">
      <w:pPr>
        <w:pStyle w:val="Heading3"/>
      </w:pPr>
      <w:bookmarkStart w:id="47" w:name="_Toc209013281"/>
      <w:r w:rsidRPr="00E813B0">
        <w:lastRenderedPageBreak/>
        <w:t xml:space="preserve">2.1.2 </w:t>
      </w:r>
      <w:r w:rsidR="00233852" w:rsidRPr="00E813B0">
        <w:t>Relevance of LEAF objectives and design relevance to host jurisdictions</w:t>
      </w:r>
      <w:bookmarkEnd w:id="46"/>
      <w:bookmarkEnd w:id="47"/>
    </w:p>
    <w:tbl>
      <w:tblPr>
        <w:tblStyle w:val="Table-DarkblueBackground"/>
        <w:tblW w:w="0" w:type="auto"/>
        <w:tblLook w:val="04A0" w:firstRow="1" w:lastRow="0" w:firstColumn="1" w:lastColumn="0" w:noHBand="0" w:noVBand="1"/>
      </w:tblPr>
      <w:tblGrid>
        <w:gridCol w:w="8505"/>
        <w:gridCol w:w="1577"/>
      </w:tblGrid>
      <w:tr w:rsidR="007F7F09" w:rsidRPr="00E813B0" w14:paraId="435FCEE2" w14:textId="77777777" w:rsidTr="00E26C3B">
        <w:trPr>
          <w:cnfStyle w:val="100000000000" w:firstRow="1" w:lastRow="0" w:firstColumn="0" w:lastColumn="0" w:oddVBand="0" w:evenVBand="0" w:oddHBand="0" w:evenHBand="0" w:firstRowFirstColumn="0" w:firstRowLastColumn="0" w:lastRowFirstColumn="0" w:lastRowLastColumn="0"/>
          <w:trHeight w:val="375"/>
        </w:trPr>
        <w:tc>
          <w:tcPr>
            <w:tcW w:w="8505" w:type="dxa"/>
          </w:tcPr>
          <w:p w14:paraId="266E69DA" w14:textId="77777777" w:rsidR="00193ED4" w:rsidRPr="00E813B0" w:rsidRDefault="00193ED4" w:rsidP="00193ED4">
            <w:r w:rsidRPr="00E813B0">
              <w:t>Overall finding</w:t>
            </w:r>
          </w:p>
        </w:tc>
        <w:tc>
          <w:tcPr>
            <w:tcW w:w="1577" w:type="dxa"/>
          </w:tcPr>
          <w:p w14:paraId="74DFA8E8" w14:textId="77777777" w:rsidR="00193ED4" w:rsidRPr="00E813B0" w:rsidRDefault="00193ED4" w:rsidP="00193ED4">
            <w:r w:rsidRPr="00E813B0">
              <w:t>Strength of Evidence</w:t>
            </w:r>
          </w:p>
        </w:tc>
      </w:tr>
      <w:tr w:rsidR="00193ED4" w:rsidRPr="00E813B0" w14:paraId="30D18A67" w14:textId="77777777" w:rsidTr="00E26C3B">
        <w:trPr>
          <w:trHeight w:val="19"/>
        </w:trPr>
        <w:tc>
          <w:tcPr>
            <w:tcW w:w="8505" w:type="dxa"/>
          </w:tcPr>
          <w:p w14:paraId="4D907EA8" w14:textId="401553CE" w:rsidR="00193ED4" w:rsidRPr="00E813B0" w:rsidRDefault="00A62CF4" w:rsidP="00193ED4">
            <w:r w:rsidRPr="00E813B0">
              <w:t xml:space="preserve">The intentionality of the design/objectives in </w:t>
            </w:r>
            <w:r w:rsidR="00B07009">
              <w:t>emphasising</w:t>
            </w:r>
            <w:r w:rsidRPr="00E813B0">
              <w:t xml:space="preserve"> the needs and priorities of </w:t>
            </w:r>
            <w:r w:rsidR="004C488C" w:rsidRPr="00E813B0">
              <w:t>HJ</w:t>
            </w:r>
            <w:r w:rsidRPr="00E813B0">
              <w:t xml:space="preserve">s was strong and clear; but implementation </w:t>
            </w:r>
            <w:r w:rsidR="00B07009">
              <w:t>to date</w:t>
            </w:r>
            <w:r w:rsidRPr="00E813B0">
              <w:t xml:space="preserve"> has been </w:t>
            </w:r>
            <w:r w:rsidR="00A44E7D">
              <w:t>insufficient</w:t>
            </w:r>
            <w:r w:rsidR="00365833">
              <w:t xml:space="preserve"> (with significant delays)</w:t>
            </w:r>
            <w:r w:rsidR="00F1664B" w:rsidRPr="00E813B0">
              <w:t xml:space="preserve"> </w:t>
            </w:r>
            <w:r w:rsidRPr="00E813B0">
              <w:t xml:space="preserve">and inconsistent. There are concerns about </w:t>
            </w:r>
            <w:r w:rsidR="00A34CA4">
              <w:t xml:space="preserve">countries </w:t>
            </w:r>
            <w:r w:rsidRPr="00E813B0">
              <w:t xml:space="preserve">less advanced </w:t>
            </w:r>
            <w:r w:rsidR="00A34CA4">
              <w:t>in the REDD+ process</w:t>
            </w:r>
            <w:r w:rsidR="003B7A5D" w:rsidRPr="00E813B0">
              <w:t xml:space="preserve"> </w:t>
            </w:r>
            <w:r w:rsidRPr="00E813B0">
              <w:t xml:space="preserve">being left behind, as the first phase of LEAF tended to focus efforts on countries ‘nearer the finish line’ in terms of credit generation. The design has received criticism for being </w:t>
            </w:r>
            <w:r w:rsidR="005B20E8">
              <w:t xml:space="preserve">overly </w:t>
            </w:r>
            <w:r w:rsidRPr="00E813B0">
              <w:t xml:space="preserve">ambitious, failing to </w:t>
            </w:r>
            <w:r w:rsidR="006D429E">
              <w:t xml:space="preserve">fully </w:t>
            </w:r>
            <w:r w:rsidRPr="00E813B0">
              <w:t xml:space="preserve">grasp the complexity of the REDD+ sector and the considerable political economy barriers involved </w:t>
            </w:r>
            <w:r w:rsidR="00C93EE7" w:rsidRPr="00E813B0">
              <w:t xml:space="preserve">- </w:t>
            </w:r>
            <w:r w:rsidRPr="00E813B0">
              <w:t>ultimately leading to disappointment in terms of revenue and outcomes to</w:t>
            </w:r>
            <w:r w:rsidR="00C93EE7" w:rsidRPr="00E813B0">
              <w:t xml:space="preserve"> </w:t>
            </w:r>
            <w:r w:rsidRPr="00E813B0">
              <w:t xml:space="preserve">date for </w:t>
            </w:r>
            <w:r w:rsidR="004C488C" w:rsidRPr="00E813B0">
              <w:t>HJ</w:t>
            </w:r>
            <w:r w:rsidRPr="00E813B0">
              <w:t>s.</w:t>
            </w:r>
          </w:p>
        </w:tc>
        <w:tc>
          <w:tcPr>
            <w:tcW w:w="1577" w:type="dxa"/>
          </w:tcPr>
          <w:p w14:paraId="3B57C29B" w14:textId="361800B9" w:rsidR="00193ED4" w:rsidRPr="00E813B0" w:rsidRDefault="00193ED4" w:rsidP="00193ED4">
            <w:pPr>
              <w:rPr>
                <w:rStyle w:val="Boldtext"/>
              </w:rPr>
            </w:pPr>
            <w:r w:rsidRPr="00E813B0">
              <w:rPr>
                <w:rStyle w:val="Boldtext"/>
              </w:rPr>
              <w:t>Medium</w:t>
            </w:r>
          </w:p>
        </w:tc>
      </w:tr>
    </w:tbl>
    <w:p w14:paraId="3DD4EB6B" w14:textId="4DE9FD3D" w:rsidR="00DD479A" w:rsidRPr="00E813B0" w:rsidRDefault="00DD479A" w:rsidP="00DD479A">
      <w:r w:rsidRPr="00E813B0">
        <w:rPr>
          <w:rStyle w:val="Boldtext"/>
        </w:rPr>
        <w:t xml:space="preserve">LEAF objectives and design emphasised meeting </w:t>
      </w:r>
      <w:r w:rsidR="004C488C" w:rsidRPr="00E813B0">
        <w:rPr>
          <w:rStyle w:val="Boldtext"/>
        </w:rPr>
        <w:t>HJ</w:t>
      </w:r>
      <w:r w:rsidRPr="00E813B0">
        <w:rPr>
          <w:rStyle w:val="Boldtext"/>
        </w:rPr>
        <w:t xml:space="preserve"> needs/priorities; but implementation </w:t>
      </w:r>
      <w:r w:rsidR="00B07009">
        <w:rPr>
          <w:rStyle w:val="Boldtext"/>
        </w:rPr>
        <w:t>to date</w:t>
      </w:r>
      <w:r w:rsidRPr="00E813B0">
        <w:rPr>
          <w:rStyle w:val="Boldtext"/>
        </w:rPr>
        <w:t xml:space="preserve"> has been inconsistent</w:t>
      </w:r>
      <w:r w:rsidR="000B6093">
        <w:rPr>
          <w:rStyle w:val="Boldtext"/>
        </w:rPr>
        <w:t xml:space="preserve"> and insufficient (</w:t>
      </w:r>
      <w:r w:rsidRPr="00E813B0">
        <w:rPr>
          <w:rStyle w:val="Boldtext"/>
        </w:rPr>
        <w:t xml:space="preserve">with </w:t>
      </w:r>
      <w:r w:rsidR="000B6093">
        <w:rPr>
          <w:rStyle w:val="Boldtext"/>
        </w:rPr>
        <w:t>significant delays)</w:t>
      </w:r>
      <w:r w:rsidRPr="00E813B0">
        <w:rPr>
          <w:rStyle w:val="Boldtext"/>
        </w:rPr>
        <w:t xml:space="preserve">— with concerns over less advanced countries being left behind. </w:t>
      </w:r>
      <w:r w:rsidRPr="00E813B0">
        <w:t xml:space="preserve">The design/objectives specifically target national and sub-national country needs/priorities – seeking to reinforce national commitments and REDD+ strategies, and to promote country ownership (allowing tailoring to specific contexts and flexibility in funding allocation and contracting to adapt to differentiated legal contexts). The eligibility criteria in the design </w:t>
      </w:r>
      <w:r w:rsidR="00B07009">
        <w:t>align</w:t>
      </w:r>
      <w:r w:rsidRPr="00E813B0">
        <w:t xml:space="preserve"> well with </w:t>
      </w:r>
      <w:r w:rsidR="00FC05F9">
        <w:t>country's</w:t>
      </w:r>
      <w:r w:rsidRPr="00E813B0">
        <w:t xml:space="preserve"> needs. Flexibility to allow sub-national participation is recognised as a positive, as is the upfront finance available to accelerate ‘readiness’ milestones. Progress has been stronger under some regions/</w:t>
      </w:r>
      <w:r w:rsidR="004C488C" w:rsidRPr="00E813B0">
        <w:t>HJ</w:t>
      </w:r>
      <w:r w:rsidRPr="00E813B0">
        <w:t xml:space="preserve">s </w:t>
      </w:r>
      <w:r w:rsidR="0012349F">
        <w:t>such as the</w:t>
      </w:r>
      <w:r w:rsidRPr="00E813B0">
        <w:t xml:space="preserve"> strong examples in Brazilian states and Costa Rica</w:t>
      </w:r>
      <w:r w:rsidR="0012349F">
        <w:t>,</w:t>
      </w:r>
      <w:r w:rsidRPr="00E813B0">
        <w:t xml:space="preserve"> demonstrating support to </w:t>
      </w:r>
      <w:r w:rsidR="004C488C" w:rsidRPr="00E813B0">
        <w:t>HJ</w:t>
      </w:r>
      <w:r w:rsidRPr="00E813B0">
        <w:t xml:space="preserve"> N</w:t>
      </w:r>
      <w:r w:rsidR="00966716" w:rsidRPr="00E813B0">
        <w:t>ationally Determined Contributions (N</w:t>
      </w:r>
      <w:r w:rsidRPr="00E813B0">
        <w:t>DCs</w:t>
      </w:r>
      <w:r w:rsidR="00966716" w:rsidRPr="00E813B0">
        <w:t>)</w:t>
      </w:r>
      <w:r w:rsidRPr="00E813B0">
        <w:t>, REDD+ strategies and wider sustainable development priorities.</w:t>
      </w:r>
      <w:r w:rsidR="00C20515">
        <w:t xml:space="preserve"> </w:t>
      </w:r>
      <w:r w:rsidR="0012349F">
        <w:t>T</w:t>
      </w:r>
      <w:r w:rsidRPr="00E813B0">
        <w:t>his advancement tends to be seen where REDD+ infrastructure was already in place, with LEAF helping to fund and scale further</w:t>
      </w:r>
      <w:r w:rsidR="001C2A4D">
        <w:t xml:space="preserve"> (engagement with more advanced </w:t>
      </w:r>
      <w:r w:rsidR="001E0939">
        <w:t>HJ</w:t>
      </w:r>
      <w:r w:rsidR="004D1CA8">
        <w:t xml:space="preserve">s in the initial phase was an intentional approach towards ‘proof of concept’ by the LEAF </w:t>
      </w:r>
      <w:r w:rsidR="00BB17DD">
        <w:t>programme)</w:t>
      </w:r>
      <w:r w:rsidRPr="00E813B0">
        <w:t xml:space="preserve">. </w:t>
      </w:r>
      <w:r w:rsidR="00131B64">
        <w:t xml:space="preserve">In contrast, </w:t>
      </w:r>
      <w:r w:rsidRPr="00E813B0">
        <w:t xml:space="preserve">stakeholders </w:t>
      </w:r>
      <w:r w:rsidR="00131B64">
        <w:t>including</w:t>
      </w:r>
      <w:r w:rsidRPr="00E813B0">
        <w:t xml:space="preserve"> </w:t>
      </w:r>
      <w:r w:rsidR="004C488C" w:rsidRPr="00E813B0">
        <w:t>HJ</w:t>
      </w:r>
      <w:r w:rsidRPr="00E813B0">
        <w:t>s, TA providers and sovereign donors raised concerns over less advanced countries/</w:t>
      </w:r>
      <w:r w:rsidR="004C488C" w:rsidRPr="00E813B0">
        <w:t>HJ</w:t>
      </w:r>
      <w:r w:rsidRPr="00E813B0">
        <w:t xml:space="preserve">s being ‘left behind’. There is also evidence that LEAF intentionally (for valid reasons) targeted more </w:t>
      </w:r>
      <w:r w:rsidR="007D2ABB">
        <w:t xml:space="preserve">advanced </w:t>
      </w:r>
      <w:r w:rsidRPr="00E813B0">
        <w:t>countries in this first phase</w:t>
      </w:r>
      <w:r w:rsidR="007D2ABB">
        <w:t>. However,</w:t>
      </w:r>
      <w:r w:rsidR="007718BF">
        <w:t xml:space="preserve"> </w:t>
      </w:r>
      <w:r w:rsidRPr="00E813B0">
        <w:t xml:space="preserve">this requires some </w:t>
      </w:r>
      <w:r w:rsidR="00AB6BC9">
        <w:t xml:space="preserve">consideration and ‘rebalancing’ </w:t>
      </w:r>
      <w:r w:rsidRPr="00E813B0">
        <w:t>in later stages</w:t>
      </w:r>
      <w:r w:rsidR="00AB6BC9">
        <w:t xml:space="preserve"> to ensure </w:t>
      </w:r>
      <w:r w:rsidR="00D642E0">
        <w:t>less advanced</w:t>
      </w:r>
      <w:r w:rsidR="00AB6BC9">
        <w:t xml:space="preserve"> countries can participate and benefit</w:t>
      </w:r>
      <w:r w:rsidRPr="00E813B0">
        <w:t>.</w:t>
      </w:r>
    </w:p>
    <w:p w14:paraId="2C583772" w14:textId="6AAF1D5F" w:rsidR="00DD479A" w:rsidRPr="00E813B0" w:rsidRDefault="00DD479A" w:rsidP="00DD479A">
      <w:r w:rsidRPr="00E813B0">
        <w:rPr>
          <w:rStyle w:val="Boldtext"/>
        </w:rPr>
        <w:t xml:space="preserve">LEAF design has been criticised as being </w:t>
      </w:r>
      <w:r w:rsidR="006E414B">
        <w:rPr>
          <w:rStyle w:val="Boldtext"/>
        </w:rPr>
        <w:t xml:space="preserve">overly </w:t>
      </w:r>
      <w:r w:rsidRPr="00E813B0">
        <w:rPr>
          <w:rStyle w:val="Boldtext"/>
        </w:rPr>
        <w:t>ambitious</w:t>
      </w:r>
      <w:r w:rsidR="006E414B">
        <w:rPr>
          <w:rStyle w:val="Boldtext"/>
        </w:rPr>
        <w:t xml:space="preserve"> </w:t>
      </w:r>
      <w:r w:rsidR="00D3419F">
        <w:rPr>
          <w:rStyle w:val="Boldtext"/>
        </w:rPr>
        <w:t>- underestimating</w:t>
      </w:r>
      <w:r w:rsidRPr="00E813B0">
        <w:rPr>
          <w:rStyle w:val="Boldtext"/>
        </w:rPr>
        <w:t xml:space="preserve"> the complexity of the sector and related political economy barriers, leading to disappointment for </w:t>
      </w:r>
      <w:r w:rsidR="004C488C" w:rsidRPr="00E813B0">
        <w:rPr>
          <w:rStyle w:val="Boldtext"/>
        </w:rPr>
        <w:t>HJ</w:t>
      </w:r>
      <w:r w:rsidRPr="00E813B0">
        <w:rPr>
          <w:rStyle w:val="Boldtext"/>
        </w:rPr>
        <w:t xml:space="preserve">s. </w:t>
      </w:r>
      <w:r w:rsidRPr="00E813B0">
        <w:t>Whilst the design was well-received in its intention to provide much-needed finance mobilisation in the REDD+ space (e.g. advance contracts, minimum price guarantees, guaranteed liquidity); there has been disappointment due to protracted timelines and delays</w:t>
      </w:r>
      <w:r w:rsidR="00675CFF">
        <w:t xml:space="preserve"> for both </w:t>
      </w:r>
      <w:r w:rsidR="00AA31E5">
        <w:t>achievement of the TREES standard</w:t>
      </w:r>
      <w:r w:rsidR="00D3419F">
        <w:t>,</w:t>
      </w:r>
      <w:r w:rsidR="00AA31E5">
        <w:t xml:space="preserve"> </w:t>
      </w:r>
      <w:r w:rsidR="00AE6609">
        <w:t>agreement of ERPAs</w:t>
      </w:r>
      <w:r w:rsidR="00D3419F">
        <w:t xml:space="preserve"> and credit issuance</w:t>
      </w:r>
      <w:r w:rsidRPr="00E813B0">
        <w:t xml:space="preserve">, a lack of preparedness for the complexity of the process, high transaction costs (e.g. linked to high capacity-building costs to align with the relatively new TREES standard) and </w:t>
      </w:r>
      <w:r w:rsidR="00FA71BB">
        <w:t>the LEAF</w:t>
      </w:r>
      <w:r w:rsidR="00FA71BB" w:rsidRPr="00E813B0">
        <w:t xml:space="preserve"> </w:t>
      </w:r>
      <w:r w:rsidR="00FA71BB">
        <w:t xml:space="preserve">floor </w:t>
      </w:r>
      <w:r w:rsidRPr="00E813B0">
        <w:t xml:space="preserve">price being set too low. Significant gaps identified are </w:t>
      </w:r>
      <w:r w:rsidR="00755A21">
        <w:t xml:space="preserve">a </w:t>
      </w:r>
      <w:r w:rsidRPr="00E813B0">
        <w:t xml:space="preserve">lack of resources/capacity-building and oversight to ensure equitable benefit-sharing. Some stakeholders also mentioned </w:t>
      </w:r>
      <w:r w:rsidRPr="00E813B0">
        <w:lastRenderedPageBreak/>
        <w:t xml:space="preserve">that the design was poorly communicated to </w:t>
      </w:r>
      <w:r w:rsidR="004C488C" w:rsidRPr="00E813B0">
        <w:t>HJ</w:t>
      </w:r>
      <w:r w:rsidRPr="00E813B0">
        <w:t>s, with many for example conflating ART TREES and LEAF.</w:t>
      </w:r>
    </w:p>
    <w:p w14:paraId="643AD978" w14:textId="42CCBC06" w:rsidR="00233852" w:rsidRPr="00E813B0" w:rsidRDefault="00566617" w:rsidP="00566617">
      <w:pPr>
        <w:pStyle w:val="Heading2"/>
      </w:pPr>
      <w:bookmarkStart w:id="48" w:name="_Toc204091207"/>
      <w:bookmarkStart w:id="49" w:name="_Toc209013282"/>
      <w:r w:rsidRPr="00E813B0">
        <w:t xml:space="preserve">2.2 </w:t>
      </w:r>
      <w:r w:rsidR="00233852" w:rsidRPr="00E813B0">
        <w:t>Coherence</w:t>
      </w:r>
      <w:r w:rsidR="00062C70">
        <w:t xml:space="preserve"> (responding to EQ2)</w:t>
      </w:r>
      <w:bookmarkEnd w:id="48"/>
      <w:bookmarkEnd w:id="49"/>
    </w:p>
    <w:p w14:paraId="0BBF9160" w14:textId="5B06BE85" w:rsidR="000B21CC" w:rsidRPr="00E813B0" w:rsidRDefault="000B21CC" w:rsidP="001B5440">
      <w:pPr>
        <w:rPr>
          <w:rStyle w:val="Boldtext"/>
          <w:i/>
        </w:rPr>
      </w:pPr>
      <w:r w:rsidRPr="00B71CE9">
        <w:rPr>
          <w:rStyle w:val="Boldtext"/>
        </w:rPr>
        <w:t>Overall</w:t>
      </w:r>
      <w:r w:rsidRPr="00E813B0">
        <w:rPr>
          <w:rStyle w:val="Boldtext"/>
        </w:rPr>
        <w:t xml:space="preserve">, LEAF is coherent with REDD+ at the international UNFCCC level, and with HMG strategic priorities at the national UK level. However, since its launch in 2021, both contexts have evolved, and are continuing to evolve, meaning that LEAF will likely need to further adapt and be more flexible to ensure it continues to be aligned in the future. LEAF TA would benefit from further synergies with UN-REDD TA, while also holistically acknowledging </w:t>
      </w:r>
      <w:r w:rsidR="00755A21">
        <w:rPr>
          <w:rStyle w:val="Boldtext"/>
        </w:rPr>
        <w:t xml:space="preserve">the </w:t>
      </w:r>
      <w:r w:rsidRPr="00E813B0">
        <w:rPr>
          <w:rStyle w:val="Boldtext"/>
        </w:rPr>
        <w:t>needs and capacities of HJs to tailor their TA provisions accordingly.</w:t>
      </w:r>
    </w:p>
    <w:p w14:paraId="4F38B4E4" w14:textId="08865B34" w:rsidR="000B21CC" w:rsidRPr="00E813B0" w:rsidRDefault="00566617" w:rsidP="000B21CC">
      <w:pPr>
        <w:pStyle w:val="Heading3"/>
      </w:pPr>
      <w:bookmarkStart w:id="50" w:name="_Toc204091208"/>
      <w:bookmarkStart w:id="51" w:name="_Toc209013283"/>
      <w:r w:rsidRPr="00E813B0">
        <w:t xml:space="preserve">2.2.1 </w:t>
      </w:r>
      <w:r w:rsidR="000B21CC" w:rsidRPr="00E813B0">
        <w:t>Internal Coherence</w:t>
      </w:r>
      <w:bookmarkEnd w:id="50"/>
      <w:bookmarkEnd w:id="51"/>
    </w:p>
    <w:tbl>
      <w:tblPr>
        <w:tblStyle w:val="Table-DarkblueBackground"/>
        <w:tblW w:w="0" w:type="auto"/>
        <w:tblLook w:val="04A0" w:firstRow="1" w:lastRow="0" w:firstColumn="1" w:lastColumn="0" w:noHBand="0" w:noVBand="1"/>
      </w:tblPr>
      <w:tblGrid>
        <w:gridCol w:w="8505"/>
        <w:gridCol w:w="1577"/>
      </w:tblGrid>
      <w:tr w:rsidR="007F7F09" w:rsidRPr="00E813B0" w14:paraId="20926F0C" w14:textId="77777777" w:rsidTr="00E26C3B">
        <w:trPr>
          <w:cnfStyle w:val="100000000000" w:firstRow="1" w:lastRow="0" w:firstColumn="0" w:lastColumn="0" w:oddVBand="0" w:evenVBand="0" w:oddHBand="0" w:evenHBand="0" w:firstRowFirstColumn="0" w:firstRowLastColumn="0" w:lastRowFirstColumn="0" w:lastRowLastColumn="0"/>
          <w:trHeight w:val="375"/>
        </w:trPr>
        <w:tc>
          <w:tcPr>
            <w:tcW w:w="8505" w:type="dxa"/>
          </w:tcPr>
          <w:p w14:paraId="4D806CB4" w14:textId="77777777" w:rsidR="000B21CC" w:rsidRPr="00E813B0" w:rsidRDefault="000B21CC" w:rsidP="000B21CC">
            <w:r w:rsidRPr="00E813B0">
              <w:t>Overall finding</w:t>
            </w:r>
          </w:p>
        </w:tc>
        <w:tc>
          <w:tcPr>
            <w:tcW w:w="1577" w:type="dxa"/>
          </w:tcPr>
          <w:p w14:paraId="52D716CC" w14:textId="77777777" w:rsidR="000B21CC" w:rsidRPr="00E813B0" w:rsidRDefault="000B21CC" w:rsidP="000B21CC">
            <w:r w:rsidRPr="00E813B0">
              <w:t>Strength of Evidence</w:t>
            </w:r>
          </w:p>
        </w:tc>
      </w:tr>
      <w:tr w:rsidR="000B21CC" w:rsidRPr="00E813B0" w14:paraId="735D7322" w14:textId="77777777" w:rsidTr="00E26C3B">
        <w:trPr>
          <w:trHeight w:val="19"/>
        </w:trPr>
        <w:tc>
          <w:tcPr>
            <w:tcW w:w="8505" w:type="dxa"/>
          </w:tcPr>
          <w:p w14:paraId="2CBAD828" w14:textId="6D2105CC" w:rsidR="000B21CC" w:rsidRPr="00E813B0" w:rsidRDefault="00755A21" w:rsidP="000B21CC">
            <w:r>
              <w:t>LEAF's</w:t>
            </w:r>
            <w:r w:rsidR="000B21CC" w:rsidRPr="00E813B0">
              <w:t xml:space="preserve"> aims, objectives and ambitions align with HMG strategic priorities to accelerate global action on tackling climate change, with a forest sector focus. However, </w:t>
            </w:r>
            <w:r>
              <w:t>with</w:t>
            </w:r>
            <w:r w:rsidR="000B21CC" w:rsidRPr="00E813B0">
              <w:t xml:space="preserve"> respect to TA as well as lessons sharing/learning, there could be increased collaboration between different HMG programmes</w:t>
            </w:r>
            <w:r w:rsidR="008E2CD8" w:rsidRPr="00E813B0">
              <w:t>.</w:t>
            </w:r>
          </w:p>
        </w:tc>
        <w:tc>
          <w:tcPr>
            <w:tcW w:w="1577" w:type="dxa"/>
          </w:tcPr>
          <w:p w14:paraId="1703443C" w14:textId="77777777" w:rsidR="000B21CC" w:rsidRPr="00E813B0" w:rsidRDefault="000B21CC" w:rsidP="000B21CC">
            <w:pPr>
              <w:rPr>
                <w:rStyle w:val="Boldtext"/>
              </w:rPr>
            </w:pPr>
            <w:r w:rsidRPr="00E813B0">
              <w:rPr>
                <w:rStyle w:val="Boldtext"/>
              </w:rPr>
              <w:t>Medium</w:t>
            </w:r>
          </w:p>
        </w:tc>
      </w:tr>
    </w:tbl>
    <w:p w14:paraId="6316C82D" w14:textId="4D47273D" w:rsidR="000B21CC" w:rsidRPr="00E813B0" w:rsidRDefault="004C41CF" w:rsidP="000B21CC">
      <w:r w:rsidRPr="00E813B0">
        <w:rPr>
          <w:rStyle w:val="Boldtext"/>
        </w:rPr>
        <w:t>By investing in</w:t>
      </w:r>
      <w:r w:rsidR="000B21CC" w:rsidRPr="00E813B0">
        <w:rPr>
          <w:rStyle w:val="Boldtext"/>
        </w:rPr>
        <w:t xml:space="preserve"> LEAF as donors, the UK and Norway have contributed to foster</w:t>
      </w:r>
      <w:r w:rsidR="000173DC" w:rsidRPr="00E813B0">
        <w:rPr>
          <w:rStyle w:val="Boldtext"/>
        </w:rPr>
        <w:t>ing</w:t>
      </w:r>
      <w:r w:rsidR="000B21CC" w:rsidRPr="00E813B0">
        <w:rPr>
          <w:rStyle w:val="Boldtext"/>
        </w:rPr>
        <w:t xml:space="preserve"> the development and early implementation of innovative approaches and investments towards potential market-scale transformations</w:t>
      </w:r>
      <w:r w:rsidR="000B21CC" w:rsidRPr="00E813B0">
        <w:t xml:space="preserve">. The importance of mobilising private climate finance at scale has been recognised by both HMG and NICFI, but this often requires the public sector to step in first to provide seed funding and/or de-risk innovative approaches before </w:t>
      </w:r>
      <w:r w:rsidR="00752993">
        <w:t xml:space="preserve">the </w:t>
      </w:r>
      <w:r w:rsidR="000B21CC" w:rsidRPr="00E813B0">
        <w:t xml:space="preserve">private sector is willing to contribute. To date, LEAF has exemplified this first step, while private climate finance flows have not </w:t>
      </w:r>
      <w:r w:rsidR="002779D9" w:rsidRPr="00E813B0">
        <w:t xml:space="preserve">yet </w:t>
      </w:r>
      <w:r w:rsidR="000B21CC" w:rsidRPr="00E813B0">
        <w:t>started</w:t>
      </w:r>
      <w:r w:rsidR="002779D9" w:rsidRPr="00E813B0">
        <w:t>.</w:t>
      </w:r>
      <w:r w:rsidR="000B21CC" w:rsidRPr="00E813B0">
        <w:t xml:space="preserve"> The extent to which private climate finance will complement donors’ climate finance in the future will </w:t>
      </w:r>
      <w:r w:rsidR="00F6293B">
        <w:t>dictate</w:t>
      </w:r>
      <w:r w:rsidR="00F6293B" w:rsidRPr="00E813B0">
        <w:t xml:space="preserve"> </w:t>
      </w:r>
      <w:r w:rsidR="000B21CC" w:rsidRPr="00E813B0">
        <w:t>the success of LEAF in terms of transitioning from ODA towards market-based mechanisms</w:t>
      </w:r>
      <w:r w:rsidR="00055A55">
        <w:t>,</w:t>
      </w:r>
      <w:r w:rsidR="000B21CC" w:rsidRPr="00E813B0">
        <w:t xml:space="preserve"> e.g., compliance and voluntary carbon markets (VCM+).</w:t>
      </w:r>
    </w:p>
    <w:p w14:paraId="7C0A44AE" w14:textId="579857C1" w:rsidR="000B21CC" w:rsidRPr="00E813B0" w:rsidRDefault="000B21CC" w:rsidP="000B21CC">
      <w:r w:rsidRPr="00E813B0">
        <w:rPr>
          <w:rStyle w:val="Boldtext"/>
        </w:rPr>
        <w:t>LEAF has the potential to align with ODA, as well as other HMG strategies and programmes</w:t>
      </w:r>
      <w:r w:rsidRPr="00E813B0">
        <w:t>. LEAF has the potential to meet development assistance requirements (International Development Act 2002) as it contributes to sustainable development in developing countries. DESNZ is currently undertaking a review and a public consultation on Voluntary Carbon and Nature Markets (and their integrity), which could inform and/or shape future strategies. This may include an evolution of the current LEAF pathways (if necessary), and/or further cross-collaboration between different HMG programmes</w:t>
      </w:r>
      <w:r w:rsidR="005F201F">
        <w:t>,</w:t>
      </w:r>
      <w:r w:rsidRPr="00E813B0">
        <w:t xml:space="preserve"> e.g., in-country TA and/or topic-specific research in the context of UK PACT, </w:t>
      </w:r>
      <w:r w:rsidR="007A2D06" w:rsidRPr="007A2D06">
        <w:t>Forest Governance Markets and Climate</w:t>
      </w:r>
      <w:r w:rsidR="000A7B5A">
        <w:t xml:space="preserve"> </w:t>
      </w:r>
      <w:r w:rsidR="007A2D06">
        <w:t>(</w:t>
      </w:r>
      <w:r w:rsidRPr="00E813B0">
        <w:t>FGMC2</w:t>
      </w:r>
      <w:r w:rsidR="007A2D06">
        <w:t>)</w:t>
      </w:r>
      <w:r w:rsidRPr="00E813B0">
        <w:t>, etc.</w:t>
      </w:r>
      <w:r w:rsidR="005F201F">
        <w:t>,</w:t>
      </w:r>
      <w:r w:rsidRPr="00E813B0">
        <w:t xml:space="preserve"> some examples of which have already been identified.</w:t>
      </w:r>
    </w:p>
    <w:p w14:paraId="30F9BB5A" w14:textId="7FB44A59" w:rsidR="000B21CC" w:rsidRPr="00E813B0" w:rsidRDefault="00566617" w:rsidP="000B21CC">
      <w:pPr>
        <w:pStyle w:val="Heading3"/>
      </w:pPr>
      <w:bookmarkStart w:id="52" w:name="_Toc204091209"/>
      <w:bookmarkStart w:id="53" w:name="_Toc209013284"/>
      <w:r w:rsidRPr="00E813B0">
        <w:lastRenderedPageBreak/>
        <w:t xml:space="preserve">2.2.2 </w:t>
      </w:r>
      <w:r w:rsidR="000B21CC" w:rsidRPr="00E813B0">
        <w:t>External Coherence</w:t>
      </w:r>
      <w:bookmarkEnd w:id="52"/>
      <w:bookmarkEnd w:id="53"/>
    </w:p>
    <w:tbl>
      <w:tblPr>
        <w:tblStyle w:val="Table-DarkblueBackground"/>
        <w:tblW w:w="0" w:type="auto"/>
        <w:tblLook w:val="04A0" w:firstRow="1" w:lastRow="0" w:firstColumn="1" w:lastColumn="0" w:noHBand="0" w:noVBand="1"/>
      </w:tblPr>
      <w:tblGrid>
        <w:gridCol w:w="8505"/>
        <w:gridCol w:w="1577"/>
      </w:tblGrid>
      <w:tr w:rsidR="007F7F09" w:rsidRPr="00E813B0" w14:paraId="0CC553F6" w14:textId="77777777" w:rsidTr="00E26C3B">
        <w:trPr>
          <w:cnfStyle w:val="100000000000" w:firstRow="1" w:lastRow="0" w:firstColumn="0" w:lastColumn="0" w:oddVBand="0" w:evenVBand="0" w:oddHBand="0" w:evenHBand="0" w:firstRowFirstColumn="0" w:firstRowLastColumn="0" w:lastRowFirstColumn="0" w:lastRowLastColumn="0"/>
          <w:trHeight w:val="375"/>
        </w:trPr>
        <w:tc>
          <w:tcPr>
            <w:tcW w:w="8505" w:type="dxa"/>
          </w:tcPr>
          <w:p w14:paraId="77953426" w14:textId="77777777" w:rsidR="000B21CC" w:rsidRPr="00E813B0" w:rsidRDefault="000B21CC" w:rsidP="000B21CC">
            <w:r w:rsidRPr="00E813B0">
              <w:t>Overall finding</w:t>
            </w:r>
          </w:p>
        </w:tc>
        <w:tc>
          <w:tcPr>
            <w:tcW w:w="1577" w:type="dxa"/>
          </w:tcPr>
          <w:p w14:paraId="31FE8872" w14:textId="77777777" w:rsidR="000B21CC" w:rsidRPr="00E813B0" w:rsidRDefault="000B21CC" w:rsidP="000B21CC">
            <w:r w:rsidRPr="00E813B0">
              <w:t>Strength of Evidence</w:t>
            </w:r>
          </w:p>
        </w:tc>
      </w:tr>
      <w:tr w:rsidR="000B21CC" w:rsidRPr="00E813B0" w14:paraId="27A7EEF3" w14:textId="77777777" w:rsidTr="00E26C3B">
        <w:trPr>
          <w:trHeight w:val="19"/>
        </w:trPr>
        <w:tc>
          <w:tcPr>
            <w:tcW w:w="8505" w:type="dxa"/>
          </w:tcPr>
          <w:p w14:paraId="0932AFFB" w14:textId="62625539" w:rsidR="000B21CC" w:rsidRPr="00E813B0" w:rsidRDefault="000B21CC" w:rsidP="000B21CC">
            <w:r w:rsidRPr="00E813B0">
              <w:t xml:space="preserve">LEAF is coherent with REDD+ and the Cancun safeguards and frequently </w:t>
            </w:r>
            <w:r w:rsidR="00755A21">
              <w:t>benefi</w:t>
            </w:r>
            <w:r w:rsidR="003E64D4">
              <w:t>t</w:t>
            </w:r>
            <w:r w:rsidR="00755A21">
              <w:t>ted</w:t>
            </w:r>
            <w:r w:rsidRPr="00E813B0">
              <w:t xml:space="preserve"> from previous REDD+ readiness/implementation programmes and their TA provisions – e.g., FCPF, G</w:t>
            </w:r>
            <w:r w:rsidR="00C22C57">
              <w:t xml:space="preserve">reen </w:t>
            </w:r>
            <w:r w:rsidRPr="00E813B0">
              <w:t>C</w:t>
            </w:r>
            <w:r w:rsidR="00C22C57">
              <w:t xml:space="preserve">limate </w:t>
            </w:r>
            <w:r w:rsidRPr="00E813B0">
              <w:t>F</w:t>
            </w:r>
            <w:r w:rsidR="00C22C57">
              <w:t>und (GCF)</w:t>
            </w:r>
            <w:r w:rsidRPr="00E813B0">
              <w:t xml:space="preserve"> and R</w:t>
            </w:r>
            <w:r w:rsidR="006F08D3">
              <w:t xml:space="preserve">EDD </w:t>
            </w:r>
            <w:r w:rsidRPr="00E813B0">
              <w:t>E</w:t>
            </w:r>
            <w:r w:rsidR="006F08D3">
              <w:t xml:space="preserve">arly </w:t>
            </w:r>
            <w:r w:rsidRPr="00E813B0">
              <w:t>M</w:t>
            </w:r>
            <w:r w:rsidR="006F08D3">
              <w:t>overs (REM)</w:t>
            </w:r>
            <w:r w:rsidRPr="00E813B0">
              <w:t xml:space="preserve">, but also </w:t>
            </w:r>
            <w:r w:rsidR="00201614" w:rsidRPr="00E813B0">
              <w:t>the Global Environment Fund (</w:t>
            </w:r>
            <w:r w:rsidRPr="00E813B0">
              <w:t>GEF</w:t>
            </w:r>
            <w:r w:rsidR="00201614" w:rsidRPr="00E813B0">
              <w:t>)</w:t>
            </w:r>
            <w:r w:rsidRPr="00E813B0">
              <w:t xml:space="preserve"> and Governors’ Climate and Forests Task Force (GCFTF). This implies a comparative disadvantage for countries that did not previously benefit from other climate finance readiness programmes and their capacity building TA provisions, since those countries will arguably need more time and resources to participate in the LEAF Coalition and achieve TREES compliance.</w:t>
            </w:r>
          </w:p>
        </w:tc>
        <w:tc>
          <w:tcPr>
            <w:tcW w:w="1577" w:type="dxa"/>
          </w:tcPr>
          <w:p w14:paraId="7895D8B7" w14:textId="77777777" w:rsidR="000B21CC" w:rsidRPr="00E813B0" w:rsidRDefault="000B21CC" w:rsidP="000B21CC">
            <w:pPr>
              <w:rPr>
                <w:rStyle w:val="Boldtext"/>
              </w:rPr>
            </w:pPr>
            <w:r w:rsidRPr="00E813B0">
              <w:rPr>
                <w:rStyle w:val="Boldtext"/>
              </w:rPr>
              <w:t>Medium</w:t>
            </w:r>
          </w:p>
        </w:tc>
      </w:tr>
    </w:tbl>
    <w:p w14:paraId="7086AD87" w14:textId="77777777" w:rsidR="000B21CC" w:rsidRPr="00E813B0" w:rsidRDefault="000B21CC" w:rsidP="000B21CC">
      <w:r w:rsidRPr="00E813B0">
        <w:rPr>
          <w:rStyle w:val="Boldtext"/>
        </w:rPr>
        <w:t>LEAF was developed as an innovative jurisdictional REDD+ climate finance mechanism relying on a new standard – The REDD+ Environmental Excellence Standard (TREES) created by ART</w:t>
      </w:r>
      <w:r w:rsidRPr="00E813B0">
        <w:t>. It is coherent with REDD+ and the Cancun safeguards, but many stakeholders involved initially underestimated the differences between the TREES standard and previously used standards (e.g., FCPF), as well as between LEAF ERPAs and previously negotiated ERPAs (e.g., FCPF). Over time, this co-learning process has led to significant time lags compared to original plans and expectations (i.e., years), thus running the risk of political disengagement and/or policy changes in the interim.</w:t>
      </w:r>
    </w:p>
    <w:p w14:paraId="79BBF84B" w14:textId="3CC2DE0F" w:rsidR="000B21CC" w:rsidRPr="00E813B0" w:rsidRDefault="000B21CC" w:rsidP="000B21CC">
      <w:r w:rsidRPr="00E813B0">
        <w:rPr>
          <w:rStyle w:val="Boldtext"/>
        </w:rPr>
        <w:t>The heterogeneity of countries in terms of progress made to date on LEAF seems to be largely dependent on their different “starting points” regarding previous REDD+ readiness programmes, or their lack thereof</w:t>
      </w:r>
      <w:r w:rsidRPr="00E813B0">
        <w:t>. Differences between national legal frameworks also mean that LEAF cannot be fully standardised and implemented in the same way across different countries/jurisdictions, for example, in terms of the pathways chosen (e.g., result-based payments versus market-based mechanisms, with or without corresponding adjustments). However, further alignment should be sought from an international law perspective, particularly on human rights and IP</w:t>
      </w:r>
      <w:r w:rsidR="00B11D50">
        <w:t xml:space="preserve"> and </w:t>
      </w:r>
      <w:r w:rsidRPr="00E813B0">
        <w:t>LC rights (see Section</w:t>
      </w:r>
      <w:r w:rsidR="002C7C90" w:rsidRPr="00E813B0">
        <w:t xml:space="preserve"> 2.6</w:t>
      </w:r>
      <w:r w:rsidRPr="00E813B0">
        <w:t xml:space="preserve"> on GEDSI).</w:t>
      </w:r>
      <w:r w:rsidR="00F75858" w:rsidRPr="00E813B0" w:rsidDel="00F75858">
        <w:rPr>
          <w:rStyle w:val="FootnoteReference"/>
        </w:rPr>
        <w:t xml:space="preserve"> </w:t>
      </w:r>
      <w:r w:rsidR="00F75858" w:rsidRPr="00F75858">
        <w:t xml:space="preserve"> </w:t>
      </w:r>
      <w:r w:rsidR="00F75858" w:rsidRPr="00512943">
        <w:t>The current review and upcoming consultation on version 3.0 of the TREES standard is an opportunity with the potential to improve and strengthen several aspects including gender, IP</w:t>
      </w:r>
      <w:r w:rsidR="00F75858">
        <w:t xml:space="preserve"> and </w:t>
      </w:r>
      <w:r w:rsidR="00F75858" w:rsidRPr="00512943">
        <w:t xml:space="preserve">LC, safeguards, </w:t>
      </w:r>
      <w:r w:rsidR="00F75858" w:rsidRPr="004350D2">
        <w:t>Validation and Verification Bodies (</w:t>
      </w:r>
      <w:r w:rsidR="00F75858">
        <w:t>V</w:t>
      </w:r>
      <w:r w:rsidR="00F75858" w:rsidRPr="00512943">
        <w:t>VB</w:t>
      </w:r>
      <w:r w:rsidR="00F75858">
        <w:t>)</w:t>
      </w:r>
      <w:r w:rsidR="00F75858" w:rsidRPr="00512943">
        <w:t xml:space="preserve"> processes, etc. Such improvements, if implemented, could also indirectly increase alignment between LEAF and initiatives such as </w:t>
      </w:r>
      <w:r w:rsidR="003E64D4">
        <w:t xml:space="preserve">the </w:t>
      </w:r>
      <w:r w:rsidR="00F75858" w:rsidRPr="00570FB9">
        <w:t xml:space="preserve">Integrity Council for the Voluntary Carbon Market </w:t>
      </w:r>
      <w:r w:rsidR="00F75858">
        <w:t>(</w:t>
      </w:r>
      <w:r w:rsidR="00F75858" w:rsidRPr="00512943">
        <w:t>ICVCM</w:t>
      </w:r>
      <w:r w:rsidR="00F75858">
        <w:t>)</w:t>
      </w:r>
      <w:r w:rsidR="00F75858" w:rsidRPr="00512943">
        <w:t xml:space="preserve"> and </w:t>
      </w:r>
      <w:r w:rsidR="00F75858" w:rsidRPr="00DF2936">
        <w:t xml:space="preserve">Voluntary Carbon Markets Integrity Initiative </w:t>
      </w:r>
      <w:r w:rsidR="00F75858">
        <w:t>(</w:t>
      </w:r>
      <w:r w:rsidR="00F75858" w:rsidRPr="00512943">
        <w:t>VCMI</w:t>
      </w:r>
      <w:r w:rsidR="00F75858">
        <w:t>)</w:t>
      </w:r>
      <w:r w:rsidR="00F75858" w:rsidRPr="00512943">
        <w:t xml:space="preserve">, unless LEAF </w:t>
      </w:r>
      <w:r w:rsidR="007540DD">
        <w:t>decides</w:t>
      </w:r>
      <w:r w:rsidR="00F75858" w:rsidRPr="00512943">
        <w:t xml:space="preserve"> to start using/accepting other standards beyond TREES.</w:t>
      </w:r>
    </w:p>
    <w:p w14:paraId="3B3156F3" w14:textId="57CE6168" w:rsidR="000B21CC" w:rsidRPr="00E813B0" w:rsidRDefault="000B21CC" w:rsidP="000B21CC">
      <w:r w:rsidRPr="00E813B0">
        <w:rPr>
          <w:rStyle w:val="Boldtext"/>
        </w:rPr>
        <w:t xml:space="preserve">Some countries/jurisdictions have identified the </w:t>
      </w:r>
      <w:r w:rsidR="009D49FE" w:rsidRPr="00E813B0">
        <w:rPr>
          <w:rStyle w:val="Boldtext"/>
        </w:rPr>
        <w:t xml:space="preserve">opportunity of the </w:t>
      </w:r>
      <w:r w:rsidRPr="00E813B0">
        <w:rPr>
          <w:rStyle w:val="Boldtext"/>
        </w:rPr>
        <w:t>interoperability of the TREES standard (including beyond LEAF – e.g., CORSIA, SCALE, etc.)</w:t>
      </w:r>
      <w:r w:rsidRPr="00E813B0">
        <w:t xml:space="preserve">. TREES compliance, if/when achieved, can increasingly be seen as an end in itself due to the range of opportunities it offers, including LEAF, but also alternative options which may, for example, </w:t>
      </w:r>
      <w:r w:rsidRPr="00E813B0">
        <w:lastRenderedPageBreak/>
        <w:t>provide higher carbon prices – e.g., closer to what has been argued would be needed to incentivise action towards forest protection, namely $30-$50 per ton.</w:t>
      </w:r>
      <w:r w:rsidRPr="00E813B0">
        <w:rPr>
          <w:rStyle w:val="FootnoteReference"/>
        </w:rPr>
        <w:footnoteReference w:id="9"/>
      </w:r>
    </w:p>
    <w:p w14:paraId="6EE16BEF" w14:textId="51613EA9" w:rsidR="000B21CC" w:rsidRPr="00E813B0" w:rsidRDefault="000B21CC" w:rsidP="000B21CC">
      <w:r w:rsidRPr="00E813B0">
        <w:rPr>
          <w:rStyle w:val="Boldtext"/>
        </w:rPr>
        <w:t>To date, LEAF has relied on the TREES standard to ensure high integrity</w:t>
      </w:r>
      <w:r w:rsidRPr="00E813B0">
        <w:t>. This dependency on one specific standard, as opposed to a standard agnostic approach, presents both reputational risks and opportunities since, although TREES is independent from LEAF, LEAF’s reputation globally depends on TREES and its reputation in terms of a high integrity standard, which is at least partially aligned with the ICVCM C</w:t>
      </w:r>
      <w:r w:rsidR="00DB75D7" w:rsidRPr="00E813B0">
        <w:t xml:space="preserve">ore Carbon Principles </w:t>
      </w:r>
      <w:r w:rsidRPr="00E813B0">
        <w:t xml:space="preserve">(as the removals crediting approach and the </w:t>
      </w:r>
      <w:r w:rsidR="00DB75D7" w:rsidRPr="00E813B0">
        <w:t>High Forest Low Deforestation (</w:t>
      </w:r>
      <w:r w:rsidRPr="00E813B0">
        <w:t>HFLD</w:t>
      </w:r>
      <w:r w:rsidR="00DB75D7" w:rsidRPr="00E813B0">
        <w:t>)</w:t>
      </w:r>
      <w:r w:rsidRPr="00E813B0">
        <w:t xml:space="preserve"> methodology are both currently under assessment).</w:t>
      </w:r>
    </w:p>
    <w:p w14:paraId="58F6B0D9" w14:textId="2E79D423" w:rsidR="000B21CC" w:rsidRDefault="000B21CC" w:rsidP="000B21CC">
      <w:r w:rsidRPr="00E813B0">
        <w:rPr>
          <w:rStyle w:val="Boldtext"/>
        </w:rPr>
        <w:t>LEAF TA is generally perceived as useful and coherent, but further synergy with UN-REDD TA would improve both its effectiveness and its efficiency</w:t>
      </w:r>
      <w:r w:rsidRPr="00E813B0">
        <w:t xml:space="preserve"> (see Sections </w:t>
      </w:r>
      <w:r w:rsidR="00844E7A" w:rsidRPr="00E813B0">
        <w:t>2.3 and 2.4</w:t>
      </w:r>
      <w:r w:rsidRPr="00E813B0">
        <w:t xml:space="preserve"> below). Overall, TA has supported HJs in “bridging the gap” between their existing systems and compliance with both the TREES standard and </w:t>
      </w:r>
      <w:r w:rsidR="007540DD">
        <w:t>ERPA-related</w:t>
      </w:r>
      <w:r w:rsidRPr="00E813B0">
        <w:t xml:space="preserve"> requirements, including in terms of </w:t>
      </w:r>
      <w:r w:rsidR="00290CE0" w:rsidRPr="00E813B0">
        <w:t>Monitoring, Reporting and Verification (</w:t>
      </w:r>
      <w:r w:rsidRPr="00E813B0">
        <w:t>MRV</w:t>
      </w:r>
      <w:r w:rsidR="00290CE0" w:rsidRPr="00E813B0">
        <w:t>)</w:t>
      </w:r>
      <w:r w:rsidRPr="00E813B0">
        <w:t xml:space="preserve">, nesting, safeguards, benefit sharing, etc. Still, LEAF </w:t>
      </w:r>
      <w:r w:rsidR="00683097">
        <w:t xml:space="preserve">TA </w:t>
      </w:r>
      <w:r w:rsidR="009011DE">
        <w:t>(</w:t>
      </w:r>
      <w:r w:rsidR="00683097">
        <w:t xml:space="preserve">via </w:t>
      </w:r>
      <w:r w:rsidR="00B07EBC">
        <w:t>Ricardo</w:t>
      </w:r>
      <w:r w:rsidR="006465A8">
        <w:t>,</w:t>
      </w:r>
      <w:r w:rsidR="00B07EBC">
        <w:t xml:space="preserve"> </w:t>
      </w:r>
      <w:r w:rsidR="006465A8" w:rsidRPr="006465A8">
        <w:t>Winrock and CLP</w:t>
      </w:r>
      <w:r w:rsidR="006465A8">
        <w:t xml:space="preserve">) </w:t>
      </w:r>
      <w:r w:rsidRPr="00E813B0">
        <w:t xml:space="preserve">and UN-REDD TA, although broadly aligned, should be more strategically delivered to ensure they are complementary and better tailored to countries’ needs and capacities. </w:t>
      </w:r>
      <w:r w:rsidR="00591EBF">
        <w:t>For this to be achieved</w:t>
      </w:r>
      <w:r w:rsidR="006A68F6">
        <w:t>, further collaboration and synergy would be required by both parties</w:t>
      </w:r>
      <w:r w:rsidR="006E7ABC">
        <w:t xml:space="preserve"> to listen to and adapt </w:t>
      </w:r>
      <w:r w:rsidR="006F17E3">
        <w:t xml:space="preserve">to countries’ </w:t>
      </w:r>
      <w:r w:rsidR="000E4551">
        <w:t>priorities</w:t>
      </w:r>
      <w:r w:rsidR="00F478CB">
        <w:t xml:space="preserve"> and resource availability </w:t>
      </w:r>
      <w:r w:rsidR="007414D4">
        <w:t xml:space="preserve">(including in terms of public sector </w:t>
      </w:r>
      <w:r w:rsidR="005421C7">
        <w:t>personnel</w:t>
      </w:r>
      <w:r w:rsidR="001D35B3">
        <w:t xml:space="preserve">’s time). </w:t>
      </w:r>
      <w:r w:rsidRPr="00E813B0">
        <w:t xml:space="preserve">LEAF TA should be improved and clarified to match the premise of the design – e.g., timely and flexibly </w:t>
      </w:r>
      <w:r w:rsidR="00304D8D">
        <w:t>collaborating with</w:t>
      </w:r>
      <w:r w:rsidRPr="00E813B0">
        <w:t xml:space="preserve"> UN-REDD longer-term TA, complementing rather than duplicating efforts, </w:t>
      </w:r>
      <w:r w:rsidR="0054749C">
        <w:t>while also</w:t>
      </w:r>
      <w:r w:rsidRPr="00E813B0">
        <w:t xml:space="preserve"> </w:t>
      </w:r>
      <w:r w:rsidR="00B004AF">
        <w:t>improv</w:t>
      </w:r>
      <w:r w:rsidR="00D97E42">
        <w:t>ing the</w:t>
      </w:r>
      <w:r w:rsidR="00B004AF">
        <w:t xml:space="preserve"> </w:t>
      </w:r>
      <w:r w:rsidRPr="00E813B0">
        <w:t xml:space="preserve">tailoring </w:t>
      </w:r>
      <w:r w:rsidR="00CB6F00">
        <w:t xml:space="preserve">of </w:t>
      </w:r>
      <w:r w:rsidR="00D97E42">
        <w:t xml:space="preserve">their </w:t>
      </w:r>
      <w:r w:rsidRPr="00E813B0">
        <w:t>TA provision</w:t>
      </w:r>
      <w:r w:rsidR="00D97E42">
        <w:t>s</w:t>
      </w:r>
      <w:r w:rsidRPr="00E813B0">
        <w:t xml:space="preserve"> to in-country capacities and needs.</w:t>
      </w:r>
    </w:p>
    <w:p w14:paraId="1ACD6B81" w14:textId="4507386C" w:rsidR="00A130A9" w:rsidRPr="00E813B0" w:rsidRDefault="00BF4F27" w:rsidP="000B21CC">
      <w:r>
        <w:t>A wider analysis of external coherence is in Annex 5.</w:t>
      </w:r>
    </w:p>
    <w:p w14:paraId="47F30038" w14:textId="0B96EE58" w:rsidR="00B709C3" w:rsidRPr="00E813B0" w:rsidRDefault="00B709C3" w:rsidP="00734B7D">
      <w:pPr>
        <w:pStyle w:val="Heading2"/>
        <w:numPr>
          <w:ilvl w:val="1"/>
          <w:numId w:val="8"/>
        </w:numPr>
      </w:pPr>
      <w:bookmarkStart w:id="54" w:name="_Ref202960528"/>
      <w:bookmarkStart w:id="55" w:name="_Toc204091210"/>
      <w:bookmarkStart w:id="56" w:name="_Toc209013285"/>
      <w:r w:rsidRPr="00E813B0">
        <w:t>Effectiveness</w:t>
      </w:r>
      <w:bookmarkEnd w:id="54"/>
      <w:r w:rsidR="00062C70">
        <w:t xml:space="preserve"> (responding to EQ3)</w:t>
      </w:r>
      <w:bookmarkEnd w:id="55"/>
      <w:bookmarkEnd w:id="56"/>
    </w:p>
    <w:p w14:paraId="745434DD" w14:textId="0FEB2999" w:rsidR="00DB27CF" w:rsidRPr="001B5440" w:rsidRDefault="00DB27CF" w:rsidP="001B5440">
      <w:pPr>
        <w:rPr>
          <w:rStyle w:val="Boldtext"/>
          <w:i/>
        </w:rPr>
      </w:pPr>
      <w:r w:rsidRPr="00E813B0">
        <w:rPr>
          <w:rStyle w:val="Boldtext"/>
        </w:rPr>
        <w:t xml:space="preserve">The Coalition has developed a pipeline in terms of supply and demand, bringing together public, private and non-governmental stakeholders in a forum and has shown adaptability in the use of the </w:t>
      </w:r>
      <w:r w:rsidR="00CE59DA" w:rsidRPr="00E813B0">
        <w:rPr>
          <w:rStyle w:val="Boldtext"/>
        </w:rPr>
        <w:t>P</w:t>
      </w:r>
      <w:r w:rsidR="00DA7EB2">
        <w:rPr>
          <w:rStyle w:val="Boldtext"/>
        </w:rPr>
        <w:t>urchase</w:t>
      </w:r>
      <w:r w:rsidR="00CE59DA" w:rsidRPr="00E813B0">
        <w:rPr>
          <w:rStyle w:val="Boldtext"/>
        </w:rPr>
        <w:t xml:space="preserve"> Guarantee Fund (</w:t>
      </w:r>
      <w:r w:rsidRPr="00E813B0">
        <w:rPr>
          <w:rStyle w:val="Boldtext"/>
        </w:rPr>
        <w:t>PGF</w:t>
      </w:r>
      <w:r w:rsidR="00CE59DA" w:rsidRPr="00E813B0">
        <w:rPr>
          <w:rStyle w:val="Boldtext"/>
        </w:rPr>
        <w:t>)</w:t>
      </w:r>
      <w:r w:rsidRPr="00E813B0">
        <w:rPr>
          <w:rStyle w:val="Boldtext"/>
        </w:rPr>
        <w:t xml:space="preserve"> and non-</w:t>
      </w:r>
      <w:r w:rsidR="005977EF" w:rsidRPr="00E813B0">
        <w:rPr>
          <w:rStyle w:val="Boldtext"/>
        </w:rPr>
        <w:t>Green Climate Fund (</w:t>
      </w:r>
      <w:r w:rsidRPr="00E813B0">
        <w:rPr>
          <w:rStyle w:val="Boldtext"/>
        </w:rPr>
        <w:t>GCF</w:t>
      </w:r>
      <w:r w:rsidR="005977EF" w:rsidRPr="00E813B0">
        <w:rPr>
          <w:rStyle w:val="Boldtext"/>
        </w:rPr>
        <w:t>)</w:t>
      </w:r>
      <w:r w:rsidRPr="00E813B0">
        <w:rPr>
          <w:rStyle w:val="Boldtext"/>
        </w:rPr>
        <w:t xml:space="preserve"> accredited F</w:t>
      </w:r>
      <w:r w:rsidR="00CE59DA" w:rsidRPr="00E813B0">
        <w:rPr>
          <w:rStyle w:val="Boldtext"/>
        </w:rPr>
        <w:t xml:space="preserve">inancial </w:t>
      </w:r>
      <w:r w:rsidRPr="00E813B0">
        <w:rPr>
          <w:rStyle w:val="Boldtext"/>
        </w:rPr>
        <w:t>I</w:t>
      </w:r>
      <w:r w:rsidR="00CE59DA" w:rsidRPr="00E813B0">
        <w:rPr>
          <w:rStyle w:val="Boldtext"/>
        </w:rPr>
        <w:t>ntermediaries (FIs)</w:t>
      </w:r>
      <w:r w:rsidRPr="00E813B0">
        <w:rPr>
          <w:rStyle w:val="Boldtext"/>
        </w:rPr>
        <w:t>. However</w:t>
      </w:r>
      <w:r w:rsidR="001B284B" w:rsidRPr="00E813B0">
        <w:rPr>
          <w:rStyle w:val="Boldtext"/>
        </w:rPr>
        <w:t xml:space="preserve">, </w:t>
      </w:r>
      <w:r w:rsidR="003471E3" w:rsidRPr="00E813B0">
        <w:rPr>
          <w:rStyle w:val="Boldtext"/>
        </w:rPr>
        <w:t xml:space="preserve">as noted </w:t>
      </w:r>
      <w:r w:rsidR="001B284B" w:rsidRPr="00E813B0">
        <w:rPr>
          <w:rStyle w:val="Boldtext"/>
        </w:rPr>
        <w:t xml:space="preserve">there have been significant delays in the delivery of the LEAF programme, often caused by the novel and complicated requirements of the </w:t>
      </w:r>
      <w:r w:rsidR="001026F5">
        <w:rPr>
          <w:rStyle w:val="Boldtext"/>
        </w:rPr>
        <w:t>ART-TREES</w:t>
      </w:r>
      <w:r w:rsidR="001B284B" w:rsidRPr="00E813B0">
        <w:rPr>
          <w:rStyle w:val="Boldtext"/>
        </w:rPr>
        <w:t xml:space="preserve"> standard</w:t>
      </w:r>
      <w:r w:rsidR="001026F5">
        <w:rPr>
          <w:rStyle w:val="Boldtext"/>
        </w:rPr>
        <w:t xml:space="preserve"> and the </w:t>
      </w:r>
      <w:r w:rsidR="00BE0BF5">
        <w:rPr>
          <w:rStyle w:val="Boldtext"/>
        </w:rPr>
        <w:t>LEAF</w:t>
      </w:r>
      <w:r w:rsidR="001026F5">
        <w:rPr>
          <w:rStyle w:val="Boldtext"/>
        </w:rPr>
        <w:t xml:space="preserve"> </w:t>
      </w:r>
      <w:r w:rsidR="003B59F7">
        <w:rPr>
          <w:rStyle w:val="Boldtext"/>
        </w:rPr>
        <w:t>ERPA</w:t>
      </w:r>
      <w:r w:rsidR="00BE0BF5">
        <w:rPr>
          <w:rStyle w:val="Boldtext"/>
        </w:rPr>
        <w:t>s</w:t>
      </w:r>
      <w:r w:rsidR="001B284B" w:rsidRPr="00E813B0">
        <w:rPr>
          <w:rStyle w:val="Boldtext"/>
        </w:rPr>
        <w:t xml:space="preserve">. The evaluation team recognise the complexity of </w:t>
      </w:r>
      <w:r w:rsidR="003B59F7">
        <w:rPr>
          <w:rStyle w:val="Boldtext"/>
        </w:rPr>
        <w:t xml:space="preserve">the </w:t>
      </w:r>
      <w:r w:rsidR="004606FB" w:rsidRPr="00E813B0">
        <w:rPr>
          <w:rStyle w:val="Boldtext"/>
        </w:rPr>
        <w:t>programme</w:t>
      </w:r>
      <w:r w:rsidR="004606FB">
        <w:rPr>
          <w:rStyle w:val="Boldtext"/>
        </w:rPr>
        <w:t xml:space="preserve"> but</w:t>
      </w:r>
      <w:r w:rsidR="006F4967" w:rsidRPr="00E813B0">
        <w:rPr>
          <w:rStyle w:val="Boldtext"/>
        </w:rPr>
        <w:t xml:space="preserve"> </w:t>
      </w:r>
      <w:r w:rsidR="00D77A7F">
        <w:rPr>
          <w:rStyle w:val="Boldtext"/>
        </w:rPr>
        <w:t>believes</w:t>
      </w:r>
      <w:r w:rsidR="006F4967" w:rsidRPr="00E813B0">
        <w:rPr>
          <w:rStyle w:val="Boldtext"/>
        </w:rPr>
        <w:t xml:space="preserve"> there</w:t>
      </w:r>
      <w:r w:rsidR="001B284B" w:rsidRPr="00E813B0">
        <w:rPr>
          <w:rStyle w:val="Boldtext"/>
        </w:rPr>
        <w:t xml:space="preserve"> was an underestimation of the complexity and challenges of negotiating public-private agreements. 2025 will be a critical year for </w:t>
      </w:r>
      <w:r w:rsidR="003A7988">
        <w:rPr>
          <w:rStyle w:val="Boldtext"/>
        </w:rPr>
        <w:t xml:space="preserve">the </w:t>
      </w:r>
      <w:r w:rsidR="001B284B" w:rsidRPr="00E813B0">
        <w:rPr>
          <w:rStyle w:val="Boldtext"/>
        </w:rPr>
        <w:t xml:space="preserve">continued development of ERPAs and progress to financial payments to </w:t>
      </w:r>
      <w:r w:rsidR="004C488C" w:rsidRPr="00E813B0">
        <w:rPr>
          <w:rStyle w:val="Boldtext"/>
        </w:rPr>
        <w:t>HJ</w:t>
      </w:r>
      <w:r w:rsidR="001B284B" w:rsidRPr="00E813B0">
        <w:rPr>
          <w:rStyle w:val="Boldtext"/>
        </w:rPr>
        <w:t>s.</w:t>
      </w:r>
    </w:p>
    <w:p w14:paraId="491B6A56" w14:textId="77777777" w:rsidR="003A7988" w:rsidRDefault="003A7988">
      <w:pPr>
        <w:spacing w:after="160" w:line="259" w:lineRule="auto"/>
        <w:rPr>
          <w:rFonts w:eastAsiaTheme="majorEastAsia" w:cstheme="majorBidi"/>
          <w:color w:val="041E42"/>
          <w:sz w:val="28"/>
          <w:szCs w:val="24"/>
        </w:rPr>
      </w:pPr>
      <w:bookmarkStart w:id="57" w:name="_Toc204091211"/>
      <w:r>
        <w:br w:type="page"/>
      </w:r>
    </w:p>
    <w:p w14:paraId="4D46A8CA" w14:textId="7D52538F" w:rsidR="00B709C3" w:rsidRPr="00E813B0" w:rsidRDefault="00A12A4D" w:rsidP="00B709C3">
      <w:pPr>
        <w:pStyle w:val="Heading3"/>
        <w:rPr>
          <w:b/>
          <w:color w:val="auto"/>
        </w:rPr>
      </w:pPr>
      <w:bookmarkStart w:id="58" w:name="_Toc209013286"/>
      <w:r w:rsidRPr="00E813B0">
        <w:lastRenderedPageBreak/>
        <w:t>2.</w:t>
      </w:r>
      <w:r w:rsidR="00566617" w:rsidRPr="00E813B0">
        <w:t xml:space="preserve">3.1 </w:t>
      </w:r>
      <w:r w:rsidR="00B709C3" w:rsidRPr="00E813B0">
        <w:t>Internal Systems</w:t>
      </w:r>
      <w:bookmarkEnd w:id="57"/>
      <w:bookmarkEnd w:id="58"/>
    </w:p>
    <w:tbl>
      <w:tblPr>
        <w:tblStyle w:val="Table-DarkblueBackground"/>
        <w:tblW w:w="0" w:type="auto"/>
        <w:tblLook w:val="04A0" w:firstRow="1" w:lastRow="0" w:firstColumn="1" w:lastColumn="0" w:noHBand="0" w:noVBand="1"/>
      </w:tblPr>
      <w:tblGrid>
        <w:gridCol w:w="8505"/>
        <w:gridCol w:w="1577"/>
      </w:tblGrid>
      <w:tr w:rsidR="007F7F09" w:rsidRPr="00E813B0" w14:paraId="377AA209" w14:textId="77777777" w:rsidTr="00E26C3B">
        <w:trPr>
          <w:cnfStyle w:val="100000000000" w:firstRow="1" w:lastRow="0" w:firstColumn="0" w:lastColumn="0" w:oddVBand="0" w:evenVBand="0" w:oddHBand="0" w:evenHBand="0" w:firstRowFirstColumn="0" w:firstRowLastColumn="0" w:lastRowFirstColumn="0" w:lastRowLastColumn="0"/>
          <w:trHeight w:val="375"/>
        </w:trPr>
        <w:tc>
          <w:tcPr>
            <w:tcW w:w="8505" w:type="dxa"/>
          </w:tcPr>
          <w:p w14:paraId="317249E8" w14:textId="77777777" w:rsidR="00193ED4" w:rsidRPr="00E813B0" w:rsidRDefault="00193ED4" w:rsidP="00193ED4">
            <w:r w:rsidRPr="00E813B0">
              <w:t>Overall finding</w:t>
            </w:r>
          </w:p>
        </w:tc>
        <w:tc>
          <w:tcPr>
            <w:tcW w:w="1577" w:type="dxa"/>
          </w:tcPr>
          <w:p w14:paraId="088A2A04" w14:textId="77777777" w:rsidR="00193ED4" w:rsidRPr="00E813B0" w:rsidRDefault="00193ED4" w:rsidP="00193ED4">
            <w:r w:rsidRPr="00E813B0">
              <w:t>Strength of Evidence</w:t>
            </w:r>
          </w:p>
        </w:tc>
      </w:tr>
      <w:tr w:rsidR="00193ED4" w:rsidRPr="00E813B0" w14:paraId="6A69D9F4" w14:textId="77777777" w:rsidTr="00E26C3B">
        <w:trPr>
          <w:trHeight w:val="19"/>
        </w:trPr>
        <w:tc>
          <w:tcPr>
            <w:tcW w:w="8505" w:type="dxa"/>
          </w:tcPr>
          <w:p w14:paraId="4E4C18BA" w14:textId="5741EC87" w:rsidR="00193ED4" w:rsidRPr="00E813B0" w:rsidRDefault="005F44C9" w:rsidP="00193ED4">
            <w:r w:rsidRPr="00E813B0">
              <w:t>The LEAF Coalition has a monitoring system (</w:t>
            </w:r>
            <w:r w:rsidR="002C1AD8" w:rsidRPr="00E813B0">
              <w:t xml:space="preserve">two </w:t>
            </w:r>
            <w:r w:rsidRPr="00E813B0">
              <w:t>logframe</w:t>
            </w:r>
            <w:r w:rsidR="002C1AD8" w:rsidRPr="00E813B0">
              <w:t>s</w:t>
            </w:r>
            <w:r w:rsidRPr="00E813B0">
              <w:t xml:space="preserve"> and </w:t>
            </w:r>
            <w:r w:rsidR="00E50F4E">
              <w:t xml:space="preserve">a </w:t>
            </w:r>
            <w:r w:rsidRPr="00E813B0">
              <w:t xml:space="preserve">scorecard) </w:t>
            </w:r>
            <w:r w:rsidR="003B59F7">
              <w:t>that</w:t>
            </w:r>
            <w:r w:rsidRPr="00E813B0">
              <w:t xml:space="preserve"> </w:t>
            </w:r>
            <w:r w:rsidR="00607C81" w:rsidRPr="00E813B0">
              <w:t xml:space="preserve">are used to monitor progress to date. There are issues around transparency of data (including ICF) where </w:t>
            </w:r>
            <w:r w:rsidR="00A82770" w:rsidRPr="00E813B0">
              <w:t xml:space="preserve">details of results, especially in relation to </w:t>
            </w:r>
            <w:r w:rsidR="00055C08">
              <w:t>C</w:t>
            </w:r>
            <w:r w:rsidR="008525A1">
              <w:t>Ps</w:t>
            </w:r>
            <w:r w:rsidR="00A82770" w:rsidRPr="00E813B0">
              <w:t>, are not disclosed to Sovereign Donors</w:t>
            </w:r>
            <w:r w:rsidR="00B52DFC">
              <w:t xml:space="preserve"> due to </w:t>
            </w:r>
            <w:r w:rsidR="002F627F">
              <w:t>non-disclosure</w:t>
            </w:r>
            <w:r w:rsidR="00B52DFC">
              <w:t xml:space="preserve"> agreements being in place between Emergent and the CP</w:t>
            </w:r>
            <w:r w:rsidR="00A82770" w:rsidRPr="00E813B0">
              <w:t>.</w:t>
            </w:r>
          </w:p>
          <w:p w14:paraId="1457C409" w14:textId="09950950" w:rsidR="00A82770" w:rsidRPr="00E813B0" w:rsidRDefault="00A82770" w:rsidP="00193ED4">
            <w:r w:rsidRPr="00E813B0">
              <w:t>The LEAF Coalition is significantly off track</w:t>
            </w:r>
            <w:r w:rsidR="002C5414" w:rsidRPr="00E813B0">
              <w:t xml:space="preserve"> and a </w:t>
            </w:r>
            <w:r w:rsidR="002A6B37" w:rsidRPr="00E813B0">
              <w:t xml:space="preserve">DESNZ </w:t>
            </w:r>
            <w:r w:rsidR="002C5414" w:rsidRPr="00E813B0">
              <w:t xml:space="preserve">no-cost extension to the 2021 Business Case has been agreed – including additional </w:t>
            </w:r>
            <w:r w:rsidR="00E94EF7">
              <w:t>operational</w:t>
            </w:r>
            <w:r w:rsidR="00E00D21" w:rsidRPr="00E813B0">
              <w:t xml:space="preserve"> financing for Emergent.</w:t>
            </w:r>
          </w:p>
          <w:p w14:paraId="04F24143" w14:textId="3C678E47" w:rsidR="00B27043" w:rsidRPr="00E813B0" w:rsidRDefault="00B27043" w:rsidP="00193ED4">
            <w:r w:rsidRPr="00E813B0">
              <w:t>TA (Ricardo with Winrock</w:t>
            </w:r>
            <w:r w:rsidR="00913EDA">
              <w:t>, C</w:t>
            </w:r>
            <w:r w:rsidR="004171EC" w:rsidRPr="00E813B0">
              <w:t>limate Law and Policy (C</w:t>
            </w:r>
            <w:r w:rsidRPr="00E813B0">
              <w:t>LP</w:t>
            </w:r>
            <w:r w:rsidR="004171EC" w:rsidRPr="00E813B0">
              <w:t>)</w:t>
            </w:r>
            <w:r w:rsidRPr="00E813B0">
              <w:t xml:space="preserve"> and </w:t>
            </w:r>
            <w:r w:rsidR="00F51E9E">
              <w:t>UN-REDD</w:t>
            </w:r>
            <w:r w:rsidRPr="00E813B0">
              <w:t xml:space="preserve">) </w:t>
            </w:r>
            <w:r w:rsidR="00694C00" w:rsidRPr="00E813B0">
              <w:t xml:space="preserve">has been fundamental in </w:t>
            </w:r>
            <w:r w:rsidR="00403408" w:rsidRPr="00E813B0">
              <w:t xml:space="preserve">achieving a number of </w:t>
            </w:r>
            <w:r w:rsidR="004171EC" w:rsidRPr="00E813B0">
              <w:t>host jurisdiction</w:t>
            </w:r>
            <w:r w:rsidR="00403408" w:rsidRPr="00E813B0">
              <w:t xml:space="preserve"> ERPAs</w:t>
            </w:r>
            <w:r w:rsidR="00646EB3" w:rsidRPr="00E813B0">
              <w:t xml:space="preserve"> and enabling </w:t>
            </w:r>
            <w:r w:rsidR="00D92E18">
              <w:t xml:space="preserve">the </w:t>
            </w:r>
            <w:r w:rsidR="004A2C4D" w:rsidRPr="00E813B0">
              <w:t>TREES standard to be achieved</w:t>
            </w:r>
            <w:r w:rsidR="00E80F0F" w:rsidRPr="00E813B0">
              <w:t xml:space="preserve">. </w:t>
            </w:r>
            <w:r w:rsidR="004171EC" w:rsidRPr="00E813B0">
              <w:t>They have a</w:t>
            </w:r>
            <w:r w:rsidR="00E80F0F" w:rsidRPr="00E813B0">
              <w:t xml:space="preserve">lso </w:t>
            </w:r>
            <w:r w:rsidR="004171EC" w:rsidRPr="00E813B0">
              <w:t xml:space="preserve">been critical in </w:t>
            </w:r>
            <w:r w:rsidR="00036325" w:rsidRPr="00E813B0">
              <w:t xml:space="preserve">supporting the </w:t>
            </w:r>
            <w:r w:rsidR="00E80F0F" w:rsidRPr="00E813B0">
              <w:t xml:space="preserve">preparation of necessary policies </w:t>
            </w:r>
            <w:r w:rsidR="00DC1236" w:rsidRPr="00E813B0">
              <w:t xml:space="preserve">for </w:t>
            </w:r>
            <w:r w:rsidR="00D8559D">
              <w:t xml:space="preserve">the </w:t>
            </w:r>
            <w:r w:rsidR="00DC1236" w:rsidRPr="00E813B0">
              <w:t xml:space="preserve">implementation of carbon credit sales, </w:t>
            </w:r>
            <w:r w:rsidR="00423E81" w:rsidRPr="00E813B0">
              <w:t>safeguards</w:t>
            </w:r>
            <w:r w:rsidR="00DC1236" w:rsidRPr="00E813B0">
              <w:t xml:space="preserve"> and MRV approaches.</w:t>
            </w:r>
          </w:p>
          <w:p w14:paraId="1EE77100" w14:textId="6BC9FFD9" w:rsidR="00CC76D8" w:rsidRPr="00E813B0" w:rsidRDefault="003D540D" w:rsidP="00193ED4">
            <w:r w:rsidRPr="00E813B0">
              <w:t>There is a n</w:t>
            </w:r>
            <w:r w:rsidR="00CC76D8" w:rsidRPr="00E813B0">
              <w:t xml:space="preserve">eed to ensure a balance of effort between </w:t>
            </w:r>
            <w:r w:rsidR="00901167" w:rsidRPr="00E813B0">
              <w:t>monitoring</w:t>
            </w:r>
            <w:r w:rsidR="00CC76D8" w:rsidRPr="00E813B0">
              <w:t xml:space="preserve"> </w:t>
            </w:r>
            <w:r w:rsidR="00025360" w:rsidRPr="00E813B0">
              <w:t xml:space="preserve">the </w:t>
            </w:r>
            <w:r w:rsidR="00CC76D8" w:rsidRPr="00E813B0">
              <w:t xml:space="preserve">work </w:t>
            </w:r>
            <w:r w:rsidR="002269A3" w:rsidRPr="00E813B0">
              <w:t>of</w:t>
            </w:r>
            <w:r w:rsidR="00CC76D8" w:rsidRPr="00E813B0">
              <w:t xml:space="preserve"> </w:t>
            </w:r>
            <w:r w:rsidR="00D419DF">
              <w:t>HJs</w:t>
            </w:r>
            <w:r w:rsidR="00CC76D8" w:rsidRPr="00E813B0">
              <w:t xml:space="preserve"> (supply side) and monitoring </w:t>
            </w:r>
            <w:r w:rsidR="00C4651D">
              <w:t>CP</w:t>
            </w:r>
            <w:r w:rsidR="00CC76D8" w:rsidRPr="00E813B0">
              <w:t xml:space="preserve"> commitments (demand side).</w:t>
            </w:r>
            <w:r w:rsidR="0014314E" w:rsidRPr="00E813B0">
              <w:t xml:space="preserve"> </w:t>
            </w:r>
            <w:r w:rsidR="00CC76D8" w:rsidRPr="00E813B0">
              <w:t xml:space="preserve">This should be carefully linked with </w:t>
            </w:r>
            <w:r w:rsidR="00D8559D">
              <w:t xml:space="preserve">the </w:t>
            </w:r>
            <w:r w:rsidR="00CC76D8" w:rsidRPr="00E813B0">
              <w:t xml:space="preserve">effective use of appropriate </w:t>
            </w:r>
            <w:r w:rsidR="002269A3" w:rsidRPr="00E813B0">
              <w:t>t</w:t>
            </w:r>
            <w:r w:rsidR="00CC76D8" w:rsidRPr="00E813B0">
              <w:t xml:space="preserve">echnical </w:t>
            </w:r>
            <w:r w:rsidR="002269A3" w:rsidRPr="00E813B0">
              <w:t>s</w:t>
            </w:r>
            <w:r w:rsidR="00CC76D8" w:rsidRPr="00E813B0">
              <w:t>upport and joint learning to ensure that challenges within the market are understood by all key stakeholders.</w:t>
            </w:r>
          </w:p>
          <w:p w14:paraId="76A71127" w14:textId="60225CF5" w:rsidR="00193ED4" w:rsidRPr="00E813B0" w:rsidRDefault="00FE6344" w:rsidP="00193ED4">
            <w:r w:rsidRPr="00E813B0">
              <w:t>The logframe and T</w:t>
            </w:r>
            <w:r w:rsidR="00E94EF7">
              <w:t xml:space="preserve">heory </w:t>
            </w:r>
            <w:r w:rsidRPr="00E813B0">
              <w:t>o</w:t>
            </w:r>
            <w:r w:rsidR="00E94EF7">
              <w:t xml:space="preserve">f </w:t>
            </w:r>
            <w:r w:rsidRPr="00E813B0">
              <w:t>C</w:t>
            </w:r>
            <w:r w:rsidR="00E94EF7">
              <w:t>hange (ToC)</w:t>
            </w:r>
            <w:r w:rsidRPr="00E813B0">
              <w:t xml:space="preserve"> need to be updated and realigned, with a deeper understanding of the ‘pathways to impact’ in diverse </w:t>
            </w:r>
            <w:r w:rsidR="00D8559D">
              <w:t>contexts</w:t>
            </w:r>
            <w:r w:rsidRPr="00E813B0">
              <w:t xml:space="preserve"> for </w:t>
            </w:r>
            <w:r w:rsidR="0064234E" w:rsidRPr="00E813B0">
              <w:t>host jurisdictions</w:t>
            </w:r>
            <w:r w:rsidR="004A7E61" w:rsidRPr="00E813B0">
              <w:t>, IP</w:t>
            </w:r>
            <w:r w:rsidR="009C6F5A" w:rsidRPr="00E813B0">
              <w:t xml:space="preserve"> and </w:t>
            </w:r>
            <w:r w:rsidR="004A7E61" w:rsidRPr="00E813B0">
              <w:t>LCs</w:t>
            </w:r>
            <w:r w:rsidR="00F9780B" w:rsidRPr="00E813B0">
              <w:t xml:space="preserve"> and for </w:t>
            </w:r>
            <w:r w:rsidR="0052166E">
              <w:t>CPs</w:t>
            </w:r>
            <w:r w:rsidR="00F9780B" w:rsidRPr="00E813B0">
              <w:t xml:space="preserve">. </w:t>
            </w:r>
            <w:r w:rsidR="00D80CDC" w:rsidRPr="00E813B0">
              <w:t>Clarity on monitoring, learning and adaptation to 2030 should be developed</w:t>
            </w:r>
            <w:r w:rsidR="00776A3C" w:rsidRPr="00E813B0">
              <w:t xml:space="preserve"> to ensure a shared understanding by all stakeholders.</w:t>
            </w:r>
          </w:p>
        </w:tc>
        <w:tc>
          <w:tcPr>
            <w:tcW w:w="1577" w:type="dxa"/>
          </w:tcPr>
          <w:p w14:paraId="0249F5DD" w14:textId="1B210296" w:rsidR="00193ED4" w:rsidRPr="00E813B0" w:rsidRDefault="00193ED4" w:rsidP="00193ED4">
            <w:pPr>
              <w:rPr>
                <w:rStyle w:val="Boldtext"/>
              </w:rPr>
            </w:pPr>
            <w:r w:rsidRPr="00E813B0">
              <w:rPr>
                <w:rStyle w:val="Boldtext"/>
              </w:rPr>
              <w:t>High</w:t>
            </w:r>
          </w:p>
        </w:tc>
      </w:tr>
    </w:tbl>
    <w:p w14:paraId="72F34128" w14:textId="1D5A2E4A" w:rsidR="00F70C5E" w:rsidRDefault="008D61F7" w:rsidP="002D0C25">
      <w:r w:rsidRPr="00E813B0">
        <w:rPr>
          <w:rStyle w:val="Boldtext"/>
        </w:rPr>
        <w:t>T</w:t>
      </w:r>
      <w:r w:rsidR="001251F9" w:rsidRPr="00E813B0">
        <w:rPr>
          <w:rStyle w:val="Boldtext"/>
        </w:rPr>
        <w:t>he LEAF Coalition has a monitoring system that is rooted in two logical frameworks</w:t>
      </w:r>
      <w:r w:rsidR="00971A55" w:rsidRPr="00E813B0">
        <w:rPr>
          <w:rStyle w:val="Boldtext"/>
        </w:rPr>
        <w:t xml:space="preserve"> </w:t>
      </w:r>
      <w:r w:rsidR="00D4686B" w:rsidRPr="00E813B0">
        <w:rPr>
          <w:rStyle w:val="Boldtext"/>
        </w:rPr>
        <w:t>(</w:t>
      </w:r>
      <w:r w:rsidR="004B50CD" w:rsidRPr="00E813B0">
        <w:rPr>
          <w:rStyle w:val="Boldtext"/>
        </w:rPr>
        <w:t>l</w:t>
      </w:r>
      <w:r w:rsidR="00D4686B" w:rsidRPr="00E813B0">
        <w:rPr>
          <w:rStyle w:val="Boldtext"/>
        </w:rPr>
        <w:t>ogframe</w:t>
      </w:r>
      <w:r w:rsidR="009C6F5A" w:rsidRPr="00E813B0">
        <w:rPr>
          <w:rStyle w:val="Boldtext"/>
        </w:rPr>
        <w:t>s</w:t>
      </w:r>
      <w:r w:rsidR="00D4686B" w:rsidRPr="00E813B0">
        <w:rPr>
          <w:rStyle w:val="Boldtext"/>
        </w:rPr>
        <w:t xml:space="preserve">) </w:t>
      </w:r>
      <w:r w:rsidR="00E56ECE">
        <w:rPr>
          <w:rStyle w:val="Boldtext"/>
        </w:rPr>
        <w:t xml:space="preserve">– within a single workbook </w:t>
      </w:r>
      <w:r w:rsidR="0052166E">
        <w:rPr>
          <w:rStyle w:val="Boldtext"/>
        </w:rPr>
        <w:t xml:space="preserve">- </w:t>
      </w:r>
      <w:r w:rsidR="0052166E" w:rsidRPr="00E813B0">
        <w:rPr>
          <w:rStyle w:val="Boldtext"/>
        </w:rPr>
        <w:t>and</w:t>
      </w:r>
      <w:r w:rsidR="00971A55" w:rsidRPr="00E813B0">
        <w:rPr>
          <w:rStyle w:val="Boldtext"/>
        </w:rPr>
        <w:t xml:space="preserve"> Emergent</w:t>
      </w:r>
      <w:r w:rsidR="0014314E" w:rsidRPr="00E813B0">
        <w:rPr>
          <w:rStyle w:val="Boldtext"/>
        </w:rPr>
        <w:t>’s</w:t>
      </w:r>
      <w:r w:rsidR="00971A55" w:rsidRPr="00E813B0">
        <w:rPr>
          <w:rStyle w:val="Boldtext"/>
        </w:rPr>
        <w:t xml:space="preserve"> ‘scorecard’</w:t>
      </w:r>
      <w:r w:rsidR="003B59F7">
        <w:rPr>
          <w:rStyle w:val="Boldtext"/>
        </w:rPr>
        <w:t>,</w:t>
      </w:r>
      <w:r w:rsidR="00971A55" w:rsidRPr="00E813B0">
        <w:rPr>
          <w:rStyle w:val="Boldtext"/>
        </w:rPr>
        <w:t xml:space="preserve"> which is used for quarterly reporting and includes a range of </w:t>
      </w:r>
      <w:r w:rsidR="00403EC1" w:rsidRPr="00E813B0">
        <w:rPr>
          <w:rStyle w:val="Boldtext"/>
        </w:rPr>
        <w:t xml:space="preserve">organisational reporting beyond the agreed results framework. </w:t>
      </w:r>
      <w:r w:rsidR="00205940" w:rsidRPr="00E813B0">
        <w:t>The primary logframe is focused on the LEAF coa</w:t>
      </w:r>
      <w:r w:rsidR="00901167" w:rsidRPr="00E813B0">
        <w:t>li</w:t>
      </w:r>
      <w:r w:rsidR="00205940" w:rsidRPr="00E813B0">
        <w:t>tion results that are managed through Emergent</w:t>
      </w:r>
      <w:r w:rsidR="000316DD">
        <w:t xml:space="preserve"> and also shared with Norway</w:t>
      </w:r>
      <w:r w:rsidR="00205940" w:rsidRPr="00E813B0">
        <w:t>.</w:t>
      </w:r>
      <w:r w:rsidR="00A93ECF" w:rsidRPr="00E813B0" w:rsidDel="00A93ECF">
        <w:rPr>
          <w:rStyle w:val="FootnoteReference"/>
        </w:rPr>
        <w:t xml:space="preserve"> </w:t>
      </w:r>
      <w:r w:rsidR="00205940" w:rsidRPr="00E813B0">
        <w:t xml:space="preserve"> The second logframe is for T</w:t>
      </w:r>
      <w:r w:rsidR="00954C3A" w:rsidRPr="00E813B0">
        <w:t>A</w:t>
      </w:r>
      <w:r w:rsidR="003B59F7">
        <w:t>, which</w:t>
      </w:r>
      <w:r w:rsidR="00954C3A" w:rsidRPr="00E813B0">
        <w:t xml:space="preserve"> </w:t>
      </w:r>
      <w:r w:rsidR="00AC2697">
        <w:t xml:space="preserve">covers the work </w:t>
      </w:r>
      <w:r w:rsidR="00177F09">
        <w:t>of</w:t>
      </w:r>
      <w:r w:rsidR="0013571B">
        <w:t xml:space="preserve"> </w:t>
      </w:r>
      <w:r w:rsidR="00205940">
        <w:t>Ricardo</w:t>
      </w:r>
      <w:r w:rsidR="00205940" w:rsidRPr="00E813B0">
        <w:t xml:space="preserve"> (</w:t>
      </w:r>
      <w:r w:rsidR="007456C3" w:rsidRPr="00E813B0">
        <w:t>with</w:t>
      </w:r>
      <w:r w:rsidR="00205940" w:rsidRPr="00E813B0">
        <w:t xml:space="preserve"> Winrock and </w:t>
      </w:r>
      <w:r w:rsidR="00B02135" w:rsidRPr="00B02135">
        <w:t xml:space="preserve">Climate Law and Policy </w:t>
      </w:r>
      <w:r w:rsidR="00B02135">
        <w:t>(</w:t>
      </w:r>
      <w:r w:rsidR="00205940" w:rsidRPr="00E813B0">
        <w:t>CLP</w:t>
      </w:r>
      <w:r w:rsidR="00B02135">
        <w:t>)</w:t>
      </w:r>
      <w:r w:rsidR="00205940" w:rsidRPr="00E813B0">
        <w:t>) and</w:t>
      </w:r>
      <w:r w:rsidR="008422FB" w:rsidRPr="00E813B0">
        <w:t xml:space="preserve">, </w:t>
      </w:r>
      <w:r w:rsidR="00901167" w:rsidRPr="00E813B0">
        <w:t>separately</w:t>
      </w:r>
      <w:r w:rsidR="008422FB" w:rsidRPr="00E813B0">
        <w:t xml:space="preserve">, </w:t>
      </w:r>
      <w:r w:rsidR="00EC1D15">
        <w:t>the work of</w:t>
      </w:r>
      <w:r w:rsidR="008422FB" w:rsidRPr="00E813B0">
        <w:t xml:space="preserve"> </w:t>
      </w:r>
      <w:r w:rsidR="00F51E9E">
        <w:t>UN-REDD</w:t>
      </w:r>
      <w:r w:rsidR="007456C3" w:rsidRPr="00E813B0">
        <w:t>. The LEAF Coalition logframe saw</w:t>
      </w:r>
      <w:r w:rsidR="00E565DD" w:rsidRPr="00E813B0">
        <w:t xml:space="preserve"> </w:t>
      </w:r>
      <w:r w:rsidR="007456C3" w:rsidRPr="00E813B0">
        <w:t>Outcome 4</w:t>
      </w:r>
      <w:r w:rsidR="0039692A" w:rsidRPr="00E813B0">
        <w:t xml:space="preserve"> related to </w:t>
      </w:r>
      <w:r w:rsidR="00AC0AB9">
        <w:t>‘</w:t>
      </w:r>
      <w:r w:rsidR="0039692A" w:rsidRPr="00E813B0">
        <w:t>Corporate Ambition</w:t>
      </w:r>
      <w:r w:rsidR="00AC0AB9">
        <w:t>’</w:t>
      </w:r>
      <w:r w:rsidR="007456C3" w:rsidRPr="00E813B0">
        <w:t xml:space="preserve"> removed in August 2024. </w:t>
      </w:r>
      <w:r w:rsidR="00A735DB">
        <w:t>S</w:t>
      </w:r>
      <w:r w:rsidR="00BA416D">
        <w:t>pecific</w:t>
      </w:r>
      <w:r w:rsidR="000B3400">
        <w:t>ally, indicator</w:t>
      </w:r>
      <w:r w:rsidR="00D4616D">
        <w:t>s</w:t>
      </w:r>
      <w:r w:rsidR="000B3400">
        <w:t xml:space="preserve"> to measure </w:t>
      </w:r>
      <w:r w:rsidR="00732563">
        <w:t xml:space="preserve">how </w:t>
      </w:r>
      <w:r w:rsidR="000B3400" w:rsidRPr="000B3400">
        <w:t xml:space="preserve">LEAF has increased the ambition of </w:t>
      </w:r>
      <w:r w:rsidR="00732563">
        <w:t>CP</w:t>
      </w:r>
      <w:r w:rsidR="00D4616D">
        <w:t>’</w:t>
      </w:r>
      <w:r w:rsidR="00732563">
        <w:t xml:space="preserve">s </w:t>
      </w:r>
      <w:r w:rsidR="000B3400" w:rsidRPr="000B3400">
        <w:t>decarbonisation targets</w:t>
      </w:r>
      <w:r w:rsidR="00235303">
        <w:t xml:space="preserve"> </w:t>
      </w:r>
      <w:r w:rsidR="00D4616D">
        <w:t xml:space="preserve">became </w:t>
      </w:r>
      <w:r w:rsidR="007925E6">
        <w:t>unfeasible</w:t>
      </w:r>
      <w:r w:rsidR="00F26281">
        <w:t xml:space="preserve"> with the current monitoring system</w:t>
      </w:r>
      <w:r w:rsidR="000F5B39">
        <w:t xml:space="preserve">, </w:t>
      </w:r>
      <w:r w:rsidR="006B42F3">
        <w:t>as</w:t>
      </w:r>
      <w:r w:rsidR="00BA416D">
        <w:t xml:space="preserve"> </w:t>
      </w:r>
      <w:r w:rsidR="006B42F3" w:rsidRPr="006B42F3">
        <w:t xml:space="preserve">there </w:t>
      </w:r>
      <w:r w:rsidR="000F5B39">
        <w:t>is</w:t>
      </w:r>
      <w:r w:rsidR="006B42F3" w:rsidRPr="006B42F3">
        <w:t xml:space="preserve"> no </w:t>
      </w:r>
      <w:r w:rsidR="00F26281">
        <w:t>easily verifiable</w:t>
      </w:r>
      <w:r w:rsidR="006B42F3" w:rsidRPr="006B42F3">
        <w:t xml:space="preserve"> methodology or practical way to monitor this in a systematic manner, in aggregate across</w:t>
      </w:r>
      <w:r w:rsidR="00BC4126">
        <w:t xml:space="preserve"> all LEAF CPs. </w:t>
      </w:r>
      <w:r w:rsidR="0063483A" w:rsidRPr="00E813B0">
        <w:t xml:space="preserve">Instead, </w:t>
      </w:r>
      <w:r w:rsidR="000015D5" w:rsidRPr="00E813B0">
        <w:t xml:space="preserve">Emergent </w:t>
      </w:r>
      <w:r w:rsidR="00D8559D">
        <w:t>proposes</w:t>
      </w:r>
      <w:r w:rsidR="000015D5" w:rsidRPr="00E813B0">
        <w:t xml:space="preserve"> a set of ‘framing que</w:t>
      </w:r>
      <w:r w:rsidR="0039692A" w:rsidRPr="00E813B0">
        <w:t>s</w:t>
      </w:r>
      <w:r w:rsidR="000015D5" w:rsidRPr="00E813B0">
        <w:t>tions</w:t>
      </w:r>
      <w:r w:rsidR="00E250DA" w:rsidRPr="00E813B0">
        <w:t>’</w:t>
      </w:r>
      <w:r w:rsidR="000015D5" w:rsidRPr="00E813B0">
        <w:t xml:space="preserve"> </w:t>
      </w:r>
      <w:r w:rsidR="0063483A" w:rsidRPr="00E813B0">
        <w:t xml:space="preserve">which </w:t>
      </w:r>
      <w:r w:rsidR="000015D5" w:rsidRPr="00E813B0">
        <w:t>would be used to report on Corporate ambition</w:t>
      </w:r>
      <w:r w:rsidR="00E839E9">
        <w:t xml:space="preserve"> instead of the </w:t>
      </w:r>
      <w:r w:rsidR="00E839E9">
        <w:lastRenderedPageBreak/>
        <w:t xml:space="preserve">original </w:t>
      </w:r>
      <w:r w:rsidR="00AC0AB9">
        <w:t>O</w:t>
      </w:r>
      <w:r w:rsidR="00E839E9">
        <w:t>utcome 4</w:t>
      </w:r>
      <w:r w:rsidR="000015D5">
        <w:t>.</w:t>
      </w:r>
      <w:r w:rsidR="000015D5" w:rsidRPr="00E813B0">
        <w:t xml:space="preserve"> This, combined with the lack of transparency on </w:t>
      </w:r>
      <w:r w:rsidR="00901167" w:rsidRPr="00E813B0">
        <w:t>corporate</w:t>
      </w:r>
      <w:r w:rsidR="000015D5" w:rsidRPr="00E813B0">
        <w:t xml:space="preserve"> engagement (</w:t>
      </w:r>
      <w:r w:rsidR="00396019">
        <w:t xml:space="preserve">due to non-disclosure agreements being in place between Emergent and the </w:t>
      </w:r>
      <w:r w:rsidR="00D8559D">
        <w:t>CPs</w:t>
      </w:r>
      <w:r w:rsidR="000015D5" w:rsidRPr="00E813B0">
        <w:t>) creates a</w:t>
      </w:r>
      <w:r w:rsidR="00094910">
        <w:t xml:space="preserve"> perceived</w:t>
      </w:r>
      <w:r w:rsidR="000015D5" w:rsidRPr="00E813B0">
        <w:t xml:space="preserve"> imbalance in the </w:t>
      </w:r>
      <w:r w:rsidR="00DD5F33" w:rsidRPr="00E813B0">
        <w:t>focus on the</w:t>
      </w:r>
      <w:r w:rsidR="003E7B1C" w:rsidRPr="00E813B0">
        <w:t xml:space="preserve"> work of </w:t>
      </w:r>
      <w:r w:rsidR="00441180">
        <w:t>HJs</w:t>
      </w:r>
      <w:r w:rsidR="003E7B1C" w:rsidRPr="00E813B0">
        <w:t xml:space="preserve"> and </w:t>
      </w:r>
      <w:r w:rsidR="0052166E">
        <w:t>CPs</w:t>
      </w:r>
      <w:r w:rsidR="00412172" w:rsidRPr="00E813B0">
        <w:t xml:space="preserve"> in their commitments to carbon credit supply and purchase</w:t>
      </w:r>
      <w:r w:rsidR="008A0621">
        <w:t xml:space="preserve"> and building a </w:t>
      </w:r>
      <w:r w:rsidR="00D8559D">
        <w:t>high-integrity</w:t>
      </w:r>
      <w:r w:rsidR="008A0621">
        <w:t xml:space="preserve"> self-sustaining market</w:t>
      </w:r>
      <w:r w:rsidR="00412172" w:rsidRPr="00E813B0">
        <w:t xml:space="preserve">. </w:t>
      </w:r>
      <w:r w:rsidR="00A90410" w:rsidRPr="00E813B0">
        <w:t>DESNZ have recently (June 2025)</w:t>
      </w:r>
      <w:r w:rsidR="0021657B" w:rsidRPr="00E813B0">
        <w:t xml:space="preserve"> indicated that they are again working with Emergent to update the logframe</w:t>
      </w:r>
      <w:r w:rsidR="008C16C7">
        <w:t xml:space="preserve">. </w:t>
      </w:r>
      <w:r w:rsidR="0021657B" w:rsidRPr="00E813B0">
        <w:t xml:space="preserve"> </w:t>
      </w:r>
      <w:r w:rsidR="008C16C7">
        <w:t>Further work is also needed to</w:t>
      </w:r>
      <w:r w:rsidR="008C16C7" w:rsidRPr="00E813B0">
        <w:t xml:space="preserve"> address ongoing issues around baselines</w:t>
      </w:r>
      <w:r w:rsidR="008C16C7">
        <w:t xml:space="preserve"> </w:t>
      </w:r>
      <w:r w:rsidR="008C16C7" w:rsidRPr="00E813B0">
        <w:t>for ICF KPI reporting</w:t>
      </w:r>
      <w:r w:rsidR="00494AE1">
        <w:t xml:space="preserve"> and the preparation of the LEAF Baseline itself against which future impacts can be </w:t>
      </w:r>
      <w:r w:rsidR="0052166E">
        <w:t>measured.</w:t>
      </w:r>
      <w:r w:rsidR="00311D67">
        <w:t xml:space="preserve"> I</w:t>
      </w:r>
      <w:r w:rsidR="00224E69">
        <w:t>t</w:t>
      </w:r>
      <w:r w:rsidR="00224E69" w:rsidRPr="00E813B0">
        <w:t xml:space="preserve"> is proposed from </w:t>
      </w:r>
      <w:r w:rsidR="00224E69">
        <w:t>th</w:t>
      </w:r>
      <w:r w:rsidR="00311D67">
        <w:t>is</w:t>
      </w:r>
      <w:r w:rsidR="00224E69">
        <w:t xml:space="preserve"> </w:t>
      </w:r>
      <w:r w:rsidR="00224E69" w:rsidRPr="00E813B0">
        <w:t xml:space="preserve">process evaluation </w:t>
      </w:r>
      <w:r w:rsidR="00311D67">
        <w:t xml:space="preserve">that the </w:t>
      </w:r>
      <w:r w:rsidR="00904A66">
        <w:t xml:space="preserve">DESNZ </w:t>
      </w:r>
      <w:r w:rsidR="00311D67">
        <w:t>review</w:t>
      </w:r>
      <w:r w:rsidR="00904A66">
        <w:t xml:space="preserve"> should</w:t>
      </w:r>
      <w:r w:rsidR="00224E69">
        <w:t xml:space="preserve"> </w:t>
      </w:r>
      <w:r w:rsidR="00224E69" w:rsidRPr="00E813B0">
        <w:t xml:space="preserve">address </w:t>
      </w:r>
      <w:r w:rsidR="00441180">
        <w:t>GEDSI</w:t>
      </w:r>
      <w:r w:rsidR="00224E69" w:rsidRPr="00E813B0">
        <w:t xml:space="preserve"> reporting, including modification of Outcome Indicators 2.5 and 2.6</w:t>
      </w:r>
      <w:r w:rsidR="00B875BF">
        <w:t>,</w:t>
      </w:r>
      <w:r w:rsidR="00224E69" w:rsidRPr="00E813B0">
        <w:t xml:space="preserve"> which </w:t>
      </w:r>
      <w:r w:rsidR="00B875BF">
        <w:t>lack recognition</w:t>
      </w:r>
      <w:r w:rsidR="0029318B" w:rsidRPr="00E813B0">
        <w:t xml:space="preserve"> of the </w:t>
      </w:r>
      <w:r w:rsidR="00901167" w:rsidRPr="00E813B0">
        <w:t>complexities</w:t>
      </w:r>
      <w:r w:rsidR="0029318B" w:rsidRPr="00E813B0">
        <w:t xml:space="preserve"> of forest land tenure in diverse contexts. </w:t>
      </w:r>
      <w:r w:rsidR="00B875BF">
        <w:t>In</w:t>
      </w:r>
      <w:r w:rsidR="00010D4C" w:rsidRPr="00E813B0">
        <w:t xml:space="preserve"> total</w:t>
      </w:r>
      <w:r w:rsidR="00B875BF">
        <w:t xml:space="preserve">, there are </w:t>
      </w:r>
      <w:r w:rsidR="00B34CEE" w:rsidRPr="00E813B0">
        <w:t>59 indicators</w:t>
      </w:r>
      <w:r w:rsidR="003628CD" w:rsidRPr="00E813B0">
        <w:t xml:space="preserve"> across the two logframes</w:t>
      </w:r>
      <w:r w:rsidR="00B875BF">
        <w:t>,</w:t>
      </w:r>
      <w:r w:rsidR="003628CD" w:rsidRPr="00E813B0">
        <w:t xml:space="preserve"> including those that are used for ICF reporting. </w:t>
      </w:r>
    </w:p>
    <w:p w14:paraId="032224A4" w14:textId="14F03C9C" w:rsidR="005915E1" w:rsidRDefault="003628CD" w:rsidP="002D0C25">
      <w:r w:rsidRPr="000F0B16">
        <w:rPr>
          <w:rStyle w:val="Boldtext"/>
        </w:rPr>
        <w:t xml:space="preserve">There is currently no ‘fixed’ agreement on ICF indicators </w:t>
      </w:r>
      <w:r w:rsidR="00074770">
        <w:t xml:space="preserve">with, </w:t>
      </w:r>
      <w:r w:rsidRPr="00E813B0">
        <w:t>for example</w:t>
      </w:r>
      <w:r w:rsidR="00B875BF">
        <w:t>,</w:t>
      </w:r>
      <w:r w:rsidRPr="00E813B0">
        <w:t xml:space="preserve"> KPI 8 </w:t>
      </w:r>
      <w:r w:rsidR="00CD5C31" w:rsidRPr="00E813B0">
        <w:t>being considered</w:t>
      </w:r>
      <w:r w:rsidR="00B875BF">
        <w:t>,</w:t>
      </w:r>
      <w:r w:rsidR="00CD5C31" w:rsidRPr="00E813B0">
        <w:t xml:space="preserve"> but </w:t>
      </w:r>
      <w:r w:rsidR="00B875BF">
        <w:t>with no</w:t>
      </w:r>
      <w:r w:rsidR="00CD5C31" w:rsidRPr="00E813B0">
        <w:t xml:space="preserve"> data </w:t>
      </w:r>
      <w:r w:rsidR="00B875BF">
        <w:t>currently</w:t>
      </w:r>
      <w:r w:rsidR="00CD5C31" w:rsidRPr="00E813B0">
        <w:t xml:space="preserve"> available. Elements of ICF KPI 11 (public finance) were also not reported on due to </w:t>
      </w:r>
      <w:r w:rsidR="00D8559D">
        <w:t xml:space="preserve">a </w:t>
      </w:r>
      <w:r w:rsidR="00CD5C31" w:rsidRPr="00E813B0">
        <w:t xml:space="preserve">lack of data, </w:t>
      </w:r>
      <w:r w:rsidR="00901167" w:rsidRPr="00E813B0">
        <w:t>while</w:t>
      </w:r>
      <w:r w:rsidR="00CD5C31" w:rsidRPr="00E813B0">
        <w:t xml:space="preserve"> </w:t>
      </w:r>
      <w:r w:rsidR="00870954">
        <w:t xml:space="preserve">data for </w:t>
      </w:r>
      <w:r w:rsidR="00CD5C31" w:rsidRPr="00E813B0">
        <w:t xml:space="preserve">ICF KPI 12 </w:t>
      </w:r>
      <w:r w:rsidR="00870954">
        <w:t xml:space="preserve">was shared by Emergent and reported however the source data </w:t>
      </w:r>
      <w:r w:rsidR="00CD5C31" w:rsidRPr="00E813B0">
        <w:t xml:space="preserve">is not available due to confidentiality. </w:t>
      </w:r>
      <w:r w:rsidR="00570548" w:rsidRPr="00E813B0">
        <w:t xml:space="preserve">The issue of data availability affects areas such as Output indicator 3.1.2 </w:t>
      </w:r>
      <w:r w:rsidR="009042AC">
        <w:t>(</w:t>
      </w:r>
      <w:r w:rsidR="00511D73">
        <w:t>CP-ERPAs signed (number, cumulative)</w:t>
      </w:r>
      <w:r w:rsidR="00570548">
        <w:t xml:space="preserve"> </w:t>
      </w:r>
      <w:r w:rsidR="00570548" w:rsidRPr="00E813B0">
        <w:t xml:space="preserve">where only numbers are available and no list of </w:t>
      </w:r>
      <w:r w:rsidR="0052166E">
        <w:t>CPs</w:t>
      </w:r>
      <w:r w:rsidR="00570548" w:rsidRPr="00E813B0">
        <w:t xml:space="preserve"> with </w:t>
      </w:r>
      <w:r w:rsidR="00BB46DF">
        <w:t>purchase agreements</w:t>
      </w:r>
      <w:r w:rsidR="00570548" w:rsidRPr="00E813B0">
        <w:t xml:space="preserve"> </w:t>
      </w:r>
      <w:r w:rsidR="00CC0C59">
        <w:t xml:space="preserve">is </w:t>
      </w:r>
      <w:r w:rsidR="00570548" w:rsidRPr="00E813B0">
        <w:t>available</w:t>
      </w:r>
      <w:r w:rsidR="00BB46DF">
        <w:t>,</w:t>
      </w:r>
      <w:r w:rsidR="00570548" w:rsidRPr="00E813B0">
        <w:t xml:space="preserve"> even to the UK Government</w:t>
      </w:r>
      <w:r w:rsidR="000F0B16">
        <w:t xml:space="preserve"> due to</w:t>
      </w:r>
      <w:r w:rsidR="00947F02">
        <w:t xml:space="preserve"> issues of corporate confidentiality</w:t>
      </w:r>
      <w:r w:rsidR="00570548" w:rsidRPr="00E813B0">
        <w:t>.</w:t>
      </w:r>
      <w:r w:rsidR="00862DD1">
        <w:t xml:space="preserve"> </w:t>
      </w:r>
      <w:r w:rsidR="00461103">
        <w:t xml:space="preserve">Stabilising the reporting of ICF KPI indicators, including </w:t>
      </w:r>
      <w:r w:rsidR="00D80411">
        <w:t xml:space="preserve">expectations for KPI 15 (Transformational Change) would </w:t>
      </w:r>
      <w:r w:rsidR="007468D0">
        <w:t xml:space="preserve">increase reporting certainty for the LEAF Coalition and wider stakeholders.  </w:t>
      </w:r>
      <w:r w:rsidR="004F0A15">
        <w:t>Phase 3 impact design may present options for strengthening this area</w:t>
      </w:r>
      <w:r w:rsidR="002F0BF8">
        <w:t xml:space="preserve"> to provide </w:t>
      </w:r>
      <w:r w:rsidR="00FA7372">
        <w:t xml:space="preserve">increased utility and understanding for management </w:t>
      </w:r>
      <w:r w:rsidR="00CC0C59">
        <w:t>decision-making</w:t>
      </w:r>
      <w:r w:rsidR="00FA7372">
        <w:t xml:space="preserve">.  </w:t>
      </w:r>
    </w:p>
    <w:p w14:paraId="789901DD" w14:textId="6C7B28A6" w:rsidR="00735287" w:rsidRPr="00E813B0" w:rsidRDefault="00080239" w:rsidP="00735287">
      <w:r>
        <w:rPr>
          <w:rStyle w:val="Boldtext"/>
        </w:rPr>
        <w:t>There are opportunities to enhance learning with the LEAF Coalition</w:t>
      </w:r>
      <w:r w:rsidR="002B58FE">
        <w:rPr>
          <w:rStyle w:val="Boldtext"/>
        </w:rPr>
        <w:t xml:space="preserve"> </w:t>
      </w:r>
      <w:r w:rsidR="00AE22DB" w:rsidRPr="00E813B0">
        <w:rPr>
          <w:rStyle w:val="Boldtext"/>
        </w:rPr>
        <w:t>(beyond the</w:t>
      </w:r>
      <w:r w:rsidR="00DB0C1D" w:rsidRPr="00E813B0">
        <w:rPr>
          <w:rStyle w:val="Boldtext"/>
        </w:rPr>
        <w:t xml:space="preserve"> </w:t>
      </w:r>
      <w:r w:rsidR="00AE22DB" w:rsidRPr="00E813B0">
        <w:rPr>
          <w:rStyle w:val="Boldtext"/>
        </w:rPr>
        <w:t>Annual Review) that could b</w:t>
      </w:r>
      <w:r w:rsidR="003E7F44" w:rsidRPr="00E813B0">
        <w:rPr>
          <w:rStyle w:val="Boldtext"/>
        </w:rPr>
        <w:t xml:space="preserve">ring together </w:t>
      </w:r>
      <w:r w:rsidR="00EB20A0">
        <w:rPr>
          <w:rStyle w:val="Boldtext"/>
        </w:rPr>
        <w:t>HJ</w:t>
      </w:r>
      <w:r w:rsidR="0064234E" w:rsidRPr="00E813B0">
        <w:rPr>
          <w:rStyle w:val="Boldtext"/>
        </w:rPr>
        <w:t>s</w:t>
      </w:r>
      <w:r w:rsidR="003E7F44" w:rsidRPr="00E813B0">
        <w:rPr>
          <w:rStyle w:val="Boldtext"/>
        </w:rPr>
        <w:t xml:space="preserve"> and other stakeholders in a collaborative learning approach</w:t>
      </w:r>
      <w:r w:rsidR="003E7F44" w:rsidRPr="00E813B0">
        <w:t xml:space="preserve">. </w:t>
      </w:r>
      <w:r w:rsidR="00A35798">
        <w:t>There is n</w:t>
      </w:r>
      <w:r w:rsidR="00205940" w:rsidRPr="00E813B0">
        <w:t xml:space="preserve">o explicit </w:t>
      </w:r>
      <w:r w:rsidR="00076A9C">
        <w:t>l</w:t>
      </w:r>
      <w:r w:rsidR="00735287" w:rsidRPr="00E813B0">
        <w:t xml:space="preserve">earning </w:t>
      </w:r>
      <w:r w:rsidR="00076A9C">
        <w:t>s</w:t>
      </w:r>
      <w:r w:rsidR="00735287" w:rsidRPr="00E813B0">
        <w:t xml:space="preserve">trategy </w:t>
      </w:r>
      <w:r w:rsidR="00A35798">
        <w:t>for the LEAF Coalition</w:t>
      </w:r>
      <w:r w:rsidR="00DB0C1D" w:rsidRPr="00E813B0">
        <w:t xml:space="preserve"> and </w:t>
      </w:r>
      <w:r w:rsidR="000C6FBB">
        <w:t xml:space="preserve">very limited </w:t>
      </w:r>
      <w:r w:rsidR="00F05B34" w:rsidRPr="00E813B0">
        <w:t>‘peer to peer’ learning is</w:t>
      </w:r>
      <w:r w:rsidR="000C6FBB">
        <w:t xml:space="preserve"> only </w:t>
      </w:r>
      <w:r w:rsidR="00F05B34" w:rsidRPr="00E813B0">
        <w:t xml:space="preserve">fostered between </w:t>
      </w:r>
      <w:r w:rsidR="00EB20A0">
        <w:t>HJ</w:t>
      </w:r>
      <w:r w:rsidR="0064234E" w:rsidRPr="00E813B0">
        <w:t>s</w:t>
      </w:r>
      <w:r w:rsidR="00591313">
        <w:t>,</w:t>
      </w:r>
      <w:r w:rsidR="000C6FBB">
        <w:t xml:space="preserve"> by the </w:t>
      </w:r>
      <w:r w:rsidR="00F51E9E">
        <w:t>UN-REDD</w:t>
      </w:r>
      <w:r w:rsidR="000C6FBB">
        <w:t xml:space="preserve"> TA work.  This </w:t>
      </w:r>
      <w:r w:rsidR="00B5707F">
        <w:t>supporting learning proce</w:t>
      </w:r>
      <w:r w:rsidR="004D7BCF">
        <w:t>s</w:t>
      </w:r>
      <w:r w:rsidR="00B5707F">
        <w:t>s</w:t>
      </w:r>
      <w:r w:rsidR="00F05B34" w:rsidRPr="00E813B0">
        <w:t xml:space="preserve"> could </w:t>
      </w:r>
      <w:r w:rsidR="00901167" w:rsidRPr="00E813B0">
        <w:t>increase</w:t>
      </w:r>
      <w:r w:rsidR="00F05B34" w:rsidRPr="00E813B0">
        <w:t xml:space="preserve"> the interest in the LEAF Coalition ‘offer’ from </w:t>
      </w:r>
      <w:r w:rsidR="00400DF3">
        <w:t>forest-rich</w:t>
      </w:r>
      <w:r w:rsidR="00F05B34" w:rsidRPr="00E813B0">
        <w:t xml:space="preserve"> countries </w:t>
      </w:r>
      <w:r w:rsidR="00591313">
        <w:t xml:space="preserve">that are </w:t>
      </w:r>
      <w:r w:rsidR="00F05B34" w:rsidRPr="00E813B0">
        <w:t>not yet actively engaged.</w:t>
      </w:r>
    </w:p>
    <w:p w14:paraId="36BD8CF8" w14:textId="292135F9" w:rsidR="00735287" w:rsidRPr="00E813B0" w:rsidRDefault="00173494" w:rsidP="00867E16">
      <w:r w:rsidRPr="00E813B0">
        <w:rPr>
          <w:rStyle w:val="Boldtext"/>
        </w:rPr>
        <w:t>Risk</w:t>
      </w:r>
      <w:r w:rsidR="00D9296C" w:rsidRPr="00E813B0">
        <w:rPr>
          <w:rStyle w:val="Boldtext"/>
        </w:rPr>
        <w:t>s</w:t>
      </w:r>
      <w:r w:rsidRPr="00E813B0">
        <w:rPr>
          <w:rStyle w:val="Boldtext"/>
        </w:rPr>
        <w:t xml:space="preserve"> and assumptions were included in the 2021 Business Case</w:t>
      </w:r>
      <w:r w:rsidR="00591313">
        <w:rPr>
          <w:rStyle w:val="Boldtext"/>
        </w:rPr>
        <w:t>,</w:t>
      </w:r>
      <w:r w:rsidRPr="00E813B0">
        <w:rPr>
          <w:rStyle w:val="Boldtext"/>
        </w:rPr>
        <w:t xml:space="preserve"> but the operational context and opportunities for </w:t>
      </w:r>
      <w:r w:rsidR="00400DF3">
        <w:rPr>
          <w:rStyle w:val="Boldtext"/>
        </w:rPr>
        <w:t>VCMs</w:t>
      </w:r>
      <w:r w:rsidRPr="00E813B0">
        <w:rPr>
          <w:rStyle w:val="Boldtext"/>
        </w:rPr>
        <w:t xml:space="preserve"> have evolved since then and </w:t>
      </w:r>
      <w:r w:rsidR="00913937" w:rsidRPr="00E813B0">
        <w:rPr>
          <w:rStyle w:val="Boldtext"/>
        </w:rPr>
        <w:t xml:space="preserve">need to be updated. </w:t>
      </w:r>
      <w:r w:rsidR="00155695">
        <w:t xml:space="preserve">Whilst there is an internal Risks Analysis process between </w:t>
      </w:r>
      <w:r w:rsidR="007D2FB3">
        <w:t xml:space="preserve">donors </w:t>
      </w:r>
      <w:r w:rsidR="00155695">
        <w:t xml:space="preserve">and </w:t>
      </w:r>
      <w:r w:rsidR="0052166E">
        <w:t>Emergent (</w:t>
      </w:r>
      <w:r w:rsidR="00196642">
        <w:t>whi</w:t>
      </w:r>
      <w:r w:rsidR="004E280D">
        <w:t>c</w:t>
      </w:r>
      <w:r w:rsidR="00196642">
        <w:t>h is fed into wider</w:t>
      </w:r>
      <w:r w:rsidR="0058186A">
        <w:t xml:space="preserve"> Portfolio Management Office</w:t>
      </w:r>
      <w:r w:rsidR="00C04A9B">
        <w:t xml:space="preserve"> review</w:t>
      </w:r>
      <w:r w:rsidR="00830D63">
        <w:t>)</w:t>
      </w:r>
      <w:r w:rsidR="00EA1086">
        <w:t>,</w:t>
      </w:r>
      <w:r w:rsidR="00C04A9B">
        <w:t xml:space="preserve"> there is </w:t>
      </w:r>
      <w:r w:rsidR="00913937" w:rsidRPr="00E813B0">
        <w:t xml:space="preserve">no </w:t>
      </w:r>
      <w:r w:rsidR="00901167" w:rsidRPr="00E813B0">
        <w:t>explicit</w:t>
      </w:r>
      <w:r w:rsidR="00913937" w:rsidRPr="00E813B0">
        <w:t xml:space="preserve"> process </w:t>
      </w:r>
      <w:r w:rsidR="00C04A9B">
        <w:t xml:space="preserve">that would </w:t>
      </w:r>
      <w:r w:rsidR="004F0B4E">
        <w:t>i</w:t>
      </w:r>
      <w:r w:rsidR="00C04A9B">
        <w:t>nclude</w:t>
      </w:r>
      <w:r w:rsidR="00B829FC">
        <w:t xml:space="preserve"> all stakeholders</w:t>
      </w:r>
      <w:r w:rsidR="00C04A9B">
        <w:t xml:space="preserve"> in teasing out the </w:t>
      </w:r>
      <w:r w:rsidR="00F14142">
        <w:t>risks and assumptions in</w:t>
      </w:r>
      <w:r w:rsidR="00B829FC">
        <w:t xml:space="preserve"> the</w:t>
      </w:r>
      <w:r w:rsidR="00913937" w:rsidRPr="00E813B0" w:rsidDel="00B829FC">
        <w:t xml:space="preserve"> </w:t>
      </w:r>
      <w:r w:rsidR="00F14142">
        <w:t>development of a</w:t>
      </w:r>
      <w:r w:rsidR="00282FE4">
        <w:t xml:space="preserve"> self-sustaining</w:t>
      </w:r>
      <w:r w:rsidR="00F14142">
        <w:t xml:space="preserve"> market.  Whilst some activity is linked to the </w:t>
      </w:r>
      <w:r w:rsidR="00913937" w:rsidRPr="00E813B0">
        <w:t>Annual Review</w:t>
      </w:r>
      <w:r w:rsidR="00971E34">
        <w:t>,</w:t>
      </w:r>
      <w:r w:rsidR="00DD3162" w:rsidRPr="00E813B0">
        <w:t xml:space="preserve"> </w:t>
      </w:r>
      <w:r w:rsidR="00743C1D">
        <w:t>u</w:t>
      </w:r>
      <w:r w:rsidR="00901167" w:rsidRPr="00E813B0">
        <w:t>nderstanding</w:t>
      </w:r>
      <w:r w:rsidR="00DD3162" w:rsidRPr="00E813B0">
        <w:t xml:space="preserve"> the challenges and </w:t>
      </w:r>
      <w:r w:rsidR="00901167" w:rsidRPr="00E813B0">
        <w:t>opportunities</w:t>
      </w:r>
      <w:r w:rsidR="00DD3162" w:rsidRPr="00E813B0">
        <w:t xml:space="preserve">, </w:t>
      </w:r>
      <w:r w:rsidR="00743C1D">
        <w:t>from key market actors</w:t>
      </w:r>
      <w:r w:rsidR="00350B0B" w:rsidRPr="00E813B0">
        <w:t xml:space="preserve"> along with the</w:t>
      </w:r>
      <w:r w:rsidR="00CF7B2A">
        <w:t xml:space="preserve"> potential</w:t>
      </w:r>
      <w:r w:rsidR="00576BDC" w:rsidRPr="00E813B0">
        <w:t xml:space="preserve"> high development impacts</w:t>
      </w:r>
      <w:r w:rsidR="00350B0B" w:rsidRPr="00E813B0">
        <w:t xml:space="preserve"> from </w:t>
      </w:r>
      <w:r w:rsidR="00A55C9E">
        <w:t>avoided</w:t>
      </w:r>
      <w:r w:rsidR="00B648F4">
        <w:t xml:space="preserve"> deforestation</w:t>
      </w:r>
      <w:r w:rsidR="00255E75" w:rsidRPr="00E813B0">
        <w:t xml:space="preserve"> need to be monitored and the work of the </w:t>
      </w:r>
      <w:r w:rsidR="00901167" w:rsidRPr="00E813B0">
        <w:t>Coalition</w:t>
      </w:r>
      <w:r w:rsidR="00255E75" w:rsidRPr="00E813B0">
        <w:t xml:space="preserve"> a</w:t>
      </w:r>
      <w:r w:rsidR="00BA3029" w:rsidRPr="00E813B0">
        <w:t>dapted</w:t>
      </w:r>
      <w:r w:rsidR="008562EA" w:rsidRPr="00E813B0">
        <w:t>/</w:t>
      </w:r>
      <w:r w:rsidR="0053182D" w:rsidRPr="00E813B0">
        <w:t xml:space="preserve">agreed through the </w:t>
      </w:r>
      <w:r w:rsidR="00D9296C" w:rsidRPr="00E813B0">
        <w:t>C</w:t>
      </w:r>
      <w:r w:rsidR="0053182D" w:rsidRPr="00E813B0">
        <w:t>AG with full documentation of reasons.</w:t>
      </w:r>
    </w:p>
    <w:p w14:paraId="4289C76C" w14:textId="50B20178" w:rsidR="00A61096" w:rsidRPr="00E813B0" w:rsidRDefault="00C70FC7" w:rsidP="00AE0851">
      <w:pPr>
        <w:rPr>
          <w:rStyle w:val="Boldtext"/>
        </w:rPr>
      </w:pPr>
      <w:r w:rsidRPr="00E813B0">
        <w:rPr>
          <w:rStyle w:val="Boldtext"/>
        </w:rPr>
        <w:t xml:space="preserve">It is noted that Emergent are to develop a </w:t>
      </w:r>
      <w:r w:rsidR="00345140" w:rsidRPr="00E813B0">
        <w:rPr>
          <w:rStyle w:val="Boldtext"/>
        </w:rPr>
        <w:t>Monitoring, Evaluation, Accountability and Learning (</w:t>
      </w:r>
      <w:r w:rsidRPr="00E813B0">
        <w:rPr>
          <w:rStyle w:val="Boldtext"/>
        </w:rPr>
        <w:t>MEAL</w:t>
      </w:r>
      <w:r w:rsidR="00345140" w:rsidRPr="00E813B0">
        <w:rPr>
          <w:rStyle w:val="Boldtext"/>
        </w:rPr>
        <w:t>)</w:t>
      </w:r>
      <w:r w:rsidRPr="00E813B0">
        <w:rPr>
          <w:rStyle w:val="Boldtext"/>
        </w:rPr>
        <w:t xml:space="preserve"> </w:t>
      </w:r>
      <w:r w:rsidR="00DE0092" w:rsidRPr="00E813B0">
        <w:rPr>
          <w:rStyle w:val="Boldtext"/>
        </w:rPr>
        <w:t xml:space="preserve">approach </w:t>
      </w:r>
      <w:r w:rsidR="006625B8" w:rsidRPr="00E813B0">
        <w:rPr>
          <w:rStyle w:val="Boldtext"/>
        </w:rPr>
        <w:t>in 2025/26</w:t>
      </w:r>
      <w:r w:rsidR="00AF6A9D">
        <w:rPr>
          <w:rStyle w:val="Boldtext"/>
        </w:rPr>
        <w:t>.</w:t>
      </w:r>
      <w:r w:rsidR="00AF6A9D">
        <w:t xml:space="preserve"> While</w:t>
      </w:r>
      <w:r w:rsidR="00252B33" w:rsidRPr="00E813B0">
        <w:t xml:space="preserve"> welcomed</w:t>
      </w:r>
      <w:r w:rsidR="00AF6A9D">
        <w:t>,</w:t>
      </w:r>
      <w:r w:rsidR="00AE0851" w:rsidRPr="00E813B0">
        <w:t xml:space="preserve"> this will require</w:t>
      </w:r>
      <w:r w:rsidR="0021707D" w:rsidRPr="00E813B0">
        <w:t xml:space="preserve"> effective resourcing</w:t>
      </w:r>
      <w:r w:rsidR="00AE0851" w:rsidRPr="00E813B0">
        <w:t xml:space="preserve"> </w:t>
      </w:r>
      <w:r w:rsidR="00AD0460" w:rsidRPr="00E813B0">
        <w:t>linked to transparent reporting</w:t>
      </w:r>
      <w:r w:rsidR="00F14C7F" w:rsidRPr="00E813B0">
        <w:t xml:space="preserve">. This should also carefully address the risks in the operational context, </w:t>
      </w:r>
      <w:r w:rsidR="00BA6928" w:rsidRPr="00E813B0">
        <w:t xml:space="preserve">and what it means to </w:t>
      </w:r>
      <w:r w:rsidR="00444A40" w:rsidRPr="00E813B0">
        <w:t xml:space="preserve">enable a ‘high </w:t>
      </w:r>
      <w:r w:rsidR="008562EA" w:rsidRPr="00E813B0">
        <w:t>integrity</w:t>
      </w:r>
      <w:r w:rsidR="00444A40" w:rsidRPr="00E813B0">
        <w:t>’ approach to a ‘self-sustaining’ market across</w:t>
      </w:r>
      <w:r w:rsidR="00742D14" w:rsidRPr="00E813B0">
        <w:t xml:space="preserve"> diverse countries with different incentives to </w:t>
      </w:r>
      <w:r w:rsidR="00901167" w:rsidRPr="00E813B0">
        <w:t>engage</w:t>
      </w:r>
      <w:r w:rsidR="00742D14" w:rsidRPr="00E813B0">
        <w:t xml:space="preserve"> in </w:t>
      </w:r>
      <w:r w:rsidR="009F08C0" w:rsidRPr="00E813B0">
        <w:t>forest land carbon markets.</w:t>
      </w:r>
    </w:p>
    <w:p w14:paraId="4E51BBA6" w14:textId="4501046A" w:rsidR="0027405C" w:rsidRPr="001B5440" w:rsidRDefault="005318A7" w:rsidP="0027405C">
      <w:pPr>
        <w:rPr>
          <w:b/>
        </w:rPr>
      </w:pPr>
      <w:r>
        <w:rPr>
          <w:rStyle w:val="Boldtext"/>
        </w:rPr>
        <w:lastRenderedPageBreak/>
        <w:t>The LEAF ToC do</w:t>
      </w:r>
      <w:r w:rsidR="0054178B">
        <w:rPr>
          <w:rStyle w:val="Boldtext"/>
        </w:rPr>
        <w:t>es</w:t>
      </w:r>
      <w:r>
        <w:rPr>
          <w:rStyle w:val="Boldtext"/>
        </w:rPr>
        <w:t xml:space="preserve"> not include reference to sustainable development </w:t>
      </w:r>
      <w:r w:rsidR="00DD4452">
        <w:rPr>
          <w:rStyle w:val="Boldtext"/>
        </w:rPr>
        <w:t xml:space="preserve">and </w:t>
      </w:r>
      <w:r w:rsidR="0054178B">
        <w:rPr>
          <w:rStyle w:val="Boldtext"/>
        </w:rPr>
        <w:t>engages with IP</w:t>
      </w:r>
      <w:r w:rsidR="00BB6218">
        <w:rPr>
          <w:rStyle w:val="Boldtext"/>
        </w:rPr>
        <w:t xml:space="preserve"> and </w:t>
      </w:r>
      <w:r w:rsidR="0054178B">
        <w:rPr>
          <w:rStyle w:val="Boldtext"/>
        </w:rPr>
        <w:t>LCs and GEDSI in a limited way</w:t>
      </w:r>
      <w:r w:rsidR="002C5C3B" w:rsidRPr="00E813B0">
        <w:rPr>
          <w:rStyle w:val="Boldtext"/>
        </w:rPr>
        <w:t xml:space="preserve">. </w:t>
      </w:r>
      <w:r w:rsidRPr="005318A7">
        <w:t>Note</w:t>
      </w:r>
      <w:r w:rsidR="002C5C3B" w:rsidRPr="001B5440">
        <w:t xml:space="preserve"> that there are two slightly different versions of the </w:t>
      </w:r>
      <w:r w:rsidR="00CE58FD" w:rsidRPr="001B5440">
        <w:t>T</w:t>
      </w:r>
      <w:r w:rsidR="00345140" w:rsidRPr="001B5440">
        <w:t>oC</w:t>
      </w:r>
      <w:r w:rsidR="002C5C3B" w:rsidRPr="001B5440">
        <w:t xml:space="preserve">. One is embedded in the </w:t>
      </w:r>
      <w:r w:rsidR="007B4975" w:rsidRPr="001B5440">
        <w:t>l</w:t>
      </w:r>
      <w:r w:rsidR="002C5C3B" w:rsidRPr="001B5440">
        <w:t>og</w:t>
      </w:r>
      <w:r w:rsidR="008562EA" w:rsidRPr="001B5440">
        <w:t>f</w:t>
      </w:r>
      <w:r w:rsidR="002C5C3B" w:rsidRPr="001B5440">
        <w:t>rame workbook</w:t>
      </w:r>
      <w:r w:rsidR="007B4975" w:rsidRPr="001B5440">
        <w:t>,</w:t>
      </w:r>
      <w:r w:rsidR="002C5C3B" w:rsidRPr="001B5440">
        <w:t xml:space="preserve"> and one </w:t>
      </w:r>
      <w:r w:rsidR="00BA5193">
        <w:t xml:space="preserve">is </w:t>
      </w:r>
      <w:r w:rsidR="002C5C3B" w:rsidRPr="001B5440">
        <w:t xml:space="preserve">from </w:t>
      </w:r>
      <w:r w:rsidR="007B4975" w:rsidRPr="001B5440">
        <w:t>a</w:t>
      </w:r>
      <w:r w:rsidR="002C5C3B" w:rsidRPr="001B5440">
        <w:t xml:space="preserve"> December 2024 meeting to review the </w:t>
      </w:r>
      <w:r w:rsidR="00012686" w:rsidRPr="001B5440">
        <w:t>ToC</w:t>
      </w:r>
      <w:r w:rsidR="00614226" w:rsidRPr="001B5440">
        <w:t xml:space="preserve">. </w:t>
      </w:r>
      <w:r w:rsidR="007B4975">
        <w:t>Note</w:t>
      </w:r>
      <w:r w:rsidR="00B43F95" w:rsidRPr="00E813B0">
        <w:t xml:space="preserve"> that there has been a ‘drift’ f</w:t>
      </w:r>
      <w:r w:rsidR="006665EC" w:rsidRPr="00E813B0">
        <w:t xml:space="preserve">rom the stated ToC levels, including intermediate outcomes and the logframe (see Annex </w:t>
      </w:r>
      <w:r w:rsidR="001D6F7F" w:rsidRPr="00E813B0">
        <w:t>3</w:t>
      </w:r>
      <w:r w:rsidR="006665EC" w:rsidRPr="00E813B0">
        <w:t xml:space="preserve"> for further details). </w:t>
      </w:r>
      <w:r w:rsidR="007B4975">
        <w:t>Further,</w:t>
      </w:r>
      <w:r w:rsidR="006665EC" w:rsidRPr="00E813B0">
        <w:t xml:space="preserve"> the Business Case logframe </w:t>
      </w:r>
      <w:r w:rsidR="00D82070" w:rsidRPr="00E813B0">
        <w:t xml:space="preserve">and </w:t>
      </w:r>
      <w:r w:rsidR="006665EC" w:rsidRPr="00E813B0">
        <w:t xml:space="preserve">ToC do not include </w:t>
      </w:r>
      <w:r w:rsidR="007B4975">
        <w:t>‘</w:t>
      </w:r>
      <w:r w:rsidR="006665EC" w:rsidRPr="00E813B0">
        <w:t>sustainable development</w:t>
      </w:r>
      <w:r w:rsidR="007B4975">
        <w:t>’</w:t>
      </w:r>
      <w:r w:rsidR="006665EC" w:rsidRPr="00E813B0">
        <w:t xml:space="preserve"> at impact level</w:t>
      </w:r>
      <w:r w:rsidR="002B296C">
        <w:t xml:space="preserve"> </w:t>
      </w:r>
      <w:r w:rsidR="00D82A21" w:rsidRPr="00E813B0">
        <w:t>- with a</w:t>
      </w:r>
      <w:r w:rsidR="007C65ED" w:rsidRPr="00E813B0">
        <w:t xml:space="preserve"> </w:t>
      </w:r>
      <w:r w:rsidR="003C7D59">
        <w:t xml:space="preserve">sole </w:t>
      </w:r>
      <w:r w:rsidR="007C65ED" w:rsidRPr="00E813B0">
        <w:t xml:space="preserve">focus on the mitigation of carbon emissions from forest land </w:t>
      </w:r>
      <w:r w:rsidR="00901167" w:rsidRPr="00E813B0">
        <w:t>management</w:t>
      </w:r>
      <w:r w:rsidR="007C65ED" w:rsidRPr="00E813B0">
        <w:t xml:space="preserve">. </w:t>
      </w:r>
      <w:r w:rsidR="003C7D59">
        <w:t>While t</w:t>
      </w:r>
      <w:r w:rsidR="007C65ED" w:rsidRPr="00E813B0">
        <w:t>he latter ToC does introduce sustainable development</w:t>
      </w:r>
      <w:r w:rsidR="00C45788" w:rsidRPr="00E813B0">
        <w:t xml:space="preserve"> at </w:t>
      </w:r>
      <w:r w:rsidR="00BA5193">
        <w:t xml:space="preserve">the </w:t>
      </w:r>
      <w:r w:rsidR="00C45788" w:rsidRPr="00E813B0">
        <w:t>impact level</w:t>
      </w:r>
      <w:r w:rsidR="003C7D59">
        <w:t>,</w:t>
      </w:r>
      <w:r w:rsidR="00C45788" w:rsidRPr="00E813B0">
        <w:t xml:space="preserve"> at present</w:t>
      </w:r>
      <w:r w:rsidR="00BA5193">
        <w:t>,</w:t>
      </w:r>
      <w:r w:rsidR="00C45788" w:rsidRPr="00E813B0">
        <w:t xml:space="preserve"> </w:t>
      </w:r>
      <w:r w:rsidR="000119E6" w:rsidRPr="00E813B0">
        <w:t>there</w:t>
      </w:r>
      <w:r w:rsidR="00C45788" w:rsidRPr="00E813B0">
        <w:t xml:space="preserve"> is no tracking </w:t>
      </w:r>
      <w:r w:rsidR="009111FB" w:rsidRPr="00E813B0">
        <w:t>of any claims regarding possible impact</w:t>
      </w:r>
      <w:r w:rsidR="001B778E" w:rsidRPr="00E813B0">
        <w:t>s (positive and negative)</w:t>
      </w:r>
      <w:r w:rsidR="009111FB" w:rsidRPr="00E813B0">
        <w:t xml:space="preserve"> </w:t>
      </w:r>
      <w:r w:rsidR="004E6918">
        <w:t>from ‘</w:t>
      </w:r>
      <w:r w:rsidR="000066E3">
        <w:t>avoiding deforestation’</w:t>
      </w:r>
      <w:r w:rsidR="009111FB" w:rsidRPr="00E813B0">
        <w:t xml:space="preserve"> on S</w:t>
      </w:r>
      <w:r w:rsidR="00696736" w:rsidRPr="00E813B0">
        <w:t>ustainable Development Goals (S</w:t>
      </w:r>
      <w:r w:rsidR="009111FB" w:rsidRPr="00E813B0">
        <w:t>DGs</w:t>
      </w:r>
      <w:r w:rsidR="00696736" w:rsidRPr="00E813B0">
        <w:t>)</w:t>
      </w:r>
      <w:r w:rsidR="009111FB" w:rsidRPr="00E813B0">
        <w:t xml:space="preserve"> </w:t>
      </w:r>
      <w:r w:rsidR="00D9422B" w:rsidRPr="00E813B0">
        <w:t>1,</w:t>
      </w:r>
      <w:r w:rsidR="003C7D59">
        <w:t xml:space="preserve"> </w:t>
      </w:r>
      <w:r w:rsidR="00D9422B" w:rsidRPr="00E813B0">
        <w:t>2,</w:t>
      </w:r>
      <w:r w:rsidR="003C7D59">
        <w:t xml:space="preserve"> </w:t>
      </w:r>
      <w:r w:rsidR="00D9422B" w:rsidRPr="00E813B0">
        <w:t>3,</w:t>
      </w:r>
      <w:r w:rsidR="003C7D59">
        <w:t xml:space="preserve"> </w:t>
      </w:r>
      <w:r w:rsidR="00D9422B" w:rsidRPr="00E813B0">
        <w:t>6,</w:t>
      </w:r>
      <w:r w:rsidR="003C7D59">
        <w:t xml:space="preserve"> </w:t>
      </w:r>
      <w:r w:rsidR="00D9422B" w:rsidRPr="00E813B0">
        <w:t>8,</w:t>
      </w:r>
      <w:r w:rsidR="003C7D59">
        <w:t xml:space="preserve"> </w:t>
      </w:r>
      <w:r w:rsidR="00D9422B" w:rsidRPr="00E813B0">
        <w:t>12,</w:t>
      </w:r>
      <w:r w:rsidR="003C7D59">
        <w:t xml:space="preserve"> </w:t>
      </w:r>
      <w:r w:rsidR="00D9422B" w:rsidRPr="00E813B0">
        <w:t>13,</w:t>
      </w:r>
      <w:r w:rsidR="003C7D59">
        <w:t xml:space="preserve"> </w:t>
      </w:r>
      <w:r w:rsidR="00D9422B" w:rsidRPr="00E813B0">
        <w:t>15</w:t>
      </w:r>
      <w:r w:rsidR="00374491" w:rsidRPr="00E813B0">
        <w:t xml:space="preserve">. </w:t>
      </w:r>
      <w:r w:rsidR="00396411" w:rsidRPr="00E813B0">
        <w:t>Initially</w:t>
      </w:r>
      <w:r w:rsidR="00BA5193">
        <w:t>,</w:t>
      </w:r>
      <w:r w:rsidR="00396411" w:rsidRPr="00E813B0">
        <w:t xml:space="preserve"> the ToC was </w:t>
      </w:r>
      <w:r w:rsidR="00974282" w:rsidRPr="00E813B0">
        <w:t xml:space="preserve">considered useful but </w:t>
      </w:r>
      <w:r w:rsidR="00BA5193">
        <w:t xml:space="preserve">it </w:t>
      </w:r>
      <w:r w:rsidR="00974282" w:rsidRPr="00E813B0">
        <w:t>is seen as ‘UK</w:t>
      </w:r>
      <w:r w:rsidR="00D827F0">
        <w:t>-c</w:t>
      </w:r>
      <w:r w:rsidR="00901167" w:rsidRPr="00E813B0">
        <w:t>entric</w:t>
      </w:r>
      <w:r w:rsidR="00974282" w:rsidRPr="00E813B0">
        <w:t xml:space="preserve">’ and the assumptions are increasingly out of date. </w:t>
      </w:r>
      <w:r w:rsidR="004064B1" w:rsidRPr="00E813B0">
        <w:t xml:space="preserve">This includes critical issues around </w:t>
      </w:r>
      <w:r w:rsidR="007F0A24" w:rsidRPr="00E813B0">
        <w:t xml:space="preserve">property rights for land and carbon </w:t>
      </w:r>
      <w:r w:rsidR="00B34D70" w:rsidRPr="00E813B0">
        <w:t>and how this may affect the way IP</w:t>
      </w:r>
      <w:r w:rsidR="002A7118" w:rsidRPr="00E813B0">
        <w:t xml:space="preserve"> and </w:t>
      </w:r>
      <w:r w:rsidR="00B34D70" w:rsidRPr="00E813B0">
        <w:t>LCs engage with, and benefit from</w:t>
      </w:r>
      <w:r w:rsidR="00D827F0">
        <w:t>,</w:t>
      </w:r>
      <w:r w:rsidR="00B34D70" w:rsidRPr="00E813B0">
        <w:t xml:space="preserve"> </w:t>
      </w:r>
      <w:r w:rsidR="00BF58F6" w:rsidRPr="00E813B0">
        <w:t xml:space="preserve">the sale of carbon credits in areas where forests have multiple purposes. </w:t>
      </w:r>
      <w:r w:rsidR="00BD10B6" w:rsidRPr="00E813B0">
        <w:t>There is n</w:t>
      </w:r>
      <w:r w:rsidR="0027405C" w:rsidRPr="00E813B0">
        <w:t xml:space="preserve">o clear attention to issues of GEDSI in diverse </w:t>
      </w:r>
      <w:r w:rsidR="00901167" w:rsidRPr="00E813B0">
        <w:t>contexts</w:t>
      </w:r>
      <w:r w:rsidR="0027405C" w:rsidRPr="00E813B0">
        <w:t xml:space="preserve"> including</w:t>
      </w:r>
      <w:r w:rsidR="00885C0E">
        <w:t>,</w:t>
      </w:r>
      <w:r w:rsidR="0027405C" w:rsidRPr="00E813B0">
        <w:t xml:space="preserve"> for instance</w:t>
      </w:r>
      <w:r w:rsidR="00E155FF">
        <w:t>,</w:t>
      </w:r>
      <w:r w:rsidR="0027405C" w:rsidRPr="00E813B0">
        <w:t xml:space="preserve"> countries emerging from conflict where </w:t>
      </w:r>
      <w:r w:rsidR="004225C3" w:rsidRPr="00E813B0">
        <w:t xml:space="preserve">incorporation of displaced people, disabled fighters and others </w:t>
      </w:r>
      <w:r w:rsidR="00DC19DB" w:rsidRPr="00E813B0">
        <w:t>would be affected by appropriate use of forest land resources.</w:t>
      </w:r>
    </w:p>
    <w:p w14:paraId="48BDF868" w14:textId="58844C14" w:rsidR="00D9422B" w:rsidRPr="00E813B0" w:rsidRDefault="00AC0338" w:rsidP="00CE58FD">
      <w:r w:rsidRPr="00E813B0">
        <w:rPr>
          <w:rStyle w:val="Boldtext"/>
        </w:rPr>
        <w:t>T</w:t>
      </w:r>
      <w:r w:rsidR="00BC1878" w:rsidRPr="00E813B0">
        <w:rPr>
          <w:rStyle w:val="Boldtext"/>
        </w:rPr>
        <w:t xml:space="preserve">he ToC </w:t>
      </w:r>
      <w:r w:rsidR="0083482F" w:rsidRPr="00E813B0">
        <w:rPr>
          <w:rStyle w:val="Boldtext"/>
        </w:rPr>
        <w:t>should</w:t>
      </w:r>
      <w:r w:rsidR="00C20C7E" w:rsidRPr="00E813B0">
        <w:rPr>
          <w:rStyle w:val="Boldtext"/>
        </w:rPr>
        <w:t xml:space="preserve"> </w:t>
      </w:r>
      <w:r w:rsidR="00BC1878" w:rsidRPr="00E813B0">
        <w:rPr>
          <w:rStyle w:val="Boldtext"/>
        </w:rPr>
        <w:t xml:space="preserve">more carefully lay out the different pathways for </w:t>
      </w:r>
      <w:r w:rsidR="00505B01" w:rsidRPr="00E813B0">
        <w:rPr>
          <w:rStyle w:val="Boldtext"/>
        </w:rPr>
        <w:t xml:space="preserve">the achievement of </w:t>
      </w:r>
      <w:r w:rsidR="00BC1878" w:rsidRPr="00E813B0">
        <w:rPr>
          <w:rStyle w:val="Boldtext"/>
        </w:rPr>
        <w:t>ICF KPI 15 ‘Transformational Change’</w:t>
      </w:r>
      <w:r w:rsidR="00505B01" w:rsidRPr="00E813B0">
        <w:rPr>
          <w:rStyle w:val="Boldtext"/>
        </w:rPr>
        <w:t>. This could consider</w:t>
      </w:r>
      <w:r w:rsidR="00BC1878" w:rsidRPr="00E813B0">
        <w:rPr>
          <w:rStyle w:val="Boldtext"/>
        </w:rPr>
        <w:t xml:space="preserve"> the necessary and sufficient conditions </w:t>
      </w:r>
      <w:r w:rsidR="00162BDB">
        <w:rPr>
          <w:rStyle w:val="Boldtext"/>
        </w:rPr>
        <w:t>required</w:t>
      </w:r>
      <w:r w:rsidR="00162BDB" w:rsidRPr="00E813B0">
        <w:rPr>
          <w:rStyle w:val="Boldtext"/>
        </w:rPr>
        <w:t xml:space="preserve"> </w:t>
      </w:r>
      <w:r w:rsidR="00BC1878" w:rsidRPr="00E813B0">
        <w:rPr>
          <w:rStyle w:val="Boldtext"/>
        </w:rPr>
        <w:t>to achieve this in diverse operational context</w:t>
      </w:r>
      <w:r w:rsidR="00505B01" w:rsidRPr="00E813B0">
        <w:rPr>
          <w:rStyle w:val="Boldtext"/>
        </w:rPr>
        <w:t>s</w:t>
      </w:r>
      <w:r w:rsidR="00BC1878" w:rsidRPr="00E813B0">
        <w:rPr>
          <w:rStyle w:val="Boldtext"/>
        </w:rPr>
        <w:t xml:space="preserve"> (national, sub-national, regional and global)</w:t>
      </w:r>
      <w:r w:rsidR="00782446" w:rsidRPr="00E813B0">
        <w:rPr>
          <w:rStyle w:val="Boldtext"/>
        </w:rPr>
        <w:t xml:space="preserve">. </w:t>
      </w:r>
      <w:r w:rsidR="005E0024" w:rsidRPr="00E813B0">
        <w:t>A</w:t>
      </w:r>
      <w:r w:rsidR="00782446" w:rsidRPr="00E813B0">
        <w:t xml:space="preserve">ny revision of the ToC should also now consider the </w:t>
      </w:r>
      <w:hyperlink r:id="rId56" w:history="1">
        <w:r w:rsidR="00D9422B" w:rsidRPr="0067521E">
          <w:rPr>
            <w:rStyle w:val="Hyperlink"/>
          </w:rPr>
          <w:t>DESNZ Principles for voluntary carbon and nature market integrity</w:t>
        </w:r>
      </w:hyperlink>
      <w:r w:rsidR="00D9422B" w:rsidRPr="00E813B0">
        <w:t xml:space="preserve"> (15 Nov 2024)</w:t>
      </w:r>
      <w:r w:rsidR="00782446" w:rsidRPr="00E813B0">
        <w:t xml:space="preserve"> to enable alignment with cross-UK Government </w:t>
      </w:r>
      <w:r w:rsidR="001B211A" w:rsidRPr="00E813B0">
        <w:t xml:space="preserve">aspirations with the private sector, forest land management and </w:t>
      </w:r>
      <w:r w:rsidR="0080027B" w:rsidRPr="00E813B0">
        <w:t>transparent regulatory best practice for Net Zero.</w:t>
      </w:r>
    </w:p>
    <w:p w14:paraId="3A78C724" w14:textId="2BDB03AA" w:rsidR="002E2C7E" w:rsidRDefault="008126B3" w:rsidP="002E2C7E">
      <w:r w:rsidRPr="005A289D">
        <w:t xml:space="preserve">As the LEAF Coalition Business Case has been extended to 2030 the </w:t>
      </w:r>
      <w:r w:rsidR="00DA1394" w:rsidRPr="005A289D">
        <w:t>ET</w:t>
      </w:r>
      <w:r w:rsidRPr="005A289D">
        <w:t xml:space="preserve"> have, b</w:t>
      </w:r>
      <w:r w:rsidR="00DD44E3" w:rsidRPr="005A289D">
        <w:t xml:space="preserve">ased on the findings from the </w:t>
      </w:r>
      <w:r w:rsidR="00BD379A" w:rsidRPr="005A289D">
        <w:t>Process Evaluation</w:t>
      </w:r>
      <w:r w:rsidRPr="005A289D">
        <w:t>, prepared</w:t>
      </w:r>
      <w:r w:rsidR="00BD379A" w:rsidRPr="005A289D">
        <w:t xml:space="preserve"> </w:t>
      </w:r>
      <w:r w:rsidR="005A47DE">
        <w:t>the</w:t>
      </w:r>
      <w:r w:rsidR="00BD379A" w:rsidRPr="005A289D">
        <w:t xml:space="preserve"> </w:t>
      </w:r>
      <w:r w:rsidR="00D96D44" w:rsidRPr="005A289D">
        <w:t>Annex 3 (Theory of Change</w:t>
      </w:r>
      <w:r w:rsidR="00222438" w:rsidRPr="005A289D">
        <w:t xml:space="preserve"> </w:t>
      </w:r>
      <w:r w:rsidR="00737647" w:rsidRPr="005A289D">
        <w:t>Review</w:t>
      </w:r>
      <w:r w:rsidR="00D96D44" w:rsidRPr="005A289D">
        <w:t>)</w:t>
      </w:r>
      <w:r w:rsidR="00222438" w:rsidRPr="005A289D">
        <w:t>.  This provides an opportunity to</w:t>
      </w:r>
      <w:r w:rsidR="00D96D44" w:rsidRPr="005A289D">
        <w:t xml:space="preserve"> lay out a deeper understanding of the multi-layered process of ‘market creation’ and market making with </w:t>
      </w:r>
      <w:r w:rsidR="00EB20A0" w:rsidRPr="005A289D">
        <w:t>HJ</w:t>
      </w:r>
      <w:r w:rsidR="00D96D44" w:rsidRPr="005A289D">
        <w:t xml:space="preserve">s, </w:t>
      </w:r>
      <w:r w:rsidR="00926C96">
        <w:t>CPs</w:t>
      </w:r>
      <w:r w:rsidR="00304197" w:rsidRPr="005A289D">
        <w:t xml:space="preserve"> </w:t>
      </w:r>
      <w:r w:rsidR="00D96D44" w:rsidRPr="005A289D">
        <w:t xml:space="preserve">and standards organisations and verification bodies as well as diverse transaction routes. </w:t>
      </w:r>
      <w:r w:rsidR="005A47DE">
        <w:t>During Phase 3</w:t>
      </w:r>
      <w:r w:rsidR="00926C96">
        <w:t>,</w:t>
      </w:r>
      <w:r w:rsidR="005A47DE">
        <w:t xml:space="preserve"> </w:t>
      </w:r>
      <w:r w:rsidR="00EF134E">
        <w:t xml:space="preserve">this work will be deepened to examine </w:t>
      </w:r>
      <w:r w:rsidR="003D2B61">
        <w:t xml:space="preserve">further the ToC assumptions including the </w:t>
      </w:r>
      <w:r w:rsidR="002C7145">
        <w:t>drivers for change of the various market actors</w:t>
      </w:r>
      <w:r w:rsidR="00C2195F">
        <w:t xml:space="preserve"> </w:t>
      </w:r>
      <w:r w:rsidR="008411D8">
        <w:t xml:space="preserve">which may </w:t>
      </w:r>
      <w:r w:rsidR="00926C96">
        <w:t>result</w:t>
      </w:r>
      <w:r w:rsidR="008411D8">
        <w:t xml:space="preserve"> in </w:t>
      </w:r>
      <w:r w:rsidR="008A231D">
        <w:t xml:space="preserve">different understandings of how a ‘self-sustaining’ market may operate.  </w:t>
      </w:r>
    </w:p>
    <w:p w14:paraId="12497EDD" w14:textId="04A84B9B" w:rsidR="00D96D44" w:rsidRDefault="00785E74" w:rsidP="002E2C7E">
      <w:r>
        <w:fldChar w:fldCharType="begin"/>
      </w:r>
      <w:r>
        <w:instrText xml:space="preserve"> REF _Ref208584921 \h </w:instrText>
      </w:r>
      <w:r>
        <w:fldChar w:fldCharType="separate"/>
      </w:r>
      <w:r>
        <w:t xml:space="preserve">Figure </w:t>
      </w:r>
      <w:r>
        <w:rPr>
          <w:noProof/>
        </w:rPr>
        <w:t>3</w:t>
      </w:r>
      <w:r>
        <w:fldChar w:fldCharType="end"/>
      </w:r>
      <w:r>
        <w:t xml:space="preserve"> </w:t>
      </w:r>
      <w:r w:rsidR="00D96D44">
        <w:t>below lays out the</w:t>
      </w:r>
      <w:r w:rsidR="000155EC">
        <w:t xml:space="preserve"> formal </w:t>
      </w:r>
      <w:r w:rsidR="000B6F14">
        <w:t xml:space="preserve">proposed ToC around </w:t>
      </w:r>
      <w:r w:rsidR="00D96D44">
        <w:t xml:space="preserve">market creation and scale up and including the key market makers around the VCM+. The Annex includes details of operational principles for the LEAF Coalition which would include a focus on creating a </w:t>
      </w:r>
      <w:r w:rsidR="00926C96">
        <w:t>high-integrity</w:t>
      </w:r>
      <w:r w:rsidR="00D96D44">
        <w:t xml:space="preserve"> market using best practice around transparency, social inclusion for a market that is focused on a ‘global public good’ i.e. climate mitigation using a combination of public-private-partnership arrangements from Sovereign Donors and </w:t>
      </w:r>
      <w:r w:rsidR="00EB20A0">
        <w:t>HJ</w:t>
      </w:r>
      <w:r w:rsidR="00D96D44">
        <w:t xml:space="preserve">s. It also enables attention to the use of this novel financing approach to enable sustainable development for IP </w:t>
      </w:r>
      <w:r w:rsidR="007D19F0">
        <w:t>and</w:t>
      </w:r>
      <w:r w:rsidR="00D96D44">
        <w:t xml:space="preserve"> LCs as they increasingly need to adapt to climate change through effective forest land management and sustainable investment in resilient infrastructure and service delivery.  </w:t>
      </w:r>
      <w:r w:rsidR="000B6F14">
        <w:t xml:space="preserve">Further work on the ToC for the LEAF Coalition itself and the creation of a ’self-sustaining market’ will be undertaken during Phase 3.  </w:t>
      </w:r>
      <w:r w:rsidR="00D96D44">
        <w:t xml:space="preserve"> </w:t>
      </w:r>
    </w:p>
    <w:p w14:paraId="2C6E8359" w14:textId="77777777" w:rsidR="006E1DAC" w:rsidRDefault="006E1DAC" w:rsidP="007D19F0">
      <w:pPr>
        <w:pStyle w:val="Caption"/>
        <w:keepNext/>
        <w:sectPr w:rsidR="006E1DAC" w:rsidSect="00303390">
          <w:pgSz w:w="11906" w:h="16838"/>
          <w:pgMar w:top="1418" w:right="907" w:bottom="907" w:left="907" w:header="709" w:footer="266" w:gutter="0"/>
          <w:cols w:space="708"/>
          <w:docGrid w:linePitch="360"/>
        </w:sectPr>
      </w:pPr>
      <w:bookmarkStart w:id="59" w:name="_Ref204011596"/>
      <w:bookmarkStart w:id="60" w:name="_Ref204013019"/>
    </w:p>
    <w:p w14:paraId="660F38D7" w14:textId="0F319991" w:rsidR="007D19F0" w:rsidRDefault="007D19F0" w:rsidP="007D19F0">
      <w:pPr>
        <w:pStyle w:val="Caption"/>
        <w:keepNext/>
      </w:pPr>
      <w:bookmarkStart w:id="61" w:name="_Ref208584921"/>
      <w:bookmarkStart w:id="62" w:name="_Toc204158646"/>
      <w:bookmarkStart w:id="63" w:name="_Toc209019070"/>
      <w:r>
        <w:lastRenderedPageBreak/>
        <w:t xml:space="preserve">Figure </w:t>
      </w:r>
      <w:fldSimple w:instr=" SEQ Figure \* ARABIC ">
        <w:r w:rsidR="00785E74">
          <w:rPr>
            <w:noProof/>
          </w:rPr>
          <w:t>3</w:t>
        </w:r>
      </w:fldSimple>
      <w:bookmarkEnd w:id="59"/>
      <w:bookmarkEnd w:id="61"/>
      <w:r w:rsidR="000C3FA1">
        <w:t>:</w:t>
      </w:r>
      <w:r>
        <w:t xml:space="preserve"> Revised </w:t>
      </w:r>
      <w:r w:rsidR="00DA1394">
        <w:t xml:space="preserve">LEAF Coalition </w:t>
      </w:r>
      <w:r>
        <w:t>Theory of Change</w:t>
      </w:r>
      <w:bookmarkEnd w:id="60"/>
      <w:bookmarkEnd w:id="62"/>
      <w:bookmarkEnd w:id="63"/>
    </w:p>
    <w:p w14:paraId="2A260148" w14:textId="223BF1B8" w:rsidR="007D19F0" w:rsidRDefault="007D19F0" w:rsidP="007D19F0">
      <w:pPr>
        <w:keepNext/>
      </w:pPr>
    </w:p>
    <w:p w14:paraId="6C050B7B" w14:textId="2FBF8CD4" w:rsidR="006E1DAC" w:rsidRDefault="00D25347" w:rsidP="002B5197">
      <w:pPr>
        <w:rPr>
          <w:rStyle w:val="Boldtext"/>
        </w:rPr>
        <w:sectPr w:rsidR="006E1DAC" w:rsidSect="006E1DAC">
          <w:pgSz w:w="16838" w:h="11906" w:orient="landscape"/>
          <w:pgMar w:top="1418" w:right="907" w:bottom="907" w:left="907" w:header="709" w:footer="266" w:gutter="0"/>
          <w:cols w:space="708"/>
          <w:docGrid w:linePitch="360"/>
        </w:sectPr>
      </w:pPr>
      <w:r>
        <w:rPr>
          <w:rStyle w:val="Boldtext"/>
          <w:noProof/>
        </w:rPr>
        <w:drawing>
          <wp:inline distT="0" distB="0" distL="0" distR="0" wp14:anchorId="23A3ACC4" wp14:editId="58D9A6AF">
            <wp:extent cx="9635598" cy="5448300"/>
            <wp:effectExtent l="0" t="0" r="3810" b="0"/>
            <wp:docPr id="1562512306" name="Picture 2" descr="A Theory of Change model created for the LEAF programme as part of this evaluation. This includes inputs, outputs, outcomes and the impact as discuss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12306" name="Picture 2" descr="A Theory of Change model created for the LEAF programme as part of this evaluation. This includes inputs, outputs, outcomes and the impact as discussed abov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645287" cy="5453779"/>
                    </a:xfrm>
                    <a:prstGeom prst="rect">
                      <a:avLst/>
                    </a:prstGeom>
                    <a:noFill/>
                    <a:ln>
                      <a:noFill/>
                    </a:ln>
                  </pic:spPr>
                </pic:pic>
              </a:graphicData>
            </a:graphic>
          </wp:inline>
        </w:drawing>
      </w:r>
    </w:p>
    <w:p w14:paraId="49324FD5" w14:textId="4CE8BEE7" w:rsidR="00C20C7E" w:rsidRPr="00E813B0" w:rsidRDefault="006838C9" w:rsidP="002B5197">
      <w:pPr>
        <w:rPr>
          <w:rStyle w:val="Boldtext"/>
        </w:rPr>
      </w:pPr>
      <w:r w:rsidRPr="00E813B0">
        <w:rPr>
          <w:rStyle w:val="Boldtext"/>
        </w:rPr>
        <w:lastRenderedPageBreak/>
        <w:t xml:space="preserve">It is important to note that the current focus for the impact of the LEAF </w:t>
      </w:r>
      <w:r w:rsidR="00901167" w:rsidRPr="00E813B0">
        <w:rPr>
          <w:rStyle w:val="Boldtext"/>
        </w:rPr>
        <w:t>Coalition</w:t>
      </w:r>
      <w:r w:rsidRPr="00E813B0">
        <w:rPr>
          <w:rStyle w:val="Boldtext"/>
        </w:rPr>
        <w:t xml:space="preserve"> </w:t>
      </w:r>
      <w:r w:rsidR="009056E7" w:rsidRPr="00E813B0">
        <w:rPr>
          <w:rStyle w:val="Boldtext"/>
        </w:rPr>
        <w:t xml:space="preserve">is on </w:t>
      </w:r>
      <w:r w:rsidR="00531660">
        <w:rPr>
          <w:rStyle w:val="Boldtext"/>
        </w:rPr>
        <w:t xml:space="preserve">the </w:t>
      </w:r>
      <w:r w:rsidR="009056E7" w:rsidRPr="00E813B0">
        <w:rPr>
          <w:rStyle w:val="Boldtext"/>
        </w:rPr>
        <w:t>mitigation</w:t>
      </w:r>
      <w:r w:rsidR="000B170B" w:rsidRPr="00E813B0">
        <w:rPr>
          <w:rStyle w:val="Boldtext"/>
        </w:rPr>
        <w:t xml:space="preserve"> of carbon emissions from effective management of forest land</w:t>
      </w:r>
      <w:r w:rsidR="00F91C9F" w:rsidRPr="00E813B0">
        <w:rPr>
          <w:rStyle w:val="Boldtext"/>
        </w:rPr>
        <w:t xml:space="preserve">. </w:t>
      </w:r>
      <w:r w:rsidR="006C6C2E" w:rsidRPr="00E813B0">
        <w:t>A</w:t>
      </w:r>
      <w:r w:rsidR="00522D13" w:rsidRPr="00E813B0">
        <w:t>t this stage in the delivery of the LEAF Coalition</w:t>
      </w:r>
      <w:r w:rsidR="00AF7FA0" w:rsidRPr="00E813B0">
        <w:t>,</w:t>
      </w:r>
      <w:r w:rsidR="00522D13" w:rsidRPr="00E813B0">
        <w:t xml:space="preserve"> </w:t>
      </w:r>
      <w:r w:rsidR="009D1F4D" w:rsidRPr="00E813B0">
        <w:t xml:space="preserve">as there has been no fund flow to </w:t>
      </w:r>
      <w:r w:rsidR="003C4EC5">
        <w:t>HJs</w:t>
      </w:r>
      <w:r w:rsidR="00AF7FA0" w:rsidRPr="00E813B0">
        <w:t>,</w:t>
      </w:r>
      <w:r w:rsidR="009D1F4D" w:rsidRPr="00E813B0">
        <w:t xml:space="preserve"> the current focus is on the achievement and verification of the TREES standard to agree the ERPA with Emergent. Sale of credits to Corporates or through the PGF</w:t>
      </w:r>
      <w:r w:rsidR="005B070E" w:rsidRPr="00E813B0">
        <w:t xml:space="preserve"> </w:t>
      </w:r>
      <w:r w:rsidR="00541958" w:rsidRPr="00E813B0">
        <w:t xml:space="preserve">will then </w:t>
      </w:r>
      <w:r w:rsidR="00901167" w:rsidRPr="00E813B0">
        <w:t>enable</w:t>
      </w:r>
      <w:r w:rsidR="00541958" w:rsidRPr="00E813B0">
        <w:t xml:space="preserve"> the ‘testing’ </w:t>
      </w:r>
      <w:r w:rsidR="0076229F">
        <w:t>of</w:t>
      </w:r>
      <w:r w:rsidR="0076229F" w:rsidRPr="00E813B0">
        <w:t xml:space="preserve"> </w:t>
      </w:r>
      <w:r w:rsidR="00541958" w:rsidRPr="00E813B0">
        <w:t xml:space="preserve">the Benefit Sharing approach in each country. </w:t>
      </w:r>
      <w:r w:rsidR="00881CD3" w:rsidRPr="00E813B0">
        <w:t>Tracking the effects</w:t>
      </w:r>
      <w:r w:rsidR="003C4EC5">
        <w:t>,</w:t>
      </w:r>
      <w:r w:rsidR="00881CD3" w:rsidRPr="00E813B0">
        <w:t xml:space="preserve"> e.g. on IP</w:t>
      </w:r>
      <w:r w:rsidR="00FC7127" w:rsidRPr="00E813B0">
        <w:t xml:space="preserve">s </w:t>
      </w:r>
      <w:r w:rsidR="008659E9" w:rsidRPr="00E813B0">
        <w:t>and</w:t>
      </w:r>
      <w:r w:rsidR="00FC7127" w:rsidRPr="00E813B0">
        <w:t xml:space="preserve"> LCs</w:t>
      </w:r>
      <w:r w:rsidR="003C4EC5">
        <w:t>,</w:t>
      </w:r>
      <w:r w:rsidR="00FC7127" w:rsidRPr="00E813B0">
        <w:t xml:space="preserve"> with attention on wider GEDSI effects will then become critical</w:t>
      </w:r>
      <w:r w:rsidR="00310945">
        <w:t>. However,</w:t>
      </w:r>
      <w:r w:rsidR="00FC7127" w:rsidRPr="00E813B0">
        <w:t xml:space="preserve"> so far limited attention has been given to this issue</w:t>
      </w:r>
      <w:r w:rsidR="00310945">
        <w:t>,</w:t>
      </w:r>
      <w:r w:rsidR="00FC7127" w:rsidRPr="00E813B0">
        <w:t xml:space="preserve"> with the general assumption that this will be the responsibility of the </w:t>
      </w:r>
      <w:r w:rsidR="00310945">
        <w:t>FIs</w:t>
      </w:r>
      <w:r w:rsidR="00FC7127" w:rsidRPr="00E813B0">
        <w:t xml:space="preserve"> (international or national)</w:t>
      </w:r>
      <w:r w:rsidR="00B339C4" w:rsidRPr="00E813B0">
        <w:t>. There are no plans to use ICF KPI 1</w:t>
      </w:r>
      <w:r w:rsidR="00531660">
        <w:t>,</w:t>
      </w:r>
      <w:r w:rsidR="00B339C4" w:rsidRPr="00E813B0">
        <w:t xml:space="preserve"> </w:t>
      </w:r>
      <w:r w:rsidR="00CA2E86">
        <w:t>i.e. ‘people supported to better adapt to the effects of climate change’</w:t>
      </w:r>
      <w:r w:rsidR="00531660">
        <w:t>,</w:t>
      </w:r>
      <w:r w:rsidR="009C3048">
        <w:t xml:space="preserve"> even through the design </w:t>
      </w:r>
      <w:r w:rsidR="00997EE6">
        <w:t>and monitoring</w:t>
      </w:r>
      <w:r w:rsidR="009C3048">
        <w:t xml:space="preserve"> of effective Benefit Sharing Plans</w:t>
      </w:r>
      <w:r w:rsidR="009A128C">
        <w:t xml:space="preserve"> </w:t>
      </w:r>
      <w:r w:rsidR="00B339C4" w:rsidRPr="00E813B0">
        <w:t>to track direct beneficiaries</w:t>
      </w:r>
      <w:r w:rsidR="002B5197" w:rsidRPr="00E813B0">
        <w:t>.</w:t>
      </w:r>
    </w:p>
    <w:p w14:paraId="2A086671" w14:textId="5621764E" w:rsidR="00DC6224" w:rsidRPr="00E813B0" w:rsidRDefault="00DC6224" w:rsidP="00DC6224">
      <w:pPr>
        <w:rPr>
          <w:rStyle w:val="Boldtext"/>
        </w:rPr>
      </w:pPr>
      <w:r w:rsidRPr="00E813B0">
        <w:rPr>
          <w:rStyle w:val="Boldtext"/>
        </w:rPr>
        <w:t>DESNZ and Norway’s contributions to the LEAF Coalition have allowed Emergent to scale up their operations considerably, although DESNZ is now highly dependent on Emergent for ongoing management of the Coalition.</w:t>
      </w:r>
      <w:r w:rsidR="00485E50">
        <w:rPr>
          <w:rStyle w:val="FootnoteReference"/>
          <w:b/>
        </w:rPr>
        <w:footnoteReference w:id="10"/>
      </w:r>
      <w:r w:rsidRPr="00E813B0">
        <w:rPr>
          <w:rStyle w:val="Boldtext"/>
        </w:rPr>
        <w:t xml:space="preserve"> </w:t>
      </w:r>
      <w:r w:rsidRPr="00E813B0">
        <w:t xml:space="preserve">Since 2019, Emergent have expanded from </w:t>
      </w:r>
      <w:r w:rsidR="00310945">
        <w:t>five</w:t>
      </w:r>
      <w:r w:rsidRPr="00E813B0">
        <w:t xml:space="preserve"> staff and consultants to 40. The growth has allowed them to bring numerous operational functions in</w:t>
      </w:r>
      <w:r w:rsidR="00310945">
        <w:t>-</w:t>
      </w:r>
      <w:r w:rsidRPr="00E813B0">
        <w:t>house and to expand their expertise and global presence. Support from DESNZ and Norway has also enabled them to successfully undertake a due diligence and audit process to deliver ODA. However, DESNZ are now highly dependent on Emergent for their relations</w:t>
      </w:r>
      <w:r w:rsidR="00512EB7" w:rsidRPr="00E813B0">
        <w:t>hips</w:t>
      </w:r>
      <w:r w:rsidRPr="00E813B0">
        <w:t>, network</w:t>
      </w:r>
      <w:r w:rsidR="00512EB7" w:rsidRPr="00E813B0">
        <w:t>s</w:t>
      </w:r>
      <w:r w:rsidRPr="00E813B0">
        <w:t xml:space="preserve"> and expertise as the sole delivery partner. </w:t>
      </w:r>
      <w:r w:rsidR="008028EB" w:rsidRPr="00E813B0">
        <w:t>As</w:t>
      </w:r>
      <w:r w:rsidRPr="00E813B0">
        <w:t xml:space="preserve"> Emergent classify a lot of the ongoing work as commercially sensitive and/or confidential, DESNZ’s ability to monitor and offer support to the Coalition’s work</w:t>
      </w:r>
      <w:r w:rsidR="008028EB" w:rsidRPr="00E813B0">
        <w:t xml:space="preserve"> is limited to an extent</w:t>
      </w:r>
      <w:r w:rsidRPr="00E813B0">
        <w:t xml:space="preserve">. Although </w:t>
      </w:r>
      <w:r w:rsidR="00EB20A0">
        <w:t>HJ</w:t>
      </w:r>
      <w:r w:rsidR="0064234E" w:rsidRPr="00E813B0">
        <w:t>s</w:t>
      </w:r>
      <w:r w:rsidRPr="00E813B0">
        <w:t xml:space="preserve"> noted that communication with Emergent has been productive, there remains a lack of clarity on management and monitoring in the long term.</w:t>
      </w:r>
    </w:p>
    <w:p w14:paraId="1177D6B6" w14:textId="7015C9ED" w:rsidR="00CE329A" w:rsidRPr="00E813B0" w:rsidRDefault="00DC6224" w:rsidP="00CE329A">
      <w:r w:rsidRPr="00E813B0">
        <w:rPr>
          <w:rStyle w:val="Boldtext"/>
        </w:rPr>
        <w:t xml:space="preserve">The LEAF Coalition’s internal governance systems are weighted towards corporate as opposed to </w:t>
      </w:r>
      <w:r w:rsidR="00EB20A0">
        <w:rPr>
          <w:rStyle w:val="Boldtext"/>
        </w:rPr>
        <w:t>HJ</w:t>
      </w:r>
      <w:r w:rsidRPr="00E813B0">
        <w:rPr>
          <w:rStyle w:val="Boldtext"/>
        </w:rPr>
        <w:t xml:space="preserve"> needs.</w:t>
      </w:r>
      <w:r w:rsidRPr="00E813B0">
        <w:t xml:space="preserve"> There was consensus across stakeholder groups that the LEAF Coalition’s governance arrangements place greater focus on corporates as compared to </w:t>
      </w:r>
      <w:r w:rsidR="004C488C" w:rsidRPr="00E813B0">
        <w:t>HJ</w:t>
      </w:r>
      <w:r w:rsidRPr="00E813B0">
        <w:t xml:space="preserve">s. For example, </w:t>
      </w:r>
      <w:r w:rsidR="004C488C" w:rsidRPr="00E813B0">
        <w:t>HJ</w:t>
      </w:r>
      <w:r w:rsidRPr="00E813B0">
        <w:t>s are not part of the CAG</w:t>
      </w:r>
      <w:r w:rsidR="003B7055">
        <w:t>,</w:t>
      </w:r>
      <w:r w:rsidRPr="00E813B0">
        <w:t xml:space="preserve"> which stakeholders viewed as an 'exclusive buyers club'. Furthermore, the Coalition’s internal processes and strategies are largely focused on corporates, including the partnership strategy, corporate council meetings and quarterly demand strategy meetings with a counsel of </w:t>
      </w:r>
      <w:r w:rsidR="00404328" w:rsidRPr="00304197">
        <w:t>CPs</w:t>
      </w:r>
      <w:r w:rsidRPr="00E813B0">
        <w:t xml:space="preserve">. Stakeholders also noted an imbalance in ongoing monitoring and reporting on climate commitments. </w:t>
      </w:r>
      <w:r w:rsidR="00335747" w:rsidRPr="00335747">
        <w:t xml:space="preserve">A few </w:t>
      </w:r>
      <w:r w:rsidR="00404328">
        <w:t>CPs</w:t>
      </w:r>
      <w:r w:rsidR="00304197" w:rsidRPr="00335747">
        <w:t xml:space="preserve"> </w:t>
      </w:r>
      <w:r w:rsidR="00335747" w:rsidRPr="00335747">
        <w:t xml:space="preserve">are not currently fully aligned with the Science Based Targets Initiative (SBTi), and there does not seem to be a LEAF system to check and track corporate carbon accounting submissions, nor their corporate emissions reporting (see also Annex </w:t>
      </w:r>
      <w:r w:rsidR="0099619B">
        <w:t>6</w:t>
      </w:r>
      <w:r w:rsidR="00335747" w:rsidRPr="00335747">
        <w:t xml:space="preserve"> on private sector analysis).</w:t>
      </w:r>
      <w:r w:rsidR="002F0D07">
        <w:t xml:space="preserve"> </w:t>
      </w:r>
      <w:r w:rsidRPr="00E813B0">
        <w:t xml:space="preserve">On the other hand, stakeholders noted a lack of clarity around what </w:t>
      </w:r>
      <w:r w:rsidR="00C570B6" w:rsidRPr="00E813B0">
        <w:t>HJs</w:t>
      </w:r>
      <w:r w:rsidRPr="00E813B0">
        <w:t xml:space="preserve"> can negotiate in ERPAs and extensive and ongoing validation and verification efforts for </w:t>
      </w:r>
      <w:r w:rsidR="004C488C" w:rsidRPr="00E813B0">
        <w:t>HJ</w:t>
      </w:r>
      <w:r w:rsidRPr="00E813B0">
        <w:t xml:space="preserve">s. This extends to documents and guidance available to </w:t>
      </w:r>
      <w:r w:rsidR="004C488C" w:rsidRPr="00E813B0">
        <w:t>HJ</w:t>
      </w:r>
      <w:r w:rsidRPr="00E813B0">
        <w:t xml:space="preserve">s. The language used in the Coalition’s documents is highly technical and guidance and other supporting documents are often not available in local languages to </w:t>
      </w:r>
      <w:r w:rsidR="00F512CE" w:rsidRPr="00E813B0">
        <w:t>support</w:t>
      </w:r>
      <w:r w:rsidRPr="00E813B0">
        <w:t xml:space="preserve"> wider engagement.</w:t>
      </w:r>
    </w:p>
    <w:p w14:paraId="07D92382" w14:textId="7B065D1C" w:rsidR="00B709C3" w:rsidRPr="00E813B0" w:rsidRDefault="00A12A4D" w:rsidP="00B709C3">
      <w:pPr>
        <w:pStyle w:val="Heading3"/>
      </w:pPr>
      <w:bookmarkStart w:id="64" w:name="_Toc204091212"/>
      <w:bookmarkStart w:id="65" w:name="_Toc209013287"/>
      <w:r w:rsidRPr="00E813B0">
        <w:lastRenderedPageBreak/>
        <w:t>2.</w:t>
      </w:r>
      <w:r w:rsidR="00566617" w:rsidRPr="00E813B0">
        <w:t xml:space="preserve">3.2 </w:t>
      </w:r>
      <w:r w:rsidR="00B709C3" w:rsidRPr="00E813B0">
        <w:t>LEAF Transaction Architecture</w:t>
      </w:r>
      <w:bookmarkEnd w:id="64"/>
      <w:bookmarkEnd w:id="65"/>
    </w:p>
    <w:tbl>
      <w:tblPr>
        <w:tblStyle w:val="Table-DarkblueBackground"/>
        <w:tblW w:w="0" w:type="auto"/>
        <w:tblLook w:val="04A0" w:firstRow="1" w:lastRow="0" w:firstColumn="1" w:lastColumn="0" w:noHBand="0" w:noVBand="1"/>
      </w:tblPr>
      <w:tblGrid>
        <w:gridCol w:w="8505"/>
        <w:gridCol w:w="1577"/>
      </w:tblGrid>
      <w:tr w:rsidR="007F7F09" w:rsidRPr="00E813B0" w14:paraId="31B03D2C" w14:textId="77777777" w:rsidTr="00E26C3B">
        <w:trPr>
          <w:cnfStyle w:val="100000000000" w:firstRow="1" w:lastRow="0" w:firstColumn="0" w:lastColumn="0" w:oddVBand="0" w:evenVBand="0" w:oddHBand="0" w:evenHBand="0" w:firstRowFirstColumn="0" w:firstRowLastColumn="0" w:lastRowFirstColumn="0" w:lastRowLastColumn="0"/>
          <w:trHeight w:val="375"/>
        </w:trPr>
        <w:tc>
          <w:tcPr>
            <w:tcW w:w="8505" w:type="dxa"/>
          </w:tcPr>
          <w:p w14:paraId="79DB4818" w14:textId="334D94ED" w:rsidR="00EC4576" w:rsidRPr="00E813B0" w:rsidRDefault="00EC4576" w:rsidP="00EC4576">
            <w:r w:rsidRPr="00E813B0">
              <w:t>Overall finding</w:t>
            </w:r>
          </w:p>
        </w:tc>
        <w:tc>
          <w:tcPr>
            <w:tcW w:w="1577" w:type="dxa"/>
          </w:tcPr>
          <w:p w14:paraId="6C69CB7C" w14:textId="1FE3D238" w:rsidR="00EC4576" w:rsidRPr="00E813B0" w:rsidRDefault="00EC4576" w:rsidP="00EC4576">
            <w:r w:rsidRPr="00E813B0">
              <w:t>Strength of Evidence</w:t>
            </w:r>
          </w:p>
        </w:tc>
      </w:tr>
      <w:tr w:rsidR="00EC4576" w:rsidRPr="00E813B0" w14:paraId="77A6CC49" w14:textId="77777777" w:rsidTr="00E26C3B">
        <w:trPr>
          <w:trHeight w:val="19"/>
        </w:trPr>
        <w:tc>
          <w:tcPr>
            <w:tcW w:w="8505" w:type="dxa"/>
          </w:tcPr>
          <w:p w14:paraId="512794D4" w14:textId="764B7850" w:rsidR="00EC4576" w:rsidRPr="00E813B0" w:rsidRDefault="00EC4576" w:rsidP="00EC4576">
            <w:r w:rsidRPr="00E813B0">
              <w:t xml:space="preserve">The LEAF transaction architecture has led to significant delays and high transaction costs, particularly for </w:t>
            </w:r>
            <w:r w:rsidR="004C488C" w:rsidRPr="00E813B0">
              <w:t>HJ</w:t>
            </w:r>
            <w:r w:rsidR="007650C3" w:rsidRPr="00E813B0">
              <w:t>s</w:t>
            </w:r>
            <w:r w:rsidRPr="00E813B0">
              <w:t xml:space="preserve"> due to its complexity and multi-layered requirements. </w:t>
            </w:r>
            <w:r w:rsidR="004C488C" w:rsidRPr="00E813B0">
              <w:t>HJ</w:t>
            </w:r>
            <w:r w:rsidRPr="00E813B0">
              <w:t>s face a burdensome legal process, adherence to triple-layered standards</w:t>
            </w:r>
            <w:r w:rsidR="009929E8">
              <w:t xml:space="preserve"> </w:t>
            </w:r>
            <w:r w:rsidR="009929E8" w:rsidRPr="00E813B0">
              <w:t>(ART-TREES, standards in the ERPAs and validation and verification)</w:t>
            </w:r>
            <w:r w:rsidRPr="00E813B0">
              <w:t>, the negotiation of lengthy, complex ERPAs, the requirement to select, work through and pay</w:t>
            </w:r>
            <w:r w:rsidR="00C90E85">
              <w:t xml:space="preserve"> fees to</w:t>
            </w:r>
            <w:r w:rsidRPr="00E813B0">
              <w:t xml:space="preserve"> a </w:t>
            </w:r>
            <w:r w:rsidR="00556D0E" w:rsidRPr="00E813B0">
              <w:t>FI</w:t>
            </w:r>
            <w:r w:rsidRPr="00E813B0">
              <w:t xml:space="preserve">, and the development of </w:t>
            </w:r>
            <w:r w:rsidR="005B343F">
              <w:t>benefit sharing</w:t>
            </w:r>
            <w:r w:rsidRPr="00E813B0">
              <w:t xml:space="preserve"> plans based on unclear standards. Similarly, the buyer-jurisdiction pairing process has been resource-intensive, particularly for Emergent, and has disadvantaged less-</w:t>
            </w:r>
            <w:r w:rsidR="00FB0DAD">
              <w:t>advanced</w:t>
            </w:r>
            <w:r w:rsidRPr="00E813B0">
              <w:t xml:space="preserve"> jurisdictions. There also remain</w:t>
            </w:r>
            <w:r w:rsidR="00B33A93">
              <w:t>s</w:t>
            </w:r>
            <w:r w:rsidRPr="00E813B0">
              <w:t xml:space="preserve"> unresolved issues around liability and insurance. These cumulative challenges have raised frustrations </w:t>
            </w:r>
            <w:r w:rsidR="00EA579C" w:rsidRPr="00E813B0">
              <w:t>about</w:t>
            </w:r>
            <w:r w:rsidRPr="00E813B0">
              <w:t xml:space="preserve"> the timelines involved, even in jurisdictions </w:t>
            </w:r>
            <w:r w:rsidR="00EA579C" w:rsidRPr="00E813B0">
              <w:t>with</w:t>
            </w:r>
            <w:r w:rsidRPr="00E813B0">
              <w:t xml:space="preserve"> prior REDD+ experience, and concerns about the adequacy of the </w:t>
            </w:r>
            <w:r w:rsidR="00C00493">
              <w:t>$</w:t>
            </w:r>
            <w:r w:rsidR="006959B1" w:rsidRPr="00E813B0">
              <w:t>10</w:t>
            </w:r>
            <w:r w:rsidRPr="00E813B0">
              <w:t xml:space="preserve"> </w:t>
            </w:r>
            <w:r w:rsidR="00C00493" w:rsidRPr="00E813B0">
              <w:t>USD</w:t>
            </w:r>
            <w:r w:rsidR="00C00493" w:rsidRPr="00C00493">
              <w:t xml:space="preserve"> </w:t>
            </w:r>
            <w:r w:rsidR="00841A7E">
              <w:t>floor</w:t>
            </w:r>
            <w:r w:rsidR="00841A7E" w:rsidRPr="00E813B0">
              <w:t xml:space="preserve"> </w:t>
            </w:r>
            <w:r w:rsidRPr="00E813B0">
              <w:t xml:space="preserve">price, given the substantial transaction costs borne by </w:t>
            </w:r>
            <w:r w:rsidR="004C488C" w:rsidRPr="00E813B0">
              <w:t>HJ</w:t>
            </w:r>
            <w:r w:rsidRPr="00E813B0">
              <w:t>s.</w:t>
            </w:r>
            <w:r w:rsidR="00841A7E">
              <w:t xml:space="preserve"> Nevertheless, the LEAF Coalition have signed four ERPAs to date with Ghana, Costa Rica, Ecuador and </w:t>
            </w:r>
            <w:r w:rsidR="003D5275" w:rsidRPr="003D5275">
              <w:t>Pará</w:t>
            </w:r>
            <w:r w:rsidR="003D5275">
              <w:t>, Brazil.</w:t>
            </w:r>
          </w:p>
        </w:tc>
        <w:tc>
          <w:tcPr>
            <w:tcW w:w="1577" w:type="dxa"/>
          </w:tcPr>
          <w:p w14:paraId="76856CAB" w14:textId="6E3D2DFE" w:rsidR="00EC4576" w:rsidRPr="00E813B0" w:rsidRDefault="00EC4576" w:rsidP="00EC4576">
            <w:pPr>
              <w:rPr>
                <w:rStyle w:val="Boldtext"/>
              </w:rPr>
            </w:pPr>
            <w:r w:rsidRPr="00E813B0">
              <w:rPr>
                <w:rStyle w:val="Boldtext"/>
              </w:rPr>
              <w:t>High</w:t>
            </w:r>
          </w:p>
        </w:tc>
      </w:tr>
    </w:tbl>
    <w:p w14:paraId="0E8A7795" w14:textId="5F566CE3" w:rsidR="00CE329A" w:rsidRPr="00E813B0" w:rsidRDefault="00CE329A" w:rsidP="00CE329A">
      <w:r w:rsidRPr="00E813B0">
        <w:rPr>
          <w:rStyle w:val="Boldtext"/>
        </w:rPr>
        <w:t xml:space="preserve">The LEAF Coalition’s transaction architecture is highly complex and difficult to navigate for </w:t>
      </w:r>
      <w:r w:rsidR="004C488C" w:rsidRPr="00E813B0">
        <w:rPr>
          <w:rStyle w:val="Boldtext"/>
        </w:rPr>
        <w:t>HJ</w:t>
      </w:r>
      <w:r w:rsidRPr="00E813B0">
        <w:rPr>
          <w:rStyle w:val="Boldtext"/>
        </w:rPr>
        <w:t xml:space="preserve">s in particular. </w:t>
      </w:r>
      <w:r w:rsidRPr="00E813B0">
        <w:t xml:space="preserve">This finding was universal across stakeholder groups and evidenced in the 2023 and 2024 LEAF Annual Reviews and the </w:t>
      </w:r>
      <w:r w:rsidR="006959B1" w:rsidRPr="00E813B0">
        <w:t xml:space="preserve">2024 </w:t>
      </w:r>
      <w:r w:rsidRPr="00E813B0">
        <w:t xml:space="preserve">DESNZ ICF KPI Results Reporting. For example, the signing of ERPAs involves a </w:t>
      </w:r>
      <w:r w:rsidR="00AA7D1D" w:rsidRPr="00E813B0">
        <w:t>two</w:t>
      </w:r>
      <w:r w:rsidR="005B343F">
        <w:t>-</w:t>
      </w:r>
      <w:r w:rsidRPr="00E813B0">
        <w:t xml:space="preserve"> or in some cases</w:t>
      </w:r>
      <w:r w:rsidR="00705D8F" w:rsidRPr="00E813B0">
        <w:t>,</w:t>
      </w:r>
      <w:r w:rsidRPr="00E813B0">
        <w:t xml:space="preserve"> </w:t>
      </w:r>
      <w:r w:rsidR="00AA7D1D" w:rsidRPr="00E813B0">
        <w:t>three</w:t>
      </w:r>
      <w:r w:rsidR="006959B1" w:rsidRPr="00E813B0">
        <w:t>-</w:t>
      </w:r>
      <w:r w:rsidRPr="00E813B0">
        <w:t xml:space="preserve">layered legal process (national, sub-national and New York-based legislation), which has added complexity, high legal costs and perceived risk for </w:t>
      </w:r>
      <w:r w:rsidR="004C488C" w:rsidRPr="00E813B0">
        <w:t>HJ</w:t>
      </w:r>
      <w:r w:rsidRPr="00E813B0">
        <w:t>s. In addition, the triple</w:t>
      </w:r>
      <w:r w:rsidR="00AA7D1D" w:rsidRPr="00E813B0">
        <w:t>-</w:t>
      </w:r>
      <w:r w:rsidRPr="00E813B0">
        <w:t xml:space="preserve">layered standards (ART-TREES, additional standards in the ERPAs and subsequent validation and verification) </w:t>
      </w:r>
      <w:r w:rsidR="005527DD">
        <w:t>have</w:t>
      </w:r>
      <w:r w:rsidRPr="00E813B0">
        <w:t xml:space="preserve"> created a lengthy process and huge learning curve for </w:t>
      </w:r>
      <w:r w:rsidR="00703177" w:rsidRPr="00E813B0">
        <w:t>HJs</w:t>
      </w:r>
      <w:r w:rsidR="00933379">
        <w:t>,</w:t>
      </w:r>
      <w:r w:rsidRPr="00E813B0">
        <w:t xml:space="preserve"> despite many having already participated in years of REDD+ readiness programmes. </w:t>
      </w:r>
      <w:r w:rsidR="007C6378">
        <w:t>HJs noted that in several cases</w:t>
      </w:r>
      <w:r w:rsidR="005527DD">
        <w:t>,</w:t>
      </w:r>
      <w:r w:rsidR="007C6378">
        <w:t xml:space="preserve"> additional standards had been included in the ERPA</w:t>
      </w:r>
      <w:r w:rsidR="005527DD">
        <w:t>,</w:t>
      </w:r>
      <w:r w:rsidR="007C6378">
        <w:t xml:space="preserve"> e.g. on IP</w:t>
      </w:r>
      <w:r w:rsidR="001B6561">
        <w:t xml:space="preserve"> and </w:t>
      </w:r>
      <w:r w:rsidR="007C6378">
        <w:t>LC engagement</w:t>
      </w:r>
      <w:r w:rsidR="00256215">
        <w:t>.</w:t>
      </w:r>
      <w:r w:rsidR="00667A69">
        <w:t xml:space="preserve"> </w:t>
      </w:r>
      <w:r w:rsidRPr="00E813B0">
        <w:t>The ERPAs are also complex documents, designed to align with New York legislation</w:t>
      </w:r>
      <w:r w:rsidR="002B72E5">
        <w:t xml:space="preserve"> (</w:t>
      </w:r>
      <w:r w:rsidR="00285611">
        <w:t>as Emergent are registered in New York)</w:t>
      </w:r>
      <w:r w:rsidRPr="00E813B0">
        <w:t xml:space="preserve">, and are far longer than other ERPAs that </w:t>
      </w:r>
      <w:r w:rsidR="004C488C" w:rsidRPr="00E813B0">
        <w:t>HJ</w:t>
      </w:r>
      <w:r w:rsidRPr="00E813B0">
        <w:t>s have previously negotiated</w:t>
      </w:r>
      <w:r w:rsidR="00EF713C">
        <w:t>,</w:t>
      </w:r>
      <w:r w:rsidRPr="00E813B0">
        <w:t xml:space="preserve"> such as for the World Bank FCPF.</w:t>
      </w:r>
      <w:r w:rsidR="0097748E">
        <w:t xml:space="preserve"> Nevertheless, the LEAF Coalition have signed four ERPAs to date with Ghana, Costa Rica, Ecuador and </w:t>
      </w:r>
      <w:r w:rsidR="0097748E" w:rsidRPr="003D5275">
        <w:t>Pará</w:t>
      </w:r>
      <w:r w:rsidR="0097748E">
        <w:t>, Brazil.</w:t>
      </w:r>
    </w:p>
    <w:p w14:paraId="711A3C75" w14:textId="59F826E8" w:rsidR="00CE329A" w:rsidRPr="00E813B0" w:rsidRDefault="00CE329A" w:rsidP="00CE329A">
      <w:r w:rsidRPr="00E813B0">
        <w:rPr>
          <w:rStyle w:val="Boldtext"/>
        </w:rPr>
        <w:t xml:space="preserve">The pairing of </w:t>
      </w:r>
      <w:r w:rsidR="004C488C" w:rsidRPr="00E813B0">
        <w:rPr>
          <w:rStyle w:val="Boldtext"/>
        </w:rPr>
        <w:t>HJ</w:t>
      </w:r>
      <w:r w:rsidRPr="00E813B0">
        <w:rPr>
          <w:rStyle w:val="Boldtext"/>
        </w:rPr>
        <w:t>s and corporate buyers has been a time and resource intensive process and allows corporates to 'cherry pick' jurisdictions</w:t>
      </w:r>
      <w:r w:rsidRPr="00E813B0">
        <w:t xml:space="preserve">. There was consensus across the stakeholder groups and documentary evidence on this finding, with Emergent in particular bearing the transaction costs of brokering bilateral agreements between </w:t>
      </w:r>
      <w:r w:rsidR="004C488C" w:rsidRPr="00E813B0">
        <w:t>HJ</w:t>
      </w:r>
      <w:r w:rsidRPr="00E813B0">
        <w:t xml:space="preserve">s and corporates. The process has also led to several </w:t>
      </w:r>
      <w:r w:rsidR="004C488C" w:rsidRPr="00E813B0">
        <w:t>HJ</w:t>
      </w:r>
      <w:r w:rsidR="004F28AE" w:rsidRPr="00E813B0">
        <w:t>s</w:t>
      </w:r>
      <w:r w:rsidRPr="00E813B0">
        <w:t xml:space="preserve"> (particularly those in </w:t>
      </w:r>
      <w:r w:rsidR="002327DB" w:rsidRPr="00E813B0">
        <w:t xml:space="preserve">less </w:t>
      </w:r>
      <w:r w:rsidR="005A7389">
        <w:t>advanced</w:t>
      </w:r>
      <w:r w:rsidR="002327DB" w:rsidRPr="00E813B0">
        <w:t xml:space="preserve"> c</w:t>
      </w:r>
      <w:r w:rsidRPr="00E813B0">
        <w:t xml:space="preserve">ontexts) receiving poor corporate demand. </w:t>
      </w:r>
      <w:r w:rsidR="00F74196">
        <w:t xml:space="preserve">Some CPs noted a clear preference for HJs to align with their geographical footprints. </w:t>
      </w:r>
      <w:r w:rsidRPr="00E813B0">
        <w:t xml:space="preserve">Potential alternatives suggested </w:t>
      </w:r>
      <w:r w:rsidR="00177735">
        <w:t>include</w:t>
      </w:r>
      <w:r w:rsidRPr="00E813B0">
        <w:t xml:space="preserve"> a portfolio approach or a managed fund whereby Emergent </w:t>
      </w:r>
      <w:r w:rsidR="00177735">
        <w:t>operates</w:t>
      </w:r>
      <w:r w:rsidRPr="00E813B0">
        <w:t xml:space="preserve"> as a portfolio manager, ensuring more even demand across </w:t>
      </w:r>
      <w:r w:rsidR="004C488C" w:rsidRPr="00E813B0">
        <w:t>HJ</w:t>
      </w:r>
      <w:r w:rsidRPr="00E813B0">
        <w:t>s and streamlining the corporate engagement process.</w:t>
      </w:r>
    </w:p>
    <w:p w14:paraId="168E5097" w14:textId="68CF738D" w:rsidR="00CE329A" w:rsidRPr="00E813B0" w:rsidRDefault="00CE329A" w:rsidP="00CE329A">
      <w:r w:rsidRPr="00E813B0">
        <w:rPr>
          <w:rStyle w:val="Boldtext"/>
        </w:rPr>
        <w:lastRenderedPageBreak/>
        <w:t xml:space="preserve">Although </w:t>
      </w:r>
      <w:r w:rsidR="00177735">
        <w:rPr>
          <w:rStyle w:val="Boldtext"/>
        </w:rPr>
        <w:t xml:space="preserve">the </w:t>
      </w:r>
      <w:r w:rsidRPr="00E813B0">
        <w:rPr>
          <w:rStyle w:val="Boldtext"/>
        </w:rPr>
        <w:t xml:space="preserve">benefits </w:t>
      </w:r>
      <w:r w:rsidR="00144BC1">
        <w:rPr>
          <w:rStyle w:val="Boldtext"/>
        </w:rPr>
        <w:t xml:space="preserve">to </w:t>
      </w:r>
      <w:r w:rsidR="004E20D2">
        <w:rPr>
          <w:rStyle w:val="Boldtext"/>
        </w:rPr>
        <w:t>HJs</w:t>
      </w:r>
      <w:r w:rsidR="00144BC1">
        <w:rPr>
          <w:rStyle w:val="Boldtext"/>
        </w:rPr>
        <w:t xml:space="preserve"> </w:t>
      </w:r>
      <w:r w:rsidR="00575805" w:rsidRPr="00E813B0">
        <w:rPr>
          <w:rStyle w:val="Boldtext"/>
        </w:rPr>
        <w:t>are</w:t>
      </w:r>
      <w:r w:rsidRPr="00E813B0">
        <w:rPr>
          <w:rStyle w:val="Boldtext"/>
        </w:rPr>
        <w:t xml:space="preserve"> yet </w:t>
      </w:r>
      <w:r w:rsidR="00575805" w:rsidRPr="00E813B0">
        <w:rPr>
          <w:rStyle w:val="Boldtext"/>
        </w:rPr>
        <w:t>to be</w:t>
      </w:r>
      <w:r w:rsidRPr="00E813B0">
        <w:rPr>
          <w:rStyle w:val="Boldtext"/>
        </w:rPr>
        <w:t xml:space="preserve"> shared due to the lack of </w:t>
      </w:r>
      <w:r w:rsidR="004A1F50">
        <w:rPr>
          <w:rStyle w:val="Boldtext"/>
        </w:rPr>
        <w:t xml:space="preserve">issuance and subsequent </w:t>
      </w:r>
      <w:r w:rsidRPr="00E813B0">
        <w:rPr>
          <w:rStyle w:val="Boldtext"/>
        </w:rPr>
        <w:t xml:space="preserve">transactions, the process for benefit sharing is vague. </w:t>
      </w:r>
      <w:r w:rsidRPr="00E813B0">
        <w:t xml:space="preserve">This is largely attributed to the lack of clear standards in ART TREES on transparency, </w:t>
      </w:r>
      <w:r w:rsidR="00177735">
        <w:t>third-party</w:t>
      </w:r>
      <w:r w:rsidRPr="00E813B0">
        <w:t xml:space="preserve"> audit, civil society engagement, complaints procedures and intended percentages of proceeds for local community development and forest management (as similar forest protection programmes such as </w:t>
      </w:r>
      <w:hyperlink r:id="rId58" w:history="1">
        <w:r w:rsidR="000B6F32" w:rsidRPr="00285611">
          <w:rPr>
            <w:rStyle w:val="Hyperlink"/>
          </w:rPr>
          <w:t>Tropical Forests Forever Facility</w:t>
        </w:r>
      </w:hyperlink>
      <w:r w:rsidRPr="00E813B0">
        <w:t xml:space="preserve"> are implementing). Therefore, LEAF’s requirements for a benefit sharing plan are open to interpretation. Although this does allow for </w:t>
      </w:r>
      <w:r w:rsidR="004C488C" w:rsidRPr="00E813B0">
        <w:t>HJ</w:t>
      </w:r>
      <w:r w:rsidRPr="00E813B0">
        <w:t>s to adapt plans to existing systems and their context, it does leave open the possibility of groups such as IP</w:t>
      </w:r>
      <w:r w:rsidR="00BE226B" w:rsidRPr="00E813B0">
        <w:t xml:space="preserve"> and </w:t>
      </w:r>
      <w:r w:rsidRPr="00E813B0">
        <w:t>LCs being excluded from the process and proceeds.</w:t>
      </w:r>
    </w:p>
    <w:p w14:paraId="6CB65C89" w14:textId="674966D1" w:rsidR="00CE329A" w:rsidRPr="00E813B0" w:rsidRDefault="00CE329A" w:rsidP="00CE329A">
      <w:r w:rsidRPr="00E813B0">
        <w:rPr>
          <w:rStyle w:val="Boldtext"/>
        </w:rPr>
        <w:t xml:space="preserve">The development of </w:t>
      </w:r>
      <w:r w:rsidR="007E3630">
        <w:rPr>
          <w:rStyle w:val="Boldtext"/>
        </w:rPr>
        <w:t>B</w:t>
      </w:r>
      <w:r w:rsidRPr="00E813B0">
        <w:rPr>
          <w:rStyle w:val="Boldtext"/>
        </w:rPr>
        <w:t xml:space="preserve">enefit </w:t>
      </w:r>
      <w:r w:rsidR="007E3630">
        <w:rPr>
          <w:rStyle w:val="Boldtext"/>
        </w:rPr>
        <w:t>S</w:t>
      </w:r>
      <w:r w:rsidRPr="00E813B0">
        <w:rPr>
          <w:rStyle w:val="Boldtext"/>
        </w:rPr>
        <w:t xml:space="preserve">haring </w:t>
      </w:r>
      <w:r w:rsidR="007E3630">
        <w:rPr>
          <w:rStyle w:val="Boldtext"/>
        </w:rPr>
        <w:t>P</w:t>
      </w:r>
      <w:r w:rsidRPr="00E813B0">
        <w:rPr>
          <w:rStyle w:val="Boldtext"/>
        </w:rPr>
        <w:t xml:space="preserve">lans is </w:t>
      </w:r>
      <w:r w:rsidR="00575805" w:rsidRPr="00E813B0">
        <w:rPr>
          <w:rStyle w:val="Boldtext"/>
        </w:rPr>
        <w:t>complex</w:t>
      </w:r>
      <w:r w:rsidRPr="00E813B0">
        <w:rPr>
          <w:rStyle w:val="Boldtext"/>
        </w:rPr>
        <w:t xml:space="preserve">, time-consuming and requires </w:t>
      </w:r>
      <w:r w:rsidR="00575805" w:rsidRPr="00E813B0">
        <w:rPr>
          <w:rStyle w:val="Boldtext"/>
        </w:rPr>
        <w:t xml:space="preserve">early and </w:t>
      </w:r>
      <w:r w:rsidRPr="00E813B0">
        <w:rPr>
          <w:rStyle w:val="Boldtext"/>
        </w:rPr>
        <w:t xml:space="preserve">significant investment on the part of </w:t>
      </w:r>
      <w:r w:rsidR="004C488C" w:rsidRPr="00E813B0">
        <w:rPr>
          <w:rStyle w:val="Boldtext"/>
        </w:rPr>
        <w:t>HJ</w:t>
      </w:r>
      <w:r w:rsidRPr="00E813B0">
        <w:rPr>
          <w:rStyle w:val="Boldtext"/>
        </w:rPr>
        <w:t xml:space="preserve">s. </w:t>
      </w:r>
      <w:r w:rsidRPr="00E813B0">
        <w:t xml:space="preserve">The development of the plans has involved challenges including consultations in remote regions, translation into local languages and </w:t>
      </w:r>
      <w:r w:rsidR="005673C1">
        <w:t>one-to-one</w:t>
      </w:r>
      <w:r w:rsidRPr="00E813B0">
        <w:t xml:space="preserve"> consultation with private owners. </w:t>
      </w:r>
      <w:r w:rsidR="004C488C" w:rsidRPr="00E813B0">
        <w:t>HJ</w:t>
      </w:r>
      <w:r w:rsidRPr="00E813B0">
        <w:t>s also have vastly different starting points</w:t>
      </w:r>
      <w:r w:rsidR="00547AAC" w:rsidRPr="00E813B0">
        <w:t>.</w:t>
      </w:r>
      <w:r w:rsidRPr="00E813B0">
        <w:t xml:space="preserve"> Several have well-established benefit sharing processes from previous ERPAs (mostly FCPF)</w:t>
      </w:r>
      <w:r w:rsidR="005673C1">
        <w:t>,</w:t>
      </w:r>
      <w:r w:rsidRPr="00E813B0">
        <w:t xml:space="preserve"> e.g. Costa Rica</w:t>
      </w:r>
      <w:r w:rsidR="00023FDE" w:rsidRPr="00E813B0">
        <w:t xml:space="preserve"> and</w:t>
      </w:r>
      <w:r w:rsidRPr="00E813B0">
        <w:t xml:space="preserve"> Ghana, whereas others have much more limited experience. Even existing benefit sharing plans have required revisions which has led to delays in several cases. Stakeholders pointed towards the importance of beginning the plan development process early on in LEAF engagement to avoid lengthy delays in the distribution of proceeds. </w:t>
      </w:r>
      <w:r w:rsidR="004C488C" w:rsidRPr="00E813B0">
        <w:t>HJ</w:t>
      </w:r>
      <w:r w:rsidRPr="00E813B0">
        <w:t xml:space="preserve">s also note the need to manage expectations of communities following consultations, particularly given the lengthy timescale involved in completing transactions and the eventual sharing of benefits. </w:t>
      </w:r>
      <w:r w:rsidR="004C488C" w:rsidRPr="00E813B0">
        <w:t>HJ</w:t>
      </w:r>
      <w:r w:rsidRPr="00E813B0">
        <w:t xml:space="preserve">s were also clear that project management capacity </w:t>
      </w:r>
      <w:r w:rsidR="00B77D2F" w:rsidRPr="00E813B0">
        <w:t xml:space="preserve">at community levels </w:t>
      </w:r>
      <w:r w:rsidR="00667A6E">
        <w:t>needs</w:t>
      </w:r>
      <w:r w:rsidRPr="00E813B0">
        <w:t xml:space="preserve"> to be considered alongside </w:t>
      </w:r>
      <w:r w:rsidR="00667A6E">
        <w:t xml:space="preserve">the </w:t>
      </w:r>
      <w:r w:rsidRPr="00E813B0">
        <w:t>transfer of funds to IP</w:t>
      </w:r>
      <w:r w:rsidR="0006154F" w:rsidRPr="00E813B0">
        <w:t xml:space="preserve"> and </w:t>
      </w:r>
      <w:r w:rsidRPr="00E813B0">
        <w:t>LCs.</w:t>
      </w:r>
      <w:r w:rsidR="00193CAE">
        <w:t xml:space="preserve"> </w:t>
      </w:r>
      <w:r w:rsidR="00193CAE" w:rsidRPr="004D2C58">
        <w:t xml:space="preserve">It is not clear exactly how </w:t>
      </w:r>
      <w:r w:rsidR="007F00FA">
        <w:t xml:space="preserve">the effectiveness of </w:t>
      </w:r>
      <w:r w:rsidR="007E3630">
        <w:t>B</w:t>
      </w:r>
      <w:r w:rsidR="00E479A5" w:rsidRPr="004D2C58">
        <w:t xml:space="preserve">enefit </w:t>
      </w:r>
      <w:r w:rsidR="007E3630">
        <w:t>S</w:t>
      </w:r>
      <w:r w:rsidR="00E479A5" w:rsidRPr="004D2C58">
        <w:t>haring Plan</w:t>
      </w:r>
      <w:r w:rsidR="00193CAE" w:rsidRPr="004D2C58">
        <w:t>s</w:t>
      </w:r>
      <w:r w:rsidR="00376A9E">
        <w:t>’</w:t>
      </w:r>
      <w:r w:rsidR="00193CAE" w:rsidRPr="004D2C58">
        <w:t xml:space="preserve"> will be monitored, and how this could affect the future integrity of the TREES standard and the ERPAs.</w:t>
      </w:r>
    </w:p>
    <w:p w14:paraId="2B08F001" w14:textId="1DDA0ABC" w:rsidR="00CE329A" w:rsidRPr="00E813B0" w:rsidRDefault="00CE329A" w:rsidP="00CE329A">
      <w:r w:rsidRPr="00E813B0">
        <w:rPr>
          <w:rStyle w:val="Boldtext"/>
        </w:rPr>
        <w:t>The requirement for a financial intermediary</w:t>
      </w:r>
      <w:r w:rsidR="007E3630">
        <w:rPr>
          <w:rStyle w:val="Boldtext"/>
        </w:rPr>
        <w:t xml:space="preserve"> (FI)</w:t>
      </w:r>
      <w:r w:rsidRPr="00E813B0">
        <w:rPr>
          <w:rStyle w:val="Boldtext"/>
        </w:rPr>
        <w:t xml:space="preserve"> has been an</w:t>
      </w:r>
      <w:r w:rsidR="00A02D99" w:rsidRPr="00E813B0">
        <w:rPr>
          <w:rStyle w:val="Boldtext"/>
        </w:rPr>
        <w:t xml:space="preserve"> area of contention</w:t>
      </w:r>
      <w:r w:rsidRPr="00E813B0">
        <w:rPr>
          <w:rStyle w:val="Boldtext"/>
        </w:rPr>
        <w:t xml:space="preserve"> due to the </w:t>
      </w:r>
      <w:r w:rsidR="00713F00" w:rsidRPr="00E813B0">
        <w:rPr>
          <w:rStyle w:val="Boldtext"/>
        </w:rPr>
        <w:t>preference</w:t>
      </w:r>
      <w:r w:rsidRPr="00E813B0">
        <w:rPr>
          <w:rStyle w:val="Boldtext"/>
        </w:rPr>
        <w:t xml:space="preserve"> of many </w:t>
      </w:r>
      <w:r w:rsidR="004C488C" w:rsidRPr="00E813B0">
        <w:rPr>
          <w:rStyle w:val="Boldtext"/>
        </w:rPr>
        <w:t>HJ</w:t>
      </w:r>
      <w:r w:rsidRPr="00E813B0">
        <w:rPr>
          <w:rStyle w:val="Boldtext"/>
        </w:rPr>
        <w:t xml:space="preserve">s to use their own established national systems </w:t>
      </w:r>
      <w:r w:rsidR="00646215" w:rsidRPr="00E813B0">
        <w:rPr>
          <w:rStyle w:val="Boldtext"/>
        </w:rPr>
        <w:t xml:space="preserve">- with </w:t>
      </w:r>
      <w:r w:rsidRPr="00E813B0">
        <w:rPr>
          <w:rStyle w:val="Boldtext"/>
        </w:rPr>
        <w:t>concerns around the fees involved</w:t>
      </w:r>
      <w:r w:rsidR="000B39E9">
        <w:rPr>
          <w:rStyle w:val="Boldtext"/>
        </w:rPr>
        <w:t xml:space="preserve"> for international organisations</w:t>
      </w:r>
      <w:r w:rsidRPr="005513BF">
        <w:rPr>
          <w:rStyle w:val="Boldtext"/>
        </w:rPr>
        <w:t>.</w:t>
      </w:r>
      <w:r w:rsidRPr="00E813B0">
        <w:rPr>
          <w:rStyle w:val="Boldtext"/>
        </w:rPr>
        <w:t xml:space="preserve"> </w:t>
      </w:r>
      <w:r w:rsidR="00225573">
        <w:t xml:space="preserve">Initially, </w:t>
      </w:r>
      <w:r w:rsidR="006C2940">
        <w:t>LEAF required</w:t>
      </w:r>
      <w:r w:rsidR="00091F73">
        <w:t xml:space="preserve"> </w:t>
      </w:r>
      <w:r w:rsidR="00460426">
        <w:t>that</w:t>
      </w:r>
      <w:r w:rsidR="00091F73">
        <w:t xml:space="preserve"> funds from credit sales</w:t>
      </w:r>
      <w:r w:rsidR="00460426">
        <w:t xml:space="preserve"> were managed</w:t>
      </w:r>
      <w:r w:rsidR="00091F73">
        <w:t xml:space="preserve"> through </w:t>
      </w:r>
      <w:r w:rsidR="00460426">
        <w:t>GCF-accredited</w:t>
      </w:r>
      <w:r w:rsidR="00091F73">
        <w:t xml:space="preserve"> entities, due to concerns regarding corruption and other perceived risks. However,</w:t>
      </w:r>
      <w:r w:rsidR="00225573">
        <w:t xml:space="preserve"> </w:t>
      </w:r>
      <w:r w:rsidR="00091F73">
        <w:t>m</w:t>
      </w:r>
      <w:r w:rsidRPr="00E813B0">
        <w:t xml:space="preserve">ultiple </w:t>
      </w:r>
      <w:r w:rsidR="004C488C" w:rsidRPr="00E813B0">
        <w:t>HJ</w:t>
      </w:r>
      <w:r w:rsidRPr="00E813B0">
        <w:t xml:space="preserve">s, particularly those considered more REDD+ 'ready', wish to use established national systems to maintain greater control of fund management. It should be noted that Emergent did create a policy in 2023 on </w:t>
      </w:r>
      <w:r w:rsidR="00460426">
        <w:t xml:space="preserve">the </w:t>
      </w:r>
      <w:r w:rsidRPr="00E813B0">
        <w:t xml:space="preserve">selection of </w:t>
      </w:r>
      <w:r w:rsidR="00460426">
        <w:t>non-GCF-accredited</w:t>
      </w:r>
      <w:r w:rsidRPr="00E813B0">
        <w:t xml:space="preserve"> F</w:t>
      </w:r>
      <w:r w:rsidR="007E3630">
        <w:t>I</w:t>
      </w:r>
      <w:r w:rsidRPr="00E813B0">
        <w:t>s</w:t>
      </w:r>
      <w:r w:rsidR="00460426">
        <w:t>. N</w:t>
      </w:r>
      <w:r w:rsidR="00EE335D" w:rsidRPr="00E813B0">
        <w:t>evertheless</w:t>
      </w:r>
      <w:r w:rsidR="00460426">
        <w:t>,</w:t>
      </w:r>
      <w:r w:rsidR="00EE335D" w:rsidRPr="00E813B0">
        <w:t xml:space="preserve"> </w:t>
      </w:r>
      <w:r w:rsidRPr="00E813B0">
        <w:t>it remain</w:t>
      </w:r>
      <w:r w:rsidR="00EE335D" w:rsidRPr="00E813B0">
        <w:t>s</w:t>
      </w:r>
      <w:r w:rsidRPr="00E813B0">
        <w:t xml:space="preserve"> a key concern for </w:t>
      </w:r>
      <w:r w:rsidR="004C488C" w:rsidRPr="00E813B0">
        <w:t>HJ</w:t>
      </w:r>
      <w:r w:rsidRPr="00E813B0">
        <w:t xml:space="preserve">s. The costs involved in using a GCF-accredited </w:t>
      </w:r>
      <w:r w:rsidR="00CB1667" w:rsidRPr="00E813B0">
        <w:t>FI</w:t>
      </w:r>
      <w:r w:rsidRPr="00E813B0">
        <w:t xml:space="preserve"> can be considerable, although the UK has offered active support in lowering these fees in several cases. Furthermore, the monitoring of the benefit sharing and associated risk management is tasked to </w:t>
      </w:r>
      <w:r w:rsidR="004D703A" w:rsidRPr="00E813B0">
        <w:t>FIs</w:t>
      </w:r>
      <w:r w:rsidR="00460426">
        <w:t>,</w:t>
      </w:r>
      <w:r w:rsidRPr="00E813B0">
        <w:t xml:space="preserve"> which creates reliance on a system for which it may be hard to quantify/determine what 'good' looks like</w:t>
      </w:r>
      <w:r w:rsidR="00460426">
        <w:t>,</w:t>
      </w:r>
      <w:r w:rsidRPr="00E813B0">
        <w:t xml:space="preserve"> e.g. the extent to which IP</w:t>
      </w:r>
      <w:r w:rsidR="006D6DBE">
        <w:t xml:space="preserve"> and </w:t>
      </w:r>
      <w:r w:rsidRPr="00E813B0">
        <w:t>LCs are meaningfully involved</w:t>
      </w:r>
      <w:r w:rsidR="00AE0A0E">
        <w:t>, particularly as ART</w:t>
      </w:r>
      <w:r w:rsidR="00E92FBD">
        <w:t xml:space="preserve"> TREES</w:t>
      </w:r>
      <w:r w:rsidR="00FD67EB">
        <w:t xml:space="preserve"> and LEAF</w:t>
      </w:r>
      <w:r w:rsidR="00AE0A0E">
        <w:t xml:space="preserve"> do not define minimum standards </w:t>
      </w:r>
      <w:r w:rsidR="00342D05">
        <w:t>for benefit sharing</w:t>
      </w:r>
      <w:r w:rsidRPr="00E813B0">
        <w:t>.</w:t>
      </w:r>
      <w:r w:rsidR="00E0122B">
        <w:t xml:space="preserve"> </w:t>
      </w:r>
    </w:p>
    <w:p w14:paraId="10EC1023" w14:textId="7D1675BC" w:rsidR="00CE329A" w:rsidRPr="00E813B0" w:rsidRDefault="00CE329A" w:rsidP="00CE329A">
      <w:r w:rsidRPr="00E813B0">
        <w:rPr>
          <w:rStyle w:val="Boldtext"/>
        </w:rPr>
        <w:t>Although internal stakeholders are confident in the due diligence, dispute settlement and liability clauses, the evaluation revealed that external stakeholders find these processes unclear</w:t>
      </w:r>
      <w:r w:rsidR="00460426">
        <w:rPr>
          <w:rStyle w:val="Boldtext"/>
        </w:rPr>
        <w:t>,</w:t>
      </w:r>
      <w:r w:rsidRPr="00E813B0">
        <w:rPr>
          <w:rStyle w:val="Boldtext"/>
        </w:rPr>
        <w:t xml:space="preserve"> with notable gaps including insurance arrangements.</w:t>
      </w:r>
      <w:r w:rsidRPr="00E813B0">
        <w:t xml:space="preserve"> </w:t>
      </w:r>
      <w:r w:rsidRPr="00E813B0">
        <w:rPr>
          <w:lang w:eastAsia="en-GB"/>
        </w:rPr>
        <w:t xml:space="preserve">Internal LEAF stakeholders consider buyer due diligence robust, with </w:t>
      </w:r>
      <w:r w:rsidR="00BB5A57">
        <w:t>few</w:t>
      </w:r>
      <w:r w:rsidR="00BB5A57" w:rsidRPr="00E813B0">
        <w:rPr>
          <w:lang w:eastAsia="en-GB"/>
        </w:rPr>
        <w:t xml:space="preserve"> </w:t>
      </w:r>
      <w:r w:rsidRPr="00E813B0">
        <w:rPr>
          <w:lang w:eastAsia="en-GB"/>
        </w:rPr>
        <w:t xml:space="preserve">instances of corporate withdrawal to date, and </w:t>
      </w:r>
      <w:r w:rsidRPr="00E813B0">
        <w:t xml:space="preserve">the existence of </w:t>
      </w:r>
      <w:r w:rsidRPr="00E813B0">
        <w:rPr>
          <w:lang w:eastAsia="en-GB"/>
        </w:rPr>
        <w:t>mechanisms to enforce rights and obligations</w:t>
      </w:r>
      <w:r w:rsidRPr="00E813B0">
        <w:t xml:space="preserve"> to buy</w:t>
      </w:r>
      <w:r w:rsidRPr="00E813B0">
        <w:rPr>
          <w:lang w:eastAsia="en-GB"/>
        </w:rPr>
        <w:t xml:space="preserve"> or remove </w:t>
      </w:r>
      <w:r w:rsidRPr="00E813B0">
        <w:rPr>
          <w:lang w:eastAsia="en-GB"/>
        </w:rPr>
        <w:lastRenderedPageBreak/>
        <w:t xml:space="preserve">corporates from the </w:t>
      </w:r>
      <w:r w:rsidR="00853AE4" w:rsidRPr="00E813B0">
        <w:rPr>
          <w:lang w:eastAsia="en-GB"/>
        </w:rPr>
        <w:t>coalition</w:t>
      </w:r>
      <w:r w:rsidR="00853AE4" w:rsidRPr="00E813B0">
        <w:t>,</w:t>
      </w:r>
      <w:r w:rsidR="000F2CCF" w:rsidRPr="00E813B0">
        <w:t xml:space="preserve"> </w:t>
      </w:r>
      <w:r w:rsidRPr="00E813B0">
        <w:rPr>
          <w:lang w:eastAsia="en-GB"/>
        </w:rPr>
        <w:t>though these are not legally binding. Emergent highlighted that dispute resolution is embedded in contract terms, beginning with informal negotiation</w:t>
      </w:r>
      <w:r w:rsidR="00460426">
        <w:rPr>
          <w:lang w:eastAsia="en-GB"/>
        </w:rPr>
        <w:t>,</w:t>
      </w:r>
      <w:r w:rsidRPr="00E813B0">
        <w:rPr>
          <w:lang w:eastAsia="en-GB"/>
        </w:rPr>
        <w:t xml:space="preserve"> followed by arbitration</w:t>
      </w:r>
      <w:r w:rsidR="001E130C" w:rsidRPr="00E813B0">
        <w:t>.</w:t>
      </w:r>
      <w:r w:rsidRPr="00E813B0">
        <w:rPr>
          <w:lang w:eastAsia="en-GB"/>
        </w:rPr>
        <w:t xml:space="preserve"> </w:t>
      </w:r>
      <w:r w:rsidR="001E130C" w:rsidRPr="00E813B0">
        <w:t>H</w:t>
      </w:r>
      <w:r w:rsidRPr="00E813B0">
        <w:rPr>
          <w:lang w:eastAsia="en-GB"/>
        </w:rPr>
        <w:t>owever, some stakeholders noted the absence of a clear forum</w:t>
      </w:r>
      <w:r w:rsidR="001E130C" w:rsidRPr="00E813B0">
        <w:t>,</w:t>
      </w:r>
      <w:r w:rsidRPr="00E813B0">
        <w:t xml:space="preserve"> </w:t>
      </w:r>
      <w:r w:rsidRPr="00E813B0">
        <w:rPr>
          <w:lang w:eastAsia="en-GB"/>
        </w:rPr>
        <w:t>formal or informal</w:t>
      </w:r>
      <w:r w:rsidR="001E130C" w:rsidRPr="00E813B0">
        <w:t>,</w:t>
      </w:r>
      <w:r w:rsidRPr="00E813B0">
        <w:t xml:space="preserve"> </w:t>
      </w:r>
      <w:r w:rsidRPr="00E813B0">
        <w:rPr>
          <w:lang w:eastAsia="en-GB"/>
        </w:rPr>
        <w:t xml:space="preserve">for resolving disputes among </w:t>
      </w:r>
      <w:r w:rsidR="004C488C" w:rsidRPr="00E813B0">
        <w:rPr>
          <w:lang w:eastAsia="en-GB"/>
        </w:rPr>
        <w:t>HJ</w:t>
      </w:r>
      <w:r w:rsidRPr="00E813B0">
        <w:rPr>
          <w:lang w:eastAsia="en-GB"/>
        </w:rPr>
        <w:t xml:space="preserve">s, </w:t>
      </w:r>
      <w:r w:rsidR="001E130C" w:rsidRPr="00E813B0">
        <w:t>FIs</w:t>
      </w:r>
      <w:r w:rsidRPr="00E813B0">
        <w:rPr>
          <w:lang w:eastAsia="en-GB"/>
        </w:rPr>
        <w:t xml:space="preserve">, Emergent and </w:t>
      </w:r>
      <w:r w:rsidR="004A0DA1" w:rsidRPr="00E813B0">
        <w:t>c</w:t>
      </w:r>
      <w:r w:rsidRPr="00E813B0">
        <w:rPr>
          <w:lang w:eastAsia="en-GB"/>
        </w:rPr>
        <w:t xml:space="preserve">orporate </w:t>
      </w:r>
      <w:r w:rsidR="004A0DA1" w:rsidRPr="00E813B0">
        <w:t>b</w:t>
      </w:r>
      <w:r w:rsidRPr="00E813B0">
        <w:rPr>
          <w:lang w:eastAsia="en-GB"/>
        </w:rPr>
        <w:t xml:space="preserve">uyers. Additionally, liability clauses remain ambiguous, </w:t>
      </w:r>
      <w:r w:rsidR="00D450F4" w:rsidRPr="00E813B0">
        <w:t>for example</w:t>
      </w:r>
      <w:r w:rsidR="00460426">
        <w:t>,</w:t>
      </w:r>
      <w:r w:rsidRPr="00E813B0">
        <w:rPr>
          <w:lang w:eastAsia="en-GB"/>
        </w:rPr>
        <w:t xml:space="preserve"> in scenarios involving deforestation, fires, or illegal mining</w:t>
      </w:r>
      <w:r w:rsidRPr="00E813B0">
        <w:t>.</w:t>
      </w:r>
      <w:r w:rsidRPr="00E813B0">
        <w:rPr>
          <w:lang w:eastAsia="en-GB"/>
        </w:rPr>
        <w:t xml:space="preserve"> </w:t>
      </w:r>
      <w:r w:rsidRPr="00E813B0">
        <w:t>C</w:t>
      </w:r>
      <w:r w:rsidRPr="00E813B0">
        <w:rPr>
          <w:lang w:eastAsia="en-GB"/>
        </w:rPr>
        <w:t xml:space="preserve">oncerns about corruption and reputational risks </w:t>
      </w:r>
      <w:r w:rsidRPr="00E813B0">
        <w:t>also remain key issues for</w:t>
      </w:r>
      <w:r w:rsidRPr="00E813B0">
        <w:rPr>
          <w:lang w:eastAsia="en-GB"/>
        </w:rPr>
        <w:t xml:space="preserve"> corporate buyers.</w:t>
      </w:r>
    </w:p>
    <w:p w14:paraId="4FE9541E" w14:textId="531C2D37" w:rsidR="00B709C3" w:rsidRPr="00E813B0" w:rsidRDefault="00CE329A" w:rsidP="00CE329A">
      <w:r w:rsidRPr="00E813B0">
        <w:rPr>
          <w:rStyle w:val="Boldtext"/>
        </w:rPr>
        <w:t xml:space="preserve">The complexity of the architecture, as detailed above, has entailed numerous transaction costs, particularly for </w:t>
      </w:r>
      <w:r w:rsidR="004C488C" w:rsidRPr="00E813B0">
        <w:rPr>
          <w:rStyle w:val="Boldtext"/>
        </w:rPr>
        <w:t>HJ</w:t>
      </w:r>
      <w:r w:rsidRPr="00E813B0">
        <w:rPr>
          <w:rStyle w:val="Boldtext"/>
        </w:rPr>
        <w:t xml:space="preserve">s. </w:t>
      </w:r>
      <w:r w:rsidRPr="00E813B0">
        <w:t xml:space="preserve">The costs include </w:t>
      </w:r>
      <w:r w:rsidR="004A0DA1" w:rsidRPr="00E813B0">
        <w:t>FI</w:t>
      </w:r>
      <w:r w:rsidRPr="00E813B0">
        <w:t xml:space="preserve"> fees, New York legal fees, ART membership and transaction costs of numerous meetings and engagement in the lead up to signing of LEAF ERPAs. The UK and partners have been active in supporting </w:t>
      </w:r>
      <w:r w:rsidR="004C488C" w:rsidRPr="00E813B0">
        <w:t>HJ</w:t>
      </w:r>
      <w:r w:rsidRPr="00E813B0">
        <w:t xml:space="preserve">s to remove and/or lower these fees, but the process remains resource intensive for </w:t>
      </w:r>
      <w:r w:rsidR="004C488C" w:rsidRPr="00E813B0">
        <w:t>HJ</w:t>
      </w:r>
      <w:r w:rsidRPr="00E813B0">
        <w:t>s. Due to the transaction costs, stakeholders have questioned the suitability of the $10 USD base price and have noted that the original timeline was highly optimistic.</w:t>
      </w:r>
    </w:p>
    <w:p w14:paraId="4A8ECC9A" w14:textId="2CC4744F" w:rsidR="00B709C3" w:rsidRPr="00E813B0" w:rsidRDefault="00A12A4D" w:rsidP="00B709C3">
      <w:pPr>
        <w:pStyle w:val="Heading3"/>
      </w:pPr>
      <w:bookmarkStart w:id="66" w:name="_Toc204091213"/>
      <w:bookmarkStart w:id="67" w:name="_Toc209013288"/>
      <w:r w:rsidRPr="00E813B0">
        <w:t>2.</w:t>
      </w:r>
      <w:r w:rsidR="00566617" w:rsidRPr="00E813B0">
        <w:t xml:space="preserve">3.3 </w:t>
      </w:r>
      <w:r w:rsidR="00B709C3" w:rsidRPr="00E813B0">
        <w:t>LEAF Delivery</w:t>
      </w:r>
      <w:bookmarkEnd w:id="66"/>
      <w:bookmarkEnd w:id="67"/>
    </w:p>
    <w:tbl>
      <w:tblPr>
        <w:tblStyle w:val="Table-DarkblueBackground"/>
        <w:tblW w:w="0" w:type="auto"/>
        <w:tblLook w:val="04A0" w:firstRow="1" w:lastRow="0" w:firstColumn="1" w:lastColumn="0" w:noHBand="0" w:noVBand="1"/>
      </w:tblPr>
      <w:tblGrid>
        <w:gridCol w:w="8505"/>
        <w:gridCol w:w="1577"/>
      </w:tblGrid>
      <w:tr w:rsidR="007F7F09" w:rsidRPr="00E813B0" w14:paraId="31779F97" w14:textId="77777777" w:rsidTr="00E26C3B">
        <w:trPr>
          <w:cnfStyle w:val="100000000000" w:firstRow="1" w:lastRow="0" w:firstColumn="0" w:lastColumn="0" w:oddVBand="0" w:evenVBand="0" w:oddHBand="0" w:evenHBand="0" w:firstRowFirstColumn="0" w:firstRowLastColumn="0" w:lastRowFirstColumn="0" w:lastRowLastColumn="0"/>
          <w:trHeight w:val="375"/>
        </w:trPr>
        <w:tc>
          <w:tcPr>
            <w:tcW w:w="8505" w:type="dxa"/>
          </w:tcPr>
          <w:p w14:paraId="54F80993" w14:textId="77777777" w:rsidR="00193ED4" w:rsidRPr="00E813B0" w:rsidRDefault="00193ED4" w:rsidP="00193ED4">
            <w:r w:rsidRPr="00E813B0">
              <w:t>Overall finding</w:t>
            </w:r>
          </w:p>
        </w:tc>
        <w:tc>
          <w:tcPr>
            <w:tcW w:w="1577" w:type="dxa"/>
          </w:tcPr>
          <w:p w14:paraId="4A942C63" w14:textId="77777777" w:rsidR="00193ED4" w:rsidRPr="00E813B0" w:rsidRDefault="00193ED4" w:rsidP="00193ED4">
            <w:r w:rsidRPr="00E813B0">
              <w:t>Strength of Evidence</w:t>
            </w:r>
          </w:p>
        </w:tc>
      </w:tr>
      <w:tr w:rsidR="00193ED4" w:rsidRPr="00E813B0" w14:paraId="74EF7592" w14:textId="77777777" w:rsidTr="00E26C3B">
        <w:trPr>
          <w:trHeight w:val="19"/>
        </w:trPr>
        <w:tc>
          <w:tcPr>
            <w:tcW w:w="8505" w:type="dxa"/>
          </w:tcPr>
          <w:p w14:paraId="55324496" w14:textId="02DBBA73" w:rsidR="00193ED4" w:rsidRPr="00E813B0" w:rsidRDefault="00ED7204" w:rsidP="00193ED4">
            <w:r w:rsidRPr="00E813B0">
              <w:t xml:space="preserve">The UK and Norway’s </w:t>
            </w:r>
            <w:r w:rsidR="00460426">
              <w:t>roles</w:t>
            </w:r>
            <w:r w:rsidRPr="00E813B0">
              <w:t xml:space="preserve"> have been critical to the LEAF Coalition</w:t>
            </w:r>
            <w:r w:rsidR="00460426">
              <w:t>,</w:t>
            </w:r>
            <w:r w:rsidRPr="00E813B0">
              <w:t xml:space="preserve"> although their diplomatic networks and expertise could be </w:t>
            </w:r>
            <w:r w:rsidR="006D13B1" w:rsidRPr="00E813B0">
              <w:t>utilised further</w:t>
            </w:r>
            <w:r w:rsidRPr="00E813B0">
              <w:t xml:space="preserve">. There are several examples of where UK-funded TA has supported improved capacity, but </w:t>
            </w:r>
            <w:r w:rsidR="007D46E7" w:rsidRPr="00E813B0">
              <w:t>TA</w:t>
            </w:r>
            <w:r w:rsidRPr="00E813B0">
              <w:t xml:space="preserve"> provision is fragmented and limited </w:t>
            </w:r>
            <w:r w:rsidR="004C488C" w:rsidRPr="00E813B0">
              <w:t>HJ</w:t>
            </w:r>
            <w:r w:rsidRPr="00E813B0">
              <w:t xml:space="preserve"> capacity remains </w:t>
            </w:r>
            <w:r w:rsidR="000E53E2" w:rsidRPr="00E813B0">
              <w:t>one of</w:t>
            </w:r>
            <w:r w:rsidRPr="00E813B0">
              <w:t xml:space="preserve"> the key </w:t>
            </w:r>
            <w:r w:rsidR="000E53E2" w:rsidRPr="00E813B0">
              <w:t>factors</w:t>
            </w:r>
            <w:r w:rsidRPr="00E813B0">
              <w:t xml:space="preserve"> affecting LEAF’s performance. </w:t>
            </w:r>
            <w:r w:rsidR="002458DA" w:rsidRPr="00E813B0">
              <w:t>These capacity challenges include</w:t>
            </w:r>
            <w:r w:rsidRPr="00E813B0">
              <w:t xml:space="preserve"> under-resourced ministries, staff turnover and </w:t>
            </w:r>
            <w:r w:rsidR="00B973E9" w:rsidRPr="00E813B0">
              <w:t xml:space="preserve">difficulties in </w:t>
            </w:r>
            <w:r w:rsidR="00835106" w:rsidRPr="00E813B0">
              <w:t>funding the</w:t>
            </w:r>
            <w:r w:rsidRPr="00E813B0">
              <w:t xml:space="preserve"> upfront investments </w:t>
            </w:r>
            <w:r w:rsidR="00835106" w:rsidRPr="00E813B0">
              <w:t>required for LEAF preparation</w:t>
            </w:r>
            <w:r w:rsidRPr="00E813B0">
              <w:t xml:space="preserve">. The VCM downturn, driven by political shifts, media scrutiny, and reduced corporate enthusiasm, has also impacted LEAF, though its communications and sovereign donor derisking have helped maintain credibility. While LEAF has not yet finalised transactions, causing reputational issues and continued reliance on ODA, stakeholders believe the first 2025 transactions could catalyse broader engagement and ensure sustainability of the model. </w:t>
            </w:r>
            <w:r w:rsidR="0071058A">
              <w:t xml:space="preserve">If the LEAF Coalition can reach the stage of finalising transactions, </w:t>
            </w:r>
            <w:r w:rsidR="00536457">
              <w:t>it</w:t>
            </w:r>
            <w:r w:rsidR="0071058A">
              <w:t xml:space="preserve"> </w:t>
            </w:r>
            <w:r w:rsidR="00536457">
              <w:t>has</w:t>
            </w:r>
            <w:r w:rsidR="0071058A">
              <w:t xml:space="preserve"> achieved a pipeline of </w:t>
            </w:r>
            <w:r w:rsidR="00C47BD7">
              <w:t xml:space="preserve">26 corporate buyers and 16 host jurisdictions. </w:t>
            </w:r>
            <w:r w:rsidRPr="00E813B0">
              <w:t xml:space="preserve">However, the slow progress, lack of financing to date, and pricing concerns have led some jurisdictions to explore alternatives. Stakeholders call for differentiated </w:t>
            </w:r>
            <w:r w:rsidR="00947F8D">
              <w:t>routes</w:t>
            </w:r>
            <w:r w:rsidR="00AE6FF5">
              <w:t xml:space="preserve"> to access LEAF </w:t>
            </w:r>
            <w:r w:rsidRPr="00E813B0">
              <w:t xml:space="preserve">for countries at varying readiness levels and better price discovery, though there are early signs of demand and </w:t>
            </w:r>
            <w:r w:rsidR="001D55C3">
              <w:t xml:space="preserve">willingness </w:t>
            </w:r>
            <w:r w:rsidR="004F247C">
              <w:t>amongst corporates to pay</w:t>
            </w:r>
            <w:r w:rsidR="001D55C3" w:rsidRPr="00E813B0">
              <w:t xml:space="preserve"> </w:t>
            </w:r>
            <w:r w:rsidRPr="00E813B0">
              <w:t>higher prices.</w:t>
            </w:r>
          </w:p>
        </w:tc>
        <w:tc>
          <w:tcPr>
            <w:tcW w:w="1577" w:type="dxa"/>
          </w:tcPr>
          <w:p w14:paraId="047E1B71" w14:textId="47F2D4CC" w:rsidR="00193ED4" w:rsidRPr="00E813B0" w:rsidRDefault="00193ED4" w:rsidP="00193ED4">
            <w:pPr>
              <w:rPr>
                <w:rStyle w:val="Boldtext"/>
              </w:rPr>
            </w:pPr>
            <w:r w:rsidRPr="00E813B0">
              <w:rPr>
                <w:rStyle w:val="Boldtext"/>
              </w:rPr>
              <w:t>High</w:t>
            </w:r>
          </w:p>
        </w:tc>
      </w:tr>
    </w:tbl>
    <w:p w14:paraId="3059D2E9" w14:textId="511F676B" w:rsidR="00340CB5" w:rsidRPr="00E813B0" w:rsidRDefault="009D13B9" w:rsidP="009D13B9">
      <w:r w:rsidRPr="00E813B0">
        <w:rPr>
          <w:rStyle w:val="Boldtext"/>
        </w:rPr>
        <w:t>The UK government's role, alongside Norway</w:t>
      </w:r>
      <w:r w:rsidR="00112BBF">
        <w:rPr>
          <w:rStyle w:val="Boldtext"/>
        </w:rPr>
        <w:t xml:space="preserve"> and the US</w:t>
      </w:r>
      <w:r w:rsidRPr="00E813B0">
        <w:rPr>
          <w:rStyle w:val="Boldtext"/>
        </w:rPr>
        <w:t>, has been critical to the LEAF Coalition’s functioning in terms of political and financial backing.</w:t>
      </w:r>
      <w:r w:rsidRPr="00E813B0">
        <w:t xml:space="preserve"> The UK’s funding alongside Norway has covered more or less all operational costs</w:t>
      </w:r>
      <w:r w:rsidR="00536457">
        <w:t>,</w:t>
      </w:r>
      <w:r w:rsidRPr="00E813B0">
        <w:t xml:space="preserve"> and the </w:t>
      </w:r>
      <w:r w:rsidR="00B1024F" w:rsidRPr="00E813B0">
        <w:t xml:space="preserve">involvement of the </w:t>
      </w:r>
      <w:r w:rsidR="00B1024F" w:rsidRPr="00E813B0">
        <w:lastRenderedPageBreak/>
        <w:t xml:space="preserve">UK and Norwegian </w:t>
      </w:r>
      <w:r w:rsidR="00536457">
        <w:t>governments</w:t>
      </w:r>
      <w:r w:rsidR="00B1024F" w:rsidRPr="00E813B0">
        <w:t xml:space="preserve"> has played a key role in securing corporate buyers. </w:t>
      </w:r>
      <w:r w:rsidRPr="00E813B0">
        <w:t>Examples include the UK's underwriting of the Ghana ERPA</w:t>
      </w:r>
      <w:r w:rsidR="00536457">
        <w:t>,</w:t>
      </w:r>
      <w:r w:rsidRPr="00E813B0">
        <w:t xml:space="preserve"> which was seen as essential, and FCDO in-post staff have provided support on language and other requirements related to the negotiation of ERPAs to several </w:t>
      </w:r>
      <w:r w:rsidR="004C488C" w:rsidRPr="00E813B0">
        <w:t>HJ</w:t>
      </w:r>
      <w:r w:rsidRPr="00E813B0">
        <w:t>s.</w:t>
      </w:r>
    </w:p>
    <w:p w14:paraId="46D1A5E9" w14:textId="7134FCCF" w:rsidR="009D13B9" w:rsidRPr="00E813B0" w:rsidRDefault="009D13B9" w:rsidP="009D13B9">
      <w:r w:rsidRPr="00E813B0">
        <w:rPr>
          <w:rStyle w:val="Boldtext"/>
        </w:rPr>
        <w:t xml:space="preserve">However, </w:t>
      </w:r>
      <w:r w:rsidR="00BE083C" w:rsidRPr="00E813B0">
        <w:rPr>
          <w:rStyle w:val="Boldtext"/>
        </w:rPr>
        <w:t>there is room for improvement on how the UK Government share</w:t>
      </w:r>
      <w:r w:rsidR="0088086A">
        <w:rPr>
          <w:rStyle w:val="Boldtext"/>
        </w:rPr>
        <w:t>s</w:t>
      </w:r>
      <w:r w:rsidR="00BE083C" w:rsidRPr="00E813B0">
        <w:rPr>
          <w:rStyle w:val="Boldtext"/>
        </w:rPr>
        <w:t xml:space="preserve"> information and </w:t>
      </w:r>
      <w:r w:rsidR="00292BF9">
        <w:rPr>
          <w:rStyle w:val="Boldtext"/>
        </w:rPr>
        <w:t>seeks</w:t>
      </w:r>
      <w:r w:rsidR="00BE083C" w:rsidRPr="00E813B0">
        <w:rPr>
          <w:rStyle w:val="Boldtext"/>
        </w:rPr>
        <w:t xml:space="preserve"> support across the UK Government network -</w:t>
      </w:r>
      <w:r w:rsidRPr="00E813B0">
        <w:rPr>
          <w:rStyle w:val="Boldtext"/>
        </w:rPr>
        <w:t xml:space="preserve"> particularly FCDO and in-country posts</w:t>
      </w:r>
      <w:r w:rsidRPr="00E813B0">
        <w:t>. LEAF has not drawn on the UK’s diplomatic network to the extent possible.</w:t>
      </w:r>
      <w:r w:rsidR="00264E01">
        <w:t xml:space="preserve"> </w:t>
      </w:r>
      <w:r w:rsidR="00264E01" w:rsidRPr="00264E01">
        <w:t xml:space="preserve">UK Government staff </w:t>
      </w:r>
      <w:r w:rsidR="00292BF9">
        <w:t>felt</w:t>
      </w:r>
      <w:r w:rsidR="00264E01" w:rsidRPr="00264E01">
        <w:t xml:space="preserve"> that Emergent could have been more </w:t>
      </w:r>
      <w:r w:rsidR="00292BF9">
        <w:t>proactive</w:t>
      </w:r>
      <w:r w:rsidR="00264E01" w:rsidRPr="00264E01">
        <w:t xml:space="preserve"> in seeking diplomatic support</w:t>
      </w:r>
      <w:r w:rsidR="00264E01">
        <w:t xml:space="preserve"> </w:t>
      </w:r>
      <w:r w:rsidR="00130CF6">
        <w:t>in preparation for</w:t>
      </w:r>
      <w:r w:rsidR="00FA108A">
        <w:t xml:space="preserve"> the ERPA negotiation process</w:t>
      </w:r>
      <w:r w:rsidR="00264E01" w:rsidRPr="00264E01">
        <w:t>.</w:t>
      </w:r>
      <w:r w:rsidRPr="00E813B0">
        <w:t xml:space="preserve"> In addition, many FCDO staff were not aware of the latest </w:t>
      </w:r>
      <w:r w:rsidR="00B66C09">
        <w:t xml:space="preserve">LEAF </w:t>
      </w:r>
      <w:r w:rsidRPr="00E813B0">
        <w:t xml:space="preserve">developments and therefore couldn’t offer support on an ad-hoc basis. Stakeholders felt that Emergent could have been more </w:t>
      </w:r>
      <w:r w:rsidR="00292BF9">
        <w:t>proactive</w:t>
      </w:r>
      <w:r w:rsidRPr="00E813B0">
        <w:t xml:space="preserve"> in seeking the UK and Norway’s diplomatic support when engaging with </w:t>
      </w:r>
      <w:r w:rsidR="004C488C" w:rsidRPr="00E813B0">
        <w:t>HJ</w:t>
      </w:r>
      <w:r w:rsidRPr="00E813B0">
        <w:t>s. This finding was common across almost all FCDO in-country staff interviewed.</w:t>
      </w:r>
    </w:p>
    <w:p w14:paraId="7109CD79" w14:textId="53F26D98" w:rsidR="00746F77" w:rsidRDefault="009D13B9" w:rsidP="009D13B9">
      <w:r w:rsidRPr="00E813B0">
        <w:rPr>
          <w:rStyle w:val="Boldtext"/>
        </w:rPr>
        <w:t xml:space="preserve">In terms of the UK-funded TA, there are several examples of where UK-funded TA has supported improved capacity, but the provision of TA is fragmented, and </w:t>
      </w:r>
      <w:r w:rsidR="00B418FF" w:rsidRPr="00E813B0">
        <w:rPr>
          <w:rStyle w:val="Boldtext"/>
        </w:rPr>
        <w:t>HJ</w:t>
      </w:r>
      <w:r w:rsidRPr="00E813B0">
        <w:rPr>
          <w:rStyle w:val="Boldtext"/>
        </w:rPr>
        <w:t xml:space="preserve"> </w:t>
      </w:r>
      <w:r w:rsidR="00292BF9">
        <w:rPr>
          <w:rStyle w:val="Boldtext"/>
        </w:rPr>
        <w:t>capacity-building</w:t>
      </w:r>
      <w:r w:rsidRPr="00E813B0">
        <w:rPr>
          <w:rStyle w:val="Boldtext"/>
        </w:rPr>
        <w:t xml:space="preserve"> requirements are ongoing.</w:t>
      </w:r>
      <w:r w:rsidRPr="00E813B0">
        <w:t xml:space="preserve"> </w:t>
      </w:r>
      <w:r w:rsidR="00A04D29" w:rsidRPr="000303CC">
        <w:t xml:space="preserve">TA (Ricardo with Winrock / CLP) and </w:t>
      </w:r>
      <w:r w:rsidR="00F51E9E">
        <w:t>UN-REDD</w:t>
      </w:r>
      <w:r w:rsidR="00A04D29" w:rsidRPr="000303CC">
        <w:t xml:space="preserve">) has been fundamental in achieving a number of host jurisdiction ERPAs and enabling </w:t>
      </w:r>
      <w:r w:rsidR="00B6198F">
        <w:t xml:space="preserve">the </w:t>
      </w:r>
      <w:r w:rsidR="00A04D29" w:rsidRPr="000303CC">
        <w:t xml:space="preserve">TREES standard to be achieved. They have also been critical in supporting the preparation of necessary policies for </w:t>
      </w:r>
      <w:r w:rsidR="00B6198F">
        <w:t xml:space="preserve">the </w:t>
      </w:r>
      <w:r w:rsidR="00A04D29" w:rsidRPr="000303CC">
        <w:t>implementation of carbon credit sales, safeguards and MRV approaches.</w:t>
      </w:r>
      <w:r w:rsidR="00A04D29">
        <w:t xml:space="preserve"> </w:t>
      </w:r>
      <w:r w:rsidRPr="00E813B0">
        <w:t>Examples of improved capacity include in Costa Rica, which was supported to improve safeguards, or in Vietnam</w:t>
      </w:r>
      <w:r w:rsidR="00B6198F">
        <w:t>,</w:t>
      </w:r>
      <w:r w:rsidRPr="00E813B0">
        <w:t xml:space="preserve"> where implementation of a gender policy and guidelines was supported. </w:t>
      </w:r>
    </w:p>
    <w:p w14:paraId="73D6C631" w14:textId="77ED08CF" w:rsidR="009D13B9" w:rsidRPr="00E813B0" w:rsidRDefault="009D13B9" w:rsidP="009D13B9">
      <w:r w:rsidRPr="00E813B0">
        <w:t xml:space="preserve">However, there was consensus </w:t>
      </w:r>
      <w:r w:rsidR="005326AE" w:rsidRPr="00E813B0">
        <w:t>amongst interviewees</w:t>
      </w:r>
      <w:r w:rsidRPr="00E813B0">
        <w:t xml:space="preserve"> that the provision of TA is fragmented. Despite the one-year scoping exercise </w:t>
      </w:r>
      <w:r w:rsidR="000261DB" w:rsidRPr="00E813B0">
        <w:t>(in a two</w:t>
      </w:r>
      <w:r w:rsidR="004D144E" w:rsidRPr="00E813B0">
        <w:t>-</w:t>
      </w:r>
      <w:r w:rsidR="000261DB" w:rsidRPr="00E813B0">
        <w:t xml:space="preserve">year contract) </w:t>
      </w:r>
      <w:r w:rsidRPr="00E813B0">
        <w:t xml:space="preserve">undertaken by the Ricardo consortium to map existing TA for </w:t>
      </w:r>
      <w:r w:rsidR="004C488C" w:rsidRPr="00E813B0">
        <w:t>HJ</w:t>
      </w:r>
      <w:r w:rsidRPr="00E813B0">
        <w:t xml:space="preserve">s and their current needs, there was strong consensus that the TA, funded by the UK and managed by Ricardo, has actually been somewhat of a bottleneck for </w:t>
      </w:r>
      <w:r w:rsidR="004C488C" w:rsidRPr="00E813B0">
        <w:t>HJ</w:t>
      </w:r>
      <w:r w:rsidRPr="00E813B0">
        <w:t>s</w:t>
      </w:r>
      <w:r w:rsidR="00B6198F">
        <w:t>,</w:t>
      </w:r>
      <w:r w:rsidRPr="00E813B0">
        <w:t xml:space="preserve"> which often don't have the capacity to identify and manage multiple providers. In several cases, the coordination of TA has become a job in itself and </w:t>
      </w:r>
      <w:r w:rsidR="004C488C" w:rsidRPr="00E813B0">
        <w:t>HJ</w:t>
      </w:r>
      <w:r w:rsidRPr="00E813B0">
        <w:t xml:space="preserve">s have </w:t>
      </w:r>
      <w:r w:rsidR="00F07783" w:rsidRPr="00E813B0">
        <w:t>requested</w:t>
      </w:r>
      <w:r w:rsidRPr="00E813B0">
        <w:t xml:space="preserve"> </w:t>
      </w:r>
      <w:r w:rsidR="00290507">
        <w:t xml:space="preserve">external </w:t>
      </w:r>
      <w:r w:rsidRPr="00E813B0">
        <w:t xml:space="preserve">support in managing the range of providers. Stakeholders also noted that TA requirements are ongoing. </w:t>
      </w:r>
      <w:r w:rsidR="000261DB" w:rsidRPr="00E813B0">
        <w:t xml:space="preserve">TA has released specific bottlenecks but </w:t>
      </w:r>
      <w:r w:rsidR="00E243D2">
        <w:t xml:space="preserve">it </w:t>
      </w:r>
      <w:r w:rsidR="000261DB" w:rsidRPr="00E813B0">
        <w:t xml:space="preserve">does not serve to improve </w:t>
      </w:r>
      <w:r w:rsidR="004C488C" w:rsidRPr="00E813B0">
        <w:t>HJ</w:t>
      </w:r>
      <w:r w:rsidRPr="00E813B0">
        <w:t xml:space="preserve"> capacity </w:t>
      </w:r>
      <w:r w:rsidR="00E243D2">
        <w:t>sustainably</w:t>
      </w:r>
      <w:r w:rsidR="000261DB" w:rsidRPr="00E813B0">
        <w:t xml:space="preserve">. </w:t>
      </w:r>
      <w:r w:rsidRPr="00E813B0">
        <w:t>TA is most effective where capacity is embedded</w:t>
      </w:r>
      <w:r w:rsidR="000261DB" w:rsidRPr="00E813B0">
        <w:t xml:space="preserve"> and support offered over a longer timeframe</w:t>
      </w:r>
      <w:r w:rsidRPr="00E813B0">
        <w:t>, as opposed to the use of consultants</w:t>
      </w:r>
      <w:r w:rsidR="000261DB" w:rsidRPr="00E813B0">
        <w:t xml:space="preserve"> over short periods of time</w:t>
      </w:r>
      <w:r w:rsidR="003565F8">
        <w:t xml:space="preserve">, noting that </w:t>
      </w:r>
      <w:r w:rsidR="004541AC">
        <w:t xml:space="preserve">there may still be requirements for very specific TA support </w:t>
      </w:r>
      <w:r w:rsidR="00366569">
        <w:t>related to LEAF</w:t>
      </w:r>
      <w:r w:rsidRPr="00E813B0">
        <w:t xml:space="preserve">. </w:t>
      </w:r>
      <w:r w:rsidR="000261DB" w:rsidRPr="00E813B0">
        <w:t>In contrast</w:t>
      </w:r>
      <w:r w:rsidR="00A62767">
        <w:t>,</w:t>
      </w:r>
      <w:r w:rsidR="000261DB" w:rsidRPr="00E813B0">
        <w:t xml:space="preserve"> </w:t>
      </w:r>
      <w:r w:rsidRPr="00E813B0">
        <w:t xml:space="preserve">UN-REDD TA was valued due to the relationships and trust developed owing to their in-country presence and focus on building </w:t>
      </w:r>
      <w:r w:rsidR="00E243D2">
        <w:t>long-term</w:t>
      </w:r>
      <w:r w:rsidRPr="00E813B0">
        <w:t xml:space="preserve"> capacity.</w:t>
      </w:r>
    </w:p>
    <w:p w14:paraId="117E2AE2" w14:textId="2F439AF3" w:rsidR="009D13B9" w:rsidRPr="00E813B0" w:rsidRDefault="009B3166" w:rsidP="009D13B9">
      <w:r w:rsidRPr="00E813B0">
        <w:rPr>
          <w:rStyle w:val="Boldtext"/>
        </w:rPr>
        <w:t>Despite</w:t>
      </w:r>
      <w:r w:rsidR="009D13B9" w:rsidRPr="00E813B0">
        <w:rPr>
          <w:rStyle w:val="Boldtext"/>
        </w:rPr>
        <w:t xml:space="preserve"> the TA provided, </w:t>
      </w:r>
      <w:r w:rsidR="00A62767">
        <w:rPr>
          <w:rStyle w:val="Boldtext"/>
        </w:rPr>
        <w:t>HJ</w:t>
      </w:r>
      <w:r w:rsidR="009D13B9" w:rsidRPr="00E813B0">
        <w:rPr>
          <w:rStyle w:val="Boldtext"/>
        </w:rPr>
        <w:t xml:space="preserve"> capacity remains the most pressing contextual factor contributing to LEAF performance.</w:t>
      </w:r>
      <w:r w:rsidR="009D13B9" w:rsidRPr="00E813B0">
        <w:t xml:space="preserve"> This is especially the case given the number of standards </w:t>
      </w:r>
      <w:r w:rsidR="004C488C" w:rsidRPr="00E813B0">
        <w:t>HJ</w:t>
      </w:r>
      <w:r w:rsidR="009D13B9" w:rsidRPr="00E813B0">
        <w:t xml:space="preserve">s are required to meet, the need for state-private sector negotiation, and the shift to jurisdictional REDD and </w:t>
      </w:r>
      <w:r w:rsidR="00960989">
        <w:t>national-level</w:t>
      </w:r>
      <w:r w:rsidR="009D13B9" w:rsidRPr="00E813B0">
        <w:t xml:space="preserve"> safeguards for some </w:t>
      </w:r>
      <w:r w:rsidR="004C488C" w:rsidRPr="00E813B0">
        <w:t>HJ</w:t>
      </w:r>
      <w:r w:rsidR="009D13B9" w:rsidRPr="00E813B0">
        <w:t xml:space="preserve">s. Prior engagement with FCPF and REDD+ readiness programmes seems to be the single most important contextual factor in </w:t>
      </w:r>
      <w:r w:rsidR="004C488C" w:rsidRPr="00E813B0">
        <w:t>HJ</w:t>
      </w:r>
      <w:r w:rsidR="009D13B9" w:rsidRPr="00E813B0">
        <w:t xml:space="preserve">'s progress towards LEAF transactions. Prior knowledge of requirements and ERPA documents </w:t>
      </w:r>
      <w:r w:rsidR="009537D1" w:rsidRPr="00E813B0">
        <w:t xml:space="preserve">is </w:t>
      </w:r>
      <w:r w:rsidR="009D13B9" w:rsidRPr="00E813B0">
        <w:t>a huge asset</w:t>
      </w:r>
      <w:r w:rsidR="00960989">
        <w:t>,</w:t>
      </w:r>
      <w:r w:rsidR="009D13B9" w:rsidRPr="00E813B0">
        <w:t xml:space="preserve"> although there has been some frustration that this prior work has </w:t>
      </w:r>
      <w:r w:rsidR="009D13B9" w:rsidRPr="00E813B0">
        <w:lastRenderedPageBreak/>
        <w:t xml:space="preserve">not </w:t>
      </w:r>
      <w:r w:rsidR="0077106D" w:rsidRPr="00E813B0">
        <w:t xml:space="preserve">directly transferred to a fast or smooth experience with </w:t>
      </w:r>
      <w:r w:rsidR="009D13B9" w:rsidRPr="00E813B0">
        <w:t>LEAF.</w:t>
      </w:r>
      <w:r w:rsidR="00F361E5" w:rsidRPr="00F361E5">
        <w:t xml:space="preserve"> </w:t>
      </w:r>
      <w:r w:rsidR="00F361E5">
        <w:t xml:space="preserve">FCPF deploys an </w:t>
      </w:r>
      <w:r>
        <w:t>ODA-style</w:t>
      </w:r>
      <w:r w:rsidR="00F361E5">
        <w:t xml:space="preserve"> approach whereas LEAF adopts a commercial </w:t>
      </w:r>
      <w:r w:rsidR="00404328">
        <w:t>approach,</w:t>
      </w:r>
      <w:r w:rsidR="00F361E5">
        <w:t xml:space="preserve"> </w:t>
      </w:r>
      <w:r w:rsidR="0079683A">
        <w:t>and</w:t>
      </w:r>
      <w:r w:rsidR="00F361E5">
        <w:t xml:space="preserve"> most stakeholders were unaware of what that different approach would mean in practice. </w:t>
      </w:r>
      <w:r w:rsidR="009D13B9" w:rsidRPr="00E813B0">
        <w:t xml:space="preserve"> The </w:t>
      </w:r>
      <w:r w:rsidR="004C488C" w:rsidRPr="00E813B0">
        <w:t>HJ</w:t>
      </w:r>
      <w:r w:rsidR="009D13B9" w:rsidRPr="00E813B0">
        <w:t xml:space="preserve">s engaged in LEAF also have a range of unique capacity challenges including sub-national capacity, management of the negotiations by forest or environmental ministries or offices that have low resourcing and/or capacity, and government/ministry turnover worsened by the length of time required for agreements. In addition, </w:t>
      </w:r>
      <w:r w:rsidR="004C488C" w:rsidRPr="00E813B0">
        <w:t>HJ</w:t>
      </w:r>
      <w:r w:rsidR="00161CD3" w:rsidRPr="00E813B0">
        <w:t>s</w:t>
      </w:r>
      <w:r w:rsidR="009D13B9" w:rsidRPr="00E813B0">
        <w:t xml:space="preserve"> (and FIs) have had to make large investments prior to payments to meet the </w:t>
      </w:r>
      <w:r w:rsidR="00174221" w:rsidRPr="00E813B0">
        <w:t xml:space="preserve">LEAF </w:t>
      </w:r>
      <w:r w:rsidR="009D13B9" w:rsidRPr="00E813B0">
        <w:t>standards</w:t>
      </w:r>
      <w:r>
        <w:t>,</w:t>
      </w:r>
      <w:r w:rsidR="009D13B9" w:rsidRPr="00E813B0">
        <w:t xml:space="preserve"> which has been a challenge</w:t>
      </w:r>
      <w:r>
        <w:t>,</w:t>
      </w:r>
      <w:r w:rsidR="009D13B9" w:rsidRPr="00E813B0">
        <w:t xml:space="preserve"> particularly for those not supported by donors during this period. Stakeholders noted that in previous programmes e.g. FCPF, </w:t>
      </w:r>
      <w:r>
        <w:t>the</w:t>
      </w:r>
      <w:r w:rsidR="009D13B9" w:rsidRPr="00E813B0">
        <w:t xml:space="preserve"> World Bank had offered 'soft loans' to support </w:t>
      </w:r>
      <w:r w:rsidR="004C488C" w:rsidRPr="00E813B0">
        <w:t>HJ</w:t>
      </w:r>
      <w:r w:rsidR="009D13B9" w:rsidRPr="00E813B0">
        <w:t xml:space="preserve">s to fund their preparation costs. </w:t>
      </w:r>
      <w:r w:rsidR="004C488C" w:rsidRPr="00E813B0">
        <w:t>HJ</w:t>
      </w:r>
      <w:r w:rsidR="009D13B9" w:rsidRPr="00E813B0">
        <w:t xml:space="preserve"> procurement processes have added further complexity to the process e.g. for FI selection.</w:t>
      </w:r>
    </w:p>
    <w:p w14:paraId="303FD4ED" w14:textId="4F9C3032" w:rsidR="009D13B9" w:rsidRPr="00E813B0" w:rsidRDefault="009D13B9" w:rsidP="009D13B9">
      <w:r w:rsidRPr="00E813B0">
        <w:rPr>
          <w:rStyle w:val="Boldtext"/>
        </w:rPr>
        <w:t xml:space="preserve">In terms of </w:t>
      </w:r>
      <w:r w:rsidR="009B3166">
        <w:rPr>
          <w:rStyle w:val="Boldtext"/>
        </w:rPr>
        <w:t xml:space="preserve">the </w:t>
      </w:r>
      <w:r w:rsidRPr="00E813B0">
        <w:rPr>
          <w:rStyle w:val="Boldtext"/>
        </w:rPr>
        <w:t>wider context, the LEAF Coalition has also been impacted by a general downturn in the VCM, although it was noted that the impact has been minimal to date.</w:t>
      </w:r>
      <w:r w:rsidRPr="00E813B0">
        <w:t xml:space="preserve"> Stakeholder interviews and key literature highlight that the VCM has taken a general downturn and political and corporate buy in has fallen due to political agendas (e.g. reduced US interest as a key donor), media and civil society scrutiny of carbon credits, and less corporate 'fanfare' around LEAF in response to reduced regulatory pressure (See Annex</w:t>
      </w:r>
      <w:r w:rsidR="007B6E47">
        <w:t xml:space="preserve">es 5 and </w:t>
      </w:r>
      <w:r w:rsidR="0099619B">
        <w:t>6</w:t>
      </w:r>
      <w:r w:rsidRPr="00E813B0">
        <w:t xml:space="preserve"> for further details). In addition, several </w:t>
      </w:r>
      <w:r w:rsidR="004C488C" w:rsidRPr="00E813B0">
        <w:t>HJ</w:t>
      </w:r>
      <w:r w:rsidRPr="00E813B0">
        <w:t xml:space="preserve">s have turned to alternatives in response to concerns over benefit sharing and fragmentation of the market (including proliferation of standards) e.g. Indonesia’s moratorium. The lack of VVB bodies was also noted as a significant bottleneck, particularly for </w:t>
      </w:r>
      <w:r w:rsidR="004C488C" w:rsidRPr="00E813B0">
        <w:t>HJ</w:t>
      </w:r>
      <w:r w:rsidRPr="00E813B0">
        <w:t>s that had moved to the ERPA stage earliest.</w:t>
      </w:r>
    </w:p>
    <w:p w14:paraId="1BD8641D" w14:textId="6F5D4C2B" w:rsidR="009D13B9" w:rsidRPr="00E813B0" w:rsidRDefault="009D13B9" w:rsidP="009D13B9">
      <w:r w:rsidRPr="00E813B0">
        <w:rPr>
          <w:rStyle w:val="Boldtext"/>
        </w:rPr>
        <w:t xml:space="preserve">However, the coalition's external communications, corporate </w:t>
      </w:r>
      <w:r w:rsidR="009B3166">
        <w:rPr>
          <w:rStyle w:val="Boldtext"/>
        </w:rPr>
        <w:t>buy-in</w:t>
      </w:r>
      <w:r w:rsidRPr="00E813B0">
        <w:rPr>
          <w:rStyle w:val="Boldtext"/>
        </w:rPr>
        <w:t xml:space="preserve"> to LEAF and the sovereign donor derisking are seen to have borne a positive impact on the VCM, sending signals of intent to HJs.</w:t>
      </w:r>
      <w:r w:rsidRPr="00E813B0">
        <w:t xml:space="preserve"> LEAF communications have been valuable in the VCM amidst negative media attention and corporates remain committed despite lessening regulatory pressure. The UK and Norway’s sovereign derisking through the PGF was seen as helpful in reducing scepticism around VCM and working towards proof of concept. In addition, </w:t>
      </w:r>
      <w:r w:rsidR="009973A0">
        <w:t>Emergent</w:t>
      </w:r>
      <w:r w:rsidRPr="00E813B0">
        <w:t xml:space="preserve">’s </w:t>
      </w:r>
      <w:r w:rsidR="00AF3DB3" w:rsidRPr="00E813B0">
        <w:t>openness</w:t>
      </w:r>
      <w:r w:rsidRPr="00E813B0">
        <w:t xml:space="preserve"> to use other models</w:t>
      </w:r>
      <w:r w:rsidR="00C80F46">
        <w:t>,</w:t>
      </w:r>
      <w:r w:rsidRPr="00E813B0">
        <w:t xml:space="preserve"> e.g. FCPF and CORSIA has brought efficiencies and supported engagement with </w:t>
      </w:r>
      <w:r w:rsidR="004C488C" w:rsidRPr="00E813B0">
        <w:t>HJ</w:t>
      </w:r>
      <w:r w:rsidRPr="00E813B0">
        <w:t xml:space="preserve">s that may </w:t>
      </w:r>
      <w:r w:rsidR="009C6C7A">
        <w:t xml:space="preserve">have </w:t>
      </w:r>
      <w:r w:rsidRPr="00E813B0">
        <w:t xml:space="preserve">otherwise pursued different options. LEAF payments also continue to be viewed as </w:t>
      </w:r>
      <w:r w:rsidR="00C80F46">
        <w:t xml:space="preserve">a </w:t>
      </w:r>
      <w:r w:rsidRPr="00E813B0">
        <w:t xml:space="preserve">valuable diversification of funding for </w:t>
      </w:r>
      <w:r w:rsidR="004C488C" w:rsidRPr="00E813B0">
        <w:t>HJ</w:t>
      </w:r>
      <w:r w:rsidRPr="00E813B0">
        <w:t xml:space="preserve">s amidst </w:t>
      </w:r>
      <w:r w:rsidR="00E73843" w:rsidRPr="00E813B0">
        <w:t>declining</w:t>
      </w:r>
      <w:r w:rsidRPr="00E813B0">
        <w:t xml:space="preserve"> ODA.</w:t>
      </w:r>
    </w:p>
    <w:p w14:paraId="5785621C" w14:textId="3FC8CFF5" w:rsidR="009D13B9" w:rsidRPr="00E813B0" w:rsidRDefault="009D13B9" w:rsidP="00697B0C">
      <w:r w:rsidRPr="00E813B0">
        <w:rPr>
          <w:rStyle w:val="Boldtext"/>
        </w:rPr>
        <w:t>Stakeholders agreed that the ART TREES standard has added integrity to the process, and that alignment with the Cancun s</w:t>
      </w:r>
      <w:r w:rsidR="003E2E61">
        <w:rPr>
          <w:rStyle w:val="Boldtext"/>
        </w:rPr>
        <w:t>afeguards</w:t>
      </w:r>
      <w:r w:rsidRPr="00E813B0">
        <w:rPr>
          <w:rStyle w:val="Boldtext"/>
        </w:rPr>
        <w:t xml:space="preserve"> will be essential in generating confidence.</w:t>
      </w:r>
      <w:r w:rsidR="00697B0C" w:rsidRPr="00E813B0">
        <w:rPr>
          <w:rStyle w:val="FootnoteReference"/>
          <w:b/>
        </w:rPr>
        <w:footnoteReference w:id="11"/>
      </w:r>
      <w:r w:rsidRPr="00E813B0">
        <w:rPr>
          <w:rStyle w:val="Boldtext"/>
        </w:rPr>
        <w:t xml:space="preserve"> </w:t>
      </w:r>
      <w:r w:rsidRPr="00E813B0">
        <w:t>It is noted</w:t>
      </w:r>
      <w:r w:rsidR="00C80F46">
        <w:t>,</w:t>
      </w:r>
      <w:r w:rsidRPr="00E813B0">
        <w:t xml:space="preserve"> however, that there needs to be a careful balance between integrity and 'getting it done'. Some stakeholders felt that the pressure for proof of concept has led to attempts to move too quickly through the process. However, internal stakeholders were in wide agreement that integrity is the central tenet of the coalition. The ART TREES alignment may also support </w:t>
      </w:r>
      <w:r w:rsidR="004C488C" w:rsidRPr="00E813B0">
        <w:t>HJ</w:t>
      </w:r>
      <w:r w:rsidRPr="00E813B0">
        <w:t xml:space="preserve">s to pursue other financing through initiatives such as CORSIA and </w:t>
      </w:r>
      <w:r w:rsidR="00E911AC" w:rsidRPr="00E813B0">
        <w:t>the World Bank’s Scaling Climate Action by Lowering Emissions programme</w:t>
      </w:r>
      <w:r w:rsidRPr="00E813B0">
        <w:t>.</w:t>
      </w:r>
    </w:p>
    <w:p w14:paraId="3311A124" w14:textId="68B77A58" w:rsidR="009D13B9" w:rsidRPr="00E813B0" w:rsidRDefault="009D13B9" w:rsidP="009D13B9">
      <w:r w:rsidRPr="00E813B0">
        <w:rPr>
          <w:rStyle w:val="Boldtext"/>
        </w:rPr>
        <w:lastRenderedPageBreak/>
        <w:t>In terms of its objectives, LEAF has not met its initial and key objective in finalising transactions in the timescale envisioned.</w:t>
      </w:r>
      <w:r w:rsidRPr="00E813B0">
        <w:t xml:space="preserve"> This has led to some reputational damage in the case of Costa Rica and </w:t>
      </w:r>
      <w:r w:rsidR="00C80F46">
        <w:t xml:space="preserve">to </w:t>
      </w:r>
      <w:r w:rsidRPr="00E813B0">
        <w:t>a lesser extent</w:t>
      </w:r>
      <w:r w:rsidR="005B09B0">
        <w:t>,</w:t>
      </w:r>
      <w:r w:rsidRPr="00E813B0">
        <w:t xml:space="preserve"> for </w:t>
      </w:r>
      <w:r w:rsidR="00CE5721">
        <w:t xml:space="preserve">the </w:t>
      </w:r>
      <w:r w:rsidR="00C80F46">
        <w:t>Ghanaian</w:t>
      </w:r>
      <w:r w:rsidRPr="00E813B0">
        <w:t xml:space="preserve"> government. However, the first </w:t>
      </w:r>
      <w:r w:rsidR="007B4F98">
        <w:t>credit</w:t>
      </w:r>
      <w:r w:rsidR="00900669">
        <w:t xml:space="preserve"> issuances are anticipated</w:t>
      </w:r>
      <w:r w:rsidR="00900669" w:rsidRPr="00E813B0">
        <w:t xml:space="preserve"> </w:t>
      </w:r>
      <w:r w:rsidRPr="00E813B0">
        <w:t xml:space="preserve">for 2025, and there is </w:t>
      </w:r>
      <w:r w:rsidR="00C80F46">
        <w:t xml:space="preserve">a </w:t>
      </w:r>
      <w:r w:rsidR="007B4F98">
        <w:t>reasonable</w:t>
      </w:r>
      <w:r w:rsidRPr="00E813B0">
        <w:t xml:space="preserve"> </w:t>
      </w:r>
      <w:r w:rsidR="007B4F98">
        <w:t>consensus</w:t>
      </w:r>
      <w:r w:rsidRPr="00E813B0">
        <w:t xml:space="preserve"> amongst stakeholders that the first transaction can be a potential catalysing moment and proof of concept for the VCM. </w:t>
      </w:r>
      <w:r w:rsidR="00C90E85">
        <w:t xml:space="preserve">If the LEAF Coalition can reach the stage of finalising transactions, </w:t>
      </w:r>
      <w:r w:rsidR="00C80F46">
        <w:t>it</w:t>
      </w:r>
      <w:r w:rsidR="00C90E85">
        <w:t xml:space="preserve"> </w:t>
      </w:r>
      <w:r w:rsidR="00C80F46">
        <w:t>has</w:t>
      </w:r>
      <w:r w:rsidR="00C90E85">
        <w:t xml:space="preserve"> achieved a pipeline of 26 corporate buyers and 16 host jurisdictions. </w:t>
      </w:r>
      <w:r w:rsidRPr="00E813B0">
        <w:t xml:space="preserve">Several stakeholders noted that money starting to 'flow' could be a tipping point for sustainable financing for </w:t>
      </w:r>
      <w:r w:rsidR="00F0374E" w:rsidRPr="00E813B0">
        <w:t>HJs</w:t>
      </w:r>
      <w:r w:rsidR="005B09B0">
        <w:t>,</w:t>
      </w:r>
      <w:r w:rsidRPr="00E813B0">
        <w:t xml:space="preserve"> which may in turn lead governments to invest in greater capacity to manage the process. The cases in Costa Rica and Guyana of national investment in capacity following previous carbon credit transactions do provide some evidence of this. Several </w:t>
      </w:r>
      <w:r w:rsidR="004C488C" w:rsidRPr="00E813B0">
        <w:t>HJ</w:t>
      </w:r>
      <w:r w:rsidRPr="00E813B0">
        <w:t xml:space="preserve"> stakeholders (e.g.</w:t>
      </w:r>
      <w:r w:rsidR="00F0374E" w:rsidRPr="00E813B0">
        <w:t xml:space="preserve"> </w:t>
      </w:r>
      <w:r w:rsidRPr="00E813B0">
        <w:t>Guyana, Vietnam and Mexico) also noted that they see LEAF ERPA transactions as a stepping stone towards wider engagement in the VCM and a potential future market under UNFCCC.</w:t>
      </w:r>
      <w:r w:rsidR="00B70959">
        <w:t xml:space="preserve"> </w:t>
      </w:r>
      <w:r w:rsidR="00B70959" w:rsidRPr="004D2C58">
        <w:t xml:space="preserve">The sale of TREES credits by Guyana (outside of LEAF) provides an important opportunity for learning around institutional and organisational capacity to manage finance flows independently. </w:t>
      </w:r>
    </w:p>
    <w:p w14:paraId="465FBB2B" w14:textId="78D5C460" w:rsidR="009D13B9" w:rsidRPr="00E813B0" w:rsidRDefault="009D13B9" w:rsidP="009D13B9">
      <w:r w:rsidRPr="00E813B0">
        <w:rPr>
          <w:rStyle w:val="Boldtext"/>
        </w:rPr>
        <w:t>However, due to the lack of transactions to date, the Coalition is still dependent on ODA and the supply-demand matching envisioned has been less relevant.</w:t>
      </w:r>
      <w:r w:rsidRPr="00E813B0">
        <w:t xml:space="preserve"> </w:t>
      </w:r>
      <w:r w:rsidR="00D22427" w:rsidRPr="00E813B0">
        <w:t>Owing</w:t>
      </w:r>
      <w:r w:rsidRPr="00E813B0">
        <w:t xml:space="preserve"> to the delayed timeline on </w:t>
      </w:r>
      <w:r w:rsidR="00281610">
        <w:t xml:space="preserve">issuance and subsequent </w:t>
      </w:r>
      <w:r w:rsidRPr="00E813B0">
        <w:t>transactions</w:t>
      </w:r>
      <w:r w:rsidR="005B09B0">
        <w:t>,</w:t>
      </w:r>
      <w:r w:rsidRPr="00E813B0">
        <w:t xml:space="preserve"> the LEAF Coalition model is still not self-sustaining. Emergent </w:t>
      </w:r>
      <w:r w:rsidR="00172DBD">
        <w:t>is</w:t>
      </w:r>
      <w:r w:rsidRPr="00E813B0">
        <w:t xml:space="preserve"> still reliant on ODA and </w:t>
      </w:r>
      <w:r w:rsidR="005B09B0">
        <w:t>has</w:t>
      </w:r>
      <w:r w:rsidRPr="00E813B0">
        <w:t xml:space="preserve"> required an extension to their grant agreement (time and funding) to cover operational costs. </w:t>
      </w:r>
      <w:r w:rsidR="00106F07" w:rsidRPr="00E813B0">
        <w:t>D</w:t>
      </w:r>
      <w:r w:rsidRPr="00E813B0">
        <w:t>espite success in bringing together a range of private</w:t>
      </w:r>
      <w:r w:rsidR="00AF0F29">
        <w:t xml:space="preserve"> and</w:t>
      </w:r>
      <w:r w:rsidRPr="00E813B0">
        <w:t xml:space="preserve"> government actors in a single forum, the market share remains smaller than expected. In addition, a number of competitors are emerging in the space and several key jurisdictions </w:t>
      </w:r>
      <w:r w:rsidR="005B09B0">
        <w:t xml:space="preserve">are </w:t>
      </w:r>
      <w:r w:rsidRPr="00E813B0">
        <w:t>moving slowly and/or exploring alternatives e.g. Brazil and Indonesia.</w:t>
      </w:r>
    </w:p>
    <w:p w14:paraId="779BD021" w14:textId="502F766A" w:rsidR="00B709C3" w:rsidRPr="00E813B0" w:rsidRDefault="00EB20A0" w:rsidP="00B709C3">
      <w:r>
        <w:rPr>
          <w:rStyle w:val="Boldtext"/>
        </w:rPr>
        <w:t>HJ</w:t>
      </w:r>
      <w:r w:rsidR="00CC4F36" w:rsidRPr="00E813B0">
        <w:rPr>
          <w:rStyle w:val="Boldtext"/>
        </w:rPr>
        <w:t xml:space="preserve">s </w:t>
      </w:r>
      <w:r w:rsidR="000841B1" w:rsidRPr="00E813B0">
        <w:rPr>
          <w:rStyle w:val="Boldtext"/>
        </w:rPr>
        <w:t xml:space="preserve">have </w:t>
      </w:r>
      <w:r w:rsidR="009D13B9" w:rsidRPr="00E813B0">
        <w:rPr>
          <w:rStyle w:val="Boldtext"/>
        </w:rPr>
        <w:t xml:space="preserve">received no financing to date and the decision to prioritise high readiness countries </w:t>
      </w:r>
      <w:r w:rsidR="00C031E3" w:rsidRPr="00E813B0">
        <w:rPr>
          <w:rStyle w:val="Boldtext"/>
        </w:rPr>
        <w:t xml:space="preserve">(whilst understandable) </w:t>
      </w:r>
      <w:r w:rsidR="00763A95" w:rsidRPr="00E813B0">
        <w:rPr>
          <w:rStyle w:val="Boldtext"/>
        </w:rPr>
        <w:t xml:space="preserve">raises concerns about </w:t>
      </w:r>
      <w:r w:rsidR="00077AC4">
        <w:rPr>
          <w:rStyle w:val="Boldtext"/>
        </w:rPr>
        <w:t>support to access LEAF</w:t>
      </w:r>
      <w:r w:rsidR="00F74BBE" w:rsidRPr="00E813B0">
        <w:rPr>
          <w:rStyle w:val="Boldtext"/>
        </w:rPr>
        <w:t xml:space="preserve"> for</w:t>
      </w:r>
      <w:r w:rsidR="00567E24">
        <w:rPr>
          <w:rStyle w:val="Boldtext"/>
        </w:rPr>
        <w:t xml:space="preserve"> </w:t>
      </w:r>
      <w:r w:rsidR="00C417E0" w:rsidRPr="00E813B0">
        <w:rPr>
          <w:rStyle w:val="Boldtext"/>
        </w:rPr>
        <w:t xml:space="preserve">less </w:t>
      </w:r>
      <w:r w:rsidR="00DC4E3F">
        <w:rPr>
          <w:rStyle w:val="Boldtext"/>
        </w:rPr>
        <w:t>advanced</w:t>
      </w:r>
      <w:r w:rsidR="009D13B9" w:rsidRPr="00E813B0">
        <w:rPr>
          <w:rStyle w:val="Boldtext"/>
        </w:rPr>
        <w:t xml:space="preserve"> countries </w:t>
      </w:r>
      <w:r w:rsidR="0065189B">
        <w:rPr>
          <w:rStyle w:val="Boldtext"/>
        </w:rPr>
        <w:t xml:space="preserve">which are </w:t>
      </w:r>
      <w:r w:rsidR="009D13B9" w:rsidRPr="00E813B0">
        <w:rPr>
          <w:rStyle w:val="Boldtext"/>
        </w:rPr>
        <w:t>most in need of sustainable development funding.</w:t>
      </w:r>
      <w:r w:rsidR="009D13B9" w:rsidRPr="00E813B0">
        <w:t xml:space="preserve"> A number of stakeholders (internal and external) suggested that there is a need for different routes for countries at different levels of readiness and sub-national HJs which have their own unique capacity challenges and levels of development. </w:t>
      </w:r>
      <w:r w:rsidR="004C488C" w:rsidRPr="00E813B0">
        <w:t>HJ</w:t>
      </w:r>
      <w:r w:rsidR="009D13B9" w:rsidRPr="00E813B0">
        <w:t xml:space="preserve">s also require support to develop </w:t>
      </w:r>
      <w:r w:rsidR="00954F5C">
        <w:t xml:space="preserve">an </w:t>
      </w:r>
      <w:r w:rsidR="009D13B9" w:rsidRPr="00E813B0">
        <w:t>analysis of pathways and corresponding outcomes. There are signs however</w:t>
      </w:r>
      <w:r w:rsidR="00954F5C">
        <w:t>,</w:t>
      </w:r>
      <w:r w:rsidR="009D13B9" w:rsidRPr="00E813B0">
        <w:t xml:space="preserve"> that the PGF (largely funded by the UK and Norway) can work as intended</w:t>
      </w:r>
      <w:r w:rsidR="00954F5C">
        <w:t>,</w:t>
      </w:r>
      <w:r w:rsidR="009D13B9" w:rsidRPr="00E813B0">
        <w:t xml:space="preserve"> e.g. PGF-backed credits have had strong demand in Ghana. There are also some signs that prices above the $10 base are achievable</w:t>
      </w:r>
      <w:r w:rsidR="00933379">
        <w:t>,</w:t>
      </w:r>
      <w:r w:rsidR="009D13B9" w:rsidRPr="00E813B0">
        <w:t xml:space="preserve"> although the $10 USD </w:t>
      </w:r>
      <w:r w:rsidR="004073D6">
        <w:t xml:space="preserve">floor </w:t>
      </w:r>
      <w:r w:rsidR="009D13B9" w:rsidRPr="00E813B0">
        <w:t xml:space="preserve">pricing is not judged high enough by many stakeholders and </w:t>
      </w:r>
      <w:hyperlink r:id="rId59" w:history="1">
        <w:r w:rsidR="0021037A" w:rsidRPr="00CC3CF5">
          <w:rPr>
            <w:rStyle w:val="Hyperlink"/>
          </w:rPr>
          <w:t>UN-REDD’s estimations</w:t>
        </w:r>
      </w:hyperlink>
      <w:r w:rsidR="00933379">
        <w:t>, when</w:t>
      </w:r>
      <w:r w:rsidR="009D13B9" w:rsidRPr="00E813B0">
        <w:t xml:space="preserve"> considering what's being achieved in the market and the high transaction costs for </w:t>
      </w:r>
      <w:r w:rsidR="004C488C" w:rsidRPr="00E813B0">
        <w:t>HJ</w:t>
      </w:r>
      <w:r w:rsidR="009D13B9" w:rsidRPr="00E813B0">
        <w:t xml:space="preserve">s. </w:t>
      </w:r>
      <w:r w:rsidR="004C488C" w:rsidRPr="00E813B0">
        <w:t>HJ</w:t>
      </w:r>
      <w:r w:rsidR="009D13B9" w:rsidRPr="00E813B0">
        <w:t>s are watching development</w:t>
      </w:r>
      <w:r w:rsidR="00933379">
        <w:t>s</w:t>
      </w:r>
      <w:r w:rsidR="009D13B9" w:rsidRPr="00E813B0">
        <w:t xml:space="preserve"> </w:t>
      </w:r>
      <w:r w:rsidR="00933379">
        <w:t xml:space="preserve">in pricing </w:t>
      </w:r>
      <w:r w:rsidR="003C6087">
        <w:t>models,</w:t>
      </w:r>
      <w:r w:rsidR="009D13B9" w:rsidRPr="00E813B0">
        <w:t xml:space="preserve"> and </w:t>
      </w:r>
      <w:r w:rsidR="00933379">
        <w:t xml:space="preserve">some are </w:t>
      </w:r>
      <w:r w:rsidR="009D13B9" w:rsidRPr="00E813B0">
        <w:t>asking for increased prices</w:t>
      </w:r>
      <w:r w:rsidR="00954F5C">
        <w:t>,</w:t>
      </w:r>
      <w:r w:rsidR="009D13B9" w:rsidRPr="00E813B0">
        <w:t xml:space="preserve"> e.g. Para, Ghana</w:t>
      </w:r>
      <w:r w:rsidR="00933379">
        <w:t>.</w:t>
      </w:r>
      <w:r w:rsidR="009D13B9" w:rsidRPr="00E813B0">
        <w:t xml:space="preserve"> </w:t>
      </w:r>
      <w:r w:rsidR="00933379">
        <w:t>I</w:t>
      </w:r>
      <w:r w:rsidR="009D13B9" w:rsidRPr="00E813B0">
        <w:t xml:space="preserve">t is noted that </w:t>
      </w:r>
      <w:r w:rsidR="00C437BA">
        <w:t xml:space="preserve">a lack of transparency regarding </w:t>
      </w:r>
      <w:r w:rsidR="00E06F9D">
        <w:t xml:space="preserve">carbon credit </w:t>
      </w:r>
      <w:r w:rsidR="00C437BA">
        <w:t xml:space="preserve">payments </w:t>
      </w:r>
      <w:r w:rsidR="00E06F9D">
        <w:t xml:space="preserve">per tonne, </w:t>
      </w:r>
      <w:r w:rsidR="00933379">
        <w:t>high</w:t>
      </w:r>
      <w:r w:rsidR="00E06F9D">
        <w:t xml:space="preserve"> HJ </w:t>
      </w:r>
      <w:r w:rsidR="003D09DD">
        <w:t>transaction costs</w:t>
      </w:r>
      <w:r w:rsidR="009D13B9" w:rsidRPr="009D13B9">
        <w:t xml:space="preserve"> </w:t>
      </w:r>
      <w:r w:rsidR="00E06F9D">
        <w:t xml:space="preserve">and the </w:t>
      </w:r>
      <w:r w:rsidR="00BA57EE">
        <w:t>Emergent fee structure</w:t>
      </w:r>
      <w:r w:rsidR="00A0383D">
        <w:t xml:space="preserve"> </w:t>
      </w:r>
      <w:r w:rsidR="00861D14">
        <w:t>have</w:t>
      </w:r>
      <w:r w:rsidR="002A6025">
        <w:t xml:space="preserve"> meant that</w:t>
      </w:r>
      <w:r w:rsidR="00A0383D" w:rsidDel="002A6025">
        <w:t xml:space="preserve"> </w:t>
      </w:r>
      <w:r w:rsidR="002A6025">
        <w:t xml:space="preserve">it has been difficult </w:t>
      </w:r>
      <w:r w:rsidR="00861D14">
        <w:t>to develop</w:t>
      </w:r>
      <w:r w:rsidR="002A6025">
        <w:t xml:space="preserve"> </w:t>
      </w:r>
      <w:r w:rsidR="00A0383D">
        <w:t>monitoring of changes in pricing for carbon credits of different vintages</w:t>
      </w:r>
      <w:r w:rsidR="007C16D1">
        <w:t xml:space="preserve"> over time</w:t>
      </w:r>
      <w:r w:rsidR="00A0383D">
        <w:t>.</w:t>
      </w:r>
    </w:p>
    <w:p w14:paraId="49DAF3F0" w14:textId="2CB70F44" w:rsidR="00B709C3" w:rsidRPr="00E813B0" w:rsidRDefault="00B709C3" w:rsidP="00734B7D">
      <w:pPr>
        <w:pStyle w:val="Heading2"/>
        <w:numPr>
          <w:ilvl w:val="1"/>
          <w:numId w:val="8"/>
        </w:numPr>
      </w:pPr>
      <w:bookmarkStart w:id="68" w:name="_Ref202959283"/>
      <w:bookmarkStart w:id="69" w:name="_Toc204091214"/>
      <w:bookmarkStart w:id="70" w:name="_Toc209013289"/>
      <w:r w:rsidRPr="00E813B0">
        <w:lastRenderedPageBreak/>
        <w:t>Efficiency</w:t>
      </w:r>
      <w:bookmarkEnd w:id="68"/>
      <w:r w:rsidR="00062C70">
        <w:t xml:space="preserve"> (responding to EQ4)</w:t>
      </w:r>
      <w:bookmarkEnd w:id="69"/>
      <w:bookmarkEnd w:id="70"/>
    </w:p>
    <w:p w14:paraId="085E14BB" w14:textId="2F3ED4FB" w:rsidR="001D6115" w:rsidRPr="00E813B0" w:rsidRDefault="00D86B6E" w:rsidP="001B5440">
      <w:pPr>
        <w:rPr>
          <w:rStyle w:val="Boldtext"/>
          <w:i/>
        </w:rPr>
      </w:pPr>
      <w:r>
        <w:rPr>
          <w:rStyle w:val="Boldtext"/>
        </w:rPr>
        <w:t>T</w:t>
      </w:r>
      <w:r w:rsidR="008753F3">
        <w:rPr>
          <w:rStyle w:val="Boldtext"/>
        </w:rPr>
        <w:t>he</w:t>
      </w:r>
      <w:r w:rsidR="008753F3" w:rsidRPr="00E813B0">
        <w:rPr>
          <w:rStyle w:val="Boldtext"/>
        </w:rPr>
        <w:t xml:space="preserve"> </w:t>
      </w:r>
      <w:r w:rsidR="00B22A7E" w:rsidRPr="00E813B0">
        <w:rPr>
          <w:rStyle w:val="Boldtext"/>
        </w:rPr>
        <w:t>e</w:t>
      </w:r>
      <w:r w:rsidR="00941D80" w:rsidRPr="00E813B0">
        <w:rPr>
          <w:rStyle w:val="Boldtext"/>
        </w:rPr>
        <w:t>fficiency of the TA implementation</w:t>
      </w:r>
      <w:r w:rsidR="005C1DAC" w:rsidRPr="00E813B0">
        <w:rPr>
          <w:rStyle w:val="Boldtext"/>
        </w:rPr>
        <w:t xml:space="preserve"> overall has fallen short</w:t>
      </w:r>
      <w:r w:rsidR="00941D80" w:rsidRPr="00E813B0">
        <w:rPr>
          <w:rStyle w:val="Boldtext"/>
        </w:rPr>
        <w:t>.</w:t>
      </w:r>
      <w:r w:rsidR="00B22A7E" w:rsidRPr="00E813B0">
        <w:rPr>
          <w:rStyle w:val="Boldtext"/>
        </w:rPr>
        <w:t xml:space="preserve"> </w:t>
      </w:r>
      <w:r w:rsidR="00BA275B" w:rsidRPr="00E813B0">
        <w:rPr>
          <w:rStyle w:val="Boldtext"/>
        </w:rPr>
        <w:t>I</w:t>
      </w:r>
      <w:r w:rsidR="008753F3" w:rsidRPr="00E813B0">
        <w:rPr>
          <w:rStyle w:val="Boldtext"/>
        </w:rPr>
        <w:t>ssues include</w:t>
      </w:r>
      <w:r w:rsidR="009F6493" w:rsidRPr="00E813B0">
        <w:rPr>
          <w:rStyle w:val="Boldtext"/>
        </w:rPr>
        <w:t xml:space="preserve"> slow delivery </w:t>
      </w:r>
      <w:r w:rsidR="005C1DAC" w:rsidRPr="00E813B0">
        <w:rPr>
          <w:rStyle w:val="Boldtext"/>
        </w:rPr>
        <w:t>together with</w:t>
      </w:r>
      <w:r w:rsidR="00C00A62" w:rsidRPr="00E813B0">
        <w:rPr>
          <w:rStyle w:val="Boldtext"/>
        </w:rPr>
        <w:t xml:space="preserve"> insufficient</w:t>
      </w:r>
      <w:r w:rsidR="00060BCA" w:rsidRPr="00E813B0">
        <w:rPr>
          <w:rStyle w:val="Boldtext"/>
        </w:rPr>
        <w:t xml:space="preserve"> skills</w:t>
      </w:r>
      <w:r w:rsidR="00372516">
        <w:rPr>
          <w:rStyle w:val="Boldtext"/>
        </w:rPr>
        <w:t>,</w:t>
      </w:r>
      <w:r w:rsidR="00060BCA" w:rsidRPr="00E813B0">
        <w:rPr>
          <w:rStyle w:val="Boldtext"/>
        </w:rPr>
        <w:t xml:space="preserve"> expertise </w:t>
      </w:r>
      <w:r w:rsidR="00372516">
        <w:rPr>
          <w:rStyle w:val="Boldtext"/>
        </w:rPr>
        <w:t>and</w:t>
      </w:r>
      <w:r w:rsidR="00060BCA" w:rsidRPr="00E813B0">
        <w:rPr>
          <w:rStyle w:val="Boldtext"/>
        </w:rPr>
        <w:t xml:space="preserve"> </w:t>
      </w:r>
      <w:r w:rsidR="00C00A62" w:rsidRPr="00E813B0">
        <w:rPr>
          <w:rStyle w:val="Boldtext"/>
        </w:rPr>
        <w:t>on-the-ground presence</w:t>
      </w:r>
      <w:r w:rsidR="001D6115" w:rsidRPr="00E813B0">
        <w:rPr>
          <w:rStyle w:val="Boldtext"/>
        </w:rPr>
        <w:t xml:space="preserve">. </w:t>
      </w:r>
      <w:r w:rsidR="005C1DAC" w:rsidRPr="00E813B0">
        <w:rPr>
          <w:rStyle w:val="Boldtext"/>
        </w:rPr>
        <w:t>T</w:t>
      </w:r>
      <w:r w:rsidR="001D6115" w:rsidRPr="00E813B0">
        <w:rPr>
          <w:rStyle w:val="Boldtext"/>
        </w:rPr>
        <w:t>here is</w:t>
      </w:r>
      <w:r w:rsidR="00C00A62" w:rsidRPr="00E813B0">
        <w:rPr>
          <w:rStyle w:val="Boldtext"/>
        </w:rPr>
        <w:t xml:space="preserve"> </w:t>
      </w:r>
      <w:r w:rsidR="005C1DAC" w:rsidRPr="00E813B0">
        <w:rPr>
          <w:rStyle w:val="Boldtext"/>
        </w:rPr>
        <w:t xml:space="preserve">also </w:t>
      </w:r>
      <w:r w:rsidR="00C00A62" w:rsidRPr="00E813B0">
        <w:rPr>
          <w:rStyle w:val="Boldtext"/>
        </w:rPr>
        <w:t>a</w:t>
      </w:r>
      <w:r w:rsidR="00BB092F" w:rsidRPr="00E813B0">
        <w:rPr>
          <w:rStyle w:val="Boldtext"/>
        </w:rPr>
        <w:t xml:space="preserve"> lack of specific accommodation for less </w:t>
      </w:r>
      <w:r w:rsidR="00DC4E3F">
        <w:rPr>
          <w:rStyle w:val="Boldtext"/>
        </w:rPr>
        <w:t>advanced</w:t>
      </w:r>
      <w:r w:rsidR="00BB092F" w:rsidRPr="00E813B0">
        <w:rPr>
          <w:rStyle w:val="Boldtext"/>
        </w:rPr>
        <w:t xml:space="preserve"> HJs. </w:t>
      </w:r>
      <w:r w:rsidR="00652A08" w:rsidRPr="00E813B0">
        <w:rPr>
          <w:rStyle w:val="Boldtext"/>
        </w:rPr>
        <w:t xml:space="preserve">Despite these </w:t>
      </w:r>
      <w:r w:rsidR="00BA275B" w:rsidRPr="00E813B0">
        <w:rPr>
          <w:rStyle w:val="Boldtext"/>
        </w:rPr>
        <w:t xml:space="preserve">overall </w:t>
      </w:r>
      <w:r w:rsidR="00652A08" w:rsidRPr="00E813B0">
        <w:rPr>
          <w:rStyle w:val="Boldtext"/>
        </w:rPr>
        <w:t>issues</w:t>
      </w:r>
      <w:r w:rsidR="00BA275B" w:rsidRPr="00E813B0">
        <w:rPr>
          <w:rStyle w:val="Boldtext"/>
        </w:rPr>
        <w:t>,</w:t>
      </w:r>
      <w:r w:rsidR="00652A08" w:rsidRPr="00E813B0">
        <w:rPr>
          <w:rStyle w:val="Boldtext"/>
        </w:rPr>
        <w:t xml:space="preserve"> there are positive examples </w:t>
      </w:r>
      <w:r w:rsidR="00BA275B" w:rsidRPr="00E813B0">
        <w:rPr>
          <w:rStyle w:val="Boldtext"/>
        </w:rPr>
        <w:t>relating to</w:t>
      </w:r>
      <w:r w:rsidR="00652A08" w:rsidRPr="00E813B0">
        <w:rPr>
          <w:rStyle w:val="Boldtext"/>
        </w:rPr>
        <w:t xml:space="preserve"> the deployed staff and the consultancy style </w:t>
      </w:r>
      <w:r w:rsidR="001D6115" w:rsidRPr="00E813B0">
        <w:rPr>
          <w:rStyle w:val="Boldtext"/>
        </w:rPr>
        <w:t>within LEAF.</w:t>
      </w:r>
      <w:r w:rsidR="00924197">
        <w:rPr>
          <w:rStyle w:val="Boldtext"/>
        </w:rPr>
        <w:t xml:space="preserve"> </w:t>
      </w:r>
      <w:r w:rsidR="00E86FD6" w:rsidRPr="00E813B0">
        <w:rPr>
          <w:rStyle w:val="Boldtext"/>
        </w:rPr>
        <w:t>P</w:t>
      </w:r>
      <w:r w:rsidR="002F2BA1" w:rsidRPr="00E813B0">
        <w:rPr>
          <w:rStyle w:val="Boldtext"/>
        </w:rPr>
        <w:t>ublic</w:t>
      </w:r>
      <w:r w:rsidR="00E86FD6" w:rsidRPr="00E813B0">
        <w:rPr>
          <w:rStyle w:val="Boldtext"/>
        </w:rPr>
        <w:t xml:space="preserve"> f</w:t>
      </w:r>
      <w:r w:rsidR="006F604B" w:rsidRPr="00E813B0">
        <w:rPr>
          <w:rStyle w:val="Boldtext"/>
        </w:rPr>
        <w:t>unds (ODA)</w:t>
      </w:r>
      <w:r w:rsidR="00E86FD6" w:rsidRPr="00E813B0">
        <w:rPr>
          <w:rStyle w:val="Boldtext"/>
        </w:rPr>
        <w:t xml:space="preserve"> ha</w:t>
      </w:r>
      <w:r w:rsidR="00713E52" w:rsidRPr="00E813B0">
        <w:rPr>
          <w:rStyle w:val="Boldtext"/>
        </w:rPr>
        <w:t>ve</w:t>
      </w:r>
      <w:r w:rsidR="00E86FD6" w:rsidRPr="00E813B0">
        <w:rPr>
          <w:rStyle w:val="Boldtext"/>
        </w:rPr>
        <w:t xml:space="preserve"> </w:t>
      </w:r>
      <w:r w:rsidR="00BA275B" w:rsidRPr="00E813B0">
        <w:rPr>
          <w:rStyle w:val="Boldtext"/>
        </w:rPr>
        <w:t>partially</w:t>
      </w:r>
      <w:r w:rsidR="00E86FD6" w:rsidRPr="00E813B0">
        <w:rPr>
          <w:rStyle w:val="Boldtext"/>
        </w:rPr>
        <w:t xml:space="preserve"> been able to successfully leverage private finance</w:t>
      </w:r>
      <w:r w:rsidR="004654AE" w:rsidRPr="00E813B0">
        <w:rPr>
          <w:rStyle w:val="Boldtext"/>
        </w:rPr>
        <w:t xml:space="preserve"> (commitments)</w:t>
      </w:r>
      <w:r w:rsidR="00E86FD6" w:rsidRPr="00E813B0">
        <w:rPr>
          <w:rStyle w:val="Boldtext"/>
        </w:rPr>
        <w:t xml:space="preserve">. </w:t>
      </w:r>
      <w:r w:rsidR="00B5036B" w:rsidRPr="00E813B0">
        <w:rPr>
          <w:rStyle w:val="Boldtext"/>
        </w:rPr>
        <w:t>However</w:t>
      </w:r>
      <w:r w:rsidR="00E86FD6" w:rsidRPr="00E813B0">
        <w:rPr>
          <w:rStyle w:val="Boldtext"/>
        </w:rPr>
        <w:t xml:space="preserve">, the </w:t>
      </w:r>
      <w:r w:rsidR="00647302">
        <w:rPr>
          <w:rStyle w:val="Boldtext"/>
        </w:rPr>
        <w:t>three</w:t>
      </w:r>
      <w:r w:rsidR="00E86FD6" w:rsidRPr="00E813B0">
        <w:rPr>
          <w:rStyle w:val="Boldtext"/>
        </w:rPr>
        <w:t xml:space="preserve"> main </w:t>
      </w:r>
      <w:r w:rsidR="002A36BE" w:rsidRPr="00E813B0">
        <w:rPr>
          <w:rStyle w:val="Boldtext"/>
        </w:rPr>
        <w:t>UK Government</w:t>
      </w:r>
      <w:r w:rsidR="00E86FD6" w:rsidRPr="00E813B0">
        <w:rPr>
          <w:rStyle w:val="Boldtext"/>
        </w:rPr>
        <w:t xml:space="preserve"> avenues of support (</w:t>
      </w:r>
      <w:r w:rsidR="000E458C">
        <w:rPr>
          <w:rStyle w:val="Boldtext"/>
        </w:rPr>
        <w:t>PGF</w:t>
      </w:r>
      <w:r w:rsidR="00E86FD6" w:rsidRPr="00E813B0">
        <w:rPr>
          <w:rStyle w:val="Boldtext"/>
        </w:rPr>
        <w:t xml:space="preserve">, upfront finance and TA) remain vital to LEAF operations. </w:t>
      </w:r>
      <w:r w:rsidR="00304197" w:rsidRPr="00304197">
        <w:rPr>
          <w:rStyle w:val="Boldtext"/>
        </w:rPr>
        <w:t xml:space="preserve">CPs </w:t>
      </w:r>
      <w:r w:rsidR="0029781E" w:rsidRPr="00E813B0">
        <w:rPr>
          <w:rStyle w:val="Boldtext"/>
        </w:rPr>
        <w:t>have</w:t>
      </w:r>
      <w:r w:rsidR="00E86FD6" w:rsidRPr="00E813B0">
        <w:rPr>
          <w:rStyle w:val="Boldtext"/>
        </w:rPr>
        <w:t xml:space="preserve"> not, as </w:t>
      </w:r>
      <w:r w:rsidR="00BA275B" w:rsidRPr="00E813B0">
        <w:rPr>
          <w:rStyle w:val="Boldtext"/>
        </w:rPr>
        <w:t xml:space="preserve">originally </w:t>
      </w:r>
      <w:r w:rsidR="00E86FD6" w:rsidRPr="00E813B0">
        <w:rPr>
          <w:rStyle w:val="Boldtext"/>
        </w:rPr>
        <w:t>anticipated, enter</w:t>
      </w:r>
      <w:r w:rsidR="00BA275B" w:rsidRPr="00E813B0">
        <w:rPr>
          <w:rStyle w:val="Boldtext"/>
        </w:rPr>
        <w:t>ed</w:t>
      </w:r>
      <w:r w:rsidR="00E86FD6" w:rsidRPr="00E813B0">
        <w:rPr>
          <w:rStyle w:val="Boldtext"/>
        </w:rPr>
        <w:t xml:space="preserve"> forward purchase agreements early. Improved communication</w:t>
      </w:r>
      <w:r w:rsidR="00BA275B" w:rsidRPr="00E813B0">
        <w:rPr>
          <w:rStyle w:val="Boldtext"/>
        </w:rPr>
        <w:t>s</w:t>
      </w:r>
      <w:r w:rsidR="00E86FD6" w:rsidRPr="00E813B0">
        <w:rPr>
          <w:rStyle w:val="Boldtext"/>
        </w:rPr>
        <w:t xml:space="preserve"> and continued (flexible) engagement with new market options could enable better operational adaptive management.</w:t>
      </w:r>
    </w:p>
    <w:p w14:paraId="4CCEE4A7" w14:textId="2AFF4BDA" w:rsidR="00193ED4" w:rsidRPr="005513BF" w:rsidRDefault="00E77FA4" w:rsidP="0079113E">
      <w:pPr>
        <w:pStyle w:val="Heading3"/>
      </w:pPr>
      <w:bookmarkStart w:id="71" w:name="_Toc204091215"/>
      <w:bookmarkStart w:id="72" w:name="_Toc209013290"/>
      <w:r w:rsidRPr="00E813B0">
        <w:t>2.</w:t>
      </w:r>
      <w:r w:rsidR="00566617" w:rsidRPr="00E813B0">
        <w:t xml:space="preserve">4.1 </w:t>
      </w:r>
      <w:r w:rsidR="00B709C3" w:rsidRPr="00E813B0">
        <w:t>T</w:t>
      </w:r>
      <w:r w:rsidR="00566617" w:rsidRPr="00E813B0">
        <w:t xml:space="preserve">echnical </w:t>
      </w:r>
      <w:r w:rsidR="00B709C3" w:rsidRPr="00E813B0">
        <w:t>A</w:t>
      </w:r>
      <w:r w:rsidR="00566617" w:rsidRPr="00E813B0">
        <w:t>ssistance</w:t>
      </w:r>
      <w:r w:rsidR="00B709C3" w:rsidRPr="00E813B0">
        <w:t xml:space="preserve"> Implementation</w:t>
      </w:r>
      <w:bookmarkEnd w:id="71"/>
      <w:bookmarkEnd w:id="72"/>
    </w:p>
    <w:tbl>
      <w:tblPr>
        <w:tblStyle w:val="Table-DarkblueBackground"/>
        <w:tblW w:w="0" w:type="auto"/>
        <w:tblLook w:val="04A0" w:firstRow="1" w:lastRow="0" w:firstColumn="1" w:lastColumn="0" w:noHBand="0" w:noVBand="1"/>
      </w:tblPr>
      <w:tblGrid>
        <w:gridCol w:w="8505"/>
        <w:gridCol w:w="1577"/>
      </w:tblGrid>
      <w:tr w:rsidR="007F7F09" w:rsidRPr="00E813B0" w14:paraId="17DB0D45" w14:textId="77777777" w:rsidTr="00E26C3B">
        <w:trPr>
          <w:cnfStyle w:val="100000000000" w:firstRow="1" w:lastRow="0" w:firstColumn="0" w:lastColumn="0" w:oddVBand="0" w:evenVBand="0" w:oddHBand="0" w:evenHBand="0" w:firstRowFirstColumn="0" w:firstRowLastColumn="0" w:lastRowFirstColumn="0" w:lastRowLastColumn="0"/>
          <w:trHeight w:val="375"/>
        </w:trPr>
        <w:tc>
          <w:tcPr>
            <w:tcW w:w="8505" w:type="dxa"/>
          </w:tcPr>
          <w:p w14:paraId="0D6BA055" w14:textId="77777777" w:rsidR="00193ED4" w:rsidRPr="00E813B0" w:rsidRDefault="00193ED4" w:rsidP="00193ED4">
            <w:r w:rsidRPr="00E813B0">
              <w:t>Overall finding</w:t>
            </w:r>
          </w:p>
        </w:tc>
        <w:tc>
          <w:tcPr>
            <w:tcW w:w="1577" w:type="dxa"/>
          </w:tcPr>
          <w:p w14:paraId="74F28B68" w14:textId="77777777" w:rsidR="00193ED4" w:rsidRPr="00E813B0" w:rsidRDefault="00193ED4" w:rsidP="00193ED4">
            <w:r w:rsidRPr="00E813B0">
              <w:t>Strength of Evidence</w:t>
            </w:r>
          </w:p>
        </w:tc>
      </w:tr>
      <w:tr w:rsidR="00193ED4" w:rsidRPr="00E813B0" w14:paraId="3DD93FA3" w14:textId="77777777" w:rsidTr="00E26C3B">
        <w:trPr>
          <w:trHeight w:val="19"/>
        </w:trPr>
        <w:tc>
          <w:tcPr>
            <w:tcW w:w="8505" w:type="dxa"/>
          </w:tcPr>
          <w:p w14:paraId="4998C68A" w14:textId="557CA2AD" w:rsidR="00193ED4" w:rsidRPr="00E813B0" w:rsidRDefault="00B53C7B" w:rsidP="00193ED4">
            <w:r w:rsidRPr="00E813B0">
              <w:rPr>
                <w:rFonts w:eastAsiaTheme="minorEastAsia"/>
              </w:rPr>
              <w:t xml:space="preserve">Efficiency of the </w:t>
            </w:r>
            <w:r w:rsidR="00CF1633" w:rsidRPr="00E813B0">
              <w:rPr>
                <w:rFonts w:eastAsiaTheme="minorEastAsia"/>
              </w:rPr>
              <w:t>UK Technical Assistance Programme (UKTAP)</w:t>
            </w:r>
            <w:r w:rsidR="00303E96" w:rsidRPr="00E813B0">
              <w:rPr>
                <w:rFonts w:eastAsiaTheme="minorEastAsia"/>
              </w:rPr>
              <w:t xml:space="preserve"> </w:t>
            </w:r>
            <w:r w:rsidRPr="00E813B0">
              <w:rPr>
                <w:rFonts w:eastAsiaTheme="minorEastAsia"/>
              </w:rPr>
              <w:t>implementation fell short</w:t>
            </w:r>
            <w:r w:rsidR="00FD2EE8">
              <w:rPr>
                <w:rFonts w:eastAsiaTheme="minorEastAsia"/>
              </w:rPr>
              <w:t>;</w:t>
            </w:r>
            <w:r w:rsidR="000044ED">
              <w:rPr>
                <w:rFonts w:eastAsiaTheme="minorEastAsia"/>
              </w:rPr>
              <w:t xml:space="preserve"> </w:t>
            </w:r>
            <w:r w:rsidR="00552081">
              <w:rPr>
                <w:rFonts w:eastAsiaTheme="minorEastAsia"/>
              </w:rPr>
              <w:t>most likely du</w:t>
            </w:r>
            <w:r w:rsidR="00FD2EE8">
              <w:rPr>
                <w:rFonts w:eastAsiaTheme="minorEastAsia"/>
              </w:rPr>
              <w:t>e</w:t>
            </w:r>
            <w:r w:rsidR="00552081">
              <w:rPr>
                <w:rFonts w:eastAsiaTheme="minorEastAsia"/>
              </w:rPr>
              <w:t xml:space="preserve"> to </w:t>
            </w:r>
            <w:r w:rsidR="000044ED">
              <w:rPr>
                <w:rFonts w:eastAsiaTheme="minorEastAsia"/>
              </w:rPr>
              <w:t xml:space="preserve">expectations </w:t>
            </w:r>
            <w:r w:rsidR="00552081">
              <w:rPr>
                <w:rFonts w:eastAsiaTheme="minorEastAsia"/>
              </w:rPr>
              <w:t>being</w:t>
            </w:r>
            <w:r w:rsidR="000044ED">
              <w:rPr>
                <w:rFonts w:eastAsiaTheme="minorEastAsia"/>
              </w:rPr>
              <w:t xml:space="preserve"> set too high and </w:t>
            </w:r>
            <w:r w:rsidR="00FD2EE8">
              <w:rPr>
                <w:rFonts w:eastAsiaTheme="minorEastAsia"/>
              </w:rPr>
              <w:t>insufficient</w:t>
            </w:r>
            <w:r w:rsidR="000044ED">
              <w:rPr>
                <w:rFonts w:eastAsiaTheme="minorEastAsia"/>
              </w:rPr>
              <w:t xml:space="preserve"> time built</w:t>
            </w:r>
            <w:r w:rsidR="00362810">
              <w:rPr>
                <w:rFonts w:eastAsiaTheme="minorEastAsia"/>
              </w:rPr>
              <w:t xml:space="preserve"> in </w:t>
            </w:r>
            <w:r w:rsidR="00FD2EE8">
              <w:rPr>
                <w:rFonts w:eastAsiaTheme="minorEastAsia"/>
              </w:rPr>
              <w:t xml:space="preserve">the project design </w:t>
            </w:r>
            <w:r w:rsidR="00362810">
              <w:rPr>
                <w:rFonts w:eastAsiaTheme="minorEastAsia"/>
              </w:rPr>
              <w:t xml:space="preserve">for </w:t>
            </w:r>
            <w:r w:rsidR="00C903C6">
              <w:rPr>
                <w:rFonts w:eastAsiaTheme="minorEastAsia"/>
              </w:rPr>
              <w:t>scoping.</w:t>
            </w:r>
            <w:r w:rsidRPr="00E813B0">
              <w:rPr>
                <w:rFonts w:eastAsiaTheme="minorEastAsia"/>
              </w:rPr>
              <w:t xml:space="preserve"> The </w:t>
            </w:r>
            <w:r w:rsidR="00CF1633" w:rsidRPr="00E813B0">
              <w:rPr>
                <w:rFonts w:eastAsiaTheme="minorEastAsia"/>
              </w:rPr>
              <w:t>UKTAP</w:t>
            </w:r>
            <w:r w:rsidRPr="00E813B0">
              <w:rPr>
                <w:rFonts w:eastAsiaTheme="minorEastAsia"/>
              </w:rPr>
              <w:t xml:space="preserve"> TA spent a year on inception activities instead of the </w:t>
            </w:r>
            <w:r w:rsidR="004959D9" w:rsidRPr="00E813B0">
              <w:rPr>
                <w:rFonts w:eastAsiaTheme="minorEastAsia"/>
              </w:rPr>
              <w:t xml:space="preserve">expected </w:t>
            </w:r>
            <w:r w:rsidR="006C6E16">
              <w:rPr>
                <w:rFonts w:eastAsiaTheme="minorEastAsia"/>
              </w:rPr>
              <w:t>four</w:t>
            </w:r>
            <w:r w:rsidRPr="00E813B0">
              <w:rPr>
                <w:rFonts w:eastAsiaTheme="minorEastAsia"/>
              </w:rPr>
              <w:t xml:space="preserve"> months. The delivery by the </w:t>
            </w:r>
            <w:r w:rsidR="000D7A1D">
              <w:rPr>
                <w:rFonts w:eastAsiaTheme="minorEastAsia"/>
              </w:rPr>
              <w:t>UKTA</w:t>
            </w:r>
            <w:r w:rsidR="00F42FFF">
              <w:rPr>
                <w:rFonts w:eastAsiaTheme="minorEastAsia"/>
              </w:rPr>
              <w:t>P</w:t>
            </w:r>
            <w:r w:rsidRPr="00E813B0">
              <w:rPr>
                <w:rFonts w:eastAsiaTheme="minorEastAsia"/>
              </w:rPr>
              <w:t xml:space="preserve"> consortium and UN</w:t>
            </w:r>
            <w:r w:rsidR="00E15E74" w:rsidRPr="00E813B0">
              <w:rPr>
                <w:rFonts w:eastAsiaTheme="minorEastAsia"/>
              </w:rPr>
              <w:t>-</w:t>
            </w:r>
            <w:r w:rsidRPr="00E813B0">
              <w:rPr>
                <w:rFonts w:eastAsiaTheme="minorEastAsia"/>
              </w:rPr>
              <w:t>REDD was f</w:t>
            </w:r>
            <w:r w:rsidR="00FF5B3F" w:rsidRPr="00E813B0">
              <w:rPr>
                <w:rFonts w:eastAsiaTheme="minorEastAsia"/>
              </w:rPr>
              <w:t xml:space="preserve">ragmented, overlapping, </w:t>
            </w:r>
            <w:r w:rsidR="008D1B86" w:rsidRPr="00E813B0">
              <w:rPr>
                <w:rFonts w:eastAsiaTheme="minorEastAsia"/>
              </w:rPr>
              <w:t>un</w:t>
            </w:r>
            <w:r w:rsidR="00FF5B3F" w:rsidRPr="00E813B0">
              <w:rPr>
                <w:rFonts w:eastAsiaTheme="minorEastAsia"/>
              </w:rPr>
              <w:t xml:space="preserve">coordinated, </w:t>
            </w:r>
            <w:r w:rsidRPr="00E813B0">
              <w:rPr>
                <w:rFonts w:eastAsiaTheme="minorEastAsia"/>
              </w:rPr>
              <w:t>a</w:t>
            </w:r>
            <w:r w:rsidR="003F0ABF">
              <w:rPr>
                <w:rFonts w:eastAsiaTheme="minorEastAsia"/>
              </w:rPr>
              <w:t xml:space="preserve">nd, </w:t>
            </w:r>
            <w:r w:rsidR="0074749E">
              <w:rPr>
                <w:rFonts w:eastAsiaTheme="minorEastAsia"/>
              </w:rPr>
              <w:t>following the project objectives,</w:t>
            </w:r>
            <w:r w:rsidRPr="00E813B0">
              <w:rPr>
                <w:rFonts w:eastAsiaTheme="minorEastAsia"/>
              </w:rPr>
              <w:t xml:space="preserve"> </w:t>
            </w:r>
            <w:r w:rsidR="008D1B86" w:rsidRPr="00E813B0">
              <w:rPr>
                <w:rFonts w:eastAsiaTheme="minorEastAsia"/>
              </w:rPr>
              <w:t>highly</w:t>
            </w:r>
            <w:r w:rsidRPr="00E813B0">
              <w:rPr>
                <w:rFonts w:eastAsiaTheme="minorEastAsia"/>
              </w:rPr>
              <w:t xml:space="preserve"> </w:t>
            </w:r>
            <w:r w:rsidR="00FF5B3F" w:rsidRPr="00E813B0">
              <w:rPr>
                <w:rFonts w:eastAsiaTheme="minorEastAsia"/>
              </w:rPr>
              <w:t>focus</w:t>
            </w:r>
            <w:r w:rsidR="008D1B86" w:rsidRPr="00E813B0">
              <w:rPr>
                <w:rFonts w:eastAsiaTheme="minorEastAsia"/>
              </w:rPr>
              <w:t>ed</w:t>
            </w:r>
            <w:r w:rsidR="00FF5B3F" w:rsidRPr="00E813B0">
              <w:rPr>
                <w:rFonts w:eastAsiaTheme="minorEastAsia"/>
              </w:rPr>
              <w:t xml:space="preserve"> on tasks</w:t>
            </w:r>
            <w:r w:rsidR="00AC4010">
              <w:rPr>
                <w:rFonts w:eastAsiaTheme="minorEastAsia"/>
              </w:rPr>
              <w:t xml:space="preserve"> for LEAF delivery</w:t>
            </w:r>
            <w:r w:rsidR="00C84C14">
              <w:rPr>
                <w:rFonts w:eastAsiaTheme="minorEastAsia"/>
              </w:rPr>
              <w:t xml:space="preserve">. </w:t>
            </w:r>
            <w:r w:rsidR="0074749E">
              <w:rPr>
                <w:rFonts w:eastAsiaTheme="minorEastAsia"/>
              </w:rPr>
              <w:t>L</w:t>
            </w:r>
            <w:r w:rsidR="00FF5B3F" w:rsidRPr="00E813B0">
              <w:rPr>
                <w:rFonts w:eastAsiaTheme="minorEastAsia"/>
              </w:rPr>
              <w:t>ong</w:t>
            </w:r>
            <w:r w:rsidR="00893DDD">
              <w:rPr>
                <w:rFonts w:eastAsiaTheme="minorEastAsia"/>
              </w:rPr>
              <w:t>er</w:t>
            </w:r>
            <w:r w:rsidR="00FF5B3F" w:rsidRPr="00E813B0">
              <w:rPr>
                <w:rFonts w:eastAsiaTheme="minorEastAsia"/>
              </w:rPr>
              <w:t xml:space="preserve"> term capacity building</w:t>
            </w:r>
            <w:r w:rsidR="00C84C14">
              <w:rPr>
                <w:rFonts w:eastAsiaTheme="minorEastAsia"/>
              </w:rPr>
              <w:t xml:space="preserve"> </w:t>
            </w:r>
            <w:r w:rsidR="0074749E">
              <w:rPr>
                <w:rFonts w:eastAsiaTheme="minorEastAsia"/>
              </w:rPr>
              <w:t>could</w:t>
            </w:r>
            <w:r w:rsidR="00C84C14">
              <w:rPr>
                <w:rFonts w:eastAsiaTheme="minorEastAsia"/>
              </w:rPr>
              <w:t xml:space="preserve"> have been more effective</w:t>
            </w:r>
            <w:r w:rsidR="0024631B">
              <w:rPr>
                <w:rFonts w:eastAsiaTheme="minorEastAsia"/>
              </w:rPr>
              <w:t xml:space="preserve"> and should be considered in future</w:t>
            </w:r>
            <w:r w:rsidR="00C84C14">
              <w:rPr>
                <w:rFonts w:eastAsiaTheme="minorEastAsia"/>
              </w:rPr>
              <w:t>.</w:t>
            </w:r>
            <w:r w:rsidR="00FF5B3F" w:rsidRPr="00E813B0">
              <w:rPr>
                <w:rFonts w:eastAsiaTheme="minorEastAsia"/>
              </w:rPr>
              <w:t xml:space="preserve"> </w:t>
            </w:r>
            <w:r w:rsidR="00E70504">
              <w:rPr>
                <w:rFonts w:eastAsiaTheme="minorEastAsia"/>
              </w:rPr>
              <w:t xml:space="preserve">Although there is a </w:t>
            </w:r>
            <w:r w:rsidR="00FB6FA8">
              <w:rPr>
                <w:rFonts w:eastAsiaTheme="minorEastAsia"/>
              </w:rPr>
              <w:t xml:space="preserve"> QA </w:t>
            </w:r>
            <w:r w:rsidR="00147F27">
              <w:rPr>
                <w:rFonts w:eastAsiaTheme="minorEastAsia"/>
              </w:rPr>
              <w:t>process for the TA packages</w:t>
            </w:r>
            <w:r w:rsidR="0010512F">
              <w:rPr>
                <w:rFonts w:eastAsiaTheme="minorEastAsia"/>
              </w:rPr>
              <w:t xml:space="preserve"> this was not shared to the evaluation team therefore we cannot comment on its usefulness.</w:t>
            </w:r>
            <w:r w:rsidR="00FB6FA8">
              <w:rPr>
                <w:rFonts w:eastAsiaTheme="minorEastAsia"/>
              </w:rPr>
              <w:t xml:space="preserve"> </w:t>
            </w:r>
            <w:r w:rsidR="00271700">
              <w:rPr>
                <w:rFonts w:eastAsiaTheme="minorEastAsia"/>
              </w:rPr>
              <w:t xml:space="preserve">There </w:t>
            </w:r>
            <w:r w:rsidR="001A6144">
              <w:rPr>
                <w:rFonts w:eastAsiaTheme="minorEastAsia"/>
              </w:rPr>
              <w:t>was initially</w:t>
            </w:r>
            <w:r w:rsidR="00271700">
              <w:rPr>
                <w:rFonts w:eastAsiaTheme="minorEastAsia"/>
              </w:rPr>
              <w:t xml:space="preserve"> limited coordination between UKTAP and UN</w:t>
            </w:r>
            <w:r w:rsidR="00414BD9">
              <w:rPr>
                <w:rFonts w:eastAsiaTheme="minorEastAsia"/>
              </w:rPr>
              <w:t>-REDD</w:t>
            </w:r>
            <w:r w:rsidR="001A6144">
              <w:rPr>
                <w:rFonts w:eastAsiaTheme="minorEastAsia"/>
              </w:rPr>
              <w:t xml:space="preserve"> in individual countries. </w:t>
            </w:r>
            <w:r w:rsidRPr="00E813B0">
              <w:rPr>
                <w:rFonts w:eastAsiaTheme="minorEastAsia"/>
              </w:rPr>
              <w:t xml:space="preserve">There was </w:t>
            </w:r>
            <w:r w:rsidR="008D1B86" w:rsidRPr="00E813B0">
              <w:rPr>
                <w:rFonts w:eastAsiaTheme="minorEastAsia"/>
              </w:rPr>
              <w:t>insufficient</w:t>
            </w:r>
            <w:r w:rsidRPr="00E813B0">
              <w:rPr>
                <w:rFonts w:eastAsiaTheme="minorEastAsia"/>
              </w:rPr>
              <w:t xml:space="preserve"> on</w:t>
            </w:r>
            <w:r w:rsidR="008D1B86" w:rsidRPr="00E813B0">
              <w:rPr>
                <w:rFonts w:eastAsiaTheme="minorEastAsia"/>
              </w:rPr>
              <w:t>-</w:t>
            </w:r>
            <w:r w:rsidR="00FF5B3F" w:rsidRPr="00E813B0">
              <w:rPr>
                <w:rFonts w:eastAsiaTheme="minorEastAsia"/>
              </w:rPr>
              <w:t>the</w:t>
            </w:r>
            <w:r w:rsidR="008D1B86" w:rsidRPr="00E813B0">
              <w:rPr>
                <w:rFonts w:eastAsiaTheme="minorEastAsia"/>
              </w:rPr>
              <w:t>-</w:t>
            </w:r>
            <w:r w:rsidR="00FF5B3F" w:rsidRPr="00E813B0">
              <w:rPr>
                <w:rFonts w:eastAsiaTheme="minorEastAsia"/>
              </w:rPr>
              <w:t>ground presence</w:t>
            </w:r>
            <w:r w:rsidR="00246DF7">
              <w:rPr>
                <w:rFonts w:eastAsiaTheme="minorEastAsia"/>
              </w:rPr>
              <w:t xml:space="preserve"> from UKTAP which</w:t>
            </w:r>
            <w:r w:rsidR="006C5815">
              <w:rPr>
                <w:rFonts w:eastAsiaTheme="minorEastAsia"/>
              </w:rPr>
              <w:t>,</w:t>
            </w:r>
            <w:r w:rsidR="00246DF7">
              <w:rPr>
                <w:rFonts w:eastAsiaTheme="minorEastAsia"/>
              </w:rPr>
              <w:t xml:space="preserve"> when combined with the</w:t>
            </w:r>
            <w:r w:rsidR="00064D23">
              <w:rPr>
                <w:rFonts w:eastAsiaTheme="minorEastAsia"/>
              </w:rPr>
              <w:t xml:space="preserve"> </w:t>
            </w:r>
            <w:r w:rsidRPr="00E813B0">
              <w:rPr>
                <w:rFonts w:eastAsiaTheme="minorEastAsia"/>
              </w:rPr>
              <w:t>2</w:t>
            </w:r>
            <w:r w:rsidR="004D144E" w:rsidRPr="00E813B0">
              <w:rPr>
                <w:rFonts w:eastAsiaTheme="minorEastAsia"/>
              </w:rPr>
              <w:t>-</w:t>
            </w:r>
            <w:r w:rsidRPr="00E813B0">
              <w:rPr>
                <w:rFonts w:eastAsiaTheme="minorEastAsia"/>
              </w:rPr>
              <w:t xml:space="preserve">year </w:t>
            </w:r>
            <w:r w:rsidR="00B32105" w:rsidRPr="00E813B0">
              <w:rPr>
                <w:rFonts w:eastAsiaTheme="minorEastAsia"/>
              </w:rPr>
              <w:t>contract</w:t>
            </w:r>
            <w:r w:rsidR="006C5815">
              <w:rPr>
                <w:rFonts w:eastAsiaTheme="minorEastAsia"/>
              </w:rPr>
              <w:t>,</w:t>
            </w:r>
            <w:r w:rsidR="00246DF7">
              <w:rPr>
                <w:rFonts w:eastAsiaTheme="minorEastAsia"/>
              </w:rPr>
              <w:t xml:space="preserve"> reduced the efficiency of deliver</w:t>
            </w:r>
            <w:r w:rsidR="00962639">
              <w:rPr>
                <w:rFonts w:eastAsiaTheme="minorEastAsia"/>
              </w:rPr>
              <w:t>y</w:t>
            </w:r>
            <w:r w:rsidR="006B5A86">
              <w:rPr>
                <w:rFonts w:eastAsiaTheme="minorEastAsia"/>
              </w:rPr>
              <w:t xml:space="preserve">. </w:t>
            </w:r>
            <w:r w:rsidR="00C07D81">
              <w:rPr>
                <w:rFonts w:eastAsiaTheme="minorEastAsia"/>
              </w:rPr>
              <w:t xml:space="preserve"> </w:t>
            </w:r>
            <w:r w:rsidR="006B5A86">
              <w:rPr>
                <w:rFonts w:eastAsiaTheme="minorEastAsia"/>
              </w:rPr>
              <w:t>H</w:t>
            </w:r>
            <w:r w:rsidR="00C07D81">
              <w:rPr>
                <w:rFonts w:eastAsiaTheme="minorEastAsia"/>
              </w:rPr>
              <w:t>owever, t</w:t>
            </w:r>
            <w:r w:rsidR="008F522F">
              <w:rPr>
                <w:rFonts w:eastAsiaTheme="minorEastAsia"/>
              </w:rPr>
              <w:t xml:space="preserve">he UKTAP contract </w:t>
            </w:r>
            <w:r w:rsidR="00481B46">
              <w:rPr>
                <w:rFonts w:eastAsiaTheme="minorEastAsia"/>
              </w:rPr>
              <w:t>has</w:t>
            </w:r>
            <w:r w:rsidR="00F568F8">
              <w:rPr>
                <w:rFonts w:eastAsiaTheme="minorEastAsia"/>
              </w:rPr>
              <w:t xml:space="preserve"> an </w:t>
            </w:r>
            <w:r w:rsidR="008F522F">
              <w:rPr>
                <w:rFonts w:eastAsiaTheme="minorEastAsia"/>
              </w:rPr>
              <w:t xml:space="preserve">option for a </w:t>
            </w:r>
            <w:r w:rsidR="00991E3F">
              <w:rPr>
                <w:rFonts w:eastAsiaTheme="minorEastAsia"/>
              </w:rPr>
              <w:t>2-year</w:t>
            </w:r>
            <w:r w:rsidR="008F522F">
              <w:rPr>
                <w:rFonts w:eastAsiaTheme="minorEastAsia"/>
              </w:rPr>
              <w:t xml:space="preserve"> costed </w:t>
            </w:r>
            <w:r w:rsidR="00F568F8">
              <w:rPr>
                <w:rFonts w:eastAsiaTheme="minorEastAsia"/>
              </w:rPr>
              <w:t>extension</w:t>
            </w:r>
            <w:r w:rsidR="00C07D81">
              <w:rPr>
                <w:rFonts w:eastAsiaTheme="minorEastAsia"/>
              </w:rPr>
              <w:t>.</w:t>
            </w:r>
            <w:r w:rsidR="00F568F8">
              <w:rPr>
                <w:rFonts w:eastAsiaTheme="minorEastAsia"/>
              </w:rPr>
              <w:t xml:space="preserve"> </w:t>
            </w:r>
            <w:r w:rsidRPr="00E813B0">
              <w:rPr>
                <w:rFonts w:eastAsiaTheme="minorEastAsia"/>
              </w:rPr>
              <w:t xml:space="preserve">There were some positive comments about the staff deployed and the consultancy style leading to a wide coverage across </w:t>
            </w:r>
            <w:r w:rsidR="00EC3E01" w:rsidRPr="00E813B0">
              <w:rPr>
                <w:rFonts w:eastAsiaTheme="minorEastAsia"/>
              </w:rPr>
              <w:t>countries.</w:t>
            </w:r>
          </w:p>
        </w:tc>
        <w:tc>
          <w:tcPr>
            <w:tcW w:w="1577" w:type="dxa"/>
          </w:tcPr>
          <w:p w14:paraId="05057800" w14:textId="00CE70FD" w:rsidR="00193ED4" w:rsidRPr="00E813B0" w:rsidRDefault="00193ED4" w:rsidP="00193ED4">
            <w:pPr>
              <w:rPr>
                <w:rStyle w:val="Boldtext"/>
              </w:rPr>
            </w:pPr>
            <w:r w:rsidRPr="00E813B0">
              <w:rPr>
                <w:rStyle w:val="Boldtext"/>
              </w:rPr>
              <w:t>Medium</w:t>
            </w:r>
          </w:p>
        </w:tc>
      </w:tr>
    </w:tbl>
    <w:p w14:paraId="7481C3A8" w14:textId="3E9E0BBF" w:rsidR="00FA24B3" w:rsidRDefault="00CD4086" w:rsidP="00FA24B3">
      <w:r w:rsidRPr="00E813B0">
        <w:rPr>
          <w:rStyle w:val="Boldtext"/>
        </w:rPr>
        <w:t xml:space="preserve">The </w:t>
      </w:r>
      <w:r w:rsidR="00697776">
        <w:rPr>
          <w:rStyle w:val="Boldtext"/>
        </w:rPr>
        <w:t>profil</w:t>
      </w:r>
      <w:r w:rsidR="00795103">
        <w:rPr>
          <w:rStyle w:val="Boldtext"/>
        </w:rPr>
        <w:t>e</w:t>
      </w:r>
      <w:r w:rsidR="00697776">
        <w:rPr>
          <w:rStyle w:val="Boldtext"/>
        </w:rPr>
        <w:t xml:space="preserve"> on </w:t>
      </w:r>
      <w:r w:rsidR="004C0CCD" w:rsidRPr="00E813B0">
        <w:rPr>
          <w:rStyle w:val="Boldtext"/>
        </w:rPr>
        <w:t>TA</w:t>
      </w:r>
      <w:r w:rsidRPr="00E813B0">
        <w:rPr>
          <w:rStyle w:val="Boldtext"/>
        </w:rPr>
        <w:t xml:space="preserve"> </w:t>
      </w:r>
      <w:r w:rsidR="00697776">
        <w:rPr>
          <w:rStyle w:val="Boldtext"/>
        </w:rPr>
        <w:t>spend differed from expectations with more time spent on needs assessment</w:t>
      </w:r>
      <w:r w:rsidR="00795103">
        <w:rPr>
          <w:rStyle w:val="Boldtext"/>
        </w:rPr>
        <w:t xml:space="preserve">, </w:t>
      </w:r>
      <w:r w:rsidR="003552E9">
        <w:rPr>
          <w:rStyle w:val="Boldtext"/>
        </w:rPr>
        <w:t>leaving proportionately less time for delivery</w:t>
      </w:r>
      <w:r w:rsidR="002637D2">
        <w:rPr>
          <w:rStyle w:val="Boldtext"/>
        </w:rPr>
        <w:t>. However</w:t>
      </w:r>
      <w:r w:rsidR="00327A5E">
        <w:rPr>
          <w:rStyle w:val="Boldtext"/>
        </w:rPr>
        <w:t>, it is noted</w:t>
      </w:r>
      <w:r w:rsidR="005B5B2D">
        <w:rPr>
          <w:rStyle w:val="Boldtext"/>
        </w:rPr>
        <w:t xml:space="preserve"> that </w:t>
      </w:r>
      <w:r w:rsidR="005740DE">
        <w:rPr>
          <w:rStyle w:val="Boldtext"/>
        </w:rPr>
        <w:t>TA was delivered to all priority HJs within the overall agreed budget.</w:t>
      </w:r>
      <w:r w:rsidRPr="00E813B0">
        <w:rPr>
          <w:rStyle w:val="Boldtext"/>
        </w:rPr>
        <w:t xml:space="preserve"> </w:t>
      </w:r>
      <w:r w:rsidRPr="00E813B0">
        <w:t xml:space="preserve"> </w:t>
      </w:r>
      <w:r w:rsidR="0088541B">
        <w:t>UKTAP</w:t>
      </w:r>
      <w:r w:rsidR="00133D78" w:rsidRPr="00E813B0">
        <w:t xml:space="preserve"> was slow at the beginning </w:t>
      </w:r>
      <w:r w:rsidR="002A62C6">
        <w:t>to move through</w:t>
      </w:r>
      <w:r w:rsidR="002A62C6" w:rsidRPr="00CD4086">
        <w:t xml:space="preserve"> </w:t>
      </w:r>
      <w:r w:rsidR="002224D1">
        <w:t xml:space="preserve">the </w:t>
      </w:r>
      <w:r w:rsidRPr="00E813B0">
        <w:t xml:space="preserve">due diligence process </w:t>
      </w:r>
      <w:r w:rsidR="00555B85">
        <w:t>with</w:t>
      </w:r>
      <w:r w:rsidR="006E6B01" w:rsidRPr="00E813B0">
        <w:t xml:space="preserve"> </w:t>
      </w:r>
      <w:r w:rsidRPr="00E813B0">
        <w:t>KPMG</w:t>
      </w:r>
      <w:r w:rsidR="00555B85">
        <w:t xml:space="preserve"> </w:t>
      </w:r>
      <w:r w:rsidR="00B71774">
        <w:t xml:space="preserve">and </w:t>
      </w:r>
      <w:r w:rsidR="000C0966">
        <w:t>agree on</w:t>
      </w:r>
      <w:r w:rsidR="00B71774">
        <w:t xml:space="preserve"> recommendations</w:t>
      </w:r>
      <w:r w:rsidR="0065647A">
        <w:t>.</w:t>
      </w:r>
      <w:r w:rsidR="0065647A" w:rsidRPr="00E813B0">
        <w:t xml:space="preserve"> N</w:t>
      </w:r>
      <w:r w:rsidRPr="00E813B0">
        <w:t>eeds assessment took much longer than expected (</w:t>
      </w:r>
      <w:r w:rsidR="006C6E16">
        <w:t>one</w:t>
      </w:r>
      <w:r w:rsidR="000054DC" w:rsidRPr="00E813B0">
        <w:t xml:space="preserve"> </w:t>
      </w:r>
      <w:r w:rsidRPr="00E813B0">
        <w:t xml:space="preserve">year </w:t>
      </w:r>
      <w:r w:rsidR="000054DC" w:rsidRPr="00E813B0">
        <w:t>v</w:t>
      </w:r>
      <w:r w:rsidR="004B796A" w:rsidRPr="00E813B0">
        <w:t>ersus</w:t>
      </w:r>
      <w:r w:rsidR="000054DC" w:rsidRPr="00E813B0">
        <w:t xml:space="preserve"> </w:t>
      </w:r>
      <w:r w:rsidR="00E3525C">
        <w:t xml:space="preserve">planned </w:t>
      </w:r>
      <w:r w:rsidR="006C6E16">
        <w:t>four</w:t>
      </w:r>
      <w:r w:rsidRPr="00E813B0">
        <w:t xml:space="preserve"> months). </w:t>
      </w:r>
      <w:r w:rsidR="00554494">
        <w:t>Within</w:t>
      </w:r>
      <w:r w:rsidR="00990C76" w:rsidRPr="00E813B0">
        <w:t xml:space="preserve"> </w:t>
      </w:r>
      <w:r w:rsidR="00652420" w:rsidRPr="00E813B0">
        <w:t>t</w:t>
      </w:r>
      <w:r w:rsidR="005200AD" w:rsidRPr="00E813B0">
        <w:t xml:space="preserve">he </w:t>
      </w:r>
      <w:r w:rsidR="00554494">
        <w:t xml:space="preserve">UN-REDD TA there was </w:t>
      </w:r>
      <w:r w:rsidR="00EE1062">
        <w:t xml:space="preserve">some </w:t>
      </w:r>
      <w:r w:rsidR="005200AD" w:rsidRPr="00E813B0">
        <w:t>s</w:t>
      </w:r>
      <w:r w:rsidRPr="00E813B0">
        <w:t xml:space="preserve">low progress in Bolivia. Inefficiencies </w:t>
      </w:r>
      <w:r w:rsidR="000B1E51" w:rsidRPr="00E813B0">
        <w:t xml:space="preserve">were </w:t>
      </w:r>
      <w:r w:rsidRPr="00E813B0">
        <w:t>underscored by a lack of binding contracts with HJs.</w:t>
      </w:r>
      <w:r w:rsidR="00FA24B3" w:rsidRPr="00E813B0">
        <w:t xml:space="preserve"> </w:t>
      </w:r>
    </w:p>
    <w:p w14:paraId="2155A22E" w14:textId="66754361" w:rsidR="001A0061" w:rsidRPr="00E813B0" w:rsidRDefault="001A0061" w:rsidP="00FA24B3">
      <w:r>
        <w:t xml:space="preserve">The </w:t>
      </w:r>
      <w:r w:rsidRPr="001A0061">
        <w:t xml:space="preserve">programme </w:t>
      </w:r>
      <w:r>
        <w:t>objective, as part of the original design</w:t>
      </w:r>
      <w:r w:rsidR="000C3DA1">
        <w:t>,</w:t>
      </w:r>
      <w:r>
        <w:t xml:space="preserve"> </w:t>
      </w:r>
      <w:r w:rsidRPr="001A0061">
        <w:t>was to focus on more advanced countries and address specific blockers to reaching ERPA signing and issuance</w:t>
      </w:r>
      <w:r w:rsidR="00F00969">
        <w:t>,</w:t>
      </w:r>
      <w:r w:rsidR="00F52FBF">
        <w:t xml:space="preserve"> </w:t>
      </w:r>
      <w:r w:rsidR="00643189">
        <w:t xml:space="preserve">as well as </w:t>
      </w:r>
      <w:r w:rsidR="00643189">
        <w:lastRenderedPageBreak/>
        <w:t xml:space="preserve">capitalising on </w:t>
      </w:r>
      <w:r w:rsidR="008C7A94" w:rsidRPr="008C7A94">
        <w:t xml:space="preserve">bilateral work previously undertaken outside of LEAF. </w:t>
      </w:r>
      <w:r w:rsidR="00CE11E6">
        <w:t>Going forward</w:t>
      </w:r>
      <w:r w:rsidR="00153501">
        <w:t>, it is recommended that</w:t>
      </w:r>
      <w:r w:rsidR="006A1533">
        <w:t>, f</w:t>
      </w:r>
      <w:r w:rsidR="008C7A94" w:rsidRPr="008C7A94">
        <w:t xml:space="preserve">or less affluent countries, </w:t>
      </w:r>
      <w:r w:rsidR="00B364B9">
        <w:t xml:space="preserve">LEAF moves away from </w:t>
      </w:r>
      <w:r w:rsidR="008C7A94" w:rsidRPr="008C7A94">
        <w:t xml:space="preserve">small support packages spread over multiple countries </w:t>
      </w:r>
      <w:r w:rsidR="00CE11E6">
        <w:t>that</w:t>
      </w:r>
      <w:r w:rsidR="008C7A94" w:rsidRPr="008C7A94">
        <w:t xml:space="preserve"> focus on specific technical issues </w:t>
      </w:r>
      <w:r w:rsidR="004C302B">
        <w:t>over</w:t>
      </w:r>
      <w:r w:rsidR="008C7A94" w:rsidRPr="008C7A94">
        <w:t xml:space="preserve"> </w:t>
      </w:r>
      <w:r w:rsidR="004C302B">
        <w:t>more</w:t>
      </w:r>
      <w:r w:rsidR="008C7A94" w:rsidRPr="008C7A94">
        <w:t xml:space="preserve"> holistic, country-led support. Instead</w:t>
      </w:r>
      <w:r w:rsidR="006A1533">
        <w:t>,</w:t>
      </w:r>
      <w:r w:rsidR="008C7A94" w:rsidRPr="008C7A94">
        <w:t xml:space="preserve"> a longer-term capacity building type support </w:t>
      </w:r>
      <w:r w:rsidR="0097132E">
        <w:t>could potentially</w:t>
      </w:r>
      <w:r w:rsidR="008C7A94" w:rsidRPr="008C7A94">
        <w:t xml:space="preserve"> </w:t>
      </w:r>
      <w:r w:rsidR="0097132E">
        <w:t xml:space="preserve">meet </w:t>
      </w:r>
      <w:r w:rsidR="008C7A94" w:rsidRPr="008C7A94">
        <w:t>needs better in this context.</w:t>
      </w:r>
    </w:p>
    <w:p w14:paraId="18D5007C" w14:textId="00864C65" w:rsidR="00CD4086" w:rsidRPr="00E813B0" w:rsidRDefault="00167866" w:rsidP="005F5DDB">
      <w:r w:rsidRPr="001B5440">
        <w:rPr>
          <w:rStyle w:val="Boldtext"/>
        </w:rPr>
        <w:t>A</w:t>
      </w:r>
      <w:r w:rsidR="007C540F" w:rsidRPr="001B5440">
        <w:rPr>
          <w:rStyle w:val="Boldtext"/>
        </w:rPr>
        <w:t xml:space="preserve"> </w:t>
      </w:r>
      <w:r w:rsidRPr="001B5440">
        <w:rPr>
          <w:rStyle w:val="Boldtext"/>
        </w:rPr>
        <w:t>TA</w:t>
      </w:r>
      <w:r w:rsidR="007C540F" w:rsidRPr="001B5440">
        <w:rPr>
          <w:rStyle w:val="Boldtext"/>
        </w:rPr>
        <w:t xml:space="preserve"> coordination group with UN-REDD was set up and trialled but stopped as they found it was not adding value over more focused, jurisdiction-specific meetings. Better value </w:t>
      </w:r>
      <w:r w:rsidR="00693E0A" w:rsidRPr="001B5440">
        <w:rPr>
          <w:rStyle w:val="Boldtext"/>
        </w:rPr>
        <w:t>c</w:t>
      </w:r>
      <w:r w:rsidR="007C540F" w:rsidRPr="001B5440">
        <w:rPr>
          <w:rStyle w:val="Boldtext"/>
        </w:rPr>
        <w:t xml:space="preserve">ould have been </w:t>
      </w:r>
      <w:r w:rsidR="008C62B1" w:rsidRPr="001B5440">
        <w:rPr>
          <w:rStyle w:val="Boldtext"/>
        </w:rPr>
        <w:t xml:space="preserve">achieved by </w:t>
      </w:r>
      <w:r w:rsidR="009F57F7" w:rsidRPr="001B5440">
        <w:rPr>
          <w:rStyle w:val="Boldtext"/>
        </w:rPr>
        <w:t>improved</w:t>
      </w:r>
      <w:r w:rsidR="007C540F" w:rsidRPr="001B5440">
        <w:rPr>
          <w:rStyle w:val="Boldtext"/>
        </w:rPr>
        <w:t xml:space="preserve"> coordination on the ground</w:t>
      </w:r>
      <w:r w:rsidR="007C540F" w:rsidRPr="00E813B0">
        <w:t xml:space="preserve">. </w:t>
      </w:r>
      <w:r w:rsidR="009F57F7" w:rsidRPr="00E813B0">
        <w:t>E</w:t>
      </w:r>
      <w:r w:rsidR="00F27433" w:rsidRPr="00E813B0">
        <w:t xml:space="preserve">ach </w:t>
      </w:r>
      <w:r w:rsidR="009F57F7" w:rsidRPr="00E813B0">
        <w:t xml:space="preserve">TA </w:t>
      </w:r>
      <w:r w:rsidR="00F27433" w:rsidRPr="00E813B0">
        <w:t>organi</w:t>
      </w:r>
      <w:r w:rsidR="00164660" w:rsidRPr="00E813B0">
        <w:t>s</w:t>
      </w:r>
      <w:r w:rsidR="00F27433" w:rsidRPr="00E813B0">
        <w:t>ation follow</w:t>
      </w:r>
      <w:r w:rsidR="00173D69">
        <w:t>s</w:t>
      </w:r>
      <w:r w:rsidR="00F27433" w:rsidRPr="00E813B0">
        <w:t xml:space="preserve"> its own systems for tracking impacts and results</w:t>
      </w:r>
      <w:r w:rsidR="00F33F38">
        <w:t xml:space="preserve">. </w:t>
      </w:r>
      <w:r w:rsidR="003A099A">
        <w:t>Although t</w:t>
      </w:r>
      <w:r w:rsidR="00F33F38">
        <w:t xml:space="preserve">here are </w:t>
      </w:r>
      <w:r w:rsidR="003A099A">
        <w:t xml:space="preserve">some </w:t>
      </w:r>
      <w:r w:rsidR="00F33F38">
        <w:t xml:space="preserve">synergies </w:t>
      </w:r>
      <w:r w:rsidR="00635D53">
        <w:t xml:space="preserve">between </w:t>
      </w:r>
      <w:r w:rsidR="00E417AE">
        <w:t xml:space="preserve">within the </w:t>
      </w:r>
      <w:r w:rsidR="00042A37">
        <w:t>LEAF reporting in the TA Logframe</w:t>
      </w:r>
      <w:r w:rsidR="00B228E9">
        <w:t>,</w:t>
      </w:r>
      <w:r w:rsidR="00042A37">
        <w:t xml:space="preserve"> there </w:t>
      </w:r>
      <w:r w:rsidR="00B228E9">
        <w:t>is</w:t>
      </w:r>
      <w:r w:rsidR="00F27433" w:rsidRPr="00E813B0">
        <w:t xml:space="preserve"> no </w:t>
      </w:r>
      <w:r w:rsidR="00B228E9">
        <w:t xml:space="preserve">visible </w:t>
      </w:r>
      <w:r w:rsidR="00F27433" w:rsidRPr="00E813B0">
        <w:t>meta-level coordination</w:t>
      </w:r>
      <w:r w:rsidR="00AD415B">
        <w:t xml:space="preserve">. </w:t>
      </w:r>
      <w:r w:rsidR="0015630D" w:rsidRPr="00E813B0">
        <w:t>P</w:t>
      </w:r>
      <w:r w:rsidR="00F27433" w:rsidRPr="00E813B0">
        <w:t xml:space="preserve">rogress </w:t>
      </w:r>
      <w:r w:rsidR="0015630D" w:rsidRPr="00E813B0">
        <w:t>could be gauged</w:t>
      </w:r>
      <w:r w:rsidR="00F27433" w:rsidRPr="00E813B0">
        <w:t xml:space="preserve"> </w:t>
      </w:r>
      <w:r w:rsidR="001544E2" w:rsidRPr="00E813B0">
        <w:t>by</w:t>
      </w:r>
      <w:r w:rsidR="00F27433" w:rsidRPr="00E813B0">
        <w:t xml:space="preserve"> assess</w:t>
      </w:r>
      <w:r w:rsidR="001544E2" w:rsidRPr="00E813B0">
        <w:t>ing</w:t>
      </w:r>
      <w:r w:rsidR="00F27433" w:rsidRPr="00E813B0">
        <w:t xml:space="preserve"> how well a state </w:t>
      </w:r>
      <w:r w:rsidR="001544E2" w:rsidRPr="00E813B0">
        <w:t xml:space="preserve">advances through </w:t>
      </w:r>
      <w:r w:rsidR="00F27433" w:rsidRPr="00E813B0">
        <w:t xml:space="preserve">the </w:t>
      </w:r>
      <w:r w:rsidR="00B34AAD" w:rsidRPr="00E813B0">
        <w:t xml:space="preserve">different stages of </w:t>
      </w:r>
      <w:r w:rsidR="00F27433" w:rsidRPr="00E813B0">
        <w:t>the ART-TREES process</w:t>
      </w:r>
      <w:r w:rsidR="004B6074">
        <w:t xml:space="preserve"> </w:t>
      </w:r>
      <w:r w:rsidR="00F27433" w:rsidRPr="00E813B0">
        <w:t>e.g., developing concept notes, submitting registration documents, engaging the right stakeholders, and setting up institutions to manage funding. But that type of cross-cutting assessment doesn’t currently exist in any formal or centrali</w:t>
      </w:r>
      <w:r w:rsidR="00B34AAD" w:rsidRPr="00E813B0">
        <w:t>s</w:t>
      </w:r>
      <w:r w:rsidR="00F27433" w:rsidRPr="00E813B0">
        <w:t>ed way.</w:t>
      </w:r>
      <w:r w:rsidR="00602E1C">
        <w:t xml:space="preserve"> </w:t>
      </w:r>
      <w:r w:rsidR="00602E1C" w:rsidRPr="00602E1C">
        <w:t xml:space="preserve">A country level progress tracker </w:t>
      </w:r>
      <w:r w:rsidR="00F938CC">
        <w:t>that</w:t>
      </w:r>
      <w:r w:rsidR="00602E1C" w:rsidRPr="00602E1C">
        <w:t xml:space="preserve"> collates TA from UKTAP and </w:t>
      </w:r>
      <w:r w:rsidR="00F51E9E">
        <w:t>UN-REDD</w:t>
      </w:r>
      <w:r w:rsidR="00602E1C" w:rsidRPr="00602E1C">
        <w:t xml:space="preserve"> work using the stages noted may be </w:t>
      </w:r>
      <w:r w:rsidR="00E41FAF">
        <w:t xml:space="preserve">a </w:t>
      </w:r>
      <w:r w:rsidR="00602E1C" w:rsidRPr="00602E1C">
        <w:t>more practical</w:t>
      </w:r>
      <w:r w:rsidR="00E41FAF">
        <w:t xml:space="preserve"> approach.</w:t>
      </w:r>
    </w:p>
    <w:p w14:paraId="7F670FD6" w14:textId="5E4FEB64" w:rsidR="00AD2947" w:rsidRPr="00E813B0" w:rsidRDefault="00E45274" w:rsidP="005F5DDB">
      <w:r w:rsidRPr="001B5440">
        <w:rPr>
          <w:rStyle w:val="Boldtext"/>
        </w:rPr>
        <w:t>T</w:t>
      </w:r>
      <w:r w:rsidR="00EB1B70" w:rsidRPr="001B5440">
        <w:rPr>
          <w:rStyle w:val="Boldtext"/>
        </w:rPr>
        <w:t>he 2</w:t>
      </w:r>
      <w:r w:rsidR="00B2307E" w:rsidRPr="001B5440">
        <w:rPr>
          <w:rStyle w:val="Boldtext"/>
        </w:rPr>
        <w:t>-</w:t>
      </w:r>
      <w:r w:rsidR="00EB1B70" w:rsidRPr="001B5440">
        <w:rPr>
          <w:rStyle w:val="Boldtext"/>
        </w:rPr>
        <w:t xml:space="preserve">year </w:t>
      </w:r>
      <w:r w:rsidR="00CF1633" w:rsidRPr="001B5440">
        <w:rPr>
          <w:rStyle w:val="Boldtext"/>
        </w:rPr>
        <w:t>UKTAP</w:t>
      </w:r>
      <w:r w:rsidR="009953F3" w:rsidRPr="001B5440">
        <w:rPr>
          <w:rStyle w:val="Boldtext"/>
        </w:rPr>
        <w:t xml:space="preserve"> led </w:t>
      </w:r>
      <w:r w:rsidR="00EB1B70" w:rsidRPr="001B5440">
        <w:rPr>
          <w:rStyle w:val="Boldtext"/>
        </w:rPr>
        <w:t xml:space="preserve">TA window </w:t>
      </w:r>
      <w:r w:rsidRPr="001B5440">
        <w:rPr>
          <w:rStyle w:val="Boldtext"/>
        </w:rPr>
        <w:t xml:space="preserve">was deemed </w:t>
      </w:r>
      <w:r w:rsidR="00B2307E" w:rsidRPr="001B5440">
        <w:rPr>
          <w:rStyle w:val="Boldtext"/>
        </w:rPr>
        <w:t>insufficient</w:t>
      </w:r>
      <w:r w:rsidRPr="001B5440">
        <w:rPr>
          <w:rStyle w:val="Boldtext"/>
        </w:rPr>
        <w:t xml:space="preserve"> in terms of length and budget</w:t>
      </w:r>
      <w:r w:rsidR="007654C8" w:rsidRPr="001B5440">
        <w:rPr>
          <w:rStyle w:val="Boldtext"/>
        </w:rPr>
        <w:t xml:space="preserve"> by stakeholders</w:t>
      </w:r>
      <w:r w:rsidR="00295DA2">
        <w:t>.</w:t>
      </w:r>
      <w:r w:rsidR="00EB1B70" w:rsidRPr="00E813B0">
        <w:t xml:space="preserve"> </w:t>
      </w:r>
      <w:r w:rsidR="007654C8" w:rsidRPr="00E813B0">
        <w:t>D</w:t>
      </w:r>
      <w:r w:rsidR="00EB1B70" w:rsidRPr="00E813B0">
        <w:t xml:space="preserve">iscussions with </w:t>
      </w:r>
      <w:r w:rsidR="004C488C" w:rsidRPr="00E813B0">
        <w:t>HJ</w:t>
      </w:r>
      <w:r w:rsidR="00EB1B70" w:rsidRPr="00E813B0">
        <w:t xml:space="preserve">s </w:t>
      </w:r>
      <w:r w:rsidR="00E20B34" w:rsidRPr="00E813B0">
        <w:t xml:space="preserve">showed </w:t>
      </w:r>
      <w:r w:rsidR="00EB1B70" w:rsidRPr="00E813B0">
        <w:t>that the</w:t>
      </w:r>
      <w:r w:rsidR="00DB336D" w:rsidRPr="00E813B0">
        <w:t>ir</w:t>
      </w:r>
      <w:r w:rsidR="00EB1B70" w:rsidRPr="00E813B0">
        <w:t xml:space="preserve"> absorptive capacity </w:t>
      </w:r>
      <w:r w:rsidR="00DA2D10" w:rsidRPr="00E813B0">
        <w:t xml:space="preserve">is low, so extra funding would not necessarily be </w:t>
      </w:r>
      <w:r w:rsidR="00DB336D" w:rsidRPr="00E813B0">
        <w:t xml:space="preserve">effective. </w:t>
      </w:r>
      <w:r w:rsidR="00AD2947" w:rsidRPr="00E813B0">
        <w:t xml:space="preserve">The TA </w:t>
      </w:r>
      <w:r w:rsidR="007A2EAD" w:rsidRPr="00E813B0">
        <w:t xml:space="preserve">space </w:t>
      </w:r>
      <w:r w:rsidR="00AD2947" w:rsidRPr="00E813B0">
        <w:t xml:space="preserve">is crowded with insufficient coordination and </w:t>
      </w:r>
      <w:r w:rsidR="004C488C" w:rsidRPr="00E813B0">
        <w:t>HJ</w:t>
      </w:r>
      <w:r w:rsidR="00AD2947" w:rsidRPr="00E813B0">
        <w:t xml:space="preserve">s </w:t>
      </w:r>
      <w:r w:rsidR="002F3982">
        <w:t xml:space="preserve">are </w:t>
      </w:r>
      <w:r w:rsidR="00AD2947" w:rsidRPr="00E813B0">
        <w:t xml:space="preserve">overwhelmed. </w:t>
      </w:r>
      <w:r w:rsidR="00D8104F">
        <w:t xml:space="preserve">In </w:t>
      </w:r>
      <w:r w:rsidR="0099188E" w:rsidRPr="00E813B0">
        <w:t>Nepal</w:t>
      </w:r>
      <w:r w:rsidR="00260354">
        <w:t>,</w:t>
      </w:r>
      <w:r w:rsidR="0099188E" w:rsidRPr="00E813B0">
        <w:t xml:space="preserve"> s</w:t>
      </w:r>
      <w:r w:rsidR="0018521E" w:rsidRPr="00E813B0">
        <w:t>takeholders</w:t>
      </w:r>
      <w:r w:rsidR="00EF65AC" w:rsidRPr="00E813B0">
        <w:t xml:space="preserve"> claimed </w:t>
      </w:r>
      <w:r w:rsidR="00AD2947" w:rsidRPr="00E813B0">
        <w:t xml:space="preserve">it was difficult to understand what </w:t>
      </w:r>
      <w:r w:rsidR="004231BA">
        <w:t xml:space="preserve">the </w:t>
      </w:r>
      <w:r w:rsidR="004231BA" w:rsidRPr="004231BA">
        <w:t xml:space="preserve">Food and Agriculture Organization </w:t>
      </w:r>
      <w:r w:rsidR="0052777B">
        <w:t xml:space="preserve">were doing to </w:t>
      </w:r>
      <w:r w:rsidR="003A02FD">
        <w:t>coordinate the various TA actors</w:t>
      </w:r>
      <w:r w:rsidR="00AD2947" w:rsidRPr="00E813B0">
        <w:t xml:space="preserve">. In Ecuador, </w:t>
      </w:r>
      <w:r w:rsidR="00901CA9" w:rsidRPr="00E813B0">
        <w:t xml:space="preserve">the </w:t>
      </w:r>
      <w:r w:rsidR="004C488C" w:rsidRPr="00E813B0">
        <w:t>HJ</w:t>
      </w:r>
      <w:r w:rsidR="00AD2947" w:rsidRPr="00E813B0">
        <w:t xml:space="preserve"> </w:t>
      </w:r>
      <w:r w:rsidR="00C249B3">
        <w:t>was</w:t>
      </w:r>
      <w:r w:rsidR="00C249B3" w:rsidRPr="00E813B0">
        <w:t xml:space="preserve"> </w:t>
      </w:r>
      <w:r w:rsidR="00AD2947" w:rsidRPr="00E813B0">
        <w:t xml:space="preserve">provided </w:t>
      </w:r>
      <w:r w:rsidR="006A72DD">
        <w:t xml:space="preserve">with </w:t>
      </w:r>
      <w:r w:rsidR="00D869CA">
        <w:t>TA but commented that the work was</w:t>
      </w:r>
      <w:r w:rsidR="00FB77BC">
        <w:t xml:space="preserve"> ‘</w:t>
      </w:r>
      <w:r w:rsidR="00AD2947" w:rsidRPr="00E813B0">
        <w:t>high-level</w:t>
      </w:r>
      <w:r w:rsidR="00FB77BC">
        <w:t xml:space="preserve">’ and generic </w:t>
      </w:r>
      <w:r w:rsidR="00AD2947" w:rsidRPr="00E813B0">
        <w:t xml:space="preserve">rather than the </w:t>
      </w:r>
      <w:r w:rsidR="00E74E34">
        <w:t xml:space="preserve">detailed </w:t>
      </w:r>
      <w:r w:rsidR="00057BB0">
        <w:t>support they</w:t>
      </w:r>
      <w:r w:rsidR="00AD2947" w:rsidRPr="00E813B0">
        <w:t xml:space="preserve"> required. Each </w:t>
      </w:r>
      <w:r w:rsidR="00A67BCB" w:rsidRPr="00E813B0">
        <w:t>TA actor</w:t>
      </w:r>
      <w:r w:rsidR="00AD2947" w:rsidRPr="00E813B0">
        <w:t xml:space="preserve"> uses their own processes</w:t>
      </w:r>
      <w:r w:rsidR="00B723D9">
        <w:t xml:space="preserve">, leading to high transaction costs for HJs. </w:t>
      </w:r>
      <w:r w:rsidR="0018521E" w:rsidRPr="00E813B0">
        <w:t xml:space="preserve"> </w:t>
      </w:r>
      <w:r w:rsidR="00B30032" w:rsidRPr="00E813B0">
        <w:t>A harmonised approach is recommended</w:t>
      </w:r>
      <w:r w:rsidR="00A9003F">
        <w:t xml:space="preserve"> based on national demand against clear criteria for </w:t>
      </w:r>
      <w:r w:rsidR="00047B49">
        <w:t xml:space="preserve">the </w:t>
      </w:r>
      <w:r w:rsidR="00A9003F">
        <w:t xml:space="preserve">achievement of </w:t>
      </w:r>
      <w:r w:rsidR="00832F83">
        <w:t>TREES standard, ER</w:t>
      </w:r>
      <w:r w:rsidR="00C55FBE">
        <w:t>PA requirements and</w:t>
      </w:r>
      <w:r w:rsidR="00D24D86">
        <w:t xml:space="preserve"> verification processes.  </w:t>
      </w:r>
    </w:p>
    <w:p w14:paraId="78E4DE58" w14:textId="371F0AE0" w:rsidR="00FB61B2" w:rsidRPr="00E813B0" w:rsidRDefault="00FB61B2" w:rsidP="005F5DDB">
      <w:r w:rsidRPr="001B5440">
        <w:rPr>
          <w:rStyle w:val="Boldtext"/>
        </w:rPr>
        <w:t xml:space="preserve">Some </w:t>
      </w:r>
      <w:r w:rsidR="00B30032" w:rsidRPr="001B5440">
        <w:rPr>
          <w:rStyle w:val="Boldtext"/>
        </w:rPr>
        <w:t>cost efficiency</w:t>
      </w:r>
      <w:r w:rsidRPr="001B5440">
        <w:rPr>
          <w:rStyle w:val="Boldtext"/>
        </w:rPr>
        <w:t xml:space="preserve"> examples </w:t>
      </w:r>
      <w:r w:rsidR="000E5120" w:rsidRPr="001B5440">
        <w:rPr>
          <w:rStyle w:val="Boldtext"/>
        </w:rPr>
        <w:t>were given</w:t>
      </w:r>
      <w:r w:rsidR="008D34C7">
        <w:t>. For example,</w:t>
      </w:r>
      <w:r w:rsidRPr="00E813B0">
        <w:t xml:space="preserve"> </w:t>
      </w:r>
      <w:r w:rsidR="00E136EC" w:rsidRPr="00E813B0">
        <w:t xml:space="preserve">the </w:t>
      </w:r>
      <w:r w:rsidRPr="00E813B0">
        <w:t xml:space="preserve">VVB training methodology designed to help </w:t>
      </w:r>
      <w:r w:rsidR="008D34C7">
        <w:t>HJs</w:t>
      </w:r>
      <w:r w:rsidR="008D34C7" w:rsidRPr="00E813B0">
        <w:t xml:space="preserve"> </w:t>
      </w:r>
      <w:r w:rsidRPr="00E813B0">
        <w:t xml:space="preserve">navigate the complexities of the </w:t>
      </w:r>
      <w:r w:rsidR="00B47776">
        <w:t>validation and verification</w:t>
      </w:r>
      <w:r w:rsidRPr="00E813B0">
        <w:t xml:space="preserve"> process was considered highly efficient, with positive feedback from </w:t>
      </w:r>
      <w:r w:rsidR="004C488C" w:rsidRPr="00E813B0">
        <w:t>HJ</w:t>
      </w:r>
      <w:r w:rsidRPr="00E813B0">
        <w:t xml:space="preserve">s. </w:t>
      </w:r>
      <w:r w:rsidR="000D6947" w:rsidRPr="00E813B0">
        <w:t>In Nepal UN</w:t>
      </w:r>
      <w:r w:rsidR="00252A43" w:rsidRPr="00E813B0">
        <w:t>-</w:t>
      </w:r>
      <w:r w:rsidR="000D6947" w:rsidRPr="00E813B0">
        <w:t xml:space="preserve">REDD and </w:t>
      </w:r>
      <w:r w:rsidR="00CF1633" w:rsidRPr="00E813B0">
        <w:t>UKTAP</w:t>
      </w:r>
      <w:r w:rsidR="005F50B9" w:rsidRPr="00E813B0">
        <w:t xml:space="preserve"> are </w:t>
      </w:r>
      <w:r w:rsidR="000D6947" w:rsidRPr="00E813B0">
        <w:t xml:space="preserve">now part of the MRV working group – led by </w:t>
      </w:r>
      <w:r w:rsidR="00047B49">
        <w:t xml:space="preserve">a </w:t>
      </w:r>
      <w:r w:rsidR="000D6947" w:rsidRPr="00E813B0">
        <w:t xml:space="preserve">FAO-embedded staff member in </w:t>
      </w:r>
      <w:r w:rsidR="00047B49">
        <w:t xml:space="preserve">a </w:t>
      </w:r>
      <w:r w:rsidR="000D6947" w:rsidRPr="00E813B0">
        <w:t>Nepal ministry</w:t>
      </w:r>
      <w:r w:rsidR="00B723D9">
        <w:t>.</w:t>
      </w:r>
      <w:r w:rsidR="000E29FE">
        <w:t xml:space="preserve"> This has been an efficient </w:t>
      </w:r>
      <w:r w:rsidR="008704C2">
        <w:t>solution</w:t>
      </w:r>
      <w:r w:rsidR="000E29FE">
        <w:t xml:space="preserve">, but not </w:t>
      </w:r>
      <w:r w:rsidR="005D0939">
        <w:t>necessarily</w:t>
      </w:r>
      <w:r w:rsidR="000E29FE">
        <w:t xml:space="preserve"> </w:t>
      </w:r>
      <w:r w:rsidR="00047B49">
        <w:t>low-cost</w:t>
      </w:r>
      <w:r w:rsidR="000D6947" w:rsidRPr="000D6947">
        <w:t>.</w:t>
      </w:r>
      <w:r w:rsidR="000D6947" w:rsidRPr="00E813B0">
        <w:t xml:space="preserve"> Similar</w:t>
      </w:r>
      <w:r w:rsidR="00E66303">
        <w:t>ly</w:t>
      </w:r>
      <w:r w:rsidR="00047B49">
        <w:t>,</w:t>
      </w:r>
      <w:r w:rsidR="000D6947" w:rsidRPr="00E813B0">
        <w:t xml:space="preserve"> with </w:t>
      </w:r>
      <w:r w:rsidR="003B0817">
        <w:t xml:space="preserve">regards to </w:t>
      </w:r>
      <w:r w:rsidR="000D6947" w:rsidRPr="00E813B0">
        <w:t>safeguards</w:t>
      </w:r>
      <w:r w:rsidR="00E66303">
        <w:t>,</w:t>
      </w:r>
      <w:r w:rsidR="000D6947" w:rsidRPr="00E813B0">
        <w:t xml:space="preserve"> </w:t>
      </w:r>
      <w:r w:rsidR="00CB5EF2" w:rsidRPr="00E813B0">
        <w:t xml:space="preserve">CLP </w:t>
      </w:r>
      <w:r w:rsidR="000D6947" w:rsidRPr="00E813B0">
        <w:t xml:space="preserve">are coordinating workshops to make sure timing makes sense, to avoid overwhelming </w:t>
      </w:r>
      <w:r w:rsidR="00E5122A" w:rsidRPr="00E813B0">
        <w:t xml:space="preserve">the </w:t>
      </w:r>
      <w:r w:rsidR="004C488C" w:rsidRPr="00E813B0">
        <w:t>HJ</w:t>
      </w:r>
      <w:r w:rsidR="00E5122A" w:rsidRPr="00E813B0">
        <w:t>.</w:t>
      </w:r>
      <w:r w:rsidRPr="00E813B0">
        <w:t xml:space="preserve"> Another point made was that the</w:t>
      </w:r>
      <w:r w:rsidR="00E77DC8">
        <w:t xml:space="preserve"> TA</w:t>
      </w:r>
      <w:r w:rsidRPr="00E813B0">
        <w:t xml:space="preserve"> is working with many jurisdictions </w:t>
      </w:r>
      <w:r w:rsidR="007C2053" w:rsidRPr="00E813B0">
        <w:t>simultaneously</w:t>
      </w:r>
      <w:r w:rsidR="00705239" w:rsidRPr="00E813B0">
        <w:t xml:space="preserve"> </w:t>
      </w:r>
      <w:r w:rsidR="005A5F32">
        <w:t xml:space="preserve">which could </w:t>
      </w:r>
      <w:r w:rsidR="00A61D08">
        <w:t xml:space="preserve">have </w:t>
      </w:r>
      <w:r w:rsidR="005A5F32">
        <w:t>enable</w:t>
      </w:r>
      <w:r w:rsidR="00635BB9">
        <w:t>d</w:t>
      </w:r>
      <w:r w:rsidRPr="00E813B0">
        <w:t xml:space="preserve"> real-time transfer of knowledge and lessons learned between countrie</w:t>
      </w:r>
      <w:r w:rsidR="00635BB9">
        <w:t>s</w:t>
      </w:r>
      <w:r w:rsidR="006C54CB">
        <w:t>;</w:t>
      </w:r>
      <w:r w:rsidR="00A61D08">
        <w:t xml:space="preserve"> but there was no evidence of this.</w:t>
      </w:r>
      <w:r w:rsidR="00887399">
        <w:t xml:space="preserve"> </w:t>
      </w:r>
      <w:r w:rsidRPr="00E813B0">
        <w:t>Tailored and context specific TA is delivered with broader guidance and tools that can be repurposed or adapted elsewhere, which is efficient. However, contracting costs were high, and the lack of joint meetings with UKTAP/UN</w:t>
      </w:r>
      <w:r w:rsidR="00252A43" w:rsidRPr="00E813B0">
        <w:t>-</w:t>
      </w:r>
      <w:r w:rsidRPr="00E813B0">
        <w:t xml:space="preserve">REDD and </w:t>
      </w:r>
      <w:r w:rsidR="004C488C" w:rsidRPr="00E813B0">
        <w:t>HJ</w:t>
      </w:r>
      <w:r w:rsidR="0041244F" w:rsidRPr="00E813B0">
        <w:t>s</w:t>
      </w:r>
      <w:r w:rsidRPr="00E813B0">
        <w:t xml:space="preserve"> and donors </w:t>
      </w:r>
      <w:r w:rsidR="007973EB" w:rsidRPr="00E813B0">
        <w:t>increased</w:t>
      </w:r>
      <w:r w:rsidRPr="00E813B0">
        <w:t xml:space="preserve"> </w:t>
      </w:r>
      <w:r w:rsidR="00481338">
        <w:t>transaction costs for HJs.</w:t>
      </w:r>
      <w:r w:rsidRPr="00E813B0">
        <w:t xml:space="preserve"> UN</w:t>
      </w:r>
      <w:r w:rsidR="00252A43" w:rsidRPr="00E813B0">
        <w:t>-</w:t>
      </w:r>
      <w:r w:rsidRPr="00E813B0">
        <w:t xml:space="preserve">REDD's </w:t>
      </w:r>
      <w:r w:rsidR="00CB5EF2" w:rsidRPr="00E813B0">
        <w:t>pre</w:t>
      </w:r>
      <w:r w:rsidR="003B0817">
        <w:t>-</w:t>
      </w:r>
      <w:r w:rsidRPr="00E813B0">
        <w:t xml:space="preserve">existing presence </w:t>
      </w:r>
      <w:r w:rsidR="00CB5EF2" w:rsidRPr="00E813B0">
        <w:t xml:space="preserve">in most </w:t>
      </w:r>
      <w:r w:rsidR="004979B6" w:rsidRPr="00E813B0">
        <w:t>countries</w:t>
      </w:r>
      <w:r w:rsidR="0082068B">
        <w:t xml:space="preserve"> </w:t>
      </w:r>
      <w:r w:rsidR="00E51B26">
        <w:t xml:space="preserve">was believed in </w:t>
      </w:r>
      <w:r w:rsidR="00D555B5">
        <w:t xml:space="preserve">the </w:t>
      </w:r>
      <w:r w:rsidR="00E51B26">
        <w:t xml:space="preserve">KIIs to have </w:t>
      </w:r>
      <w:r w:rsidR="00D555B5">
        <w:t xml:space="preserve">resulted in </w:t>
      </w:r>
      <w:r w:rsidR="00E51B26">
        <w:t xml:space="preserve">lower </w:t>
      </w:r>
      <w:r w:rsidRPr="00E813B0">
        <w:t>transactions costs.</w:t>
      </w:r>
    </w:p>
    <w:p w14:paraId="0CF9593E" w14:textId="44D5A4EB" w:rsidR="00B50FF4" w:rsidRPr="00E813B0" w:rsidRDefault="00F057BD" w:rsidP="005F5DDB">
      <w:r>
        <w:rPr>
          <w:rStyle w:val="Boldtext"/>
        </w:rPr>
        <w:t>Although this is a QA process for the TA packages</w:t>
      </w:r>
      <w:r w:rsidR="00C6750C">
        <w:rPr>
          <w:rStyle w:val="Boldtext"/>
        </w:rPr>
        <w:t>, this was not shared with the ET</w:t>
      </w:r>
      <w:r w:rsidR="00FF666D">
        <w:rPr>
          <w:rStyle w:val="Boldtext"/>
        </w:rPr>
        <w:t xml:space="preserve"> so we cannot comment on its usefulness. </w:t>
      </w:r>
      <w:r w:rsidR="00CF1633" w:rsidRPr="00E813B0">
        <w:t xml:space="preserve">UKTAP </w:t>
      </w:r>
      <w:r w:rsidR="00B50FF4" w:rsidRPr="00E813B0">
        <w:t>are accountable to DESNZ</w:t>
      </w:r>
      <w:r w:rsidR="00252A43" w:rsidRPr="00E813B0">
        <w:t>,</w:t>
      </w:r>
      <w:r w:rsidR="00B50FF4" w:rsidRPr="00E813B0">
        <w:t xml:space="preserve"> and CLP and </w:t>
      </w:r>
      <w:r w:rsidR="00B50FF4" w:rsidRPr="00E813B0">
        <w:lastRenderedPageBreak/>
        <w:t>Winrock are accountable to</w:t>
      </w:r>
      <w:r w:rsidR="00295CE8">
        <w:t xml:space="preserve"> Ricardo the contract holder</w:t>
      </w:r>
      <w:r w:rsidR="00B50FF4" w:rsidRPr="00E813B0">
        <w:t xml:space="preserve">. </w:t>
      </w:r>
      <w:r w:rsidR="008F5C9A" w:rsidRPr="00E813B0">
        <w:t>Although</w:t>
      </w:r>
      <w:r w:rsidR="00B50FF4" w:rsidRPr="00E813B0">
        <w:t xml:space="preserve"> </w:t>
      </w:r>
      <w:r w:rsidR="004C488C" w:rsidRPr="00E813B0">
        <w:t>HJ</w:t>
      </w:r>
      <w:r w:rsidR="003635D3" w:rsidRPr="00E813B0">
        <w:t>s</w:t>
      </w:r>
      <w:r w:rsidR="00B50FF4" w:rsidRPr="00E813B0">
        <w:t xml:space="preserve"> can review quality, they are not paying for</w:t>
      </w:r>
      <w:r w:rsidR="004A1751">
        <w:t xml:space="preserve"> the TA directly</w:t>
      </w:r>
      <w:r w:rsidR="00B50FF4" w:rsidRPr="00E813B0">
        <w:t xml:space="preserve">, so the incentive </w:t>
      </w:r>
      <w:r w:rsidR="007345F7" w:rsidRPr="00E813B0">
        <w:t xml:space="preserve">is weak </w:t>
      </w:r>
      <w:r w:rsidR="003635D3" w:rsidRPr="00E813B0">
        <w:t xml:space="preserve">and capacity </w:t>
      </w:r>
      <w:r w:rsidR="006767B7">
        <w:t xml:space="preserve">is </w:t>
      </w:r>
      <w:r w:rsidR="003635D3" w:rsidRPr="00E813B0">
        <w:t>limited</w:t>
      </w:r>
      <w:r w:rsidR="00B50FF4" w:rsidRPr="00E813B0">
        <w:t>.</w:t>
      </w:r>
      <w:r w:rsidR="00254637" w:rsidRPr="00E813B0">
        <w:t xml:space="preserve"> </w:t>
      </w:r>
      <w:r w:rsidR="004C488C" w:rsidRPr="00E813B0">
        <w:t>HJ</w:t>
      </w:r>
      <w:r w:rsidR="00254637" w:rsidRPr="00E813B0">
        <w:t>s did make some</w:t>
      </w:r>
      <w:r w:rsidR="00B50FF4" w:rsidRPr="00E813B0">
        <w:t xml:space="preserve"> comments on quality, e.g. </w:t>
      </w:r>
      <w:r w:rsidR="00CF1633" w:rsidRPr="00E813B0">
        <w:t>UKTAP</w:t>
      </w:r>
      <w:r w:rsidR="00B50FF4" w:rsidRPr="00E813B0">
        <w:t xml:space="preserve"> has been helpful on safeguards work with national experts. </w:t>
      </w:r>
      <w:r w:rsidR="000C56DC">
        <w:t>UKTAP</w:t>
      </w:r>
      <w:r w:rsidR="000C56DC" w:rsidRPr="00E813B0">
        <w:t xml:space="preserve"> </w:t>
      </w:r>
      <w:r w:rsidR="00B50FF4" w:rsidRPr="00E813B0">
        <w:t>assert</w:t>
      </w:r>
      <w:r w:rsidR="002C6CE0" w:rsidRPr="00E813B0">
        <w:t>ed</w:t>
      </w:r>
      <w:r w:rsidR="00B50FF4" w:rsidRPr="00E813B0">
        <w:t xml:space="preserve"> that the diverse, multinational team structure enhanced project effectiveness across different jurisdictions.</w:t>
      </w:r>
      <w:r w:rsidR="006E39AB" w:rsidRPr="00E813B0">
        <w:t xml:space="preserve"> </w:t>
      </w:r>
      <w:r w:rsidR="002D1B7E" w:rsidRPr="00E813B0">
        <w:t xml:space="preserve">Despite a slow start to UKTAP, </w:t>
      </w:r>
      <w:r w:rsidR="00EC6F2E">
        <w:t xml:space="preserve">the sub-contractors indicated that </w:t>
      </w:r>
      <w:r w:rsidR="007C0440">
        <w:t>the pace has increased</w:t>
      </w:r>
      <w:r w:rsidR="006767B7">
        <w:t>,</w:t>
      </w:r>
      <w:r w:rsidR="007C0440">
        <w:t xml:space="preserve"> </w:t>
      </w:r>
      <w:r w:rsidR="00B96B54">
        <w:t>with 28</w:t>
      </w:r>
      <w:r w:rsidR="006E39AB" w:rsidRPr="00E813B0">
        <w:t xml:space="preserve"> distinct activities</w:t>
      </w:r>
      <w:r w:rsidR="00A4590D">
        <w:t xml:space="preserve"> </w:t>
      </w:r>
      <w:r w:rsidR="007C0440">
        <w:t xml:space="preserve">implemented in </w:t>
      </w:r>
      <w:r w:rsidR="00B02FA3">
        <w:t>five</w:t>
      </w:r>
      <w:r w:rsidR="007C0440">
        <w:t xml:space="preserve"> months </w:t>
      </w:r>
      <w:r w:rsidR="006E39AB" w:rsidRPr="00E813B0">
        <w:t xml:space="preserve">across jurisdictions and technical themes. They have had positive feedback on quality, but also pace and speed of delivery, which </w:t>
      </w:r>
      <w:r w:rsidR="00E72E53" w:rsidRPr="00E813B0">
        <w:t>are</w:t>
      </w:r>
      <w:r w:rsidR="006E39AB" w:rsidRPr="00E813B0">
        <w:t xml:space="preserve"> the main driver</w:t>
      </w:r>
      <w:r w:rsidR="00E72E53" w:rsidRPr="00E813B0">
        <w:t>s</w:t>
      </w:r>
      <w:r w:rsidR="006E39AB" w:rsidRPr="00E813B0">
        <w:t xml:space="preserve"> </w:t>
      </w:r>
      <w:r w:rsidR="00E72E53" w:rsidRPr="00E813B0">
        <w:t xml:space="preserve">for </w:t>
      </w:r>
      <w:r w:rsidR="006E39AB" w:rsidRPr="00E813B0">
        <w:t>the positive comments.</w:t>
      </w:r>
    </w:p>
    <w:p w14:paraId="625F8280" w14:textId="21FEB546" w:rsidR="00B50FF4" w:rsidRPr="00E813B0" w:rsidRDefault="004F6A44" w:rsidP="005F5DDB">
      <w:r w:rsidRPr="00E813B0">
        <w:rPr>
          <w:rStyle w:val="Boldtext"/>
        </w:rPr>
        <w:t xml:space="preserve">There </w:t>
      </w:r>
      <w:r w:rsidR="001317D7" w:rsidRPr="00E813B0">
        <w:rPr>
          <w:rStyle w:val="Boldtext"/>
        </w:rPr>
        <w:t xml:space="preserve">is a </w:t>
      </w:r>
      <w:r w:rsidRPr="00E813B0">
        <w:rPr>
          <w:rStyle w:val="Boldtext"/>
        </w:rPr>
        <w:t xml:space="preserve">greater </w:t>
      </w:r>
      <w:r w:rsidR="001317D7" w:rsidRPr="00E813B0">
        <w:rPr>
          <w:rStyle w:val="Boldtext"/>
        </w:rPr>
        <w:t xml:space="preserve">need for </w:t>
      </w:r>
      <w:r w:rsidRPr="00E813B0">
        <w:rPr>
          <w:rStyle w:val="Boldtext"/>
        </w:rPr>
        <w:t>l</w:t>
      </w:r>
      <w:r w:rsidR="001317D7" w:rsidRPr="00E813B0">
        <w:rPr>
          <w:rStyle w:val="Boldtext"/>
        </w:rPr>
        <w:t>ocalisation</w:t>
      </w:r>
      <w:r w:rsidRPr="00E813B0">
        <w:t>.</w:t>
      </w:r>
      <w:r w:rsidR="001317D7" w:rsidRPr="00E813B0">
        <w:t xml:space="preserve"> </w:t>
      </w:r>
      <w:r w:rsidR="002C3DAE">
        <w:t>The UKTAP team</w:t>
      </w:r>
      <w:r w:rsidR="006767B7">
        <w:t>,</w:t>
      </w:r>
      <w:r w:rsidR="002C3DAE">
        <w:t xml:space="preserve"> e.g. </w:t>
      </w:r>
      <w:r w:rsidR="001317D7" w:rsidRPr="00E813B0">
        <w:t>Winrock do not have an in</w:t>
      </w:r>
      <w:r w:rsidR="00705239" w:rsidRPr="00E813B0">
        <w:t>-country</w:t>
      </w:r>
      <w:r w:rsidR="001317D7" w:rsidRPr="00E813B0">
        <w:t xml:space="preserve"> presence, and while they argue that this keeps costs down ($200k per </w:t>
      </w:r>
      <w:r w:rsidR="004C488C" w:rsidRPr="00E813B0">
        <w:t>HJ</w:t>
      </w:r>
      <w:r w:rsidR="001317D7" w:rsidRPr="00E813B0">
        <w:t xml:space="preserve"> </w:t>
      </w:r>
      <w:r w:rsidR="00AF22EB" w:rsidRPr="00E813B0">
        <w:t>v</w:t>
      </w:r>
      <w:r w:rsidR="00252A43" w:rsidRPr="00E813B0">
        <w:t>ersus</w:t>
      </w:r>
      <w:r w:rsidR="001317D7" w:rsidRPr="00E813B0">
        <w:t xml:space="preserve"> $1m by Conservation International), efficiency and effectiveness </w:t>
      </w:r>
      <w:r w:rsidR="00E72E53" w:rsidRPr="00E813B0">
        <w:t>is</w:t>
      </w:r>
      <w:r w:rsidR="001317D7" w:rsidRPr="00E813B0">
        <w:t xml:space="preserve"> question</w:t>
      </w:r>
      <w:r w:rsidR="00E72E53" w:rsidRPr="00E813B0">
        <w:t>able</w:t>
      </w:r>
      <w:r w:rsidR="001317D7" w:rsidRPr="00E813B0">
        <w:t>.</w:t>
      </w:r>
      <w:r w:rsidR="001A60A1" w:rsidRPr="00E813B0">
        <w:t xml:space="preserve"> TA providers </w:t>
      </w:r>
      <w:r w:rsidR="006D3166" w:rsidRPr="00E813B0">
        <w:t>noted</w:t>
      </w:r>
      <w:r w:rsidR="001317D7" w:rsidRPr="00E813B0">
        <w:t xml:space="preserve"> challenges getting local consultants</w:t>
      </w:r>
      <w:r w:rsidR="001A60A1" w:rsidRPr="00E813B0">
        <w:t xml:space="preserve"> and meeting their requirements</w:t>
      </w:r>
      <w:r w:rsidR="00D53582">
        <w:t>.</w:t>
      </w:r>
      <w:r w:rsidR="001317D7" w:rsidRPr="00E813B0">
        <w:t xml:space="preserve"> </w:t>
      </w:r>
      <w:r w:rsidR="004C5C26" w:rsidRPr="00E813B0">
        <w:t>But</w:t>
      </w:r>
      <w:r w:rsidR="004C5C26" w:rsidRPr="00E813B0" w:rsidDel="006D3166">
        <w:t xml:space="preserve"> </w:t>
      </w:r>
      <w:r w:rsidR="006D3166" w:rsidRPr="00E813B0">
        <w:t>local consultants</w:t>
      </w:r>
      <w:r w:rsidR="004C5C26" w:rsidRPr="00E813B0">
        <w:t xml:space="preserve"> are much cheaper, better for keeping capacity within the country and meet</w:t>
      </w:r>
      <w:r w:rsidR="00E81BD9">
        <w:t>ing UK</w:t>
      </w:r>
      <w:r w:rsidR="007560A5">
        <w:t xml:space="preserve"> </w:t>
      </w:r>
      <w:r w:rsidR="00E81BD9">
        <w:t xml:space="preserve">Aid objectives around localisation. </w:t>
      </w:r>
      <w:r w:rsidR="006D3166" w:rsidRPr="00E813B0">
        <w:t>Local</w:t>
      </w:r>
      <w:r w:rsidR="00AF22EB" w:rsidRPr="00E813B0">
        <w:t xml:space="preserve"> consultancy expenditure overall for the UKTA</w:t>
      </w:r>
      <w:r w:rsidR="00E31C51" w:rsidRPr="00E813B0">
        <w:t>P</w:t>
      </w:r>
      <w:r w:rsidR="00AF22EB" w:rsidRPr="00E813B0">
        <w:t xml:space="preserve"> comprises an estimated </w:t>
      </w:r>
      <w:r w:rsidR="004C5C26" w:rsidRPr="00E813B0">
        <w:t>13% of the consultancy expenditure.</w:t>
      </w:r>
      <w:r w:rsidR="001D49C1">
        <w:t xml:space="preserve"> </w:t>
      </w:r>
      <w:r w:rsidR="001D49C1" w:rsidRPr="001D49C1">
        <w:t xml:space="preserve">The KPI on </w:t>
      </w:r>
      <w:r w:rsidR="001D49C1">
        <w:t xml:space="preserve">the </w:t>
      </w:r>
      <w:r w:rsidR="000F1A77">
        <w:t>percentage</w:t>
      </w:r>
      <w:r w:rsidR="001D49C1" w:rsidRPr="001D49C1">
        <w:t xml:space="preserve"> of local consultants </w:t>
      </w:r>
      <w:r w:rsidR="007E712B">
        <w:t>was</w:t>
      </w:r>
      <w:r w:rsidR="001D49C1" w:rsidRPr="001D49C1">
        <w:t xml:space="preserve"> met in the last performance review with Ricardo</w:t>
      </w:r>
      <w:r w:rsidR="00F677AB">
        <w:t xml:space="preserve">. </w:t>
      </w:r>
    </w:p>
    <w:p w14:paraId="6A4DD502" w14:textId="3AFB553D" w:rsidR="00D27308" w:rsidRPr="00E813B0" w:rsidRDefault="00F70265" w:rsidP="005F5DDB">
      <w:r w:rsidRPr="00E813B0">
        <w:rPr>
          <w:rStyle w:val="Boldtext"/>
        </w:rPr>
        <w:t xml:space="preserve">Skills and expertise required </w:t>
      </w:r>
      <w:r w:rsidR="006767B7">
        <w:rPr>
          <w:rStyle w:val="Boldtext"/>
        </w:rPr>
        <w:t>have</w:t>
      </w:r>
      <w:r w:rsidRPr="00E813B0">
        <w:rPr>
          <w:rStyle w:val="Boldtext"/>
        </w:rPr>
        <w:t xml:space="preserve"> fallen short of </w:t>
      </w:r>
      <w:r w:rsidR="006767B7">
        <w:rPr>
          <w:rStyle w:val="Boldtext"/>
        </w:rPr>
        <w:t xml:space="preserve">the </w:t>
      </w:r>
      <w:r w:rsidRPr="00E813B0">
        <w:rPr>
          <w:rStyle w:val="Boldtext"/>
        </w:rPr>
        <w:t>requirements</w:t>
      </w:r>
      <w:r w:rsidRPr="00E813B0">
        <w:t xml:space="preserve">. </w:t>
      </w:r>
      <w:r w:rsidR="00BB366F" w:rsidRPr="00E813B0">
        <w:t xml:space="preserve">It was </w:t>
      </w:r>
      <w:r w:rsidR="00E02D2B" w:rsidRPr="00E813B0">
        <w:t>noted</w:t>
      </w:r>
      <w:r w:rsidR="00BB366F" w:rsidRPr="00E813B0">
        <w:t xml:space="preserve"> by </w:t>
      </w:r>
      <w:r w:rsidR="00F06267" w:rsidRPr="00E813B0">
        <w:t>HJ</w:t>
      </w:r>
      <w:r w:rsidR="00BB366F" w:rsidRPr="00E813B0">
        <w:t xml:space="preserve">s and </w:t>
      </w:r>
      <w:r w:rsidR="00E02D2B" w:rsidRPr="00E813B0">
        <w:t>d</w:t>
      </w:r>
      <w:r w:rsidR="00BB366F" w:rsidRPr="00E813B0">
        <w:t xml:space="preserve">onors that </w:t>
      </w:r>
      <w:r w:rsidR="00E02D2B" w:rsidRPr="00E813B0">
        <w:t>some UKTAP delivery partners</w:t>
      </w:r>
      <w:r w:rsidR="00BB366F" w:rsidRPr="00E813B0">
        <w:t xml:space="preserve"> had insufficient prior experience with REDD+ and were not embedded in country processes, and lacked established government contacts, e.g. </w:t>
      </w:r>
      <w:r w:rsidR="00BE4024" w:rsidRPr="00E813B0">
        <w:t xml:space="preserve">within the </w:t>
      </w:r>
      <w:r w:rsidR="00BB366F" w:rsidRPr="00E813B0">
        <w:t xml:space="preserve">ministry of environment. However, positive comments were made about the </w:t>
      </w:r>
      <w:r w:rsidR="00CF1633" w:rsidRPr="00E813B0">
        <w:t>UKTAP</w:t>
      </w:r>
      <w:r w:rsidR="00BE4024" w:rsidRPr="00E813B0">
        <w:t xml:space="preserve"> team</w:t>
      </w:r>
      <w:r w:rsidR="00AF78D7" w:rsidRPr="00E813B0">
        <w:t xml:space="preserve"> </w:t>
      </w:r>
      <w:r w:rsidR="007E5B67" w:rsidRPr="00E813B0">
        <w:t xml:space="preserve">in Nepal </w:t>
      </w:r>
      <w:r w:rsidR="006D7AE2" w:rsidRPr="00E813B0">
        <w:t>and for CLP in Ecuador</w:t>
      </w:r>
      <w:r w:rsidR="000230EF" w:rsidRPr="00E813B0">
        <w:t xml:space="preserve"> in relation to the approach taken in-country</w:t>
      </w:r>
      <w:r w:rsidR="00463893" w:rsidRPr="00E813B0">
        <w:t xml:space="preserve"> as it was context </w:t>
      </w:r>
      <w:r w:rsidR="0083364C" w:rsidRPr="00E813B0">
        <w:t>appropriate.</w:t>
      </w:r>
      <w:r w:rsidR="00835AA5">
        <w:t xml:space="preserve"> </w:t>
      </w:r>
      <w:r w:rsidR="00F51E9E">
        <w:t>UN-REDD</w:t>
      </w:r>
      <w:r w:rsidR="00835AA5">
        <w:t xml:space="preserve"> teams are often already in country</w:t>
      </w:r>
      <w:r w:rsidR="009300D8">
        <w:t>,</w:t>
      </w:r>
      <w:r w:rsidR="00835AA5">
        <w:t xml:space="preserve"> which enables rapid and long</w:t>
      </w:r>
      <w:r w:rsidR="00595C7C">
        <w:t>-</w:t>
      </w:r>
      <w:r w:rsidR="00835AA5">
        <w:t xml:space="preserve">term engagement with </w:t>
      </w:r>
      <w:r w:rsidR="00064F91">
        <w:t>government staff who may change regularly during these long</w:t>
      </w:r>
      <w:r w:rsidR="00595C7C">
        <w:t>-</w:t>
      </w:r>
      <w:r w:rsidR="00064F91">
        <w:t xml:space="preserve">term processes.  </w:t>
      </w:r>
    </w:p>
    <w:p w14:paraId="13A53306" w14:textId="5F90AC3D" w:rsidR="005F5DDB" w:rsidRPr="00E813B0" w:rsidRDefault="00E77FA4" w:rsidP="005F5DDB">
      <w:pPr>
        <w:pStyle w:val="Heading3"/>
      </w:pPr>
      <w:bookmarkStart w:id="73" w:name="_Toc204091216"/>
      <w:bookmarkStart w:id="74" w:name="_Toc209013291"/>
      <w:r w:rsidRPr="00E813B0">
        <w:t>2.</w:t>
      </w:r>
      <w:r w:rsidR="00566617" w:rsidRPr="00E813B0">
        <w:t xml:space="preserve">4.2 </w:t>
      </w:r>
      <w:r w:rsidR="005F5DDB" w:rsidRPr="00E813B0">
        <w:t>Leveraging of Private Finance</w:t>
      </w:r>
      <w:bookmarkEnd w:id="73"/>
      <w:bookmarkEnd w:id="74"/>
    </w:p>
    <w:tbl>
      <w:tblPr>
        <w:tblStyle w:val="Table-DarkblueBackground"/>
        <w:tblW w:w="0" w:type="auto"/>
        <w:tblLook w:val="04A0" w:firstRow="1" w:lastRow="0" w:firstColumn="1" w:lastColumn="0" w:noHBand="0" w:noVBand="1"/>
      </w:tblPr>
      <w:tblGrid>
        <w:gridCol w:w="8505"/>
        <w:gridCol w:w="1577"/>
      </w:tblGrid>
      <w:tr w:rsidR="007F7F09" w:rsidRPr="00E813B0" w14:paraId="32D784F2" w14:textId="77777777" w:rsidTr="00E26C3B">
        <w:trPr>
          <w:cnfStyle w:val="100000000000" w:firstRow="1" w:lastRow="0" w:firstColumn="0" w:lastColumn="0" w:oddVBand="0" w:evenVBand="0" w:oddHBand="0" w:evenHBand="0" w:firstRowFirstColumn="0" w:firstRowLastColumn="0" w:lastRowFirstColumn="0" w:lastRowLastColumn="0"/>
          <w:trHeight w:val="375"/>
        </w:trPr>
        <w:tc>
          <w:tcPr>
            <w:tcW w:w="8505" w:type="dxa"/>
          </w:tcPr>
          <w:p w14:paraId="526B2D6D" w14:textId="77777777" w:rsidR="00193ED4" w:rsidRPr="00E813B0" w:rsidRDefault="00193ED4" w:rsidP="00193ED4">
            <w:r w:rsidRPr="00E813B0">
              <w:t>Overall finding</w:t>
            </w:r>
          </w:p>
        </w:tc>
        <w:tc>
          <w:tcPr>
            <w:tcW w:w="1577" w:type="dxa"/>
          </w:tcPr>
          <w:p w14:paraId="74BA86EF" w14:textId="77777777" w:rsidR="00193ED4" w:rsidRPr="00E813B0" w:rsidRDefault="00193ED4" w:rsidP="00193ED4">
            <w:r w:rsidRPr="00E813B0">
              <w:t>Strength of Evidence</w:t>
            </w:r>
          </w:p>
        </w:tc>
      </w:tr>
      <w:tr w:rsidR="00193ED4" w:rsidRPr="00E813B0" w14:paraId="177EC28A" w14:textId="77777777" w:rsidTr="00E26C3B">
        <w:trPr>
          <w:trHeight w:val="19"/>
        </w:trPr>
        <w:tc>
          <w:tcPr>
            <w:tcW w:w="8505" w:type="dxa"/>
          </w:tcPr>
          <w:p w14:paraId="11141727" w14:textId="7B902ECB" w:rsidR="00193ED4" w:rsidRPr="00E813B0" w:rsidRDefault="00146CE1" w:rsidP="00193ED4">
            <w:r w:rsidRPr="00E813B0">
              <w:t>Public</w:t>
            </w:r>
            <w:r w:rsidR="00BF1666" w:rsidRPr="00E813B0">
              <w:t xml:space="preserve"> funds</w:t>
            </w:r>
            <w:r w:rsidR="005A6F1A" w:rsidRPr="00E813B0">
              <w:t xml:space="preserve"> (ODA)</w:t>
            </w:r>
            <w:r w:rsidR="000F5733" w:rsidRPr="00E813B0">
              <w:t xml:space="preserve"> </w:t>
            </w:r>
            <w:r w:rsidR="005A6F1A" w:rsidRPr="00E813B0">
              <w:t>have</w:t>
            </w:r>
            <w:r w:rsidR="009300D8">
              <w:t>,</w:t>
            </w:r>
            <w:r w:rsidR="000F5733" w:rsidRPr="00E813B0">
              <w:t xml:space="preserve"> to some extent</w:t>
            </w:r>
            <w:r w:rsidR="009300D8">
              <w:t>,</w:t>
            </w:r>
            <w:r w:rsidR="000F5733" w:rsidRPr="00E813B0">
              <w:t xml:space="preserve"> been able to successfully leverage private finance. At this point, the </w:t>
            </w:r>
            <w:r w:rsidR="00234840" w:rsidRPr="00E813B0">
              <w:t>3 main HMG avenues of support (</w:t>
            </w:r>
            <w:r w:rsidR="00B25F2F">
              <w:t>PGF</w:t>
            </w:r>
            <w:r w:rsidR="00234840" w:rsidRPr="00E813B0">
              <w:t xml:space="preserve">, upfront finance and TA) remain vital to LEAF operations. </w:t>
            </w:r>
            <w:r w:rsidR="00404328" w:rsidRPr="00304197">
              <w:t>CPs</w:t>
            </w:r>
            <w:r w:rsidR="00304197" w:rsidRPr="00304197">
              <w:t xml:space="preserve"> </w:t>
            </w:r>
            <w:r w:rsidR="00EB0B3F" w:rsidRPr="00E813B0">
              <w:t xml:space="preserve">are not, as anticipated, entering forward purchase agreements early but it is widely assumed that </w:t>
            </w:r>
            <w:r w:rsidR="00821F9C" w:rsidRPr="00E813B0">
              <w:t xml:space="preserve">once credits begin to be issued </w:t>
            </w:r>
            <w:r w:rsidR="005E3E97" w:rsidRPr="00E813B0">
              <w:t xml:space="preserve">this may begin to </w:t>
            </w:r>
            <w:r w:rsidR="00A028DA" w:rsidRPr="00E813B0">
              <w:t xml:space="preserve">shift. </w:t>
            </w:r>
            <w:r w:rsidR="001E6F30" w:rsidRPr="00E813B0">
              <w:t xml:space="preserve">Improved communication and continued </w:t>
            </w:r>
            <w:r w:rsidR="002341B4" w:rsidRPr="00E813B0">
              <w:t xml:space="preserve">(flexible) </w:t>
            </w:r>
            <w:r w:rsidR="001E6F30" w:rsidRPr="00E813B0">
              <w:t xml:space="preserve">engagement with new market options could enable </w:t>
            </w:r>
            <w:r w:rsidR="002341B4" w:rsidRPr="00E813B0">
              <w:t>better</w:t>
            </w:r>
            <w:r w:rsidR="001E6F30" w:rsidRPr="00E813B0">
              <w:t xml:space="preserve"> operational adaptive management.</w:t>
            </w:r>
            <w:r w:rsidR="007D700B" w:rsidRPr="00E813B0">
              <w:t xml:space="preserve"> Where </w:t>
            </w:r>
            <w:r w:rsidR="00C17E36" w:rsidRPr="00E813B0">
              <w:t xml:space="preserve">LEAF </w:t>
            </w:r>
            <w:r w:rsidR="007D700B" w:rsidRPr="00E813B0">
              <w:t xml:space="preserve">ERPAs are considered </w:t>
            </w:r>
            <w:r w:rsidR="00F92BA8">
              <w:t>overly</w:t>
            </w:r>
            <w:r w:rsidR="00F764A5">
              <w:t xml:space="preserve"> complex </w:t>
            </w:r>
            <w:r w:rsidR="007D700B" w:rsidRPr="00E813B0">
              <w:t>for the HJ context, they may choose to move forward in a different direction.</w:t>
            </w:r>
          </w:p>
        </w:tc>
        <w:tc>
          <w:tcPr>
            <w:tcW w:w="1577" w:type="dxa"/>
          </w:tcPr>
          <w:p w14:paraId="4AC8E179" w14:textId="45B40E8D" w:rsidR="00193ED4" w:rsidRPr="00E813B0" w:rsidRDefault="00193ED4" w:rsidP="00193ED4">
            <w:pPr>
              <w:rPr>
                <w:rStyle w:val="Boldtext"/>
              </w:rPr>
            </w:pPr>
            <w:r w:rsidRPr="00E813B0">
              <w:rPr>
                <w:rStyle w:val="Boldtext"/>
              </w:rPr>
              <w:t>Medium</w:t>
            </w:r>
          </w:p>
        </w:tc>
      </w:tr>
    </w:tbl>
    <w:p w14:paraId="33F5013B" w14:textId="53B86FC1" w:rsidR="00A13260" w:rsidRPr="00E813B0" w:rsidRDefault="00DF43F1" w:rsidP="00A13260">
      <w:r w:rsidRPr="00E813B0">
        <w:rPr>
          <w:rStyle w:val="Boldtext"/>
        </w:rPr>
        <w:t>LEAF has</w:t>
      </w:r>
      <w:r w:rsidR="00C024BB" w:rsidRPr="00E813B0">
        <w:rPr>
          <w:rStyle w:val="Boldtext"/>
        </w:rPr>
        <w:t xml:space="preserve"> </w:t>
      </w:r>
      <w:r w:rsidR="009F1F3E" w:rsidRPr="00E813B0">
        <w:rPr>
          <w:rStyle w:val="Boldtext"/>
        </w:rPr>
        <w:t>had</w:t>
      </w:r>
      <w:r w:rsidR="00C024BB" w:rsidRPr="00E813B0">
        <w:rPr>
          <w:rStyle w:val="Boldtext"/>
        </w:rPr>
        <w:t xml:space="preserve"> some success</w:t>
      </w:r>
      <w:r w:rsidR="009F1F3E" w:rsidRPr="00E813B0">
        <w:rPr>
          <w:rStyle w:val="Boldtext"/>
        </w:rPr>
        <w:t xml:space="preserve"> in</w:t>
      </w:r>
      <w:r w:rsidR="00C024BB" w:rsidRPr="00E813B0">
        <w:rPr>
          <w:rStyle w:val="Boldtext"/>
        </w:rPr>
        <w:t xml:space="preserve"> leverag</w:t>
      </w:r>
      <w:r w:rsidR="009F1F3E" w:rsidRPr="00E813B0">
        <w:rPr>
          <w:rStyle w:val="Boldtext"/>
        </w:rPr>
        <w:t>ing</w:t>
      </w:r>
      <w:r w:rsidR="00C024BB" w:rsidRPr="00E813B0">
        <w:rPr>
          <w:rStyle w:val="Boldtext"/>
        </w:rPr>
        <w:t xml:space="preserve"> private </w:t>
      </w:r>
      <w:r w:rsidR="00404328" w:rsidRPr="00E813B0">
        <w:rPr>
          <w:rStyle w:val="Boldtext"/>
        </w:rPr>
        <w:t>finance,</w:t>
      </w:r>
      <w:r w:rsidR="00C024BB" w:rsidRPr="001B5440">
        <w:rPr>
          <w:rStyle w:val="Boldtext"/>
        </w:rPr>
        <w:t xml:space="preserve"> </w:t>
      </w:r>
      <w:r w:rsidR="008E64DE" w:rsidRPr="008E64DE">
        <w:rPr>
          <w:rStyle w:val="Boldtext"/>
        </w:rPr>
        <w:t xml:space="preserve">but </w:t>
      </w:r>
      <w:r w:rsidR="008E64DE" w:rsidRPr="001B5440">
        <w:rPr>
          <w:rStyle w:val="Boldtext"/>
        </w:rPr>
        <w:t xml:space="preserve">several critical ToC assumptions have not held up in practice with regards to </w:t>
      </w:r>
      <w:r w:rsidR="00304197" w:rsidRPr="00304197">
        <w:rPr>
          <w:rStyle w:val="Boldtext"/>
        </w:rPr>
        <w:t xml:space="preserve">CPs </w:t>
      </w:r>
      <w:r w:rsidR="008E64DE" w:rsidRPr="001B5440">
        <w:rPr>
          <w:rStyle w:val="Boldtext"/>
        </w:rPr>
        <w:t>entering forward purchase agreements early</w:t>
      </w:r>
      <w:r w:rsidR="008E64DE" w:rsidRPr="008E64DE">
        <w:t xml:space="preserve">. </w:t>
      </w:r>
      <w:r w:rsidR="008E64DE">
        <w:t>Leveraging of private sector finance is</w:t>
      </w:r>
      <w:r w:rsidRPr="00E813B0">
        <w:t xml:space="preserve"> </w:t>
      </w:r>
      <w:r w:rsidR="00060240" w:rsidRPr="00E813B0">
        <w:t xml:space="preserve">evidenced by </w:t>
      </w:r>
      <w:r w:rsidR="000F3C00" w:rsidRPr="00E813B0">
        <w:rPr>
          <w:lang w:eastAsia="en-GB"/>
        </w:rPr>
        <w:t xml:space="preserve">15 binding </w:t>
      </w:r>
      <w:r w:rsidR="00E813B0" w:rsidRPr="00E813B0">
        <w:lastRenderedPageBreak/>
        <w:t>commitments</w:t>
      </w:r>
      <w:r w:rsidR="000F3C00" w:rsidRPr="00E813B0">
        <w:rPr>
          <w:lang w:eastAsia="en-GB"/>
        </w:rPr>
        <w:t xml:space="preserve"> from </w:t>
      </w:r>
      <w:r w:rsidR="00304197" w:rsidRPr="00304197">
        <w:t xml:space="preserve">CPs </w:t>
      </w:r>
      <w:r w:rsidR="000F3C00" w:rsidRPr="00E813B0">
        <w:rPr>
          <w:lang w:eastAsia="en-GB"/>
        </w:rPr>
        <w:t>represent</w:t>
      </w:r>
      <w:r w:rsidR="00861197" w:rsidRPr="00E813B0">
        <w:t xml:space="preserve">ing </w:t>
      </w:r>
      <w:r w:rsidR="000F3C00" w:rsidRPr="00E813B0">
        <w:rPr>
          <w:lang w:eastAsia="en-GB"/>
        </w:rPr>
        <w:t>3m tonnes</w:t>
      </w:r>
      <w:r w:rsidR="004F1F52" w:rsidRPr="00E813B0">
        <w:t xml:space="preserve"> and</w:t>
      </w:r>
      <w:r w:rsidR="0042738F" w:rsidRPr="00E813B0">
        <w:t xml:space="preserve"> for </w:t>
      </w:r>
      <w:r w:rsidR="004F1F52" w:rsidRPr="00E813B0">
        <w:t xml:space="preserve">JREDD+ credits: $400m mobilised in private sector advanced commitments ($40m in signed contracts). </w:t>
      </w:r>
      <w:r w:rsidR="00DC6A4D" w:rsidRPr="00E813B0">
        <w:t>Emer</w:t>
      </w:r>
      <w:r w:rsidR="00787BF9" w:rsidRPr="00E813B0">
        <w:t xml:space="preserve">gent </w:t>
      </w:r>
      <w:r w:rsidR="0064593F" w:rsidRPr="00E813B0">
        <w:t>has predicted a</w:t>
      </w:r>
      <w:r w:rsidR="0042738F" w:rsidRPr="00E813B0">
        <w:t xml:space="preserve"> f</w:t>
      </w:r>
      <w:r w:rsidR="004F1F52" w:rsidRPr="00E813B0">
        <w:t xml:space="preserve">urther $230m in investments by </w:t>
      </w:r>
      <w:r w:rsidR="00DC6A4D" w:rsidRPr="00E813B0">
        <w:t xml:space="preserve">the </w:t>
      </w:r>
      <w:r w:rsidR="004F1F52" w:rsidRPr="00E813B0">
        <w:t xml:space="preserve">end </w:t>
      </w:r>
      <w:r w:rsidR="00DC6A4D" w:rsidRPr="00E813B0">
        <w:t xml:space="preserve">of </w:t>
      </w:r>
      <w:r w:rsidR="004F1F52" w:rsidRPr="00E813B0">
        <w:t>2026.</w:t>
      </w:r>
      <w:r w:rsidR="0028374C">
        <w:t xml:space="preserve"> </w:t>
      </w:r>
      <w:r w:rsidR="000F3C00" w:rsidRPr="00E813B0">
        <w:rPr>
          <w:lang w:eastAsia="en-GB"/>
        </w:rPr>
        <w:t>Private sector engag</w:t>
      </w:r>
      <w:r w:rsidR="00C024BB" w:rsidRPr="00E813B0">
        <w:t>e</w:t>
      </w:r>
      <w:r w:rsidR="000F3C00" w:rsidRPr="00E813B0">
        <w:rPr>
          <w:lang w:eastAsia="en-GB"/>
        </w:rPr>
        <w:t>ment is visible</w:t>
      </w:r>
      <w:r w:rsidR="00E6196C" w:rsidRPr="00E813B0">
        <w:t>,</w:t>
      </w:r>
      <w:r w:rsidR="000F3C00" w:rsidRPr="00E813B0">
        <w:rPr>
          <w:lang w:eastAsia="en-GB"/>
        </w:rPr>
        <w:t xml:space="preserve"> but the </w:t>
      </w:r>
      <w:r w:rsidR="0028374C">
        <w:t>three</w:t>
      </w:r>
      <w:r w:rsidR="000F3C00" w:rsidRPr="00E813B0">
        <w:rPr>
          <w:lang w:eastAsia="en-GB"/>
        </w:rPr>
        <w:t xml:space="preserve"> main HMG avenues of </w:t>
      </w:r>
      <w:r w:rsidR="00234840" w:rsidRPr="00E813B0">
        <w:t>support</w:t>
      </w:r>
      <w:r w:rsidR="000F3C00" w:rsidRPr="00E813B0">
        <w:rPr>
          <w:lang w:eastAsia="en-GB"/>
        </w:rPr>
        <w:t xml:space="preserve"> (</w:t>
      </w:r>
      <w:r w:rsidR="000F496C">
        <w:t>PGF</w:t>
      </w:r>
      <w:r w:rsidR="000F3C00" w:rsidRPr="00E813B0">
        <w:rPr>
          <w:lang w:eastAsia="en-GB"/>
        </w:rPr>
        <w:t xml:space="preserve">, upfront </w:t>
      </w:r>
      <w:r w:rsidR="00234840" w:rsidRPr="00E813B0">
        <w:t>finance</w:t>
      </w:r>
      <w:r w:rsidR="000F3C00" w:rsidRPr="00E813B0">
        <w:rPr>
          <w:lang w:eastAsia="en-GB"/>
        </w:rPr>
        <w:t xml:space="preserve"> and TA) remain vital to LEAF operations. Engagement of well-regarded sovereigns is an important draw for </w:t>
      </w:r>
      <w:r w:rsidR="00404328" w:rsidRPr="00304197">
        <w:rPr>
          <w:lang w:eastAsia="en-GB"/>
        </w:rPr>
        <w:t>CPs</w:t>
      </w:r>
      <w:r w:rsidR="000F3C00" w:rsidRPr="00E813B0">
        <w:rPr>
          <w:lang w:eastAsia="en-GB"/>
        </w:rPr>
        <w:t>.</w:t>
      </w:r>
      <w:r w:rsidR="008E64DE">
        <w:t xml:space="preserve"> </w:t>
      </w:r>
      <w:r w:rsidR="000F3C00" w:rsidRPr="00E813B0">
        <w:rPr>
          <w:lang w:eastAsia="en-GB"/>
        </w:rPr>
        <w:t>It is anticipated that once credits begin to be issue</w:t>
      </w:r>
      <w:r w:rsidR="00821F9C" w:rsidRPr="00E813B0">
        <w:t>d</w:t>
      </w:r>
      <w:r w:rsidR="000F3C00" w:rsidRPr="00E813B0">
        <w:rPr>
          <w:lang w:eastAsia="en-GB"/>
        </w:rPr>
        <w:t xml:space="preserve"> and supply becomes more tangible</w:t>
      </w:r>
      <w:r w:rsidR="005E3E97" w:rsidRPr="00E813B0">
        <w:t>,</w:t>
      </w:r>
      <w:r w:rsidR="000F3C00" w:rsidRPr="00E813B0">
        <w:rPr>
          <w:lang w:eastAsia="en-GB"/>
        </w:rPr>
        <w:t xml:space="preserve"> </w:t>
      </w:r>
      <w:r w:rsidR="00304197">
        <w:t>CP</w:t>
      </w:r>
      <w:r w:rsidR="000F3C00" w:rsidRPr="00E813B0">
        <w:rPr>
          <w:lang w:eastAsia="en-GB"/>
        </w:rPr>
        <w:t xml:space="preserve"> behavio</w:t>
      </w:r>
      <w:r w:rsidR="005E3E97" w:rsidRPr="00E813B0">
        <w:t>u</w:t>
      </w:r>
      <w:r w:rsidR="00821F9C" w:rsidRPr="00E813B0">
        <w:t>r</w:t>
      </w:r>
      <w:r w:rsidR="000F3C00" w:rsidRPr="00E813B0">
        <w:rPr>
          <w:lang w:eastAsia="en-GB"/>
        </w:rPr>
        <w:t>s may shift. Improved communication may a</w:t>
      </w:r>
      <w:r w:rsidR="00995A28" w:rsidRPr="00E813B0">
        <w:t>s</w:t>
      </w:r>
      <w:r w:rsidR="000F3C00" w:rsidRPr="00E813B0">
        <w:rPr>
          <w:lang w:eastAsia="en-GB"/>
        </w:rPr>
        <w:t>sist to some extent</w:t>
      </w:r>
      <w:r w:rsidR="00A5177F">
        <w:t xml:space="preserve"> as elaborated below</w:t>
      </w:r>
      <w:r w:rsidR="000F3C00" w:rsidRPr="00E813B0">
        <w:rPr>
          <w:lang w:eastAsia="en-GB"/>
        </w:rPr>
        <w:t>.</w:t>
      </w:r>
    </w:p>
    <w:p w14:paraId="04C47ABE" w14:textId="28976989" w:rsidR="009E726A" w:rsidRPr="00C40598" w:rsidRDefault="00940E7C" w:rsidP="009E726A">
      <w:r w:rsidRPr="001B5440">
        <w:rPr>
          <w:rStyle w:val="Boldtext"/>
        </w:rPr>
        <w:t xml:space="preserve">There are </w:t>
      </w:r>
      <w:r w:rsidR="0078300A" w:rsidRPr="001B5440">
        <w:rPr>
          <w:rStyle w:val="Boldtext"/>
        </w:rPr>
        <w:t>some</w:t>
      </w:r>
      <w:r w:rsidR="00A13260" w:rsidRPr="001B5440">
        <w:rPr>
          <w:rStyle w:val="Boldtext"/>
        </w:rPr>
        <w:t xml:space="preserve"> frustrations </w:t>
      </w:r>
      <w:r w:rsidR="0078300A" w:rsidRPr="001B5440">
        <w:rPr>
          <w:rStyle w:val="Boldtext"/>
        </w:rPr>
        <w:t xml:space="preserve">with </w:t>
      </w:r>
      <w:r w:rsidR="00A13260" w:rsidRPr="001B5440">
        <w:rPr>
          <w:rStyle w:val="Boldtext"/>
        </w:rPr>
        <w:t>the performance of early deals with issuance delays leading to a shortage of near-term credits and a desire to see proof of concept.</w:t>
      </w:r>
      <w:r w:rsidR="00A13260" w:rsidRPr="00E813B0">
        <w:t xml:space="preserve"> </w:t>
      </w:r>
      <w:r w:rsidR="0010589F" w:rsidRPr="00E813B0">
        <w:t>The</w:t>
      </w:r>
      <w:r w:rsidR="005F1F1C" w:rsidRPr="00E813B0">
        <w:t xml:space="preserve"> </w:t>
      </w:r>
      <w:r w:rsidR="00404328" w:rsidRPr="00914D02">
        <w:t>CPs</w:t>
      </w:r>
      <w:r w:rsidR="00914D02" w:rsidRPr="00914D02">
        <w:t xml:space="preserve"> </w:t>
      </w:r>
      <w:r w:rsidR="005F1F1C" w:rsidRPr="00E813B0">
        <w:t>that are most engaged appe</w:t>
      </w:r>
      <w:r w:rsidR="005154C5" w:rsidRPr="00E813B0">
        <w:t xml:space="preserve">ar to understand that </w:t>
      </w:r>
      <w:r w:rsidR="00B10F2F" w:rsidRPr="00E813B0">
        <w:t xml:space="preserve">LEAF is forging a new approach </w:t>
      </w:r>
      <w:r w:rsidR="000358B8" w:rsidRPr="00E813B0">
        <w:t xml:space="preserve">that will take </w:t>
      </w:r>
      <w:r w:rsidR="00F40867" w:rsidRPr="00E813B0">
        <w:t>time,</w:t>
      </w:r>
      <w:r w:rsidR="000358B8" w:rsidRPr="00E813B0">
        <w:t xml:space="preserve"> </w:t>
      </w:r>
      <w:r w:rsidR="00B66DB9" w:rsidRPr="00E813B0">
        <w:t xml:space="preserve">but improved communication would </w:t>
      </w:r>
      <w:r w:rsidR="00990350" w:rsidRPr="00E813B0">
        <w:t>be beneficial.</w:t>
      </w:r>
      <w:r w:rsidR="00F00AA4" w:rsidRPr="00E813B0">
        <w:t xml:space="preserve"> </w:t>
      </w:r>
      <w:r w:rsidR="00464C63" w:rsidRPr="00E813B0">
        <w:t xml:space="preserve">There are constraints </w:t>
      </w:r>
      <w:r w:rsidR="0006001D">
        <w:t xml:space="preserve">in relation to VCMs as </w:t>
      </w:r>
      <w:r w:rsidR="00914D02">
        <w:t>CP</w:t>
      </w:r>
      <w:r w:rsidR="0006001D">
        <w:t xml:space="preserve"> </w:t>
      </w:r>
      <w:r w:rsidR="00464C63" w:rsidRPr="00E813B0">
        <w:t xml:space="preserve">priority is given </w:t>
      </w:r>
      <w:r w:rsidR="00CE5175">
        <w:t xml:space="preserve">to other </w:t>
      </w:r>
      <w:r w:rsidR="00464C63" w:rsidRPr="00E813B0">
        <w:t>decarbonisation activities</w:t>
      </w:r>
      <w:r w:rsidR="00CE5175">
        <w:t xml:space="preserve"> such</w:t>
      </w:r>
      <w:r w:rsidR="00F53327">
        <w:t xml:space="preserve"> </w:t>
      </w:r>
      <w:r w:rsidR="00F91D27">
        <w:t>a</w:t>
      </w:r>
      <w:r w:rsidR="00F53327">
        <w:t>s</w:t>
      </w:r>
      <w:r w:rsidR="00B87770">
        <w:t xml:space="preserve"> </w:t>
      </w:r>
      <w:r w:rsidR="009E726A" w:rsidRPr="009E726A">
        <w:t>improving</w:t>
      </w:r>
      <w:r w:rsidR="009E726A">
        <w:t xml:space="preserve"> </w:t>
      </w:r>
      <w:r w:rsidR="009E726A" w:rsidRPr="009E726A">
        <w:t>efficiencies and transitioning to clean energy</w:t>
      </w:r>
      <w:r w:rsidR="009E726A">
        <w:t xml:space="preserve"> </w:t>
      </w:r>
      <w:r w:rsidR="009E726A" w:rsidRPr="009E726A">
        <w:t>sources</w:t>
      </w:r>
      <w:r w:rsidR="00532C53">
        <w:t xml:space="preserve">. Best practice is generally </w:t>
      </w:r>
      <w:r w:rsidR="00C87C10">
        <w:t xml:space="preserve">that </w:t>
      </w:r>
      <w:r w:rsidR="009E726A" w:rsidRPr="009E726A">
        <w:t>where technical means are available,</w:t>
      </w:r>
      <w:r w:rsidR="009E726A">
        <w:t xml:space="preserve"> </w:t>
      </w:r>
      <w:r w:rsidR="00866B75">
        <w:t xml:space="preserve">these </w:t>
      </w:r>
      <w:r w:rsidR="009E726A" w:rsidRPr="009E726A">
        <w:t>should be prioriti</w:t>
      </w:r>
      <w:r w:rsidR="00866B75">
        <w:t>s</w:t>
      </w:r>
      <w:r w:rsidR="009E726A" w:rsidRPr="009E726A">
        <w:t>ed while carbon offsets should</w:t>
      </w:r>
      <w:r w:rsidR="009E726A">
        <w:t xml:space="preserve"> </w:t>
      </w:r>
      <w:r w:rsidR="009E726A" w:rsidRPr="009E726A">
        <w:t>be reserved to compensate for remaining hard-to-abate emissions</w:t>
      </w:r>
      <w:r w:rsidR="009A4A0B">
        <w:t>.</w:t>
      </w:r>
      <w:r w:rsidR="001D2EC8">
        <w:rPr>
          <w:rStyle w:val="FootnoteReference"/>
        </w:rPr>
        <w:footnoteReference w:id="12"/>
      </w:r>
    </w:p>
    <w:p w14:paraId="50C281CF" w14:textId="033CE877" w:rsidR="00960BFB" w:rsidRDefault="00E93D70" w:rsidP="005F6E31">
      <w:pPr>
        <w:rPr>
          <w:lang w:eastAsia="en-GB"/>
        </w:rPr>
      </w:pPr>
      <w:r w:rsidRPr="00E93D70">
        <w:rPr>
          <w:rStyle w:val="Boldtext"/>
        </w:rPr>
        <w:t xml:space="preserve">The current </w:t>
      </w:r>
      <w:r w:rsidR="00411DDF">
        <w:rPr>
          <w:rStyle w:val="Boldtext"/>
        </w:rPr>
        <w:t>LEAF</w:t>
      </w:r>
      <w:r w:rsidRPr="00E93D70">
        <w:rPr>
          <w:rStyle w:val="Boldtext"/>
        </w:rPr>
        <w:t xml:space="preserve"> coalition transactional structures insufficiently support the process of ‘leveraging’</w:t>
      </w:r>
      <w:r>
        <w:t xml:space="preserve"> </w:t>
      </w:r>
      <w:r w:rsidR="0093422F" w:rsidRPr="001B5440">
        <w:rPr>
          <w:rStyle w:val="Boldtext"/>
        </w:rPr>
        <w:t>in an effective and efficient manner</w:t>
      </w:r>
      <w:r w:rsidR="00564183" w:rsidRPr="001B5440">
        <w:rPr>
          <w:rStyle w:val="Boldtext"/>
        </w:rPr>
        <w:t>.</w:t>
      </w:r>
      <w:r w:rsidR="00564183">
        <w:t xml:space="preserve"> </w:t>
      </w:r>
      <w:r w:rsidR="00F22893" w:rsidRPr="00E813B0">
        <w:rPr>
          <w:lang w:eastAsia="en-GB"/>
        </w:rPr>
        <w:t xml:space="preserve">Committed corporate demand </w:t>
      </w:r>
      <w:r w:rsidR="00F22893">
        <w:t xml:space="preserve">is </w:t>
      </w:r>
      <w:r w:rsidR="00F22893" w:rsidRPr="00E813B0">
        <w:rPr>
          <w:lang w:eastAsia="en-GB"/>
        </w:rPr>
        <w:t>below targe</w:t>
      </w:r>
      <w:r w:rsidR="00F22893">
        <w:t>t</w:t>
      </w:r>
      <w:r w:rsidR="00557E45">
        <w:t xml:space="preserve"> </w:t>
      </w:r>
      <w:r w:rsidR="00557E45" w:rsidRPr="00557E45">
        <w:t xml:space="preserve">(demonstrated by limited </w:t>
      </w:r>
      <w:r w:rsidR="00914D02">
        <w:t>CP</w:t>
      </w:r>
      <w:r w:rsidR="00557E45" w:rsidRPr="00557E45">
        <w:t xml:space="preserve"> ERPAs and Confirmations signed)</w:t>
      </w:r>
      <w:r w:rsidR="00F22893">
        <w:t xml:space="preserve"> </w:t>
      </w:r>
      <w:r w:rsidR="007E2FD9">
        <w:t>with</w:t>
      </w:r>
      <w:r w:rsidR="00F22893" w:rsidRPr="00E813B0">
        <w:rPr>
          <w:lang w:eastAsia="en-GB"/>
        </w:rPr>
        <w:t xml:space="preserve"> market integ</w:t>
      </w:r>
      <w:r w:rsidR="00411DDF">
        <w:t>r</w:t>
      </w:r>
      <w:r w:rsidR="00F22893" w:rsidRPr="00E813B0">
        <w:rPr>
          <w:lang w:eastAsia="en-GB"/>
        </w:rPr>
        <w:t>ity concerns and delays in credit issuance</w:t>
      </w:r>
      <w:r w:rsidR="00AF06B4">
        <w:t xml:space="preserve"> and the date of the credits</w:t>
      </w:r>
      <w:r w:rsidR="00F22893" w:rsidRPr="00E813B0">
        <w:rPr>
          <w:lang w:eastAsia="en-GB"/>
        </w:rPr>
        <w:t xml:space="preserve">. </w:t>
      </w:r>
      <w:r w:rsidR="00960BFB" w:rsidRPr="00960BFB">
        <w:t>Constraints include concerns from corporates on market integrity, and particularly due to delays in credit issuance</w:t>
      </w:r>
      <w:r w:rsidR="00AF06B4">
        <w:t xml:space="preserve"> </w:t>
      </w:r>
      <w:r w:rsidR="00960BFB" w:rsidRPr="00960BFB">
        <w:t>- which have meant some partners have needed to drop out of deals due to the need to retire credits within a certain time period corresponding to their financial years.</w:t>
      </w:r>
      <w:r w:rsidR="00DD46E5">
        <w:t xml:space="preserve"> According to the 2024 AR, o</w:t>
      </w:r>
      <w:r w:rsidR="00DD46E5" w:rsidRPr="00DD46E5">
        <w:t xml:space="preserve">utcome 4, which reported on </w:t>
      </w:r>
      <w:r w:rsidR="00914D02" w:rsidRPr="00914D02">
        <w:t xml:space="preserve">CP’s </w:t>
      </w:r>
      <w:r w:rsidR="00DD46E5" w:rsidRPr="00DD46E5">
        <w:t xml:space="preserve">decarbonisation ambition, was removed from </w:t>
      </w:r>
      <w:r w:rsidR="00DD46E5">
        <w:t>quantitative</w:t>
      </w:r>
      <w:r w:rsidR="00D954BB">
        <w:t xml:space="preserve"> </w:t>
      </w:r>
      <w:r w:rsidR="00DD46E5" w:rsidRPr="00DD46E5">
        <w:t>reporting</w:t>
      </w:r>
      <w:r w:rsidR="0019247E">
        <w:t xml:space="preserve"> and is replaced by a </w:t>
      </w:r>
      <w:r w:rsidR="00DD46E5" w:rsidRPr="00DD46E5">
        <w:t xml:space="preserve">narrative </w:t>
      </w:r>
      <w:r w:rsidR="0019247E">
        <w:t xml:space="preserve">qualitative </w:t>
      </w:r>
      <w:r w:rsidR="004725FA">
        <w:t xml:space="preserve">format. </w:t>
      </w:r>
    </w:p>
    <w:p w14:paraId="3C5076AE" w14:textId="19374517" w:rsidR="00D74C37" w:rsidRDefault="007F49A4" w:rsidP="005F6E31">
      <w:r w:rsidRPr="00E813B0">
        <w:rPr>
          <w:rStyle w:val="Boldtext"/>
        </w:rPr>
        <w:t>Improved communication and continued engagement with new market options could enable better operational adaptive management.</w:t>
      </w:r>
      <w:r w:rsidR="0076096D">
        <w:rPr>
          <w:rStyle w:val="Boldtext"/>
        </w:rPr>
        <w:t xml:space="preserve"> </w:t>
      </w:r>
      <w:r w:rsidR="004D7BCF">
        <w:t>Brief p</w:t>
      </w:r>
      <w:r w:rsidR="004D7BCF" w:rsidRPr="00C849AB">
        <w:t>rogress updates</w:t>
      </w:r>
      <w:r w:rsidR="00405A0F" w:rsidRPr="00C849AB">
        <w:t xml:space="preserve"> </w:t>
      </w:r>
      <w:r w:rsidR="00CF584F">
        <w:t xml:space="preserve">would prove useful for </w:t>
      </w:r>
      <w:r w:rsidR="009A4A0B">
        <w:t>CPs</w:t>
      </w:r>
      <w:r w:rsidR="00914D02" w:rsidRPr="00914D02">
        <w:t xml:space="preserve"> </w:t>
      </w:r>
      <w:r w:rsidR="00CF584F">
        <w:t xml:space="preserve">but also </w:t>
      </w:r>
      <w:r w:rsidR="004B7138">
        <w:t xml:space="preserve">increased </w:t>
      </w:r>
      <w:r w:rsidR="00405A0F" w:rsidRPr="00C849AB">
        <w:t>transparency and comm</w:t>
      </w:r>
      <w:r w:rsidR="004B7138">
        <w:t>unication</w:t>
      </w:r>
      <w:r w:rsidR="00405A0F" w:rsidRPr="00C849AB">
        <w:t xml:space="preserve">s around pricing and </w:t>
      </w:r>
      <w:r w:rsidR="000A59E0">
        <w:t xml:space="preserve">the </w:t>
      </w:r>
      <w:r w:rsidR="00405A0F" w:rsidRPr="00C849AB">
        <w:t>wider market activity</w:t>
      </w:r>
      <w:r w:rsidR="00A73C9B">
        <w:t xml:space="preserve"> would be welcomed</w:t>
      </w:r>
      <w:r w:rsidR="004B7138">
        <w:t xml:space="preserve">. </w:t>
      </w:r>
      <w:r w:rsidR="005A1EF8" w:rsidRPr="00E813B0">
        <w:t>The</w:t>
      </w:r>
      <w:r w:rsidR="003A1C2E" w:rsidRPr="00E813B0">
        <w:t xml:space="preserve"> </w:t>
      </w:r>
      <w:r w:rsidR="003376F5" w:rsidRPr="00E813B0">
        <w:t>USD 10 price was a</w:t>
      </w:r>
      <w:r w:rsidR="003A1C2E" w:rsidRPr="00E813B0">
        <w:t xml:space="preserve"> </w:t>
      </w:r>
      <w:r w:rsidR="002C6B50" w:rsidRPr="00E813B0">
        <w:t>particular</w:t>
      </w:r>
      <w:r w:rsidR="003A1C2E" w:rsidRPr="00E813B0">
        <w:t xml:space="preserve"> </w:t>
      </w:r>
      <w:r w:rsidR="003376F5" w:rsidRPr="00E813B0">
        <w:t xml:space="preserve">selling point for some </w:t>
      </w:r>
      <w:r w:rsidR="00404328" w:rsidRPr="00914D02">
        <w:t>CPs</w:t>
      </w:r>
      <w:r w:rsidR="003376F5" w:rsidRPr="00E813B0">
        <w:t>.</w:t>
      </w:r>
      <w:r w:rsidR="003A1C2E" w:rsidRPr="00E813B0">
        <w:t xml:space="preserve"> </w:t>
      </w:r>
      <w:r w:rsidR="003376F5" w:rsidRPr="00E813B0">
        <w:t xml:space="preserve">While there is some </w:t>
      </w:r>
      <w:r w:rsidR="00341970">
        <w:t xml:space="preserve">indicative </w:t>
      </w:r>
      <w:r w:rsidR="003376F5" w:rsidRPr="00E813B0">
        <w:t xml:space="preserve">willingness for </w:t>
      </w:r>
      <w:r w:rsidR="00404328" w:rsidRPr="00914D02">
        <w:t>CPs</w:t>
      </w:r>
      <w:r w:rsidR="00914D02" w:rsidRPr="00914D02">
        <w:t xml:space="preserve"> </w:t>
      </w:r>
      <w:r w:rsidR="003376F5" w:rsidRPr="00E813B0">
        <w:t>to pay</w:t>
      </w:r>
      <w:r w:rsidR="003A1C2E" w:rsidRPr="00E813B0">
        <w:t xml:space="preserve"> </w:t>
      </w:r>
      <w:r w:rsidR="006A2FE4" w:rsidRPr="00E813B0">
        <w:t>up to</w:t>
      </w:r>
      <w:r w:rsidR="003A1C2E" w:rsidRPr="00E813B0">
        <w:t xml:space="preserve"> </w:t>
      </w:r>
      <w:r w:rsidR="003376F5" w:rsidRPr="00E813B0">
        <w:t>USD 15, concise</w:t>
      </w:r>
      <w:r w:rsidR="00CE71F9" w:rsidRPr="00E813B0">
        <w:t xml:space="preserve"> </w:t>
      </w:r>
      <w:r w:rsidR="003376F5" w:rsidRPr="00E813B0">
        <w:t>information and communication on reasons for cost</w:t>
      </w:r>
      <w:r w:rsidR="00CE71F9" w:rsidRPr="00E813B0">
        <w:t xml:space="preserve"> </w:t>
      </w:r>
      <w:r w:rsidR="002A08BD" w:rsidRPr="00E813B0">
        <w:t xml:space="preserve">(such as </w:t>
      </w:r>
      <w:r w:rsidR="004C44EC" w:rsidRPr="00E813B0">
        <w:t>higher-than-expected</w:t>
      </w:r>
      <w:r w:rsidR="002A08BD" w:rsidRPr="00E813B0">
        <w:t xml:space="preserve"> HJ costs</w:t>
      </w:r>
      <w:r w:rsidR="0074391C">
        <w:t>,</w:t>
      </w:r>
      <w:r w:rsidR="002A08BD" w:rsidRPr="00E813B0">
        <w:t xml:space="preserve"> for example) </w:t>
      </w:r>
      <w:r w:rsidR="003376F5" w:rsidRPr="00E813B0">
        <w:t xml:space="preserve">could help convince </w:t>
      </w:r>
      <w:r w:rsidR="00404328" w:rsidRPr="00914D02">
        <w:t>CPs</w:t>
      </w:r>
      <w:r w:rsidR="00341970">
        <w:t xml:space="preserve">. </w:t>
      </w:r>
    </w:p>
    <w:p w14:paraId="42025FC4" w14:textId="6EAFAF14" w:rsidR="002121F2" w:rsidRDefault="003376F5" w:rsidP="005F6E31">
      <w:r w:rsidRPr="001B5440">
        <w:rPr>
          <w:rStyle w:val="Boldtext"/>
        </w:rPr>
        <w:t xml:space="preserve">Emergent is encouraged to continue with </w:t>
      </w:r>
      <w:r w:rsidR="0074391C">
        <w:rPr>
          <w:rStyle w:val="Boldtext"/>
        </w:rPr>
        <w:t>its</w:t>
      </w:r>
      <w:r w:rsidRPr="001B5440">
        <w:rPr>
          <w:rStyle w:val="Boldtext"/>
        </w:rPr>
        <w:t xml:space="preserve"> engagement with new market (buying) options</w:t>
      </w:r>
      <w:r w:rsidRPr="00E813B0">
        <w:t xml:space="preserve"> </w:t>
      </w:r>
      <w:r w:rsidR="00373115" w:rsidRPr="00E813B0">
        <w:t>(</w:t>
      </w:r>
      <w:r w:rsidR="007B4A93" w:rsidRPr="00E813B0">
        <w:t>e.g. CORSIA and retiring of F</w:t>
      </w:r>
      <w:r w:rsidR="00341970">
        <w:t>CP</w:t>
      </w:r>
      <w:r w:rsidR="007B4A93" w:rsidRPr="00E813B0">
        <w:t>F credits</w:t>
      </w:r>
      <w:r w:rsidR="00A52EF3" w:rsidRPr="00E813B0">
        <w:t>)</w:t>
      </w:r>
      <w:r w:rsidR="007B4A93" w:rsidRPr="00E813B0">
        <w:t xml:space="preserve">. New market options could also include encouraging carbon platforms either through individual (very) large </w:t>
      </w:r>
      <w:r w:rsidR="009A4A0B">
        <w:t>CPs</w:t>
      </w:r>
      <w:r w:rsidR="00914D02" w:rsidRPr="00914D02">
        <w:t xml:space="preserve"> </w:t>
      </w:r>
      <w:r w:rsidR="007B4A93" w:rsidRPr="00E813B0">
        <w:t>or via an intermediary</w:t>
      </w:r>
      <w:r w:rsidR="00A52EF3" w:rsidRPr="00E813B0">
        <w:t>,</w:t>
      </w:r>
      <w:r w:rsidR="007B4A93" w:rsidRPr="00E813B0">
        <w:t xml:space="preserve"> such as a trade association.</w:t>
      </w:r>
    </w:p>
    <w:p w14:paraId="7CC6EF61" w14:textId="69299FC7" w:rsidR="006D611C" w:rsidRPr="00E813B0" w:rsidRDefault="00A52980" w:rsidP="006D611C">
      <w:pPr>
        <w:rPr>
          <w:lang w:eastAsia="en-GB"/>
        </w:rPr>
      </w:pPr>
      <w:r w:rsidRPr="001B5440">
        <w:rPr>
          <w:rStyle w:val="Boldtext"/>
        </w:rPr>
        <w:t xml:space="preserve">There are two </w:t>
      </w:r>
      <w:r w:rsidR="00EF6B6D">
        <w:rPr>
          <w:rStyle w:val="Boldtext"/>
        </w:rPr>
        <w:t xml:space="preserve">additional </w:t>
      </w:r>
      <w:r w:rsidRPr="001B5440">
        <w:rPr>
          <w:rStyle w:val="Boldtext"/>
        </w:rPr>
        <w:t xml:space="preserve">potential issues </w:t>
      </w:r>
      <w:r w:rsidR="00206A48" w:rsidRPr="001B5440">
        <w:rPr>
          <w:rStyle w:val="Boldtext"/>
        </w:rPr>
        <w:t xml:space="preserve">for some </w:t>
      </w:r>
      <w:r w:rsidR="00F00969">
        <w:rPr>
          <w:rStyle w:val="Boldtext"/>
        </w:rPr>
        <w:t>CPs,</w:t>
      </w:r>
      <w:r w:rsidR="00914D02" w:rsidRPr="00914D02">
        <w:rPr>
          <w:rStyle w:val="Boldtext"/>
        </w:rPr>
        <w:t xml:space="preserve"> </w:t>
      </w:r>
      <w:r w:rsidR="00C566D9" w:rsidRPr="001B5440">
        <w:rPr>
          <w:rStyle w:val="Boldtext"/>
        </w:rPr>
        <w:t>includ</w:t>
      </w:r>
      <w:r w:rsidR="006138CD" w:rsidRPr="001B5440">
        <w:rPr>
          <w:rStyle w:val="Boldtext"/>
        </w:rPr>
        <w:t>ing</w:t>
      </w:r>
      <w:r w:rsidR="00C566D9" w:rsidRPr="001B5440">
        <w:rPr>
          <w:rStyle w:val="Boldtext"/>
        </w:rPr>
        <w:t xml:space="preserve"> </w:t>
      </w:r>
      <w:r w:rsidR="0003058E" w:rsidRPr="001B5440">
        <w:rPr>
          <w:rStyle w:val="Boldtext"/>
        </w:rPr>
        <w:t xml:space="preserve">SBTi net zero targets ('changing goalposts’) </w:t>
      </w:r>
      <w:r w:rsidR="00206A48" w:rsidRPr="001B5440">
        <w:rPr>
          <w:rStyle w:val="Boldtext"/>
        </w:rPr>
        <w:t>and the r</w:t>
      </w:r>
      <w:r w:rsidR="0003058E" w:rsidRPr="001B5440">
        <w:rPr>
          <w:rStyle w:val="Boldtext"/>
        </w:rPr>
        <w:t xml:space="preserve">emovals protocols from ART TREES </w:t>
      </w:r>
      <w:r w:rsidR="00111F52" w:rsidRPr="001B5440">
        <w:rPr>
          <w:rStyle w:val="Boldtext"/>
        </w:rPr>
        <w:t>i</w:t>
      </w:r>
      <w:r w:rsidR="0003058E" w:rsidRPr="001B5440">
        <w:rPr>
          <w:rStyle w:val="Boldtext"/>
        </w:rPr>
        <w:t>n relation to HJs</w:t>
      </w:r>
      <w:r w:rsidR="0003058E" w:rsidRPr="00E813B0">
        <w:t xml:space="preserve"> with existing lower deforestation levels</w:t>
      </w:r>
      <w:r w:rsidR="00623222">
        <w:t xml:space="preserve"> (HFLD</w:t>
      </w:r>
      <w:r w:rsidR="00C16210">
        <w:t xml:space="preserve"> countries)</w:t>
      </w:r>
      <w:r w:rsidR="0003058E" w:rsidRPr="00E813B0">
        <w:t xml:space="preserve"> and </w:t>
      </w:r>
      <w:r w:rsidR="00960989">
        <w:t>lower-paced</w:t>
      </w:r>
      <w:r w:rsidR="0003058E" w:rsidRPr="00E813B0">
        <w:t xml:space="preserve"> resulting natural </w:t>
      </w:r>
      <w:r w:rsidR="0003058E" w:rsidRPr="00E813B0">
        <w:lastRenderedPageBreak/>
        <w:t>regeneration</w:t>
      </w:r>
      <w:r w:rsidR="001F19D5" w:rsidRPr="00E813B0">
        <w:t xml:space="preserve">. </w:t>
      </w:r>
      <w:r w:rsidR="00111F52" w:rsidRPr="00E813B0">
        <w:t xml:space="preserve">This could be resolved when the </w:t>
      </w:r>
      <w:r w:rsidR="0003058E" w:rsidRPr="00E813B0">
        <w:t xml:space="preserve">current ICVCM working group </w:t>
      </w:r>
      <w:r w:rsidR="00111F52" w:rsidRPr="00E813B0">
        <w:t xml:space="preserve">reports </w:t>
      </w:r>
      <w:r w:rsidR="0003058E" w:rsidRPr="00E813B0">
        <w:t>on this issue</w:t>
      </w:r>
      <w:r w:rsidR="00111F52" w:rsidRPr="001B5440">
        <w:rPr>
          <w:rStyle w:val="Boldtext"/>
        </w:rPr>
        <w:t>.</w:t>
      </w:r>
      <w:r w:rsidR="00A612EC">
        <w:rPr>
          <w:rStyle w:val="Boldtext"/>
        </w:rPr>
        <w:t xml:space="preserve"> </w:t>
      </w:r>
      <w:r w:rsidR="00913EB9">
        <w:t xml:space="preserve">The CAG </w:t>
      </w:r>
      <w:r w:rsidR="00A46C1B" w:rsidRPr="00E813B0">
        <w:t>is currently in the process of updating the PGF</w:t>
      </w:r>
      <w:r w:rsidR="00913EB9" w:rsidRPr="00E813B0">
        <w:rPr>
          <w:lang w:eastAsia="en-GB"/>
        </w:rPr>
        <w:t xml:space="preserve"> </w:t>
      </w:r>
      <w:r w:rsidR="00913EB9">
        <w:t xml:space="preserve">operational </w:t>
      </w:r>
      <w:r w:rsidR="00FE2F64">
        <w:t>guidelines</w:t>
      </w:r>
      <w:r w:rsidR="006D611C" w:rsidRPr="00E813B0">
        <w:rPr>
          <w:lang w:eastAsia="en-GB"/>
        </w:rPr>
        <w:t xml:space="preserve"> </w:t>
      </w:r>
      <w:r w:rsidR="00973F05" w:rsidRPr="00E813B0">
        <w:t xml:space="preserve">and this is expected to be important in relation to the MTT </w:t>
      </w:r>
      <w:r w:rsidR="00013BC6" w:rsidRPr="00E813B0">
        <w:t>(minimum transaction threshold</w:t>
      </w:r>
      <w:r w:rsidR="00973F05" w:rsidRPr="00E813B0">
        <w:t xml:space="preserve">) </w:t>
      </w:r>
      <w:r w:rsidR="004819DA" w:rsidRPr="00E813B0">
        <w:t>and the availability of PGF funds.</w:t>
      </w:r>
    </w:p>
    <w:p w14:paraId="4B5D08C2" w14:textId="15F6909D" w:rsidR="006138CD" w:rsidRPr="00E813B0" w:rsidRDefault="00E21C45" w:rsidP="005F5DDB">
      <w:r w:rsidRPr="00E813B0">
        <w:rPr>
          <w:rStyle w:val="Boldtext"/>
        </w:rPr>
        <w:t xml:space="preserve">Where </w:t>
      </w:r>
      <w:r w:rsidR="00E753EE" w:rsidRPr="00E813B0">
        <w:rPr>
          <w:rStyle w:val="Boldtext"/>
        </w:rPr>
        <w:t xml:space="preserve">LEAF </w:t>
      </w:r>
      <w:r w:rsidRPr="00E813B0">
        <w:rPr>
          <w:rStyle w:val="Boldtext"/>
        </w:rPr>
        <w:t xml:space="preserve">ERPAs are considered inappropriate for the </w:t>
      </w:r>
      <w:r w:rsidR="00E753EE" w:rsidRPr="00E813B0">
        <w:rPr>
          <w:rStyle w:val="Boldtext"/>
        </w:rPr>
        <w:t>HJ</w:t>
      </w:r>
      <w:r w:rsidRPr="00E813B0">
        <w:rPr>
          <w:rStyle w:val="Boldtext"/>
        </w:rPr>
        <w:t xml:space="preserve"> context they may choose to move forward without an ERPA</w:t>
      </w:r>
      <w:r w:rsidRPr="00E813B0">
        <w:t xml:space="preserve">. </w:t>
      </w:r>
      <w:r w:rsidR="007E5F0B" w:rsidRPr="00E813B0">
        <w:t xml:space="preserve">Some countries </w:t>
      </w:r>
      <w:r w:rsidR="00D84275" w:rsidRPr="00E813B0">
        <w:t xml:space="preserve">are </w:t>
      </w:r>
      <w:r w:rsidR="007E5F0B" w:rsidRPr="00E813B0">
        <w:t xml:space="preserve">bypassing </w:t>
      </w:r>
      <w:r w:rsidR="000C0FF8">
        <w:t xml:space="preserve">the </w:t>
      </w:r>
      <w:r w:rsidR="001F4F4D">
        <w:t xml:space="preserve">LEAF </w:t>
      </w:r>
      <w:r w:rsidR="007E5F0B" w:rsidRPr="00E813B0">
        <w:t xml:space="preserve">ERPA structure </w:t>
      </w:r>
      <w:r w:rsidR="00BE013C">
        <w:t>by</w:t>
      </w:r>
      <w:r w:rsidR="006138CD" w:rsidRPr="00E813B0">
        <w:t xml:space="preserve"> </w:t>
      </w:r>
      <w:r w:rsidR="002812E0">
        <w:t xml:space="preserve">using a different </w:t>
      </w:r>
      <w:r w:rsidR="008771D6">
        <w:t xml:space="preserve">ERPA to </w:t>
      </w:r>
      <w:r w:rsidR="007E5F0B" w:rsidRPr="00E813B0">
        <w:t xml:space="preserve">use </w:t>
      </w:r>
      <w:r w:rsidR="008771D6">
        <w:t>the</w:t>
      </w:r>
      <w:r w:rsidR="007E5F0B" w:rsidRPr="00E813B0">
        <w:t xml:space="preserve"> </w:t>
      </w:r>
      <w:r w:rsidR="00101463" w:rsidRPr="00E813B0">
        <w:t xml:space="preserve">ART </w:t>
      </w:r>
      <w:r w:rsidR="007E5F0B" w:rsidRPr="00E813B0">
        <w:t xml:space="preserve">TREES standard directly (Guyana) or via CORSIA. </w:t>
      </w:r>
      <w:r w:rsidR="00CC1B3E" w:rsidRPr="007F7037">
        <w:t>T</w:t>
      </w:r>
      <w:r w:rsidR="005F5DE8">
        <w:t>he</w:t>
      </w:r>
      <w:r w:rsidR="00CC1B3E" w:rsidRPr="007F7037">
        <w:t xml:space="preserve"> LEAF ERPA template will be published </w:t>
      </w:r>
      <w:r w:rsidR="00B24ADB">
        <w:t xml:space="preserve">on the LEAF website. </w:t>
      </w:r>
      <w:r w:rsidR="00191572">
        <w:t>R</w:t>
      </w:r>
      <w:r w:rsidR="005772E6">
        <w:t xml:space="preserve">edacted </w:t>
      </w:r>
      <w:r w:rsidR="00CC1B3E" w:rsidRPr="007F7037">
        <w:t>transaction ERPA</w:t>
      </w:r>
      <w:r w:rsidR="00191572">
        <w:t>s</w:t>
      </w:r>
      <w:r w:rsidR="00CC1B3E" w:rsidRPr="007F7037">
        <w:t xml:space="preserve"> </w:t>
      </w:r>
      <w:r w:rsidR="00E13D69">
        <w:t xml:space="preserve">(LEAF and HJ) </w:t>
      </w:r>
      <w:r w:rsidR="005772E6">
        <w:t>are published on the LEAF website</w:t>
      </w:r>
      <w:r w:rsidR="00E13D69">
        <w:t xml:space="preserve">. Corporate/LEAF ERPAs are not published </w:t>
      </w:r>
      <w:r w:rsidR="00CC1B3E" w:rsidRPr="007F7037">
        <w:t>as they are</w:t>
      </w:r>
      <w:r w:rsidR="00CC1B3E">
        <w:t xml:space="preserve"> treated as</w:t>
      </w:r>
      <w:r w:rsidR="00CC1B3E" w:rsidRPr="007F7037">
        <w:t xml:space="preserve"> sensitive</w:t>
      </w:r>
      <w:r w:rsidR="00191572">
        <w:t xml:space="preserve"> – creating an imbalance in the availability of data to the public</w:t>
      </w:r>
      <w:r w:rsidR="00CC1B3E" w:rsidRPr="007F7037">
        <w:t>.</w:t>
      </w:r>
      <w:r w:rsidR="00D62CBB">
        <w:rPr>
          <w:rStyle w:val="FootnoteReference"/>
        </w:rPr>
        <w:footnoteReference w:id="13"/>
      </w:r>
      <w:r w:rsidR="00704121">
        <w:t xml:space="preserve"> </w:t>
      </w:r>
      <w:r w:rsidR="00EA3009" w:rsidRPr="00E813B0">
        <w:t xml:space="preserve">The operational default should be transparency – </w:t>
      </w:r>
      <w:r w:rsidR="00606D56">
        <w:t xml:space="preserve">it is suggested by the evaluation team that </w:t>
      </w:r>
      <w:r w:rsidR="00F83ECD">
        <w:t xml:space="preserve">confidentiality should </w:t>
      </w:r>
      <w:r w:rsidR="00FC0A21">
        <w:t xml:space="preserve">be used </w:t>
      </w:r>
      <w:r w:rsidR="008C21E4">
        <w:t xml:space="preserve">only </w:t>
      </w:r>
      <w:r w:rsidR="00FC0A21">
        <w:t xml:space="preserve">where there is </w:t>
      </w:r>
      <w:r w:rsidR="00EA3009" w:rsidRPr="00E813B0">
        <w:t xml:space="preserve">a </w:t>
      </w:r>
      <w:r w:rsidR="008C21E4">
        <w:t xml:space="preserve">specific </w:t>
      </w:r>
      <w:r w:rsidR="00EA3009" w:rsidRPr="00E813B0">
        <w:t>request for confidentiality</w:t>
      </w:r>
      <w:r w:rsidR="00FC0A21">
        <w:t xml:space="preserve"> rather than as </w:t>
      </w:r>
      <w:r w:rsidR="00873ED6">
        <w:t>a</w:t>
      </w:r>
      <w:r w:rsidR="00FC0A21">
        <w:t xml:space="preserve"> </w:t>
      </w:r>
      <w:r w:rsidR="004D2F2A">
        <w:t xml:space="preserve">blanket policy with </w:t>
      </w:r>
      <w:r w:rsidR="00EA3009" w:rsidRPr="00E813B0">
        <w:t>the CAG tak</w:t>
      </w:r>
      <w:r w:rsidR="004D2F2A">
        <w:t>ing</w:t>
      </w:r>
      <w:r w:rsidR="00EA3009" w:rsidRPr="00E813B0">
        <w:t xml:space="preserve"> the ultimate decision based on clear criteria</w:t>
      </w:r>
      <w:r w:rsidR="003D3AE9" w:rsidRPr="00E813B0">
        <w:t>.</w:t>
      </w:r>
      <w:r w:rsidR="008231BA">
        <w:t xml:space="preserve"> </w:t>
      </w:r>
      <w:r w:rsidR="00AD037F" w:rsidRPr="00E813B0">
        <w:t>A further issue is the d</w:t>
      </w:r>
      <w:r w:rsidR="00013BC6" w:rsidRPr="00E813B0">
        <w:t xml:space="preserve">ifficulty </w:t>
      </w:r>
      <w:r w:rsidR="00AD037F" w:rsidRPr="00E813B0">
        <w:t xml:space="preserve">and unfamiliarity of </w:t>
      </w:r>
      <w:r w:rsidR="00013BC6" w:rsidRPr="00E813B0">
        <w:t>New York law</w:t>
      </w:r>
      <w:r w:rsidR="00E2697F">
        <w:t xml:space="preserve"> (chosen by Emergent as they are registered in the US)</w:t>
      </w:r>
      <w:r w:rsidR="00013BC6" w:rsidRPr="00E813B0">
        <w:t xml:space="preserve"> </w:t>
      </w:r>
      <w:r w:rsidR="008D579E" w:rsidRPr="00E813B0">
        <w:t xml:space="preserve">for the HJ, especially the less </w:t>
      </w:r>
      <w:r w:rsidR="00DC4E3F">
        <w:t>advanced</w:t>
      </w:r>
      <w:r w:rsidR="008D579E" w:rsidRPr="00E813B0">
        <w:t xml:space="preserve"> HJs. This also means that additional TA is </w:t>
      </w:r>
      <w:r w:rsidR="00BD36BD" w:rsidRPr="00E813B0">
        <w:t>likely to be required for this purpose.</w:t>
      </w:r>
      <w:r w:rsidR="004C44EC">
        <w:t xml:space="preserve"> </w:t>
      </w:r>
    </w:p>
    <w:p w14:paraId="7FE32C97" w14:textId="7046BBA6" w:rsidR="000F3C00" w:rsidRDefault="00C420CD" w:rsidP="005F5DDB">
      <w:r>
        <w:t xml:space="preserve">See also Section 2.4.1 </w:t>
      </w:r>
      <w:r w:rsidR="0016200D">
        <w:t xml:space="preserve">and Annex </w:t>
      </w:r>
      <w:r w:rsidR="002D3E0E">
        <w:t>6</w:t>
      </w:r>
      <w:r w:rsidR="002477FA">
        <w:t xml:space="preserve">. </w:t>
      </w:r>
    </w:p>
    <w:p w14:paraId="5D1DDD4E" w14:textId="5111A8BA" w:rsidR="005F5DDB" w:rsidRPr="00E813B0" w:rsidRDefault="005F5DDB" w:rsidP="00734B7D">
      <w:pPr>
        <w:pStyle w:val="Heading2"/>
        <w:numPr>
          <w:ilvl w:val="1"/>
          <w:numId w:val="8"/>
        </w:numPr>
      </w:pPr>
      <w:bookmarkStart w:id="75" w:name="_Toc204091217"/>
      <w:bookmarkStart w:id="76" w:name="_Toc209013292"/>
      <w:r w:rsidRPr="00E813B0">
        <w:t>Value for Money</w:t>
      </w:r>
      <w:r w:rsidR="00AE5DDB">
        <w:t xml:space="preserve"> (responding to EQ5)</w:t>
      </w:r>
      <w:bookmarkEnd w:id="75"/>
      <w:bookmarkEnd w:id="76"/>
    </w:p>
    <w:p w14:paraId="763686F6" w14:textId="36607E2E" w:rsidR="002D3E0E" w:rsidRPr="002D3E0E" w:rsidRDefault="002D3E0E" w:rsidP="002D3E0E">
      <w:r w:rsidRPr="002D3E0E">
        <w:t>A separate deliverable provides a confidential VfM analysis in detail. It goes through each of the VFM criteria, which are summarised below (Economy, Effectiveness, Efficiency, Relevance, Equity).</w:t>
      </w:r>
      <w:r w:rsidR="001C6D34">
        <w:t xml:space="preserve"> The below analysis draws from the evidence presented in the </w:t>
      </w:r>
      <w:r w:rsidR="005D25DB">
        <w:t>other five EQs</w:t>
      </w:r>
      <w:r w:rsidR="00D52442">
        <w:t xml:space="preserve"> and detailed in Annex 2.</w:t>
      </w:r>
    </w:p>
    <w:p w14:paraId="1FFFDAC4" w14:textId="77777777" w:rsidR="00354CA9" w:rsidRDefault="00354CA9">
      <w:r>
        <w:rPr>
          <w:b/>
        </w:rPr>
        <w:br w:type="page"/>
      </w:r>
    </w:p>
    <w:tbl>
      <w:tblPr>
        <w:tblStyle w:val="Table-DarkblueBackground"/>
        <w:tblW w:w="0" w:type="auto"/>
        <w:tblLook w:val="04A0" w:firstRow="1" w:lastRow="0" w:firstColumn="1" w:lastColumn="0" w:noHBand="0" w:noVBand="1"/>
      </w:tblPr>
      <w:tblGrid>
        <w:gridCol w:w="8505"/>
        <w:gridCol w:w="1577"/>
      </w:tblGrid>
      <w:tr w:rsidR="007F7F09" w:rsidRPr="00E813B0" w14:paraId="0B2E5D40" w14:textId="77777777" w:rsidTr="00E26C3B">
        <w:trPr>
          <w:cnfStyle w:val="100000000000" w:firstRow="1" w:lastRow="0" w:firstColumn="0" w:lastColumn="0" w:oddVBand="0" w:evenVBand="0" w:oddHBand="0" w:evenHBand="0" w:firstRowFirstColumn="0" w:firstRowLastColumn="0" w:lastRowFirstColumn="0" w:lastRowLastColumn="0"/>
          <w:trHeight w:val="375"/>
        </w:trPr>
        <w:tc>
          <w:tcPr>
            <w:tcW w:w="8505" w:type="dxa"/>
          </w:tcPr>
          <w:p w14:paraId="18F2F184" w14:textId="4C34C895" w:rsidR="00193ED4" w:rsidRPr="00E813B0" w:rsidRDefault="00193ED4" w:rsidP="00193ED4">
            <w:r w:rsidRPr="00E813B0">
              <w:lastRenderedPageBreak/>
              <w:t>Overall finding</w:t>
            </w:r>
          </w:p>
        </w:tc>
        <w:tc>
          <w:tcPr>
            <w:tcW w:w="1577" w:type="dxa"/>
          </w:tcPr>
          <w:p w14:paraId="3B281159" w14:textId="77777777" w:rsidR="00193ED4" w:rsidRPr="00E813B0" w:rsidRDefault="00193ED4" w:rsidP="00193ED4">
            <w:r w:rsidRPr="00E813B0">
              <w:t>Strength of Evidence</w:t>
            </w:r>
          </w:p>
        </w:tc>
      </w:tr>
      <w:tr w:rsidR="00193ED4" w:rsidRPr="00E813B0" w14:paraId="256FBDAA" w14:textId="77777777" w:rsidTr="00E26C3B">
        <w:trPr>
          <w:trHeight w:val="19"/>
        </w:trPr>
        <w:tc>
          <w:tcPr>
            <w:tcW w:w="8505" w:type="dxa"/>
          </w:tcPr>
          <w:p w14:paraId="0CBC1288" w14:textId="5EB74698" w:rsidR="00193ED4" w:rsidRPr="00E813B0" w:rsidRDefault="0001300A" w:rsidP="00193ED4">
            <w:r w:rsidRPr="00E813B0">
              <w:t>Overall,</w:t>
            </w:r>
            <w:r w:rsidR="001002B0" w:rsidRPr="00E813B0">
              <w:t xml:space="preserve"> </w:t>
            </w:r>
            <w:r w:rsidR="005C7690" w:rsidRPr="00E813B0">
              <w:t xml:space="preserve">there is evidence </w:t>
            </w:r>
            <w:r w:rsidR="00085265" w:rsidRPr="00E813B0">
              <w:t>throughout</w:t>
            </w:r>
            <w:r w:rsidR="005C7690" w:rsidRPr="00E813B0">
              <w:t xml:space="preserve"> that </w:t>
            </w:r>
            <w:r w:rsidR="007568E7">
              <w:t xml:space="preserve">the </w:t>
            </w:r>
            <w:r w:rsidR="005C7690" w:rsidRPr="00E813B0">
              <w:t>VfM of the LEAF programme falls short of standards at this point</w:t>
            </w:r>
            <w:r w:rsidR="00DC6622" w:rsidRPr="00E813B0">
              <w:t xml:space="preserve"> in time</w:t>
            </w:r>
            <w:r w:rsidR="00CD7578" w:rsidRPr="00E813B0">
              <w:t>.</w:t>
            </w:r>
            <w:r w:rsidRPr="00E813B0">
              <w:t xml:space="preserve"> </w:t>
            </w:r>
            <w:r w:rsidR="00CD7578" w:rsidRPr="00E813B0">
              <w:t xml:space="preserve">This can largely be explained by the </w:t>
            </w:r>
            <w:r w:rsidRPr="00E813B0">
              <w:t>high-risk</w:t>
            </w:r>
            <w:r w:rsidR="00CD7578" w:rsidRPr="00E813B0">
              <w:t xml:space="preserve"> nature of the programme</w:t>
            </w:r>
            <w:r w:rsidR="007A1C61">
              <w:t xml:space="preserve"> </w:t>
            </w:r>
            <w:r w:rsidR="00A52812">
              <w:t xml:space="preserve">and </w:t>
            </w:r>
            <w:r w:rsidR="00A57327">
              <w:t>optimistic expectations</w:t>
            </w:r>
            <w:r w:rsidR="005C7690" w:rsidRPr="00E813B0">
              <w:t xml:space="preserve">, but </w:t>
            </w:r>
            <w:r w:rsidR="00CD7578" w:rsidRPr="00E813B0">
              <w:t>also shortfalls in execution</w:t>
            </w:r>
            <w:r w:rsidR="00125D4D" w:rsidRPr="00E813B0">
              <w:t xml:space="preserve"> </w:t>
            </w:r>
            <w:r w:rsidR="00E03D95">
              <w:t>and management</w:t>
            </w:r>
            <w:r w:rsidR="00125D4D" w:rsidRPr="00E813B0">
              <w:t xml:space="preserve"> by Emergent</w:t>
            </w:r>
            <w:r w:rsidR="00CD7578" w:rsidRPr="00E813B0">
              <w:t xml:space="preserve">. </w:t>
            </w:r>
            <w:r w:rsidR="0026051E" w:rsidRPr="00E813B0">
              <w:t xml:space="preserve">Overall, </w:t>
            </w:r>
            <w:r w:rsidR="0074391C">
              <w:t xml:space="preserve">the </w:t>
            </w:r>
            <w:r w:rsidR="0026051E" w:rsidRPr="00E813B0">
              <w:t xml:space="preserve">costs </w:t>
            </w:r>
            <w:r w:rsidR="008641DE" w:rsidRPr="00E813B0">
              <w:t>of Emergent and TA</w:t>
            </w:r>
            <w:r w:rsidR="0026051E" w:rsidRPr="00E813B0">
              <w:t xml:space="preserve"> have been high, </w:t>
            </w:r>
            <w:r w:rsidRPr="00E813B0">
              <w:t>efficiency</w:t>
            </w:r>
            <w:r w:rsidR="0026051E" w:rsidRPr="00E813B0">
              <w:t xml:space="preserve"> </w:t>
            </w:r>
            <w:r w:rsidR="008641DE" w:rsidRPr="00E813B0">
              <w:t>of Emergent and TA</w:t>
            </w:r>
            <w:r w:rsidR="0026051E" w:rsidRPr="00E813B0">
              <w:t xml:space="preserve"> </w:t>
            </w:r>
            <w:r w:rsidR="0074391C">
              <w:t xml:space="preserve">has been </w:t>
            </w:r>
            <w:r w:rsidR="0026051E" w:rsidRPr="00E813B0">
              <w:t>low</w:t>
            </w:r>
            <w:r w:rsidR="00FC52A9">
              <w:t>. T</w:t>
            </w:r>
            <w:r w:rsidR="00FC52A9" w:rsidRPr="00FC52A9">
              <w:t xml:space="preserve">he current LEAF transactional structures have made this conversion of inputs to outputs less efficient than expected in the </w:t>
            </w:r>
            <w:r w:rsidR="00873ED6" w:rsidRPr="00FC52A9">
              <w:t>preset</w:t>
            </w:r>
            <w:r w:rsidR="00FC52A9" w:rsidRPr="00FC52A9">
              <w:t xml:space="preserve"> targets (</w:t>
            </w:r>
            <w:r w:rsidR="003717B7" w:rsidRPr="003717B7">
              <w:t>in particular</w:t>
            </w:r>
            <w:r w:rsidR="003717B7">
              <w:t>,</w:t>
            </w:r>
            <w:r w:rsidR="003717B7" w:rsidRPr="003717B7">
              <w:t xml:space="preserve"> </w:t>
            </w:r>
            <w:r w:rsidR="00FC52A9" w:rsidRPr="00FC52A9">
              <w:t>committed corporate demand</w:t>
            </w:r>
            <w:r w:rsidR="003717B7">
              <w:t xml:space="preserve">, </w:t>
            </w:r>
            <w:r w:rsidR="00FC52A9" w:rsidRPr="00FC52A9">
              <w:t>ERPAs agreed</w:t>
            </w:r>
            <w:r w:rsidR="003717B7">
              <w:t xml:space="preserve"> and</w:t>
            </w:r>
            <w:r w:rsidR="00FC52A9" w:rsidRPr="00FC52A9">
              <w:t xml:space="preserve"> </w:t>
            </w:r>
            <w:r w:rsidR="00873ED6" w:rsidRPr="00FC52A9">
              <w:t>self-financing</w:t>
            </w:r>
            <w:r w:rsidR="00FC52A9" w:rsidRPr="00FC52A9">
              <w:t xml:space="preserve"> standards bodies).</w:t>
            </w:r>
            <w:r w:rsidR="00746F77">
              <w:t xml:space="preserve"> </w:t>
            </w:r>
            <w:r w:rsidR="00FC52A9">
              <w:t xml:space="preserve">Outputs are yet to be converted to outcomes </w:t>
            </w:r>
            <w:r w:rsidR="00C07B7F" w:rsidRPr="00C07B7F">
              <w:t>(VCM and compliance market development, CERs flowing, stakeholder forest and land use management plans financed and implemented</w:t>
            </w:r>
            <w:r w:rsidR="003717B7">
              <w:t>,</w:t>
            </w:r>
            <w:r w:rsidR="00C07B7F" w:rsidRPr="00C07B7F">
              <w:t xml:space="preserve"> including benefit sharing)</w:t>
            </w:r>
            <w:r w:rsidR="00C07B7F">
              <w:t>.</w:t>
            </w:r>
            <w:r w:rsidR="008445F9">
              <w:t xml:space="preserve"> </w:t>
            </w:r>
            <w:r w:rsidR="008445F9" w:rsidRPr="008445F9">
              <w:t xml:space="preserve">While this process evaluation does not directly assess cost-effectiveness, the gaps in outcome realisation limit any current assessment of value relative to investment. Future evaluations, particularly in Phase 3, should build on this analysis to assess cost-effectiveness once clearer outcome data is available. </w:t>
            </w:r>
            <w:r w:rsidR="00C07B7F">
              <w:t>There are</w:t>
            </w:r>
            <w:r w:rsidR="0026051E" w:rsidRPr="00E813B0">
              <w:t xml:space="preserve"> </w:t>
            </w:r>
            <w:r w:rsidR="00620BE6">
              <w:t xml:space="preserve">some strong findings on </w:t>
            </w:r>
            <w:r w:rsidR="0026051E" w:rsidRPr="00E813B0">
              <w:t>relevance</w:t>
            </w:r>
            <w:r w:rsidR="00620BE6">
              <w:t>, but</w:t>
            </w:r>
            <w:r w:rsidR="0026051E" w:rsidRPr="00E813B0">
              <w:t xml:space="preserve"> </w:t>
            </w:r>
            <w:r w:rsidR="00027D6C" w:rsidRPr="00E813B0">
              <w:t xml:space="preserve">with </w:t>
            </w:r>
            <w:r w:rsidR="00BB1FFD">
              <w:t xml:space="preserve">some areas for improvement. </w:t>
            </w:r>
            <w:r w:rsidR="00456851">
              <w:t>The focus has been on</w:t>
            </w:r>
            <w:r w:rsidR="00027D6C" w:rsidRPr="00E813B0">
              <w:t xml:space="preserve"> higher income countries, </w:t>
            </w:r>
            <w:r w:rsidR="00AF7C1C" w:rsidRPr="00E813B0">
              <w:t xml:space="preserve">thus </w:t>
            </w:r>
            <w:r w:rsidR="00456851">
              <w:t>to an extent</w:t>
            </w:r>
            <w:r w:rsidR="00AF7C1C">
              <w:t xml:space="preserve"> </w:t>
            </w:r>
            <w:r w:rsidR="00AF7C1C" w:rsidRPr="00E813B0">
              <w:t>failing the equity objective.</w:t>
            </w:r>
            <w:r w:rsidR="007F6C5B" w:rsidRPr="00E813B0">
              <w:t xml:space="preserve"> </w:t>
            </w:r>
            <w:r w:rsidR="00645449" w:rsidRPr="00E813B0">
              <w:t>VfM</w:t>
            </w:r>
            <w:r w:rsidR="008E6976" w:rsidRPr="00E813B0">
              <w:t xml:space="preserve"> can improve if </w:t>
            </w:r>
            <w:r w:rsidR="00645449" w:rsidRPr="00E813B0">
              <w:t>carbon</w:t>
            </w:r>
            <w:r w:rsidR="00F27228">
              <w:t xml:space="preserve"> credit</w:t>
            </w:r>
            <w:r w:rsidR="00645449" w:rsidRPr="00E813B0">
              <w:t xml:space="preserve"> flows</w:t>
            </w:r>
            <w:r w:rsidR="008E6976" w:rsidRPr="00E813B0">
              <w:t xml:space="preserve"> </w:t>
            </w:r>
            <w:r w:rsidR="00645449" w:rsidRPr="00E813B0">
              <w:t>start materialising</w:t>
            </w:r>
            <w:r w:rsidR="00EF1105">
              <w:t xml:space="preserve"> (effectiveness)</w:t>
            </w:r>
            <w:r w:rsidR="00456851">
              <w:t>, with a focus on lower income countries</w:t>
            </w:r>
            <w:r w:rsidR="008E6976" w:rsidRPr="00E813B0">
              <w:t xml:space="preserve"> </w:t>
            </w:r>
            <w:r w:rsidR="00EF1105">
              <w:t xml:space="preserve">(equity) </w:t>
            </w:r>
            <w:r w:rsidR="008E6976" w:rsidRPr="00E813B0">
              <w:t xml:space="preserve">and performance </w:t>
            </w:r>
            <w:r w:rsidRPr="00E813B0">
              <w:t>improves</w:t>
            </w:r>
            <w:r w:rsidR="00EF1105">
              <w:t xml:space="preserve"> (effectiveness)</w:t>
            </w:r>
            <w:r w:rsidR="008E6976" w:rsidRPr="00E813B0">
              <w:t>.</w:t>
            </w:r>
          </w:p>
        </w:tc>
        <w:tc>
          <w:tcPr>
            <w:tcW w:w="1577" w:type="dxa"/>
          </w:tcPr>
          <w:p w14:paraId="261F9A50" w14:textId="2E2577C4" w:rsidR="00193ED4" w:rsidRPr="00E813B0" w:rsidRDefault="00193ED4" w:rsidP="00193ED4">
            <w:pPr>
              <w:rPr>
                <w:rStyle w:val="Boldtext"/>
              </w:rPr>
            </w:pPr>
            <w:r w:rsidRPr="00E813B0">
              <w:rPr>
                <w:rStyle w:val="Boldtext"/>
              </w:rPr>
              <w:t>Medium</w:t>
            </w:r>
          </w:p>
        </w:tc>
      </w:tr>
    </w:tbl>
    <w:p w14:paraId="6CD0BC3D" w14:textId="77777777" w:rsidR="00354CA9" w:rsidRDefault="00354CA9" w:rsidP="00350D32">
      <w:bookmarkStart w:id="77" w:name="_Toc204091218"/>
    </w:p>
    <w:p w14:paraId="7B51E365" w14:textId="74C2B618" w:rsidR="000D2BBD" w:rsidRPr="00E813B0" w:rsidRDefault="00A12A4D" w:rsidP="000D2BBD">
      <w:pPr>
        <w:pStyle w:val="Heading3"/>
      </w:pPr>
      <w:bookmarkStart w:id="78" w:name="_Toc209013293"/>
      <w:r w:rsidRPr="00E813B0">
        <w:t>2.</w:t>
      </w:r>
      <w:r w:rsidR="00566617" w:rsidRPr="00E813B0">
        <w:t xml:space="preserve">5.1 </w:t>
      </w:r>
      <w:r w:rsidR="000D2BBD" w:rsidRPr="00E813B0">
        <w:t>Economy</w:t>
      </w:r>
      <w:bookmarkEnd w:id="77"/>
      <w:bookmarkEnd w:id="78"/>
    </w:p>
    <w:p w14:paraId="4B83EA7E" w14:textId="7B892D5A" w:rsidR="009974F1" w:rsidRPr="00E813B0" w:rsidRDefault="00650265">
      <w:pPr>
        <w:spacing w:after="160" w:line="259" w:lineRule="auto"/>
      </w:pPr>
      <w:r w:rsidRPr="00E813B0">
        <w:rPr>
          <w:rStyle w:val="Boldtext"/>
        </w:rPr>
        <w:t>Costs are generally high and off track against expectations and benchmarks.</w:t>
      </w:r>
      <w:r w:rsidRPr="00E813B0">
        <w:t xml:space="preserve"> </w:t>
      </w:r>
      <w:r w:rsidR="00950FF1" w:rsidRPr="00E813B0">
        <w:t>Emergent’s expenditure</w:t>
      </w:r>
      <w:r w:rsidR="00B01E83" w:rsidRPr="00E813B0">
        <w:t xml:space="preserve"> (a key cost driver)</w:t>
      </w:r>
      <w:r w:rsidR="00950FF1" w:rsidRPr="00E813B0">
        <w:t xml:space="preserve"> has overshot the DE</w:t>
      </w:r>
      <w:r w:rsidR="006A0811" w:rsidRPr="00E813B0">
        <w:t>SNZ commitment so far</w:t>
      </w:r>
      <w:r w:rsidR="005B5251" w:rsidRPr="00E813B0">
        <w:t xml:space="preserve">, disbursing </w:t>
      </w:r>
      <w:r w:rsidR="000B5AB7" w:rsidRPr="00E813B0">
        <w:t>£5.</w:t>
      </w:r>
      <w:r w:rsidR="0072735B" w:rsidRPr="00E813B0">
        <w:t xml:space="preserve">4m against a budgeted £4m. </w:t>
      </w:r>
      <w:r w:rsidR="00670ADE" w:rsidRPr="00E813B0">
        <w:t xml:space="preserve">60% of their costs are to </w:t>
      </w:r>
      <w:r w:rsidR="00AE70D1">
        <w:t xml:space="preserve">in house </w:t>
      </w:r>
      <w:r w:rsidR="00670ADE" w:rsidRPr="00E813B0">
        <w:t xml:space="preserve">staff, with a further </w:t>
      </w:r>
      <w:r w:rsidR="00F30086" w:rsidRPr="00E813B0">
        <w:t xml:space="preserve">15% on </w:t>
      </w:r>
      <w:r w:rsidR="000C3620">
        <w:t xml:space="preserve">external </w:t>
      </w:r>
      <w:r w:rsidR="00272CDC" w:rsidRPr="00E813B0">
        <w:t xml:space="preserve">consultancy, </w:t>
      </w:r>
      <w:r w:rsidR="00075A69" w:rsidRPr="00E813B0">
        <w:t xml:space="preserve">of which 82% is international consultancy. </w:t>
      </w:r>
      <w:r w:rsidR="00FA1C80" w:rsidRPr="00E813B0">
        <w:t xml:space="preserve">In terms of </w:t>
      </w:r>
      <w:r w:rsidR="00380D91">
        <w:t>allocating the expenditure into</w:t>
      </w:r>
      <w:r w:rsidR="00FA1C80" w:rsidRPr="00E813B0">
        <w:t xml:space="preserve"> activities, Emergent spends 40% of its budget on partnerships </w:t>
      </w:r>
      <w:r w:rsidR="00FE3AC3">
        <w:t xml:space="preserve">with </w:t>
      </w:r>
      <w:r w:rsidR="00590BC4">
        <w:t>HJs</w:t>
      </w:r>
      <w:r w:rsidR="00FA1C80" w:rsidRPr="00E813B0">
        <w:t xml:space="preserve"> to generate credits in </w:t>
      </w:r>
      <w:r w:rsidR="004C488C" w:rsidRPr="00E813B0">
        <w:t>HJ</w:t>
      </w:r>
      <w:r w:rsidR="00FA1C80" w:rsidRPr="00E813B0">
        <w:t xml:space="preserve">s, </w:t>
      </w:r>
      <w:r w:rsidR="00F610DE" w:rsidRPr="00E813B0">
        <w:t xml:space="preserve">25% on corporate engagements and </w:t>
      </w:r>
      <w:r w:rsidR="00385C93" w:rsidRPr="00E813B0">
        <w:t xml:space="preserve">35% on legal, finance, strategic, HR </w:t>
      </w:r>
      <w:r w:rsidR="008A3BF2">
        <w:t xml:space="preserve">and </w:t>
      </w:r>
      <w:r w:rsidR="00385C93" w:rsidRPr="00E813B0">
        <w:t xml:space="preserve">operations. </w:t>
      </w:r>
      <w:r w:rsidR="00D3599D">
        <w:t xml:space="preserve">The </w:t>
      </w:r>
      <w:r w:rsidR="00D3599D" w:rsidRPr="00D3599D">
        <w:t xml:space="preserve">Partnerships team was scaled to generate </w:t>
      </w:r>
      <w:r w:rsidR="008A3BF2">
        <w:t xml:space="preserve">a </w:t>
      </w:r>
      <w:r w:rsidR="00D3599D" w:rsidRPr="00D3599D">
        <w:t>supply of credits. It relies partially on consultants located locally.</w:t>
      </w:r>
      <w:r w:rsidR="00D3599D">
        <w:t xml:space="preserve"> </w:t>
      </w:r>
      <w:r w:rsidR="00385C93" w:rsidRPr="00E813B0">
        <w:t>Emergent salaries appear to be relatively high compared to some N</w:t>
      </w:r>
      <w:r w:rsidR="00B46F5A">
        <w:t>on-</w:t>
      </w:r>
      <w:r w:rsidR="00385C93" w:rsidRPr="00E813B0">
        <w:t>G</w:t>
      </w:r>
      <w:r w:rsidR="00B46F5A">
        <w:t>overn</w:t>
      </w:r>
      <w:r w:rsidR="007F2079">
        <w:t>ment</w:t>
      </w:r>
      <w:r w:rsidR="00B46F5A">
        <w:t xml:space="preserve"> </w:t>
      </w:r>
      <w:r w:rsidR="00385C93" w:rsidRPr="00E813B0">
        <w:t>O</w:t>
      </w:r>
      <w:r w:rsidR="00B46F5A">
        <w:t>rganisation</w:t>
      </w:r>
      <w:r w:rsidR="00385C93" w:rsidRPr="00E813B0">
        <w:t xml:space="preserve"> CEO salaries. This reflects their </w:t>
      </w:r>
      <w:r w:rsidR="00CA3B0A" w:rsidRPr="00E813B0">
        <w:t>legal, finance and private sector facing expertise.</w:t>
      </w:r>
      <w:r w:rsidR="0068692F" w:rsidRPr="00E813B0">
        <w:t xml:space="preserve"> </w:t>
      </w:r>
      <w:r w:rsidR="006F4C89" w:rsidRPr="0085708B">
        <w:t xml:space="preserve">Operations </w:t>
      </w:r>
      <w:r w:rsidR="00F34FFD" w:rsidRPr="0085708B">
        <w:t>include</w:t>
      </w:r>
      <w:r w:rsidR="006F4C89" w:rsidRPr="0085708B">
        <w:t xml:space="preserve"> legal, marketing, strategy, finance, and HR. In the earlier years, many functions were outsourced to more expensive third parties and later brought in-house.</w:t>
      </w:r>
      <w:r w:rsidR="006F4C89">
        <w:t xml:space="preserve"> </w:t>
      </w:r>
      <w:r w:rsidR="0068692F" w:rsidRPr="00E813B0">
        <w:t xml:space="preserve">Emergent </w:t>
      </w:r>
      <w:r w:rsidR="008A3BF2">
        <w:t>has</w:t>
      </w:r>
      <w:r w:rsidR="0068692F" w:rsidRPr="00E813B0">
        <w:t xml:space="preserve"> cited some</w:t>
      </w:r>
      <w:r w:rsidR="00F5542A" w:rsidRPr="00E813B0">
        <w:t xml:space="preserve"> narrative</w:t>
      </w:r>
      <w:r w:rsidR="0068692F" w:rsidRPr="00E813B0">
        <w:t xml:space="preserve"> cost savings activities</w:t>
      </w:r>
      <w:r w:rsidR="00F5542A" w:rsidRPr="00E813B0">
        <w:t>.</w:t>
      </w:r>
      <w:r w:rsidR="00673C62">
        <w:t xml:space="preserve"> </w:t>
      </w:r>
      <w:r w:rsidR="005175F2" w:rsidRPr="005175F2">
        <w:t xml:space="preserve">DESNZ have commissioned Emergent to undertake an operating model review to assess costs and potential savings as part of </w:t>
      </w:r>
      <w:r w:rsidR="005175F2">
        <w:t xml:space="preserve">their </w:t>
      </w:r>
      <w:r w:rsidR="00800EA9">
        <w:t>most recent Operational Funding Agreement</w:t>
      </w:r>
      <w:r w:rsidR="008A3BF2">
        <w:t>. The</w:t>
      </w:r>
      <w:r w:rsidR="001A29A4">
        <w:t xml:space="preserve"> review will be completed by October 2025</w:t>
      </w:r>
      <w:r w:rsidR="005175F2">
        <w:t xml:space="preserve">. </w:t>
      </w:r>
    </w:p>
    <w:p w14:paraId="7C04116F" w14:textId="3D2579D8" w:rsidR="005F6AA9" w:rsidRDefault="00716294">
      <w:pPr>
        <w:spacing w:after="160" w:line="259" w:lineRule="auto"/>
      </w:pPr>
      <w:r w:rsidRPr="00E813B0">
        <w:t>TA expenditure so far has amounted to £3.2m</w:t>
      </w:r>
      <w:r w:rsidR="0011187F" w:rsidRPr="00E813B0">
        <w:t xml:space="preserve"> to </w:t>
      </w:r>
      <w:r w:rsidR="00135CD3">
        <w:t>UKTAP</w:t>
      </w:r>
      <w:r w:rsidR="0011187F" w:rsidRPr="00E813B0">
        <w:t xml:space="preserve"> and</w:t>
      </w:r>
      <w:r w:rsidR="0042354B" w:rsidRPr="00E813B0">
        <w:t xml:space="preserve"> £10m to </w:t>
      </w:r>
      <w:r w:rsidR="00F51E9E">
        <w:t>UN-REDD</w:t>
      </w:r>
      <w:r w:rsidR="0011187F" w:rsidRPr="00E813B0">
        <w:t xml:space="preserve">, </w:t>
      </w:r>
      <w:r w:rsidR="00780FD0">
        <w:t>noting that there is</w:t>
      </w:r>
      <w:r w:rsidR="0011187F" w:rsidRPr="00E813B0">
        <w:t xml:space="preserve"> no breakdown of the latter. For </w:t>
      </w:r>
      <w:r w:rsidR="005C1DFC">
        <w:t>UKTAP</w:t>
      </w:r>
      <w:r w:rsidR="0011187F" w:rsidRPr="00E813B0">
        <w:t xml:space="preserve">, </w:t>
      </w:r>
      <w:r w:rsidR="004E42DE" w:rsidRPr="00E813B0">
        <w:t>Ricardo</w:t>
      </w:r>
      <w:r w:rsidR="00673C62">
        <w:t xml:space="preserve"> </w:t>
      </w:r>
      <w:r w:rsidR="00F34FFD">
        <w:t>has</w:t>
      </w:r>
      <w:r w:rsidR="004E42DE" w:rsidRPr="00E813B0">
        <w:t xml:space="preserve"> 40% </w:t>
      </w:r>
      <w:r w:rsidR="007017B6" w:rsidRPr="00E813B0">
        <w:t xml:space="preserve">of the </w:t>
      </w:r>
      <w:r w:rsidR="00156D62">
        <w:t xml:space="preserve">UKTAP </w:t>
      </w:r>
      <w:r w:rsidR="007017B6" w:rsidRPr="00E813B0">
        <w:t>budget</w:t>
      </w:r>
      <w:r w:rsidR="00156D62">
        <w:t xml:space="preserve">. Of </w:t>
      </w:r>
      <w:r w:rsidR="00156D62">
        <w:lastRenderedPageBreak/>
        <w:t>th</w:t>
      </w:r>
      <w:r w:rsidR="00DB2AA1">
        <w:t>eir proportion of the budget,</w:t>
      </w:r>
      <w:r w:rsidR="00BA3F7D">
        <w:t xml:space="preserve"> </w:t>
      </w:r>
      <w:r w:rsidR="00542E35">
        <w:t>27</w:t>
      </w:r>
      <w:r w:rsidR="00D04298">
        <w:t xml:space="preserve">% goes to </w:t>
      </w:r>
      <w:r w:rsidR="00FD6158" w:rsidRPr="00E813B0">
        <w:t xml:space="preserve">programme oversight, </w:t>
      </w:r>
      <w:r w:rsidR="000E6286">
        <w:t xml:space="preserve">5% to Ricardo </w:t>
      </w:r>
      <w:r w:rsidR="00FD6158" w:rsidRPr="00E813B0">
        <w:t>fees</w:t>
      </w:r>
      <w:r w:rsidR="00E54EC0">
        <w:rPr>
          <w:rStyle w:val="FootnoteReference"/>
        </w:rPr>
        <w:footnoteReference w:id="14"/>
      </w:r>
      <w:r w:rsidR="00F045DA" w:rsidRPr="00E813B0">
        <w:t xml:space="preserve">, </w:t>
      </w:r>
      <w:r w:rsidR="000E6286">
        <w:t>8</w:t>
      </w:r>
      <w:r w:rsidR="00F045DA" w:rsidRPr="00E813B0">
        <w:t xml:space="preserve">% </w:t>
      </w:r>
      <w:r w:rsidR="008A3BF2">
        <w:t>to</w:t>
      </w:r>
      <w:r w:rsidR="00F045DA" w:rsidRPr="00E813B0">
        <w:t xml:space="preserve"> country engagement and </w:t>
      </w:r>
      <w:r w:rsidR="000E6286">
        <w:t>43</w:t>
      </w:r>
      <w:r w:rsidR="00F045DA" w:rsidRPr="00E813B0">
        <w:t xml:space="preserve">% </w:t>
      </w:r>
      <w:r w:rsidR="008A3BF2">
        <w:t>to</w:t>
      </w:r>
      <w:r w:rsidR="00F045DA" w:rsidRPr="00E813B0">
        <w:t xml:space="preserve"> grant fees.</w:t>
      </w:r>
      <w:r w:rsidR="00E20D38" w:rsidRPr="00E20D38">
        <w:t xml:space="preserve"> The remaining 61% of the UK TAP budget is taken up by Winrock and CLP for TA grants. So the grant proportion of the total is UKTAP is 77%, </w:t>
      </w:r>
      <w:r w:rsidR="008A3BF2">
        <w:t xml:space="preserve">and </w:t>
      </w:r>
      <w:r w:rsidR="00E20D38" w:rsidRPr="00E20D38">
        <w:t xml:space="preserve">the remaining 33% is support costs. </w:t>
      </w:r>
      <w:r w:rsidR="008A3BF2">
        <w:t xml:space="preserve">The </w:t>
      </w:r>
      <w:r w:rsidR="006F4C89" w:rsidRPr="006F4C89">
        <w:t>Corporate Engagement team generates demand and manages relationships with corporates.</w:t>
      </w:r>
    </w:p>
    <w:p w14:paraId="3000BE9A" w14:textId="19698FC9" w:rsidR="00460B8A" w:rsidRDefault="00460B8A" w:rsidP="00460B8A">
      <w:pPr>
        <w:pStyle w:val="Caption"/>
        <w:keepNext/>
      </w:pPr>
      <w:bookmarkStart w:id="79" w:name="_Toc209019074"/>
      <w:r>
        <w:t xml:space="preserve">Table </w:t>
      </w:r>
      <w:fldSimple w:instr=" SEQ Table \* ARABIC ">
        <w:r>
          <w:rPr>
            <w:noProof/>
          </w:rPr>
          <w:t>2</w:t>
        </w:r>
      </w:fldSimple>
      <w:r w:rsidRPr="00203A8B">
        <w:t>: Summary of budget allocation for UKTAP</w:t>
      </w:r>
      <w:bookmarkEnd w:id="79"/>
    </w:p>
    <w:tbl>
      <w:tblPr>
        <w:tblStyle w:val="Table-Darkblue"/>
        <w:tblW w:w="5000" w:type="pct"/>
        <w:tblLayout w:type="fixed"/>
        <w:tblLook w:val="04A0" w:firstRow="1" w:lastRow="0" w:firstColumn="1" w:lastColumn="0" w:noHBand="0" w:noVBand="1"/>
      </w:tblPr>
      <w:tblGrid>
        <w:gridCol w:w="8499"/>
        <w:gridCol w:w="1583"/>
      </w:tblGrid>
      <w:tr w:rsidR="002C406F" w:rsidRPr="001878A9" w14:paraId="43B56BE3" w14:textId="77777777" w:rsidTr="00673C62">
        <w:trPr>
          <w:cnfStyle w:val="100000000000" w:firstRow="1" w:lastRow="0" w:firstColumn="0" w:lastColumn="0" w:oddVBand="0" w:evenVBand="0" w:oddHBand="0" w:evenHBand="0" w:firstRowFirstColumn="0" w:firstRowLastColumn="0" w:lastRowFirstColumn="0" w:lastRowLastColumn="0"/>
          <w:trHeight w:val="288"/>
        </w:trPr>
        <w:tc>
          <w:tcPr>
            <w:tcW w:w="4215" w:type="pct"/>
            <w:noWrap/>
          </w:tcPr>
          <w:p w14:paraId="1627516A" w14:textId="02A69F8D" w:rsidR="00B21D5E" w:rsidRPr="00B21D5E" w:rsidRDefault="00B21D5E" w:rsidP="00B21D5E">
            <w:r w:rsidRPr="00B21D5E">
              <w:t xml:space="preserve">Cost category </w:t>
            </w:r>
          </w:p>
        </w:tc>
        <w:tc>
          <w:tcPr>
            <w:tcW w:w="785" w:type="pct"/>
            <w:noWrap/>
          </w:tcPr>
          <w:p w14:paraId="68454002" w14:textId="03201A07" w:rsidR="00B21D5E" w:rsidRPr="00B21D5E" w:rsidRDefault="00B21D5E" w:rsidP="00B21D5E">
            <w:r w:rsidRPr="00B21D5E">
              <w:t xml:space="preserve">% of total </w:t>
            </w:r>
            <w:r w:rsidR="00D53CF3">
              <w:t>UKTAP budget</w:t>
            </w:r>
            <w:r w:rsidRPr="00B21D5E">
              <w:t xml:space="preserve"> </w:t>
            </w:r>
          </w:p>
        </w:tc>
      </w:tr>
      <w:tr w:rsidR="00B21D5E" w:rsidRPr="001878A9" w14:paraId="6CED1D46" w14:textId="77777777" w:rsidTr="00673C62">
        <w:trPr>
          <w:trHeight w:val="288"/>
        </w:trPr>
        <w:tc>
          <w:tcPr>
            <w:tcW w:w="4215" w:type="pct"/>
            <w:noWrap/>
            <w:hideMark/>
          </w:tcPr>
          <w:p w14:paraId="21F8B12B" w14:textId="61C034F3" w:rsidR="00B21D5E" w:rsidRPr="00B21D5E" w:rsidRDefault="00B21D5E" w:rsidP="00B21D5E">
            <w:r w:rsidRPr="00B21D5E">
              <w:t>Programme oversight</w:t>
            </w:r>
            <w:r w:rsidR="00651197" w:rsidRPr="00B21D5E">
              <w:t xml:space="preserve"> BA1</w:t>
            </w:r>
            <w:r w:rsidR="00A90063">
              <w:rPr>
                <w:rStyle w:val="FootnoteReference"/>
              </w:rPr>
              <w:footnoteReference w:id="15"/>
            </w:r>
          </w:p>
        </w:tc>
        <w:tc>
          <w:tcPr>
            <w:tcW w:w="785" w:type="pct"/>
            <w:noWrap/>
            <w:hideMark/>
          </w:tcPr>
          <w:p w14:paraId="2086C2D5" w14:textId="77777777" w:rsidR="00B21D5E" w:rsidRPr="00B21D5E" w:rsidRDefault="00B21D5E" w:rsidP="00B21D5E">
            <w:r w:rsidRPr="00B21D5E">
              <w:t>14%</w:t>
            </w:r>
          </w:p>
        </w:tc>
      </w:tr>
      <w:tr w:rsidR="00B21D5E" w:rsidRPr="001878A9" w14:paraId="791DC326" w14:textId="77777777" w:rsidTr="00673C62">
        <w:trPr>
          <w:trHeight w:val="288"/>
        </w:trPr>
        <w:tc>
          <w:tcPr>
            <w:tcW w:w="4215" w:type="pct"/>
            <w:noWrap/>
            <w:hideMark/>
          </w:tcPr>
          <w:p w14:paraId="5F88F399" w14:textId="77777777" w:rsidR="00B21D5E" w:rsidRPr="00B21D5E" w:rsidRDefault="00B21D5E" w:rsidP="00B21D5E">
            <w:r w:rsidRPr="00B21D5E">
              <w:t>Ricardo fee on TA</w:t>
            </w:r>
          </w:p>
        </w:tc>
        <w:tc>
          <w:tcPr>
            <w:tcW w:w="785" w:type="pct"/>
            <w:noWrap/>
            <w:hideMark/>
          </w:tcPr>
          <w:p w14:paraId="35542BB6" w14:textId="77777777" w:rsidR="00B21D5E" w:rsidRPr="00B21D5E" w:rsidRDefault="00B21D5E" w:rsidP="00B21D5E">
            <w:r w:rsidRPr="00B21D5E">
              <w:t>2%</w:t>
            </w:r>
          </w:p>
        </w:tc>
      </w:tr>
      <w:tr w:rsidR="00B21D5E" w:rsidRPr="001878A9" w14:paraId="1A4DB82A" w14:textId="77777777" w:rsidTr="00673C62">
        <w:trPr>
          <w:trHeight w:val="288"/>
        </w:trPr>
        <w:tc>
          <w:tcPr>
            <w:tcW w:w="4215" w:type="pct"/>
            <w:noWrap/>
            <w:hideMark/>
          </w:tcPr>
          <w:p w14:paraId="05D48770" w14:textId="25BC342F" w:rsidR="00B21D5E" w:rsidRPr="00B21D5E" w:rsidRDefault="00B21D5E" w:rsidP="00B21D5E">
            <w:r w:rsidRPr="00B21D5E">
              <w:t>Country Engagement BA2</w:t>
            </w:r>
            <w:r w:rsidR="00E34BE7">
              <w:rPr>
                <w:rStyle w:val="FootnoteReference"/>
              </w:rPr>
              <w:footnoteReference w:id="16"/>
            </w:r>
          </w:p>
        </w:tc>
        <w:tc>
          <w:tcPr>
            <w:tcW w:w="785" w:type="pct"/>
            <w:noWrap/>
            <w:hideMark/>
          </w:tcPr>
          <w:p w14:paraId="0997A97C" w14:textId="77777777" w:rsidR="00B21D5E" w:rsidRPr="00B21D5E" w:rsidRDefault="00B21D5E" w:rsidP="00B21D5E">
            <w:r w:rsidRPr="00B21D5E">
              <w:t>7%</w:t>
            </w:r>
          </w:p>
        </w:tc>
      </w:tr>
      <w:tr w:rsidR="00B21D5E" w:rsidRPr="001878A9" w14:paraId="0B87597F" w14:textId="77777777" w:rsidTr="00673C62">
        <w:trPr>
          <w:trHeight w:val="288"/>
        </w:trPr>
        <w:tc>
          <w:tcPr>
            <w:tcW w:w="4215" w:type="pct"/>
            <w:noWrap/>
            <w:hideMark/>
          </w:tcPr>
          <w:p w14:paraId="329EECFD" w14:textId="77777777" w:rsidR="00B21D5E" w:rsidRPr="00B21D5E" w:rsidRDefault="00B21D5E" w:rsidP="00B21D5E">
            <w:r w:rsidRPr="00B21D5E">
              <w:t xml:space="preserve">TA grants - Winrock and CLP </w:t>
            </w:r>
          </w:p>
        </w:tc>
        <w:tc>
          <w:tcPr>
            <w:tcW w:w="785" w:type="pct"/>
            <w:noWrap/>
            <w:hideMark/>
          </w:tcPr>
          <w:p w14:paraId="2B08CC03" w14:textId="77777777" w:rsidR="00B21D5E" w:rsidRPr="00B21D5E" w:rsidRDefault="00B21D5E" w:rsidP="00B21D5E">
            <w:r w:rsidRPr="00B21D5E">
              <w:t>61%</w:t>
            </w:r>
          </w:p>
        </w:tc>
      </w:tr>
      <w:tr w:rsidR="00B21D5E" w:rsidRPr="001878A9" w14:paraId="146B6CFE" w14:textId="77777777" w:rsidTr="00673C62">
        <w:trPr>
          <w:trHeight w:val="288"/>
        </w:trPr>
        <w:tc>
          <w:tcPr>
            <w:tcW w:w="4215" w:type="pct"/>
            <w:noWrap/>
            <w:hideMark/>
          </w:tcPr>
          <w:p w14:paraId="62811EC6" w14:textId="05D9B726" w:rsidR="00B21D5E" w:rsidRPr="00B21D5E" w:rsidRDefault="00B21D5E" w:rsidP="00B21D5E">
            <w:r w:rsidRPr="00B21D5E">
              <w:t xml:space="preserve">TA </w:t>
            </w:r>
            <w:r w:rsidR="00F34FFD" w:rsidRPr="00B21D5E">
              <w:t xml:space="preserve">grants </w:t>
            </w:r>
            <w:r w:rsidR="00F34FFD">
              <w:t>Ricardo</w:t>
            </w:r>
            <w:r w:rsidRPr="00B21D5E">
              <w:t xml:space="preserve"> staff</w:t>
            </w:r>
          </w:p>
        </w:tc>
        <w:tc>
          <w:tcPr>
            <w:tcW w:w="785" w:type="pct"/>
            <w:noWrap/>
            <w:hideMark/>
          </w:tcPr>
          <w:p w14:paraId="568DAE7A" w14:textId="77777777" w:rsidR="00B21D5E" w:rsidRPr="00B21D5E" w:rsidRDefault="00B21D5E" w:rsidP="00B21D5E">
            <w:r w:rsidRPr="00B21D5E">
              <w:t>17%</w:t>
            </w:r>
          </w:p>
        </w:tc>
      </w:tr>
      <w:tr w:rsidR="00B21D5E" w:rsidRPr="001878A9" w14:paraId="20BC87B3" w14:textId="77777777" w:rsidTr="00CD0A03">
        <w:trPr>
          <w:trHeight w:val="45"/>
        </w:trPr>
        <w:tc>
          <w:tcPr>
            <w:tcW w:w="4215" w:type="pct"/>
            <w:noWrap/>
            <w:hideMark/>
          </w:tcPr>
          <w:p w14:paraId="78410A9C" w14:textId="77777777" w:rsidR="00B21D5E" w:rsidRPr="00B21D5E" w:rsidRDefault="00B21D5E" w:rsidP="00B21D5E">
            <w:r w:rsidRPr="00B21D5E">
              <w:t xml:space="preserve">Total </w:t>
            </w:r>
          </w:p>
        </w:tc>
        <w:tc>
          <w:tcPr>
            <w:tcW w:w="785" w:type="pct"/>
            <w:noWrap/>
            <w:hideMark/>
          </w:tcPr>
          <w:p w14:paraId="43D014D8" w14:textId="77777777" w:rsidR="00B21D5E" w:rsidRPr="00B21D5E" w:rsidRDefault="00B21D5E" w:rsidP="00B21D5E">
            <w:r w:rsidRPr="00B21D5E">
              <w:t>100%</w:t>
            </w:r>
          </w:p>
        </w:tc>
      </w:tr>
    </w:tbl>
    <w:p w14:paraId="0E8B0A7C" w14:textId="18267E11" w:rsidR="00E5483B" w:rsidRPr="00E813B0" w:rsidRDefault="00E5483B" w:rsidP="001B5440">
      <w:r w:rsidRPr="00E813B0">
        <w:t xml:space="preserve">From </w:t>
      </w:r>
      <w:r w:rsidR="003F017F">
        <w:t xml:space="preserve">a </w:t>
      </w:r>
      <w:r w:rsidRPr="00E813B0">
        <w:t xml:space="preserve">sample of 10 </w:t>
      </w:r>
      <w:r w:rsidR="003F017F">
        <w:t>UK</w:t>
      </w:r>
      <w:r w:rsidRPr="00E813B0">
        <w:t xml:space="preserve"> TA</w:t>
      </w:r>
      <w:r w:rsidR="003F017F">
        <w:t>P</w:t>
      </w:r>
      <w:r w:rsidRPr="00E813B0">
        <w:t xml:space="preserve"> activities</w:t>
      </w:r>
      <w:r w:rsidR="003F017F">
        <w:t xml:space="preserve"> that comprises roughly 50% of UK TAP expenditure</w:t>
      </w:r>
      <w:r w:rsidRPr="00E813B0">
        <w:t xml:space="preserve">, the average expenditure on national experts as a proportion of all experts is 13%. </w:t>
      </w:r>
      <w:r w:rsidR="00BE488E" w:rsidRPr="00E813B0">
        <w:t>The</w:t>
      </w:r>
      <w:r w:rsidRPr="00E813B0">
        <w:t xml:space="preserve"> daily international fee rate</w:t>
      </w:r>
      <w:r w:rsidR="00BE488E" w:rsidRPr="00E813B0">
        <w:t>s</w:t>
      </w:r>
      <w:r w:rsidR="0013057D" w:rsidRPr="00E813B0">
        <w:t xml:space="preserve"> </w:t>
      </w:r>
      <w:r w:rsidR="00DE00A6">
        <w:t xml:space="preserve">are </w:t>
      </w:r>
      <w:r w:rsidR="0013057D" w:rsidRPr="00E813B0">
        <w:t xml:space="preserve">higher than other international programme day rates. </w:t>
      </w:r>
      <w:r w:rsidR="00EC57BF" w:rsidRPr="00E813B0">
        <w:t xml:space="preserve">Using the weighted average international fee rate from the sample of 10 TA </w:t>
      </w:r>
      <w:r w:rsidR="004C4D60" w:rsidRPr="00E813B0">
        <w:t>activities and</w:t>
      </w:r>
      <w:r w:rsidR="00EC57BF" w:rsidRPr="00E813B0">
        <w:t xml:space="preserve"> comparing it with </w:t>
      </w:r>
      <w:r w:rsidR="003A70B2" w:rsidRPr="00E813B0">
        <w:t>5 FCDO programmes/</w:t>
      </w:r>
      <w:r w:rsidR="00475149">
        <w:t>frameworks'</w:t>
      </w:r>
      <w:r w:rsidR="003A70B2" w:rsidRPr="00E813B0">
        <w:t xml:space="preserve"> top international rates (not an average of all international rates</w:t>
      </w:r>
      <w:r w:rsidR="0055235D">
        <w:t xml:space="preserve"> so this overestimates the benchmark rate</w:t>
      </w:r>
      <w:r w:rsidR="00475149">
        <w:t>)</w:t>
      </w:r>
      <w:r w:rsidR="003A70B2" w:rsidRPr="00E813B0">
        <w:t xml:space="preserve">, the </w:t>
      </w:r>
      <w:r w:rsidR="00F96FCB" w:rsidRPr="00E813B0">
        <w:t xml:space="preserve">LEAF rate is </w:t>
      </w:r>
      <w:r w:rsidR="007571B8" w:rsidRPr="00E813B0">
        <w:t xml:space="preserve">46% higher than the </w:t>
      </w:r>
      <w:r w:rsidR="00100686" w:rsidRPr="00E813B0">
        <w:t>benchmark average top international rate.</w:t>
      </w:r>
    </w:p>
    <w:p w14:paraId="720013DB" w14:textId="7C1877BF" w:rsidR="00716294" w:rsidRPr="00E813B0" w:rsidRDefault="0013057D">
      <w:pPr>
        <w:spacing w:after="160" w:line="259" w:lineRule="auto"/>
      </w:pPr>
      <w:r w:rsidRPr="00E813B0">
        <w:t xml:space="preserve">In </w:t>
      </w:r>
      <w:r w:rsidR="00475149">
        <w:t>terms</w:t>
      </w:r>
      <w:r w:rsidRPr="00E813B0">
        <w:t xml:space="preserve"> of benchmarking</w:t>
      </w:r>
      <w:r>
        <w:t xml:space="preserve"> LEAF</w:t>
      </w:r>
      <w:r w:rsidR="00A57EBA">
        <w:t xml:space="preserve"> costs and performance</w:t>
      </w:r>
      <w:r>
        <w:t xml:space="preserve"> to FCPF,</w:t>
      </w:r>
      <w:r w:rsidR="004C1D0D">
        <w:t xml:space="preserve"> R</w:t>
      </w:r>
      <w:r w:rsidR="000F190E">
        <w:t>EDD</w:t>
      </w:r>
      <w:r w:rsidR="004C1D0D">
        <w:t xml:space="preserve"> Early Movers</w:t>
      </w:r>
      <w:r>
        <w:t xml:space="preserve"> </w:t>
      </w:r>
      <w:r w:rsidR="005D0939">
        <w:t>(</w:t>
      </w:r>
      <w:r w:rsidR="00957712">
        <w:t xml:space="preserve">REM) </w:t>
      </w:r>
      <w:r w:rsidR="00957712" w:rsidRPr="00E813B0">
        <w:t>and</w:t>
      </w:r>
      <w:r w:rsidRPr="00E813B0">
        <w:t xml:space="preserve"> M</w:t>
      </w:r>
      <w:r w:rsidR="0041266A">
        <w:t>obilising Finance for Forests</w:t>
      </w:r>
      <w:r w:rsidRPr="00E813B0">
        <w:t xml:space="preserve"> </w:t>
      </w:r>
      <w:r w:rsidR="001D7355">
        <w:t xml:space="preserve">(MFF) </w:t>
      </w:r>
      <w:r w:rsidRPr="00E813B0">
        <w:t xml:space="preserve">programmes, these are not </w:t>
      </w:r>
      <w:r w:rsidR="004F0F57" w:rsidRPr="00E813B0">
        <w:t xml:space="preserve">direct comparators, given </w:t>
      </w:r>
      <w:r w:rsidR="000F6BF3" w:rsidRPr="00E813B0">
        <w:t>their lack of private sector focus</w:t>
      </w:r>
      <w:r w:rsidR="00610A48" w:rsidRPr="00E813B0">
        <w:t xml:space="preserve"> and </w:t>
      </w:r>
      <w:r w:rsidR="000F6BF3" w:rsidRPr="00E813B0">
        <w:t>lower ambition</w:t>
      </w:r>
      <w:r w:rsidR="00610A48" w:rsidRPr="00E813B0">
        <w:t xml:space="preserve"> and risk. </w:t>
      </w:r>
      <w:r w:rsidR="00794D10" w:rsidRPr="00E813B0">
        <w:t>In terms of their administrative costs, for FCPF it is 10%</w:t>
      </w:r>
      <w:r w:rsidR="00A2710D">
        <w:t xml:space="preserve">. For REM </w:t>
      </w:r>
      <w:r w:rsidR="00A2710D" w:rsidRPr="00A2710D">
        <w:t>management fees of KfW (the managing agent) are 2.5% for all jurisdictions. with an additional 1.5% for TA support. In this case</w:t>
      </w:r>
      <w:r w:rsidR="00475149">
        <w:t>,</w:t>
      </w:r>
      <w:r w:rsidR="00A2710D" w:rsidRPr="00A2710D">
        <w:t xml:space="preserve"> the UK pay lower fees for KfW (2.5%) than may otherwise be expected, due to BMZ (Germany) taking on a higher proportion of KfW’s management costs. Financial intermediary fees are also charged, which range from 7 to 11%. </w:t>
      </w:r>
      <w:r w:rsidR="00920D46" w:rsidRPr="00E813B0">
        <w:t xml:space="preserve"> </w:t>
      </w:r>
      <w:r w:rsidR="00A2710D">
        <w:t>F</w:t>
      </w:r>
      <w:r w:rsidR="00920D46" w:rsidRPr="00E813B0">
        <w:t>or MFF</w:t>
      </w:r>
      <w:r w:rsidR="00475149">
        <w:t>,</w:t>
      </w:r>
      <w:r w:rsidR="00920D46" w:rsidRPr="00E813B0">
        <w:t xml:space="preserve"> it is approximately 1</w:t>
      </w:r>
      <w:r w:rsidR="00454E91">
        <w:t>5</w:t>
      </w:r>
      <w:r w:rsidR="00920D46" w:rsidRPr="00E813B0">
        <w:t xml:space="preserve">%. For </w:t>
      </w:r>
      <w:r w:rsidR="00F848F0" w:rsidRPr="00E813B0">
        <w:t>LEAF</w:t>
      </w:r>
      <w:r w:rsidR="00475149">
        <w:t>,</w:t>
      </w:r>
      <w:r w:rsidR="00F848F0" w:rsidRPr="00E813B0">
        <w:t xml:space="preserve"> </w:t>
      </w:r>
      <w:r w:rsidR="00C77C4E" w:rsidRPr="00E813B0">
        <w:t xml:space="preserve">the figure is </w:t>
      </w:r>
      <w:r w:rsidR="00FD4354">
        <w:t xml:space="preserve">a conservative 55%, but this is not accurate, because it reflects Emergent costs, which are </w:t>
      </w:r>
      <w:r w:rsidR="00FD4354">
        <w:lastRenderedPageBreak/>
        <w:t xml:space="preserve">not strictly </w:t>
      </w:r>
      <w:r w:rsidR="00475149">
        <w:t>administrative</w:t>
      </w:r>
      <w:r w:rsidR="00FD4354">
        <w:t>. Some of the TA costs not included in the 55% figure are also administration as defined by the business case.</w:t>
      </w:r>
      <w:r w:rsidR="00C77C4E" w:rsidRPr="00E813B0">
        <w:t xml:space="preserve"> </w:t>
      </w:r>
    </w:p>
    <w:p w14:paraId="22C88A51" w14:textId="4D5E19FD" w:rsidR="0043599E" w:rsidRPr="00E813B0" w:rsidRDefault="00A12A4D" w:rsidP="0043599E">
      <w:pPr>
        <w:pStyle w:val="Heading3"/>
      </w:pPr>
      <w:bookmarkStart w:id="80" w:name="_Toc204091219"/>
      <w:bookmarkStart w:id="81" w:name="_Toc209013294"/>
      <w:r w:rsidRPr="00E813B0">
        <w:t>2.</w:t>
      </w:r>
      <w:r w:rsidR="00566617" w:rsidRPr="00E813B0">
        <w:t xml:space="preserve">5.2 </w:t>
      </w:r>
      <w:r w:rsidR="0043599E" w:rsidRPr="00E813B0">
        <w:t>Efficiency</w:t>
      </w:r>
      <w:bookmarkEnd w:id="80"/>
      <w:bookmarkEnd w:id="81"/>
    </w:p>
    <w:p w14:paraId="7FFB4DD5" w14:textId="3E059EB0" w:rsidR="0043599E" w:rsidRPr="00E813B0" w:rsidRDefault="00FA0A34" w:rsidP="002016C5">
      <w:r w:rsidRPr="00E813B0">
        <w:rPr>
          <w:rStyle w:val="Boldtext"/>
        </w:rPr>
        <w:t xml:space="preserve">Delivery efficiency of LEAF </w:t>
      </w:r>
      <w:r w:rsidR="00F00969">
        <w:rPr>
          <w:rStyle w:val="Boldtext"/>
        </w:rPr>
        <w:t>(</w:t>
      </w:r>
      <w:r w:rsidRPr="00E813B0">
        <w:rPr>
          <w:rStyle w:val="Boldtext"/>
        </w:rPr>
        <w:t>generally by Emergent and the TA</w:t>
      </w:r>
      <w:r w:rsidR="00F00969">
        <w:rPr>
          <w:rStyle w:val="Boldtext"/>
        </w:rPr>
        <w:t>)</w:t>
      </w:r>
      <w:r w:rsidRPr="00E813B0">
        <w:rPr>
          <w:rStyle w:val="Boldtext"/>
        </w:rPr>
        <w:t xml:space="preserve"> has </w:t>
      </w:r>
      <w:r w:rsidR="00974FFC">
        <w:rPr>
          <w:rStyle w:val="Boldtext"/>
        </w:rPr>
        <w:t>experienced</w:t>
      </w:r>
      <w:r w:rsidRPr="00E813B0">
        <w:rPr>
          <w:rStyle w:val="Boldtext"/>
        </w:rPr>
        <w:t xml:space="preserve"> </w:t>
      </w:r>
      <w:r w:rsidR="0001300A" w:rsidRPr="00E813B0">
        <w:rPr>
          <w:rStyle w:val="Boldtext"/>
        </w:rPr>
        <w:t>inefficiencies</w:t>
      </w:r>
      <w:r w:rsidR="00087126">
        <w:rPr>
          <w:rStyle w:val="Boldtext"/>
        </w:rPr>
        <w:t xml:space="preserve"> (Section</w:t>
      </w:r>
      <w:r w:rsidR="003B0AA0">
        <w:rPr>
          <w:rStyle w:val="Boldtext"/>
        </w:rPr>
        <w:t xml:space="preserve"> 2.4)</w:t>
      </w:r>
      <w:r w:rsidR="001D42F1" w:rsidRPr="00E813B0">
        <w:rPr>
          <w:rStyle w:val="Boldtext"/>
        </w:rPr>
        <w:t xml:space="preserve"> and </w:t>
      </w:r>
      <w:r w:rsidR="00B956AE">
        <w:rPr>
          <w:rStyle w:val="Boldtext"/>
        </w:rPr>
        <w:t xml:space="preserve">is </w:t>
      </w:r>
      <w:r w:rsidR="00C56FA4" w:rsidRPr="00E813B0">
        <w:rPr>
          <w:rStyle w:val="Boldtext"/>
        </w:rPr>
        <w:t>off track compared to business case expectations.</w:t>
      </w:r>
      <w:r w:rsidR="00C56FA4" w:rsidRPr="00E813B0">
        <w:t xml:space="preserve"> Some delays were out of </w:t>
      </w:r>
      <w:r w:rsidR="00F56B00">
        <w:t xml:space="preserve">the </w:t>
      </w:r>
      <w:r w:rsidR="00636E0B">
        <w:t xml:space="preserve">programme’s </w:t>
      </w:r>
      <w:r w:rsidR="00C56FA4" w:rsidRPr="00E813B0">
        <w:t>control (contextual complexities</w:t>
      </w:r>
      <w:r w:rsidR="009677D0" w:rsidRPr="00E813B0">
        <w:t xml:space="preserve"> and high </w:t>
      </w:r>
      <w:r w:rsidR="00960989">
        <w:t>transaction</w:t>
      </w:r>
      <w:r w:rsidR="009677D0" w:rsidRPr="00E813B0">
        <w:t xml:space="preserve"> costs</w:t>
      </w:r>
      <w:r w:rsidR="00C56FA4" w:rsidRPr="00E813B0">
        <w:t xml:space="preserve"> with </w:t>
      </w:r>
      <w:r w:rsidR="004C488C" w:rsidRPr="00E813B0">
        <w:t>HJ</w:t>
      </w:r>
      <w:r w:rsidR="00C56FA4" w:rsidRPr="00E813B0">
        <w:t>s</w:t>
      </w:r>
      <w:r w:rsidR="009677D0" w:rsidRPr="00E813B0">
        <w:t xml:space="preserve">, declining VCM </w:t>
      </w:r>
      <w:r w:rsidR="0001300A" w:rsidRPr="00E813B0">
        <w:t>expectations</w:t>
      </w:r>
      <w:r w:rsidR="009677D0" w:rsidRPr="00E813B0">
        <w:t xml:space="preserve">), but many have been within the </w:t>
      </w:r>
      <w:r w:rsidR="00453B78">
        <w:t>programme</w:t>
      </w:r>
      <w:r w:rsidR="00F56B00">
        <w:t>’s</w:t>
      </w:r>
      <w:r w:rsidR="00453B78" w:rsidRPr="00E813B0">
        <w:t xml:space="preserve"> </w:t>
      </w:r>
      <w:r w:rsidR="009677D0" w:rsidRPr="00E813B0">
        <w:t>control (</w:t>
      </w:r>
      <w:r w:rsidR="00E72C17" w:rsidRPr="00E813B0">
        <w:t>Emergent expertise, use of FCDO diplomatic channels</w:t>
      </w:r>
      <w:r w:rsidR="00A6676B">
        <w:rPr>
          <w:rStyle w:val="FootnoteReference"/>
        </w:rPr>
        <w:footnoteReference w:id="17"/>
      </w:r>
      <w:r w:rsidR="0037178C" w:rsidRPr="00E813B0">
        <w:t>, on the ground presence for the TA and a lack of overall MEAL systems).</w:t>
      </w:r>
    </w:p>
    <w:p w14:paraId="7FE6014D" w14:textId="2E8A645E" w:rsidR="00615C6C" w:rsidRPr="00E813B0" w:rsidRDefault="00615C6C" w:rsidP="002016C5">
      <w:r w:rsidRPr="005F550C">
        <w:t>Inputs (finance, influence, corporate engagement, ME</w:t>
      </w:r>
      <w:r w:rsidR="000C1A8C">
        <w:t>A</w:t>
      </w:r>
      <w:r w:rsidRPr="005F550C">
        <w:t>L,</w:t>
      </w:r>
      <w:r w:rsidR="00F83F7A">
        <w:t xml:space="preserve"> </w:t>
      </w:r>
      <w:r w:rsidRPr="005F550C">
        <w:t xml:space="preserve">TA) have contributed to outputs of ERPA agreements, a pipeline of HJs to provide high integrity credits in the form of 15 binding commitments from corporates, the creation of standards bodies and reporting systems. But the current LEAF transactional structures have made this conversion of inputs to outputs less efficient than expected in the </w:t>
      </w:r>
      <w:r w:rsidR="00673C62" w:rsidRPr="005F550C">
        <w:t>preset</w:t>
      </w:r>
      <w:r w:rsidRPr="005F550C">
        <w:t xml:space="preserve"> targets (</w:t>
      </w:r>
      <w:r w:rsidR="00DD35D9" w:rsidRPr="00DD35D9">
        <w:t>in particular, committed corporate demand, ERPAs agreed and self-financing standards bodies</w:t>
      </w:r>
      <w:r w:rsidRPr="005F550C">
        <w:t xml:space="preserve">). </w:t>
      </w:r>
    </w:p>
    <w:p w14:paraId="206926DB" w14:textId="650B2219" w:rsidR="003A4F79" w:rsidRPr="00E813B0" w:rsidRDefault="00A12A4D" w:rsidP="003A4F79">
      <w:pPr>
        <w:pStyle w:val="Heading3"/>
      </w:pPr>
      <w:bookmarkStart w:id="82" w:name="_Toc204091220"/>
      <w:bookmarkStart w:id="83" w:name="_Toc209013295"/>
      <w:r w:rsidRPr="00E813B0">
        <w:t>2.</w:t>
      </w:r>
      <w:r w:rsidR="00566617" w:rsidRPr="00E813B0">
        <w:t xml:space="preserve">5.3 </w:t>
      </w:r>
      <w:r w:rsidR="003A4F79" w:rsidRPr="00E813B0">
        <w:t>Effectiveness</w:t>
      </w:r>
      <w:bookmarkEnd w:id="82"/>
      <w:bookmarkEnd w:id="83"/>
    </w:p>
    <w:p w14:paraId="3ECE4F62" w14:textId="07BE714E" w:rsidR="00B50190" w:rsidRPr="00E813B0" w:rsidRDefault="00B50190" w:rsidP="00B50190">
      <w:r w:rsidRPr="00E813B0">
        <w:rPr>
          <w:rStyle w:val="Boldtext"/>
        </w:rPr>
        <w:t xml:space="preserve">As discussed in </w:t>
      </w:r>
      <w:r w:rsidR="00866BAC">
        <w:rPr>
          <w:rStyle w:val="Boldtext"/>
        </w:rPr>
        <w:t>S</w:t>
      </w:r>
      <w:r w:rsidRPr="00E813B0">
        <w:rPr>
          <w:rStyle w:val="Boldtext"/>
        </w:rPr>
        <w:t>ection</w:t>
      </w:r>
      <w:r w:rsidR="00E63011" w:rsidRPr="00E813B0">
        <w:rPr>
          <w:rStyle w:val="Boldtext"/>
        </w:rPr>
        <w:t xml:space="preserve"> </w:t>
      </w:r>
      <w:r w:rsidR="00875C5D">
        <w:rPr>
          <w:rStyle w:val="Boldtext"/>
        </w:rPr>
        <w:t>2</w:t>
      </w:r>
      <w:r w:rsidR="00866BAC">
        <w:rPr>
          <w:rStyle w:val="Boldtext"/>
        </w:rPr>
        <w:t>.3</w:t>
      </w:r>
      <w:r w:rsidRPr="00E813B0">
        <w:rPr>
          <w:rStyle w:val="Boldtext"/>
        </w:rPr>
        <w:t xml:space="preserve">, the effectiveness of LEAF falls short of business case expectations to date, </w:t>
      </w:r>
      <w:r w:rsidR="0043599E" w:rsidRPr="00E813B0">
        <w:rPr>
          <w:rStyle w:val="Boldtext"/>
        </w:rPr>
        <w:t xml:space="preserve">mostly </w:t>
      </w:r>
      <w:r w:rsidRPr="00E813B0">
        <w:rPr>
          <w:rStyle w:val="Boldtext"/>
        </w:rPr>
        <w:t xml:space="preserve">due to internal (within project control) factors and </w:t>
      </w:r>
      <w:r w:rsidR="0043599E" w:rsidRPr="00E813B0">
        <w:rPr>
          <w:rStyle w:val="Boldtext"/>
        </w:rPr>
        <w:t xml:space="preserve">some </w:t>
      </w:r>
      <w:r w:rsidRPr="00E813B0">
        <w:rPr>
          <w:rStyle w:val="Boldtext"/>
        </w:rPr>
        <w:t xml:space="preserve">external contextual factors (out of </w:t>
      </w:r>
      <w:r w:rsidR="00CA679A">
        <w:rPr>
          <w:rStyle w:val="Boldtext"/>
        </w:rPr>
        <w:t xml:space="preserve">the </w:t>
      </w:r>
      <w:r w:rsidR="00636E0B">
        <w:rPr>
          <w:rStyle w:val="Boldtext"/>
        </w:rPr>
        <w:t xml:space="preserve">project’s </w:t>
      </w:r>
      <w:r w:rsidRPr="00E813B0">
        <w:rPr>
          <w:rStyle w:val="Boldtext"/>
        </w:rPr>
        <w:t>control).</w:t>
      </w:r>
      <w:r w:rsidRPr="00E813B0">
        <w:t xml:space="preserve"> </w:t>
      </w:r>
      <w:r w:rsidR="00BD350A" w:rsidRPr="00E813B0">
        <w:t xml:space="preserve">The programme is </w:t>
      </w:r>
      <w:r w:rsidR="00866BAC">
        <w:t xml:space="preserve">significantly </w:t>
      </w:r>
      <w:r w:rsidR="00BD350A" w:rsidRPr="00E813B0">
        <w:t xml:space="preserve">off track from business case expectations with no transactions to date and a higher spend on </w:t>
      </w:r>
      <w:r w:rsidR="002016C5" w:rsidRPr="00E813B0">
        <w:t xml:space="preserve">Emergent support costs than expected. </w:t>
      </w:r>
      <w:r w:rsidR="00A0551B">
        <w:t xml:space="preserve">This is partly </w:t>
      </w:r>
      <w:r w:rsidR="008C5B0C">
        <w:t>attributable to LEAF</w:t>
      </w:r>
      <w:r w:rsidR="00D25A24">
        <w:t xml:space="preserve">, due </w:t>
      </w:r>
      <w:r w:rsidR="00DE0AD2">
        <w:t xml:space="preserve">an </w:t>
      </w:r>
      <w:r w:rsidR="00DE0AD2" w:rsidRPr="00E813B0">
        <w:rPr>
          <w:rStyle w:val="Boldtext"/>
        </w:rPr>
        <w:t>underestimation of the complexity and challenges of negotiating public-private agreements</w:t>
      </w:r>
      <w:r w:rsidR="00DE0AD2">
        <w:rPr>
          <w:rStyle w:val="Boldtext"/>
        </w:rPr>
        <w:t xml:space="preserve"> (see </w:t>
      </w:r>
      <w:r w:rsidR="003F6A9B">
        <w:rPr>
          <w:rStyle w:val="Boldtext"/>
        </w:rPr>
        <w:t>Section 2.3 on Effectiveness details</w:t>
      </w:r>
      <w:r w:rsidR="00DE0AD2">
        <w:rPr>
          <w:rStyle w:val="Boldtext"/>
        </w:rPr>
        <w:t>.</w:t>
      </w:r>
      <w:r w:rsidR="002C2B1A">
        <w:t xml:space="preserve"> But also some of the reasons </w:t>
      </w:r>
      <w:r w:rsidR="0046629C">
        <w:t xml:space="preserve">are </w:t>
      </w:r>
      <w:r w:rsidR="002C2B1A">
        <w:t xml:space="preserve">out of </w:t>
      </w:r>
      <w:r w:rsidR="0046629C">
        <w:t>LEAF’s</w:t>
      </w:r>
      <w:r w:rsidR="002C2B1A">
        <w:t xml:space="preserve"> control, namely</w:t>
      </w:r>
      <w:r w:rsidR="00DD35D9">
        <w:t>,</w:t>
      </w:r>
      <w:r w:rsidR="002C2B1A">
        <w:t xml:space="preserve"> </w:t>
      </w:r>
      <w:r w:rsidR="00383B2E">
        <w:t>a</w:t>
      </w:r>
      <w:r w:rsidR="000F4D36" w:rsidRPr="00E813B0">
        <w:t xml:space="preserve"> higher risk </w:t>
      </w:r>
      <w:r w:rsidR="00383B2E">
        <w:t>is</w:t>
      </w:r>
      <w:r w:rsidR="000F4D36" w:rsidRPr="00E813B0">
        <w:t xml:space="preserve"> borne by LEAF compared to other similar programmes such as REM, FCPF and </w:t>
      </w:r>
      <w:r w:rsidR="006B162B" w:rsidRPr="00E813B0">
        <w:t>MFF</w:t>
      </w:r>
      <w:r w:rsidR="009D1380" w:rsidRPr="00E813B0">
        <w:t>. These</w:t>
      </w:r>
      <w:r w:rsidR="00F006E8">
        <w:t xml:space="preserve"> benchmark</w:t>
      </w:r>
      <w:r w:rsidR="009D1380" w:rsidRPr="00E813B0">
        <w:t xml:space="preserve"> programmes</w:t>
      </w:r>
      <w:r w:rsidR="006B162B" w:rsidRPr="00E813B0">
        <w:t xml:space="preserve"> do not mobilise corporate private finance</w:t>
      </w:r>
      <w:r w:rsidR="00C5182B" w:rsidRPr="00E813B0">
        <w:t xml:space="preserve">, </w:t>
      </w:r>
      <w:r w:rsidR="006B162B" w:rsidRPr="00E813B0">
        <w:t>are not creating a new market</w:t>
      </w:r>
      <w:r w:rsidR="00C5182B" w:rsidRPr="00E813B0">
        <w:t xml:space="preserve"> and have lower ambition. The high returns from a </w:t>
      </w:r>
      <w:r w:rsidR="0001300A" w:rsidRPr="00E813B0">
        <w:t>high-risk</w:t>
      </w:r>
      <w:r w:rsidR="00C5182B" w:rsidRPr="00E813B0">
        <w:t xml:space="preserve"> scenario such as LEAF have yet to be reaped, and this is still feasible</w:t>
      </w:r>
      <w:r w:rsidR="00F01FA3" w:rsidRPr="00E813B0">
        <w:t xml:space="preserve"> with indications in the right direction</w:t>
      </w:r>
      <w:r w:rsidR="00DD35D9">
        <w:t>,</w:t>
      </w:r>
      <w:r w:rsidR="00700587" w:rsidRPr="00E813B0">
        <w:t xml:space="preserve"> with a forecast $230m </w:t>
      </w:r>
      <w:r w:rsidR="00BF26E7" w:rsidRPr="00E813B0">
        <w:t xml:space="preserve">worth of </w:t>
      </w:r>
      <w:r w:rsidR="00DD35D9">
        <w:t>c</w:t>
      </w:r>
      <w:r w:rsidR="00BF26E7" w:rsidRPr="00E813B0">
        <w:t xml:space="preserve">arbon </w:t>
      </w:r>
      <w:r w:rsidR="00DD35D9">
        <w:t xml:space="preserve">credit </w:t>
      </w:r>
      <w:r w:rsidR="00BF26E7" w:rsidRPr="00E813B0">
        <w:t>flows by 2030.</w:t>
      </w:r>
      <w:r w:rsidR="00652B13" w:rsidRPr="00652B13">
        <w:t xml:space="preserve"> </w:t>
      </w:r>
      <w:r w:rsidR="00652B13">
        <w:t>I</w:t>
      </w:r>
      <w:r w:rsidR="00652B13" w:rsidRPr="00652B13">
        <w:t>n terms of the conversion of outputs as described above to outcomes (VCM and compliance market development, CERs flowing, stakeholder forest and land use management plans financed and implemented including benefit sharing), this has not yet happened for various reasons – higher than expected risk and contextual difficulties, and also shortfalls in the efficacy of project activities.</w:t>
      </w:r>
    </w:p>
    <w:p w14:paraId="2FC30ECF" w14:textId="57EEBC3C" w:rsidR="0010564F" w:rsidRPr="00E813B0" w:rsidRDefault="00A12A4D" w:rsidP="0010564F">
      <w:pPr>
        <w:pStyle w:val="Heading3"/>
      </w:pPr>
      <w:bookmarkStart w:id="84" w:name="_Toc204091221"/>
      <w:bookmarkStart w:id="85" w:name="_Toc209013296"/>
      <w:r w:rsidRPr="00E813B0">
        <w:t>2.</w:t>
      </w:r>
      <w:r w:rsidR="00566617" w:rsidRPr="00E813B0">
        <w:t xml:space="preserve">5.4 </w:t>
      </w:r>
      <w:r w:rsidR="0010564F" w:rsidRPr="00E813B0">
        <w:t>Relevance</w:t>
      </w:r>
      <w:bookmarkEnd w:id="84"/>
      <w:bookmarkEnd w:id="85"/>
      <w:r w:rsidR="0010564F" w:rsidRPr="00E813B0">
        <w:t xml:space="preserve"> </w:t>
      </w:r>
    </w:p>
    <w:p w14:paraId="241214FB" w14:textId="1C187083" w:rsidR="00967CAB" w:rsidRPr="00967CAB" w:rsidRDefault="0010564F" w:rsidP="00967CAB">
      <w:r w:rsidRPr="00E813B0">
        <w:rPr>
          <w:rStyle w:val="Boldtext"/>
        </w:rPr>
        <w:t>As discussed</w:t>
      </w:r>
      <w:r w:rsidR="003D3320">
        <w:rPr>
          <w:rStyle w:val="Boldtext"/>
        </w:rPr>
        <w:t xml:space="preserve"> in Section 2.1</w:t>
      </w:r>
      <w:r w:rsidRPr="00E813B0">
        <w:rPr>
          <w:rStyle w:val="Boldtext"/>
        </w:rPr>
        <w:t xml:space="preserve">, the design </w:t>
      </w:r>
      <w:r w:rsidR="00F4406E" w:rsidRPr="00E813B0">
        <w:rPr>
          <w:rStyle w:val="Boldtext"/>
        </w:rPr>
        <w:t xml:space="preserve">overall is </w:t>
      </w:r>
      <w:r w:rsidR="00BD0F37" w:rsidRPr="00E813B0">
        <w:rPr>
          <w:rStyle w:val="Boldtext"/>
        </w:rPr>
        <w:t>relevant</w:t>
      </w:r>
      <w:r w:rsidRPr="00E813B0">
        <w:rPr>
          <w:rStyle w:val="Boldtext"/>
        </w:rPr>
        <w:t xml:space="preserve"> in </w:t>
      </w:r>
      <w:r w:rsidR="00BD0F37" w:rsidRPr="00E813B0">
        <w:rPr>
          <w:rStyle w:val="Boldtext"/>
        </w:rPr>
        <w:t xml:space="preserve">terms of meeting objectives and filling in a gap for </w:t>
      </w:r>
      <w:r w:rsidR="00FA0BCE" w:rsidRPr="00E813B0">
        <w:rPr>
          <w:rStyle w:val="Boldtext"/>
        </w:rPr>
        <w:t xml:space="preserve">creating corporate sector finance flows to </w:t>
      </w:r>
      <w:r w:rsidR="00F34FFD" w:rsidRPr="00E813B0">
        <w:rPr>
          <w:rStyle w:val="Boldtext"/>
        </w:rPr>
        <w:t>HJs,</w:t>
      </w:r>
      <w:r w:rsidR="00650265" w:rsidRPr="00E813B0">
        <w:rPr>
          <w:rStyle w:val="Boldtext"/>
        </w:rPr>
        <w:t xml:space="preserve"> but </w:t>
      </w:r>
      <w:r w:rsidR="00650265" w:rsidRPr="00E813B0">
        <w:rPr>
          <w:rStyle w:val="Boldtext"/>
        </w:rPr>
        <w:lastRenderedPageBreak/>
        <w:t xml:space="preserve">some </w:t>
      </w:r>
      <w:r w:rsidR="00DC6622" w:rsidRPr="00E813B0">
        <w:rPr>
          <w:rStyle w:val="Boldtext"/>
        </w:rPr>
        <w:t>areas of design</w:t>
      </w:r>
      <w:r w:rsidR="000D6986" w:rsidRPr="00E813B0">
        <w:rPr>
          <w:rStyle w:val="Boldtext"/>
        </w:rPr>
        <w:t xml:space="preserve"> </w:t>
      </w:r>
      <w:r w:rsidR="00D43B88" w:rsidRPr="00E813B0">
        <w:rPr>
          <w:rStyle w:val="Boldtext"/>
        </w:rPr>
        <w:t>are less</w:t>
      </w:r>
      <w:r w:rsidR="000D6986" w:rsidRPr="00E813B0">
        <w:rPr>
          <w:rStyle w:val="Boldtext"/>
        </w:rPr>
        <w:t xml:space="preserve"> relevant</w:t>
      </w:r>
      <w:r w:rsidR="00FA0BCE" w:rsidRPr="00E813B0">
        <w:rPr>
          <w:rStyle w:val="Boldtext"/>
        </w:rPr>
        <w:t>.</w:t>
      </w:r>
      <w:r w:rsidR="00FA0BCE" w:rsidRPr="00E813B0">
        <w:t xml:space="preserve"> </w:t>
      </w:r>
      <w:r w:rsidR="00DC6622" w:rsidRPr="00E813B0">
        <w:t>These are</w:t>
      </w:r>
      <w:r w:rsidRPr="00E813B0">
        <w:t xml:space="preserve"> its</w:t>
      </w:r>
      <w:r w:rsidR="00E25C8A">
        <w:t xml:space="preserve"> underestimation of the complexities of the concept and design elements needed to meet the execution of the programmes. There has also been an</w:t>
      </w:r>
      <w:r w:rsidRPr="00E813B0">
        <w:t xml:space="preserve"> excessive focus on corporates as Emergent’s </w:t>
      </w:r>
      <w:r w:rsidR="004F7326">
        <w:t xml:space="preserve">corporate </w:t>
      </w:r>
      <w:r w:rsidRPr="00E813B0">
        <w:t xml:space="preserve">clients, rather than </w:t>
      </w:r>
      <w:r w:rsidR="004C488C" w:rsidRPr="00E813B0">
        <w:t>HJ</w:t>
      </w:r>
      <w:r w:rsidRPr="00E813B0">
        <w:t xml:space="preserve">s. </w:t>
      </w:r>
    </w:p>
    <w:p w14:paraId="31D6CF59" w14:textId="217A8C3C" w:rsidR="00841977" w:rsidRDefault="00967CAB" w:rsidP="0010564F">
      <w:r w:rsidRPr="00967CAB">
        <w:t>While LEAF appears additional in the current market context due to the high barriers to entry, the presence of emerging competitors raises important questions about how catalytic LEAF’s role truly is. These dynamics don’t deny additionality, but they do deserve further exploration in Phase 3 – particularly to assess whether LEAF is actively shaping market norms or simply evolving alongside broader trends.</w:t>
      </w:r>
    </w:p>
    <w:p w14:paraId="3F1EAB89" w14:textId="72A8989E" w:rsidR="00841977" w:rsidRDefault="00841977" w:rsidP="004A23A8">
      <w:pPr>
        <w:pStyle w:val="Heading3"/>
      </w:pPr>
      <w:bookmarkStart w:id="86" w:name="_Toc209013297"/>
      <w:r>
        <w:t>2.5.5 VfM recommendations</w:t>
      </w:r>
      <w:bookmarkEnd w:id="86"/>
      <w:r>
        <w:t xml:space="preserve"> </w:t>
      </w:r>
    </w:p>
    <w:p w14:paraId="15686FF7" w14:textId="54BD63F3" w:rsidR="004A23A8" w:rsidRPr="004A23A8" w:rsidRDefault="004A23A8" w:rsidP="00554D4F">
      <w:r>
        <w:t xml:space="preserve">VfM is integrated throughout the main recommendations in Section 3.3 and Annex </w:t>
      </w:r>
      <w:r w:rsidR="00220188">
        <w:t xml:space="preserve">12 (long version of recommendations), but here are some specific ones: </w:t>
      </w:r>
    </w:p>
    <w:p w14:paraId="6FEE2F37" w14:textId="601ADD6C" w:rsidR="00220188" w:rsidRDefault="00220188" w:rsidP="00554D4F">
      <w:pPr>
        <w:pStyle w:val="DESNZbulletedlist"/>
      </w:pPr>
      <w:r w:rsidRPr="00220188">
        <w:t>VFM should be monitored more rigorously going forward</w:t>
      </w:r>
      <w:r w:rsidR="000C147B">
        <w:t xml:space="preserve"> through an independent body appointed by DESNZ</w:t>
      </w:r>
      <w:r w:rsidRPr="00220188">
        <w:t xml:space="preserve">. </w:t>
      </w:r>
    </w:p>
    <w:p w14:paraId="6242D8F1" w14:textId="38051DC0" w:rsidR="00841977" w:rsidRDefault="00BB6B37" w:rsidP="00554D4F">
      <w:pPr>
        <w:pStyle w:val="DESNZbulletedlist"/>
      </w:pPr>
      <w:r w:rsidRPr="00BB6B37">
        <w:t>A benchmarking exercise for Emergent salary costs is advised.</w:t>
      </w:r>
    </w:p>
    <w:p w14:paraId="0EACB659" w14:textId="77777777" w:rsidR="00220188" w:rsidRDefault="00FA4AB3" w:rsidP="00554D4F">
      <w:pPr>
        <w:pStyle w:val="DESNZbulletedlist"/>
      </w:pPr>
      <w:r w:rsidRPr="00FA4AB3">
        <w:t>Sovereign donors should streamline and enhance technical assistance for Host Jurisdictions and wider</w:t>
      </w:r>
      <w:r w:rsidR="00220188">
        <w:t xml:space="preserve"> </w:t>
      </w:r>
      <w:r w:rsidRPr="00FA4AB3">
        <w:t>stakeholders, ensuring support is efficient, longer-term, cost effective with use of national experts and better</w:t>
      </w:r>
      <w:r w:rsidR="00220188">
        <w:t xml:space="preserve"> </w:t>
      </w:r>
      <w:r w:rsidRPr="00FA4AB3">
        <w:t xml:space="preserve">aligned with programme needs. This should explore sustainable financing options. </w:t>
      </w:r>
    </w:p>
    <w:p w14:paraId="6B88EF96" w14:textId="138A7AA6" w:rsidR="00FA4AB3" w:rsidRPr="00FA4AB3" w:rsidRDefault="00FA4AB3" w:rsidP="00554D4F">
      <w:pPr>
        <w:pStyle w:val="DESNZbulletedlist"/>
      </w:pPr>
      <w:r w:rsidRPr="00FA4AB3">
        <w:t>TA providers should</w:t>
      </w:r>
      <w:r w:rsidR="00220188">
        <w:t xml:space="preserve"> </w:t>
      </w:r>
      <w:r w:rsidRPr="00FA4AB3">
        <w:t>develop a joint 5-year TA plan.</w:t>
      </w:r>
    </w:p>
    <w:p w14:paraId="501B68AE" w14:textId="20238C28" w:rsidR="00841977" w:rsidRPr="00841977" w:rsidRDefault="00D52C4B" w:rsidP="00554D4F">
      <w:pPr>
        <w:pStyle w:val="DESNZbulletedlist"/>
      </w:pPr>
      <w:r w:rsidRPr="00D52C4B">
        <w:t>Emergent and Sovereign Donors should review the package of support for Host Jurisdictions (and</w:t>
      </w:r>
      <w:r w:rsidR="00220188">
        <w:t xml:space="preserve"> </w:t>
      </w:r>
      <w:r w:rsidRPr="00D52C4B">
        <w:t>other stakeholders including IP&amp;LCs) with a view to streamlining support (reducing transaction costs and</w:t>
      </w:r>
      <w:r w:rsidR="00220188">
        <w:t xml:space="preserve"> </w:t>
      </w:r>
      <w:r w:rsidRPr="00D52C4B">
        <w:t>improving efficiency) in providing technical assistance.</w:t>
      </w:r>
    </w:p>
    <w:p w14:paraId="4AC23756" w14:textId="59852D52" w:rsidR="003C3A3E" w:rsidRDefault="005F5DDB" w:rsidP="00554D4F">
      <w:pPr>
        <w:pStyle w:val="Heading2"/>
        <w:numPr>
          <w:ilvl w:val="1"/>
          <w:numId w:val="8"/>
        </w:numPr>
      </w:pPr>
      <w:bookmarkStart w:id="87" w:name="_Toc204091222"/>
      <w:bookmarkStart w:id="88" w:name="_Toc209013298"/>
      <w:r w:rsidRPr="00E813B0">
        <w:t>G</w:t>
      </w:r>
      <w:r w:rsidR="00DC47DF" w:rsidRPr="00E813B0">
        <w:t>ender, Equality, Disability, Social Inclusion</w:t>
      </w:r>
      <w:r w:rsidRPr="00E813B0">
        <w:t xml:space="preserve"> and Equity</w:t>
      </w:r>
      <w:r w:rsidR="00AE5DDB">
        <w:t xml:space="preserve"> (responding to EQ6)</w:t>
      </w:r>
      <w:bookmarkEnd w:id="87"/>
      <w:bookmarkEnd w:id="88"/>
    </w:p>
    <w:p w14:paraId="7C1A25AB" w14:textId="23377096" w:rsidR="000762FF" w:rsidRPr="000762FF" w:rsidRDefault="00780FD0" w:rsidP="000762FF">
      <w:pPr>
        <w:rPr>
          <w:b/>
          <w:i/>
        </w:rPr>
      </w:pPr>
      <w:r>
        <w:rPr>
          <w:rStyle w:val="Boldtext"/>
        </w:rPr>
        <w:t xml:space="preserve">GEDSI was found to be one of the key weak points of the LEAF Coalition. </w:t>
      </w:r>
      <w:r w:rsidR="00F03BEF" w:rsidRPr="00E813B0">
        <w:rPr>
          <w:rStyle w:val="Boldtext"/>
        </w:rPr>
        <w:t xml:space="preserve">There is no GEDSI or PSEAH policy for LEAF. </w:t>
      </w:r>
      <w:r w:rsidR="0087004C" w:rsidRPr="00E813B0">
        <w:rPr>
          <w:rStyle w:val="Boldtext"/>
        </w:rPr>
        <w:t>F</w:t>
      </w:r>
      <w:r w:rsidR="00F03BEF" w:rsidRPr="00E813B0">
        <w:rPr>
          <w:rStyle w:val="Boldtext"/>
        </w:rPr>
        <w:t>uture polic</w:t>
      </w:r>
      <w:r w:rsidR="00F8485D" w:rsidRPr="00E813B0">
        <w:rPr>
          <w:rStyle w:val="Boldtext"/>
        </w:rPr>
        <w:t>ies</w:t>
      </w:r>
      <w:r w:rsidR="00F03BEF" w:rsidRPr="00E813B0">
        <w:rPr>
          <w:rStyle w:val="Boldtext"/>
        </w:rPr>
        <w:t xml:space="preserve"> developed should be public, multilingual, and supported by a dissemination plan for stakeholders. Grievance mechanisms are inadequately disseminated and monitored. ART TREES safeguards are insufficient, with </w:t>
      </w:r>
      <w:r w:rsidR="00A521CD">
        <w:rPr>
          <w:rStyle w:val="Boldtext"/>
        </w:rPr>
        <w:t>limited</w:t>
      </w:r>
      <w:r w:rsidR="00A521CD" w:rsidRPr="00E813B0">
        <w:rPr>
          <w:rStyle w:val="Boldtext"/>
        </w:rPr>
        <w:t xml:space="preserve"> </w:t>
      </w:r>
      <w:r w:rsidR="00F03BEF" w:rsidRPr="00E813B0">
        <w:rPr>
          <w:rStyle w:val="Boldtext"/>
        </w:rPr>
        <w:t xml:space="preserve">verification and monitoring. LEAF is disability blind and largely gender blind. IP and LC engagement has improved from a low </w:t>
      </w:r>
      <w:r w:rsidR="000455D6" w:rsidRPr="00E813B0">
        <w:rPr>
          <w:rStyle w:val="Boldtext"/>
        </w:rPr>
        <w:t>base but</w:t>
      </w:r>
      <w:r w:rsidR="00F03BEF" w:rsidRPr="00E813B0">
        <w:rPr>
          <w:rStyle w:val="Boldtext"/>
        </w:rPr>
        <w:t xml:space="preserve"> needs more focus and resource allocation</w:t>
      </w:r>
      <w:r w:rsidR="009E43D9" w:rsidRPr="00E813B0">
        <w:rPr>
          <w:rStyle w:val="Boldtext"/>
        </w:rPr>
        <w:t>.</w:t>
      </w:r>
      <w:r w:rsidR="00F03BEF" w:rsidRPr="00E813B0">
        <w:rPr>
          <w:rStyle w:val="Boldtext"/>
        </w:rPr>
        <w:t xml:space="preserve"> While </w:t>
      </w:r>
      <w:r w:rsidR="004F2D60">
        <w:rPr>
          <w:rStyle w:val="Boldtext"/>
        </w:rPr>
        <w:t xml:space="preserve">the </w:t>
      </w:r>
      <w:r w:rsidR="004F2D60" w:rsidRPr="004F2D60">
        <w:rPr>
          <w:rStyle w:val="Boldtext"/>
        </w:rPr>
        <w:t xml:space="preserve">Stakeholder Engagement Group </w:t>
      </w:r>
      <w:r w:rsidR="004F2D60">
        <w:rPr>
          <w:rStyle w:val="Boldtext"/>
        </w:rPr>
        <w:t>(</w:t>
      </w:r>
      <w:r w:rsidR="00F03BEF" w:rsidRPr="00E813B0">
        <w:rPr>
          <w:rStyle w:val="Boldtext"/>
        </w:rPr>
        <w:t>SEG</w:t>
      </w:r>
      <w:r w:rsidR="004F2D60">
        <w:rPr>
          <w:rStyle w:val="Boldtext"/>
        </w:rPr>
        <w:t>)</w:t>
      </w:r>
      <w:r w:rsidR="00F03BEF" w:rsidRPr="00E813B0">
        <w:rPr>
          <w:rStyle w:val="Boldtext"/>
        </w:rPr>
        <w:t xml:space="preserve"> and IP</w:t>
      </w:r>
      <w:r w:rsidR="009003DB" w:rsidRPr="00E813B0">
        <w:rPr>
          <w:rStyle w:val="Boldtext"/>
        </w:rPr>
        <w:t xml:space="preserve"> and </w:t>
      </w:r>
      <w:r w:rsidR="00F03BEF" w:rsidRPr="00E813B0">
        <w:rPr>
          <w:rStyle w:val="Boldtext"/>
        </w:rPr>
        <w:t>LC Advisory Panel are useful structures, they canno</w:t>
      </w:r>
      <w:r w:rsidR="003620EB" w:rsidRPr="00E813B0">
        <w:rPr>
          <w:rStyle w:val="Boldtext"/>
        </w:rPr>
        <w:t>t</w:t>
      </w:r>
      <w:r w:rsidR="00F03BEF" w:rsidRPr="00E813B0">
        <w:rPr>
          <w:rStyle w:val="Boldtext"/>
        </w:rPr>
        <w:t xml:space="preserve"> currently manage or resolve risk. Without action, LEAF risks harming key intended beneficiaries. LEAF should cease to use the controversial conflated ‘IPLC’ term. </w:t>
      </w:r>
      <w:bookmarkStart w:id="89" w:name="_Toc204091223"/>
    </w:p>
    <w:p w14:paraId="781CB02F" w14:textId="01D8FACC" w:rsidR="00F03BEF" w:rsidRPr="00E813B0" w:rsidRDefault="00F23580" w:rsidP="0091727F">
      <w:pPr>
        <w:pStyle w:val="Heading3"/>
      </w:pPr>
      <w:bookmarkStart w:id="90" w:name="_Toc209013299"/>
      <w:r w:rsidRPr="00E813B0">
        <w:lastRenderedPageBreak/>
        <w:t>2.</w:t>
      </w:r>
      <w:r w:rsidR="00DC47DF" w:rsidRPr="00E813B0">
        <w:t>6.</w:t>
      </w:r>
      <w:r w:rsidR="0091727F">
        <w:t>1</w:t>
      </w:r>
      <w:r w:rsidR="00DC47DF" w:rsidRPr="00E813B0">
        <w:t xml:space="preserve"> </w:t>
      </w:r>
      <w:r w:rsidR="00F4726D" w:rsidRPr="00E813B0">
        <w:t xml:space="preserve">Gender, Equality, Disability, Social Inclusion and Protection from Sexual Exploitation, Abuse and Harassment </w:t>
      </w:r>
      <w:r w:rsidR="00F03BEF" w:rsidRPr="00E813B0">
        <w:t>policy and analysis</w:t>
      </w:r>
      <w:bookmarkEnd w:id="89"/>
      <w:bookmarkEnd w:id="90"/>
    </w:p>
    <w:tbl>
      <w:tblPr>
        <w:tblStyle w:val="Table-DarkblueBackground"/>
        <w:tblW w:w="0" w:type="auto"/>
        <w:tblLook w:val="04A0" w:firstRow="1" w:lastRow="0" w:firstColumn="1" w:lastColumn="0" w:noHBand="0" w:noVBand="1"/>
      </w:tblPr>
      <w:tblGrid>
        <w:gridCol w:w="8505"/>
        <w:gridCol w:w="1577"/>
      </w:tblGrid>
      <w:tr w:rsidR="007F7F09" w:rsidRPr="00E813B0" w14:paraId="27A18900" w14:textId="77777777" w:rsidTr="00E26C3B">
        <w:trPr>
          <w:cnfStyle w:val="100000000000" w:firstRow="1" w:lastRow="0" w:firstColumn="0" w:lastColumn="0" w:oddVBand="0" w:evenVBand="0" w:oddHBand="0" w:evenHBand="0" w:firstRowFirstColumn="0" w:firstRowLastColumn="0" w:lastRowFirstColumn="0" w:lastRowLastColumn="0"/>
          <w:trHeight w:val="375"/>
        </w:trPr>
        <w:tc>
          <w:tcPr>
            <w:tcW w:w="8505" w:type="dxa"/>
          </w:tcPr>
          <w:p w14:paraId="7F9FF162" w14:textId="77777777" w:rsidR="00F03BEF" w:rsidRPr="00E813B0" w:rsidRDefault="00F03BEF" w:rsidP="00F03BEF">
            <w:r w:rsidRPr="00E813B0">
              <w:t>Overall finding</w:t>
            </w:r>
          </w:p>
        </w:tc>
        <w:tc>
          <w:tcPr>
            <w:tcW w:w="1577" w:type="dxa"/>
          </w:tcPr>
          <w:p w14:paraId="35FC359D" w14:textId="77777777" w:rsidR="00F03BEF" w:rsidRPr="00E813B0" w:rsidRDefault="00F03BEF" w:rsidP="00F03BEF">
            <w:r w:rsidRPr="00E813B0">
              <w:t>Strength of Evidence</w:t>
            </w:r>
          </w:p>
        </w:tc>
      </w:tr>
      <w:tr w:rsidR="00F03BEF" w:rsidRPr="00E813B0" w14:paraId="077461BC" w14:textId="77777777" w:rsidTr="00E26C3B">
        <w:trPr>
          <w:trHeight w:val="19"/>
        </w:trPr>
        <w:tc>
          <w:tcPr>
            <w:tcW w:w="8505" w:type="dxa"/>
          </w:tcPr>
          <w:p w14:paraId="7B118AFB" w14:textId="0DB607B2" w:rsidR="00F03BEF" w:rsidRPr="00E813B0" w:rsidRDefault="00F03BEF" w:rsidP="00F03BEF">
            <w:r w:rsidRPr="00E813B0">
              <w:t xml:space="preserve">There is no standalone GEDSI or </w:t>
            </w:r>
            <w:r w:rsidR="00F4726D" w:rsidRPr="00E813B0">
              <w:t>Protection from Sexual Exploitation, Abuse</w:t>
            </w:r>
            <w:r w:rsidR="00F72B62">
              <w:t>,</w:t>
            </w:r>
            <w:r w:rsidR="00F4726D" w:rsidRPr="00E813B0">
              <w:t xml:space="preserve"> and Harassment (</w:t>
            </w:r>
            <w:r w:rsidRPr="00E813B0">
              <w:t>PSEAH</w:t>
            </w:r>
            <w:r w:rsidR="00F4726D" w:rsidRPr="00E813B0">
              <w:t>)</w:t>
            </w:r>
            <w:r w:rsidRPr="00E813B0">
              <w:t xml:space="preserve"> policy for LEA</w:t>
            </w:r>
            <w:r w:rsidR="0091727F">
              <w:t>F</w:t>
            </w:r>
            <w:r w:rsidRPr="00E813B0">
              <w:t xml:space="preserve">. Emergent’s policy is not publicly available, and reporting/grievance mechanisms are hard to find on the website, English-only, and poorly shared with stakeholders. There is insufficient monitoring and follow-up regarding grievances passed to other parties (TREES and </w:t>
            </w:r>
            <w:r w:rsidR="004C488C" w:rsidRPr="00E813B0">
              <w:t>HJ</w:t>
            </w:r>
            <w:r w:rsidRPr="00E813B0">
              <w:t>s). Whilst ART TREES incorporates the Cancun standards, these alone are insufficient. Line of sight to TREES verification/monitoring needs to be strengthened. LEAF (and TREES) is disability blind, with gender integration inconsistent and lacking oversight.</w:t>
            </w:r>
          </w:p>
        </w:tc>
        <w:tc>
          <w:tcPr>
            <w:tcW w:w="1577" w:type="dxa"/>
          </w:tcPr>
          <w:p w14:paraId="6B0DB20C" w14:textId="1A43B3AE" w:rsidR="00F03BEF" w:rsidRPr="00E813B0" w:rsidRDefault="00F03BEF" w:rsidP="00F03BEF">
            <w:pPr>
              <w:rPr>
                <w:rStyle w:val="Boldtext"/>
              </w:rPr>
            </w:pPr>
            <w:r w:rsidRPr="00E813B0">
              <w:rPr>
                <w:rStyle w:val="Boldtext"/>
              </w:rPr>
              <w:t>Medium</w:t>
            </w:r>
          </w:p>
        </w:tc>
      </w:tr>
    </w:tbl>
    <w:p w14:paraId="16D62804" w14:textId="45BBA5C6" w:rsidR="00F03BEF" w:rsidRPr="00E813B0" w:rsidRDefault="00F03BEF" w:rsidP="00FE4143">
      <w:pPr>
        <w:rPr>
          <w:rStyle w:val="Boldtext"/>
        </w:rPr>
      </w:pPr>
      <w:r w:rsidRPr="00E813B0">
        <w:rPr>
          <w:rStyle w:val="Boldtext"/>
        </w:rPr>
        <w:t xml:space="preserve">No standalone GEDSI or PSEAH policy exists for LEAF. </w:t>
      </w:r>
      <w:r w:rsidRPr="00E813B0">
        <w:t xml:space="preserve">While gender is mentioned in the business case, this </w:t>
      </w:r>
      <w:r w:rsidR="00D92A16" w:rsidRPr="00E813B0">
        <w:t>is</w:t>
      </w:r>
      <w:r w:rsidRPr="00E813B0">
        <w:t xml:space="preserve"> not meaningfully translated into LEAF’s design, objectives, or reporting. Emergent</w:t>
      </w:r>
      <w:r w:rsidR="00CF7F64" w:rsidRPr="00E813B0">
        <w:t xml:space="preserve"> </w:t>
      </w:r>
      <w:r w:rsidRPr="00E813B0">
        <w:t>has a policy on PSEAH (</w:t>
      </w:r>
      <w:r w:rsidR="00780FD0">
        <w:t xml:space="preserve">although </w:t>
      </w:r>
      <w:r w:rsidRPr="00E813B0">
        <w:t>no broader GEDSI policy)</w:t>
      </w:r>
      <w:r w:rsidR="00376DED">
        <w:t>,</w:t>
      </w:r>
      <w:r w:rsidRPr="00E813B0">
        <w:t xml:space="preserve"> which is embedded in terms of staff induction and ongoing </w:t>
      </w:r>
      <w:r w:rsidR="00A34152" w:rsidRPr="00E813B0">
        <w:t>training</w:t>
      </w:r>
      <w:r w:rsidRPr="00E813B0">
        <w:t xml:space="preserve">, with </w:t>
      </w:r>
      <w:r w:rsidR="00AF1365" w:rsidRPr="00E813B0">
        <w:t>some</w:t>
      </w:r>
      <w:r w:rsidRPr="00E813B0">
        <w:t xml:space="preserve"> refresher sessions</w:t>
      </w:r>
      <w:r w:rsidR="00B35A22" w:rsidRPr="00E813B0">
        <w:t>, but it is not publicly available</w:t>
      </w:r>
      <w:r w:rsidRPr="00E813B0">
        <w:t xml:space="preserve">. Though it states applicability to all activities, including IP and LC engagement, there are no clear oversight or monitoring mechanisms for this. PSEAH is included in annexes with </w:t>
      </w:r>
      <w:r w:rsidR="004C488C" w:rsidRPr="00E813B0">
        <w:t>HJ</w:t>
      </w:r>
      <w:r w:rsidRPr="00E813B0">
        <w:t>s, but beyond contracts</w:t>
      </w:r>
      <w:r w:rsidR="00376DED">
        <w:t>,</w:t>
      </w:r>
      <w:r w:rsidRPr="00E813B0">
        <w:t xml:space="preserve"> it is not clear how this is monitored.</w:t>
      </w:r>
      <w:r w:rsidR="00AC1D4B" w:rsidRPr="00E813B0">
        <w:t xml:space="preserve"> </w:t>
      </w:r>
      <w:r w:rsidR="00CF5137" w:rsidRPr="00E813B0">
        <w:t>There</w:t>
      </w:r>
      <w:r w:rsidR="00453F38">
        <w:t xml:space="preserve"> i</w:t>
      </w:r>
      <w:r w:rsidR="00CF5137" w:rsidRPr="00E813B0">
        <w:t>s a</w:t>
      </w:r>
      <w:r w:rsidRPr="00E813B0">
        <w:t xml:space="preserve"> reporting ‘button’ and email address on the website, but awareness is limited, and mechanisms are online and English only, excluding much of the beneficiary population. ‘Grievances’ raised through these mechanisms lack follow-up to ensure resolution. </w:t>
      </w:r>
    </w:p>
    <w:p w14:paraId="30C9D634" w14:textId="5CFA04A0" w:rsidR="00F03BEF" w:rsidRPr="00E813B0" w:rsidRDefault="00F03BEF" w:rsidP="00FE4143">
      <w:r w:rsidRPr="00E813B0">
        <w:rPr>
          <w:rStyle w:val="Boldtext"/>
        </w:rPr>
        <w:t xml:space="preserve">ART TREES incorporates the Cancun Safeguards, which </w:t>
      </w:r>
      <w:r w:rsidR="0027228E">
        <w:rPr>
          <w:rStyle w:val="Boldtext"/>
        </w:rPr>
        <w:t xml:space="preserve">contain some GEDSI-related content; however, this is insufficient and needs to be developed further, made more explicit, and more </w:t>
      </w:r>
      <w:r w:rsidRPr="00E813B0">
        <w:rPr>
          <w:rStyle w:val="Boldtext"/>
        </w:rPr>
        <w:t>directive.</w:t>
      </w:r>
      <w:r w:rsidRPr="00E813B0">
        <w:t xml:space="preserve"> The social safeguard details of TREES are insufficiently detailed, explicit</w:t>
      </w:r>
      <w:r w:rsidR="0027228E">
        <w:t>,</w:t>
      </w:r>
      <w:r w:rsidRPr="00E813B0">
        <w:t xml:space="preserve"> and directive; and are relegated to annexes and ‘small print’. Stakeholders (TA providers and HMG departments) indicated that these are not a strong focus of monitoring/verification processes from TREES, and one stakeholder (TA provider) also questioned the expertise of TREES auditors in </w:t>
      </w:r>
      <w:r w:rsidR="0027228E">
        <w:t xml:space="preserve">the </w:t>
      </w:r>
      <w:r w:rsidRPr="00E813B0">
        <w:t xml:space="preserve">verification of these types of issues. No routine and consistent disaggregated data is available for the programme or </w:t>
      </w:r>
      <w:r w:rsidR="004C488C" w:rsidRPr="00E813B0">
        <w:t>HJ</w:t>
      </w:r>
      <w:r w:rsidRPr="00E813B0">
        <w:t>s.</w:t>
      </w:r>
      <w:r w:rsidR="00192394">
        <w:t xml:space="preserve"> See Annex </w:t>
      </w:r>
      <w:r w:rsidR="002D3E0E">
        <w:t>7</w:t>
      </w:r>
      <w:r w:rsidR="00192394">
        <w:t xml:space="preserve"> for further analysis.</w:t>
      </w:r>
    </w:p>
    <w:p w14:paraId="4A2B5DEF" w14:textId="4C646DC2" w:rsidR="00F03BEF" w:rsidRPr="00E813B0" w:rsidRDefault="00F03BEF" w:rsidP="00FE4143">
      <w:r w:rsidRPr="00E813B0">
        <w:rPr>
          <w:rStyle w:val="Boldtext"/>
        </w:rPr>
        <w:t xml:space="preserve">LEAF is disability ‘blind’ in its current design and implementation. </w:t>
      </w:r>
      <w:r w:rsidRPr="00E813B0">
        <w:t xml:space="preserve">Disability is </w:t>
      </w:r>
      <w:r w:rsidR="00796EBE" w:rsidRPr="00E813B0">
        <w:t>not</w:t>
      </w:r>
      <w:r w:rsidRPr="00E813B0" w:rsidDel="00D455EB">
        <w:t xml:space="preserve"> </w:t>
      </w:r>
      <w:r w:rsidRPr="00E813B0">
        <w:t>eviden</w:t>
      </w:r>
      <w:r w:rsidR="008A5DD6">
        <w:t>t</w:t>
      </w:r>
      <w:r w:rsidRPr="00E813B0">
        <w:t xml:space="preserve"> to any extent in terms of the design, objectives nor implementation of LEAF (bar an isolated clause in Emergent’s contract). Emergent stated that the issue of disability “had not come up” </w:t>
      </w:r>
      <w:r w:rsidR="00EC33B8">
        <w:t>to date</w:t>
      </w:r>
      <w:r w:rsidRPr="00E813B0">
        <w:t xml:space="preserve">. TA providers indicated that getting better engagement and inclusion of IP and LC groups was </w:t>
      </w:r>
      <w:r w:rsidR="000F213C" w:rsidRPr="00E813B0">
        <w:t xml:space="preserve">a </w:t>
      </w:r>
      <w:r w:rsidRPr="00E813B0">
        <w:t xml:space="preserve">priority, before granularity on gender and disability could be given further attention. Some </w:t>
      </w:r>
      <w:r w:rsidR="004C488C" w:rsidRPr="00E813B0">
        <w:t>HJ</w:t>
      </w:r>
      <w:r w:rsidRPr="00E813B0">
        <w:t>s had better inclusion of disability, gender</w:t>
      </w:r>
      <w:r w:rsidR="00EC33B8">
        <w:t>,</w:t>
      </w:r>
      <w:r w:rsidRPr="00E813B0">
        <w:t xml:space="preserve"> and other vulnerable</w:t>
      </w:r>
      <w:r w:rsidR="00A33872" w:rsidRPr="00E813B0">
        <w:t xml:space="preserve"> or </w:t>
      </w:r>
      <w:r w:rsidRPr="00E813B0">
        <w:t>marginalised groups in their LEAF proposals (e.g.</w:t>
      </w:r>
      <w:r w:rsidR="00EC33B8">
        <w:t>,</w:t>
      </w:r>
      <w:r w:rsidRPr="00E813B0">
        <w:t xml:space="preserve"> Ghana)</w:t>
      </w:r>
      <w:r w:rsidR="000A4CAA">
        <w:t>,</w:t>
      </w:r>
      <w:r w:rsidRPr="00E813B0">
        <w:t xml:space="preserve"> but as previously stated, this is often due to previous REDD+ progress and support under other programmes (e.g.</w:t>
      </w:r>
      <w:r w:rsidR="00EC33B8">
        <w:t>,</w:t>
      </w:r>
      <w:r w:rsidRPr="00E813B0">
        <w:t xml:space="preserve"> FCPF), and </w:t>
      </w:r>
      <w:r w:rsidRPr="00E813B0">
        <w:lastRenderedPageBreak/>
        <w:t>not driven by LEAF per se. The TREES Standard itself is disability blind and almost completely gender blind. There is thus no possibility of consideration of intersectionality across the programme.</w:t>
      </w:r>
    </w:p>
    <w:p w14:paraId="7CBF79E1" w14:textId="698D835A" w:rsidR="00F03BEF" w:rsidRPr="00E813B0" w:rsidRDefault="00F23580" w:rsidP="00FE4143">
      <w:pPr>
        <w:pStyle w:val="Heading3"/>
      </w:pPr>
      <w:bookmarkStart w:id="91" w:name="_Toc204091224"/>
      <w:bookmarkStart w:id="92" w:name="_Toc209013300"/>
      <w:r w:rsidRPr="00E813B0">
        <w:t>2.</w:t>
      </w:r>
      <w:r w:rsidR="00D267D2" w:rsidRPr="00E813B0">
        <w:t>6.</w:t>
      </w:r>
      <w:r w:rsidR="0091727F">
        <w:t>2</w:t>
      </w:r>
      <w:r w:rsidR="00D267D2" w:rsidRPr="00E813B0">
        <w:t xml:space="preserve"> </w:t>
      </w:r>
      <w:r w:rsidR="00F03BEF" w:rsidRPr="00E813B0">
        <w:t>I</w:t>
      </w:r>
      <w:r w:rsidR="00CA3303" w:rsidRPr="00E813B0">
        <w:t xml:space="preserve">ndigenous Peoples </w:t>
      </w:r>
      <w:r w:rsidR="00F03BEF" w:rsidRPr="00E813B0">
        <w:t>and L</w:t>
      </w:r>
      <w:r w:rsidR="00CA3303" w:rsidRPr="00E813B0">
        <w:t>ocal Communities</w:t>
      </w:r>
      <w:r w:rsidR="00F03BEF" w:rsidRPr="00E813B0">
        <w:t xml:space="preserve"> Engagement</w:t>
      </w:r>
      <w:bookmarkEnd w:id="91"/>
      <w:bookmarkEnd w:id="92"/>
    </w:p>
    <w:tbl>
      <w:tblPr>
        <w:tblStyle w:val="Table-DarkblueBackground"/>
        <w:tblW w:w="0" w:type="auto"/>
        <w:tblLook w:val="04A0" w:firstRow="1" w:lastRow="0" w:firstColumn="1" w:lastColumn="0" w:noHBand="0" w:noVBand="1"/>
      </w:tblPr>
      <w:tblGrid>
        <w:gridCol w:w="8812"/>
        <w:gridCol w:w="1270"/>
      </w:tblGrid>
      <w:tr w:rsidR="007F7F09" w:rsidRPr="00E813B0" w14:paraId="37262E9F" w14:textId="77777777" w:rsidTr="00E26C3B">
        <w:trPr>
          <w:cnfStyle w:val="100000000000" w:firstRow="1" w:lastRow="0" w:firstColumn="0" w:lastColumn="0" w:oddVBand="0" w:evenVBand="0" w:oddHBand="0" w:evenHBand="0" w:firstRowFirstColumn="0" w:firstRowLastColumn="0" w:lastRowFirstColumn="0" w:lastRowLastColumn="0"/>
          <w:trHeight w:val="375"/>
        </w:trPr>
        <w:tc>
          <w:tcPr>
            <w:tcW w:w="9214" w:type="dxa"/>
          </w:tcPr>
          <w:p w14:paraId="58B3A7B2" w14:textId="77777777" w:rsidR="00F03BEF" w:rsidRPr="00E813B0" w:rsidRDefault="00F03BEF" w:rsidP="00F03BEF">
            <w:r w:rsidRPr="00E813B0">
              <w:t>Overall finding</w:t>
            </w:r>
          </w:p>
        </w:tc>
        <w:tc>
          <w:tcPr>
            <w:tcW w:w="878" w:type="dxa"/>
          </w:tcPr>
          <w:p w14:paraId="7F353459" w14:textId="77777777" w:rsidR="00F03BEF" w:rsidRPr="00E813B0" w:rsidRDefault="00F03BEF" w:rsidP="00F03BEF">
            <w:r w:rsidRPr="00E813B0">
              <w:t>Strength of Evidence</w:t>
            </w:r>
          </w:p>
        </w:tc>
      </w:tr>
      <w:tr w:rsidR="00F03BEF" w:rsidRPr="00E813B0" w14:paraId="662C9809" w14:textId="77777777" w:rsidTr="00E26C3B">
        <w:trPr>
          <w:trHeight w:val="19"/>
        </w:trPr>
        <w:tc>
          <w:tcPr>
            <w:tcW w:w="9214" w:type="dxa"/>
          </w:tcPr>
          <w:p w14:paraId="4ED76001" w14:textId="0AD2E145" w:rsidR="00F03BEF" w:rsidRPr="00E813B0" w:rsidRDefault="00F03BEF" w:rsidP="00F03BEF">
            <w:r w:rsidRPr="00E813B0">
              <w:t>IP and LC engagement across LEAF has improved from a low base but needs greater focus and resource allocation. Safeguard robustness and monitoring (especially BSPs, FPIC, and TREES verification processes) require strengthening and clearer direction. The SEG and IP</w:t>
            </w:r>
            <w:r w:rsidR="00AB23D1" w:rsidRPr="00E813B0">
              <w:t xml:space="preserve"> and </w:t>
            </w:r>
            <w:r w:rsidRPr="00E813B0">
              <w:t xml:space="preserve">LC Advisory Panel are useful but currently unable to support risk management or safeguard improvement. Consideration also needs to be given to building </w:t>
            </w:r>
            <w:r w:rsidR="00D42D42">
              <w:t xml:space="preserve">the </w:t>
            </w:r>
            <w:r w:rsidRPr="00E813B0">
              <w:t xml:space="preserve">capacity of communities to receive and manage funds. </w:t>
            </w:r>
          </w:p>
        </w:tc>
        <w:tc>
          <w:tcPr>
            <w:tcW w:w="878" w:type="dxa"/>
          </w:tcPr>
          <w:p w14:paraId="378AE2D3" w14:textId="15F81895" w:rsidR="00F03BEF" w:rsidRPr="00E813B0" w:rsidRDefault="00F03BEF" w:rsidP="00F03BEF">
            <w:pPr>
              <w:rPr>
                <w:rStyle w:val="Boldtext"/>
              </w:rPr>
            </w:pPr>
            <w:r w:rsidRPr="00E813B0">
              <w:rPr>
                <w:rStyle w:val="Boldtext"/>
              </w:rPr>
              <w:t>Medium</w:t>
            </w:r>
          </w:p>
        </w:tc>
      </w:tr>
    </w:tbl>
    <w:p w14:paraId="195733B7" w14:textId="5705BCD5" w:rsidR="00F03BEF" w:rsidRPr="00E813B0" w:rsidRDefault="00F03BEF" w:rsidP="00FE4143">
      <w:r w:rsidRPr="00E813B0">
        <w:rPr>
          <w:rStyle w:val="Boldtext"/>
        </w:rPr>
        <w:t xml:space="preserve">IP and LC engagement was negligible at LEAF’s outset </w:t>
      </w:r>
      <w:r w:rsidR="00780FD0">
        <w:rPr>
          <w:rStyle w:val="Boldtext"/>
        </w:rPr>
        <w:t>and</w:t>
      </w:r>
      <w:r w:rsidR="00D42D42">
        <w:rPr>
          <w:rStyle w:val="Boldtext"/>
        </w:rPr>
        <w:t>,</w:t>
      </w:r>
      <w:r w:rsidRPr="00E813B0">
        <w:rPr>
          <w:rStyle w:val="Boldtext"/>
        </w:rPr>
        <w:t xml:space="preserve"> while improved, remains limited and inconsistent. </w:t>
      </w:r>
      <w:r w:rsidRPr="00E813B0">
        <w:t xml:space="preserve">Early grievances about exclusion led </w:t>
      </w:r>
      <w:r w:rsidR="00CC40BB">
        <w:t xml:space="preserve">to </w:t>
      </w:r>
      <w:r w:rsidRPr="00E813B0">
        <w:t xml:space="preserve">revised proposal requirements mandating that </w:t>
      </w:r>
      <w:r w:rsidR="004C488C" w:rsidRPr="00E813B0">
        <w:t>HJ</w:t>
      </w:r>
      <w:r w:rsidRPr="00E813B0">
        <w:t>s inform IP and LC groups at the start of engagement. Safeguard implementation is stronger in jurisdictions with prior REDD+ experience (e.g.</w:t>
      </w:r>
      <w:r w:rsidR="00D42D42">
        <w:t>,</w:t>
      </w:r>
      <w:r w:rsidRPr="00E813B0">
        <w:t xml:space="preserve"> Costa Rica, where participatory planning is integrated into </w:t>
      </w:r>
      <w:r w:rsidR="00D42D42">
        <w:t>benefit-sharing</w:t>
      </w:r>
      <w:r w:rsidR="00003B76">
        <w:t xml:space="preserve"> mechanisms)</w:t>
      </w:r>
      <w:r w:rsidRPr="00E813B0">
        <w:t xml:space="preserve">, but oversight is </w:t>
      </w:r>
      <w:r w:rsidR="00CB4AFE">
        <w:t>minimal</w:t>
      </w:r>
      <w:r w:rsidRPr="00E813B0">
        <w:t xml:space="preserve">, with no penalties or accountability, resulting in wide inconsistencies. Safeguards are not routinely included in ERPAs. Verification involves Emergent (with one IP and LC Lead and limited local consultants) and two IP and LC advisors across LEAF geographies, resulting in high-level, superficial oversight. TREES verification is meant to cover these issues, but lacks clarity, reinforcing concerns about the adequacy of </w:t>
      </w:r>
      <w:r w:rsidR="00D52457">
        <w:t xml:space="preserve">the </w:t>
      </w:r>
      <w:r w:rsidRPr="00E813B0">
        <w:t xml:space="preserve">TREES safeguard and verification. See earlier comments regarding concerns over the grievance/reporting mechanisms. </w:t>
      </w:r>
    </w:p>
    <w:p w14:paraId="4167B711" w14:textId="075286F3" w:rsidR="00F03BEF" w:rsidRPr="00E813B0" w:rsidRDefault="00F03BEF" w:rsidP="00FE4143">
      <w:r w:rsidRPr="00E813B0">
        <w:rPr>
          <w:rStyle w:val="Boldtext"/>
        </w:rPr>
        <w:t>The SEG and IP</w:t>
      </w:r>
      <w:r w:rsidR="00D42D42">
        <w:rPr>
          <w:rStyle w:val="Boldtext"/>
        </w:rPr>
        <w:t>,</w:t>
      </w:r>
      <w:r w:rsidRPr="00E813B0">
        <w:rPr>
          <w:rStyle w:val="Boldtext"/>
        </w:rPr>
        <w:t xml:space="preserve"> and LC Advisory Panel provide discussion and information-sharing platforms but are not structured </w:t>
      </w:r>
      <w:r w:rsidR="00AB04A9">
        <w:rPr>
          <w:rStyle w:val="Boldtext"/>
        </w:rPr>
        <w:t>or</w:t>
      </w:r>
      <w:r w:rsidRPr="00E813B0">
        <w:rPr>
          <w:rStyle w:val="Boldtext"/>
        </w:rPr>
        <w:t xml:space="preserve"> equipped to tackle and resolve sensitive or structural issues. </w:t>
      </w:r>
      <w:r w:rsidRPr="00E813B0">
        <w:t>This finding is based on observance of both forums, but unfortunately</w:t>
      </w:r>
      <w:r w:rsidR="00930A1E">
        <w:t>,</w:t>
      </w:r>
      <w:r w:rsidRPr="00E813B0">
        <w:t xml:space="preserve"> further direct engagement with members was not possible during the evaluation. The SEG and IP and LC Panel are useful concepts for LEAF</w:t>
      </w:r>
      <w:r w:rsidR="00D510BF">
        <w:t xml:space="preserve"> -</w:t>
      </w:r>
      <w:r w:rsidRPr="00E813B0">
        <w:t xml:space="preserve"> but they are relatively short sessions, where the emphasis is mainly on information-sharing and limited time for discussion. The SEG particularly does not seem to provide an open forum for raising and debating issues and concerns. Resource constraints limit in-person consultations; some </w:t>
      </w:r>
      <w:r w:rsidR="003C090A">
        <w:t xml:space="preserve">are </w:t>
      </w:r>
      <w:r w:rsidRPr="00E813B0">
        <w:t>being delegated to local consultants</w:t>
      </w:r>
      <w:r w:rsidR="002F7890">
        <w:t xml:space="preserve"> which supports to some extent</w:t>
      </w:r>
      <w:r w:rsidRPr="00E813B0">
        <w:t>. IP and LC advisors noted that expectations to support safeguard implementation had not materialised.</w:t>
      </w:r>
    </w:p>
    <w:p w14:paraId="42E6DADF" w14:textId="399CB3DD" w:rsidR="00F03BEF" w:rsidRPr="00E813B0" w:rsidRDefault="00F03BEF" w:rsidP="00FE4143">
      <w:r w:rsidRPr="00E813B0">
        <w:rPr>
          <w:rStyle w:val="Boldtext"/>
        </w:rPr>
        <w:t xml:space="preserve">LEAF overly relies on TREES and </w:t>
      </w:r>
      <w:r w:rsidR="004C488C" w:rsidRPr="00E813B0">
        <w:rPr>
          <w:rStyle w:val="Boldtext"/>
        </w:rPr>
        <w:t>HJ</w:t>
      </w:r>
      <w:r w:rsidRPr="00E813B0">
        <w:rPr>
          <w:rStyle w:val="Boldtext"/>
        </w:rPr>
        <w:t xml:space="preserve">s to meaningfully engage IP and LC groups, with limited oversight and direction. </w:t>
      </w:r>
      <w:r w:rsidRPr="00E813B0">
        <w:t xml:space="preserve">As stated in </w:t>
      </w:r>
      <w:r w:rsidR="00C00594">
        <w:t>S</w:t>
      </w:r>
      <w:r w:rsidRPr="00E813B0">
        <w:t>ection</w:t>
      </w:r>
      <w:r w:rsidR="00C00594">
        <w:t xml:space="preserve"> 2.1,</w:t>
      </w:r>
      <w:r w:rsidRPr="00E813B0">
        <w:t xml:space="preserve"> several studies have indicated key gaps in the </w:t>
      </w:r>
      <w:r w:rsidR="00107FA4" w:rsidRPr="00E813B0">
        <w:t xml:space="preserve">safeguards and GEDSI considerations of the </w:t>
      </w:r>
      <w:r w:rsidRPr="00E813B0">
        <w:t>TREES standard</w:t>
      </w:r>
      <w:r w:rsidR="00FB5A78" w:rsidRPr="00E813B0">
        <w:t xml:space="preserve">, and the lack </w:t>
      </w:r>
      <w:r w:rsidR="006820FF" w:rsidRPr="00E813B0">
        <w:t xml:space="preserve">of </w:t>
      </w:r>
      <w:r w:rsidRPr="00E813B0">
        <w:lastRenderedPageBreak/>
        <w:t xml:space="preserve">mention of FPIC or clear specifications around </w:t>
      </w:r>
      <w:r w:rsidR="00F6241B">
        <w:t>Benefit Sharing Plans</w:t>
      </w:r>
      <w:r w:rsidRPr="00E813B0">
        <w:t xml:space="preserve"> (these are not mandated nor verified). A benefit of LEAF is </w:t>
      </w:r>
      <w:r w:rsidR="00C920B8" w:rsidRPr="00E813B0">
        <w:t>the</w:t>
      </w:r>
      <w:r w:rsidRPr="00E813B0">
        <w:t xml:space="preserve"> flexibility to adapt according to country and sub-national contexts; however, this flexibility risks being extended too far, and presenting high risks for IP and LC groups being excluded.</w:t>
      </w:r>
    </w:p>
    <w:p w14:paraId="2D6772BB" w14:textId="6C5EE46A" w:rsidR="00F03BEF" w:rsidRPr="00E813B0" w:rsidRDefault="00F03BEF" w:rsidP="00FE4143">
      <w:r w:rsidRPr="00BC3667">
        <w:rPr>
          <w:rStyle w:val="Boldtext"/>
        </w:rPr>
        <w:t xml:space="preserve">Emergent has raised capacity constraints in </w:t>
      </w:r>
      <w:r w:rsidR="00A23159" w:rsidRPr="00BC3667">
        <w:rPr>
          <w:rStyle w:val="Boldtext"/>
        </w:rPr>
        <w:t>advancing</w:t>
      </w:r>
      <w:r w:rsidRPr="00BC3667">
        <w:rPr>
          <w:rStyle w:val="Boldtext"/>
        </w:rPr>
        <w:t xml:space="preserve"> </w:t>
      </w:r>
      <w:r w:rsidR="00AA7C97" w:rsidRPr="00BC3667">
        <w:rPr>
          <w:rStyle w:val="Boldtext"/>
        </w:rPr>
        <w:t xml:space="preserve">a </w:t>
      </w:r>
      <w:r w:rsidRPr="00BC3667">
        <w:rPr>
          <w:rStyle w:val="Boldtext"/>
        </w:rPr>
        <w:t>safeguards and GEDSI system</w:t>
      </w:r>
      <w:r w:rsidR="003C090A">
        <w:rPr>
          <w:rStyle w:val="Boldtext"/>
        </w:rPr>
        <w:t>;</w:t>
      </w:r>
      <w:r w:rsidR="00817039" w:rsidRPr="00E813B0">
        <w:t xml:space="preserve"> relocating </w:t>
      </w:r>
      <w:r w:rsidRPr="00E813B0">
        <w:t xml:space="preserve">existing resources should be considered </w:t>
      </w:r>
      <w:r w:rsidR="001A10CA" w:rsidRPr="00E813B0">
        <w:t xml:space="preserve">first. </w:t>
      </w:r>
      <w:r w:rsidR="004C488C" w:rsidRPr="00E813B0">
        <w:t>HJ</w:t>
      </w:r>
      <w:r w:rsidRPr="00E813B0">
        <w:t xml:space="preserve"> and TA stakeholders </w:t>
      </w:r>
      <w:r w:rsidR="00C94B78" w:rsidRPr="00E813B0">
        <w:t xml:space="preserve">highlight the </w:t>
      </w:r>
      <w:r w:rsidR="00317500" w:rsidRPr="00E813B0">
        <w:t>r</w:t>
      </w:r>
      <w:r w:rsidRPr="00E813B0">
        <w:t xml:space="preserve">esource-intensive nature of IP and LC engagement and </w:t>
      </w:r>
      <w:r w:rsidR="00F6241B">
        <w:t>Benefit Sharing Plans</w:t>
      </w:r>
      <w:r w:rsidR="00683B7B" w:rsidRPr="00E813B0">
        <w:t>, which must be addressed in the next phase</w:t>
      </w:r>
      <w:r w:rsidR="00AA7C97">
        <w:t xml:space="preserve">. </w:t>
      </w:r>
      <w:r w:rsidR="00CB2585" w:rsidRPr="00E813B0">
        <w:t>Support for</w:t>
      </w:r>
      <w:r w:rsidRPr="00E813B0">
        <w:t xml:space="preserve"> communities in managing and allocating funds </w:t>
      </w:r>
      <w:r w:rsidR="008B239E" w:rsidRPr="00E813B0">
        <w:t>is also needed</w:t>
      </w:r>
      <w:r w:rsidR="00FE4143" w:rsidRPr="00E813B0">
        <w:t xml:space="preserve">, with early positive examples seen in Brazilian states. </w:t>
      </w:r>
      <w:r w:rsidRPr="00E813B0">
        <w:t xml:space="preserve"> </w:t>
      </w:r>
    </w:p>
    <w:p w14:paraId="74A941FA" w14:textId="758298D5" w:rsidR="00F03BEF" w:rsidRPr="00E813B0" w:rsidRDefault="00F23580" w:rsidP="00FE4143">
      <w:pPr>
        <w:pStyle w:val="Heading3"/>
      </w:pPr>
      <w:bookmarkStart w:id="93" w:name="_Toc204091225"/>
      <w:bookmarkStart w:id="94" w:name="_Toc209013301"/>
      <w:r w:rsidRPr="00E813B0">
        <w:t>2.</w:t>
      </w:r>
      <w:r w:rsidR="00CA3303" w:rsidRPr="00E813B0">
        <w:t>6.</w:t>
      </w:r>
      <w:r w:rsidR="0091727F">
        <w:t>3</w:t>
      </w:r>
      <w:r w:rsidR="00CA3303" w:rsidRPr="00E813B0">
        <w:t xml:space="preserve"> </w:t>
      </w:r>
      <w:r w:rsidR="00F03BEF" w:rsidRPr="00E813B0">
        <w:t>Unintended effects on host jurisdictions and IP and LCs</w:t>
      </w:r>
      <w:bookmarkEnd w:id="93"/>
      <w:bookmarkEnd w:id="94"/>
    </w:p>
    <w:tbl>
      <w:tblPr>
        <w:tblStyle w:val="Table-DarkblueBackground"/>
        <w:tblW w:w="0" w:type="auto"/>
        <w:tblLook w:val="04A0" w:firstRow="1" w:lastRow="0" w:firstColumn="1" w:lastColumn="0" w:noHBand="0" w:noVBand="1"/>
      </w:tblPr>
      <w:tblGrid>
        <w:gridCol w:w="8505"/>
        <w:gridCol w:w="1577"/>
      </w:tblGrid>
      <w:tr w:rsidR="007F7F09" w:rsidRPr="00E813B0" w14:paraId="1E558720" w14:textId="77777777" w:rsidTr="00E26C3B">
        <w:trPr>
          <w:cnfStyle w:val="100000000000" w:firstRow="1" w:lastRow="0" w:firstColumn="0" w:lastColumn="0" w:oddVBand="0" w:evenVBand="0" w:oddHBand="0" w:evenHBand="0" w:firstRowFirstColumn="0" w:firstRowLastColumn="0" w:lastRowFirstColumn="0" w:lastRowLastColumn="0"/>
          <w:trHeight w:val="375"/>
        </w:trPr>
        <w:tc>
          <w:tcPr>
            <w:tcW w:w="8505" w:type="dxa"/>
          </w:tcPr>
          <w:p w14:paraId="1C55100E" w14:textId="77777777" w:rsidR="00F03BEF" w:rsidRPr="00E813B0" w:rsidRDefault="00F03BEF" w:rsidP="00F03BEF">
            <w:r w:rsidRPr="00E813B0">
              <w:t>Overall finding</w:t>
            </w:r>
          </w:p>
        </w:tc>
        <w:tc>
          <w:tcPr>
            <w:tcW w:w="1577" w:type="dxa"/>
          </w:tcPr>
          <w:p w14:paraId="0655A2DC" w14:textId="77777777" w:rsidR="00F03BEF" w:rsidRPr="00E813B0" w:rsidRDefault="00F03BEF" w:rsidP="00F03BEF">
            <w:r w:rsidRPr="00E813B0">
              <w:t>Strength of Evidence</w:t>
            </w:r>
          </w:p>
        </w:tc>
      </w:tr>
      <w:tr w:rsidR="00F03BEF" w:rsidRPr="00E813B0" w14:paraId="44FDBB42" w14:textId="77777777" w:rsidTr="00E26C3B">
        <w:trPr>
          <w:trHeight w:val="19"/>
        </w:trPr>
        <w:tc>
          <w:tcPr>
            <w:tcW w:w="8505" w:type="dxa"/>
          </w:tcPr>
          <w:p w14:paraId="522D88C0" w14:textId="77777777" w:rsidR="00F03BEF" w:rsidRPr="00E813B0" w:rsidRDefault="00F03BEF" w:rsidP="00F03BEF">
            <w:r w:rsidRPr="00E813B0">
              <w:t xml:space="preserve">There are early signs of some negative effects on IP and LC groups in terms of frustrations and disappointment with engagement levels and delayed payments. Concerns over insufficient safeguards and related monitoring must be addressed to avoid LEAF presenting harm to key intended beneficiaries. LEAF should cease to use the conflated and controversial acronym ‘IPLCs’. </w:t>
            </w:r>
          </w:p>
        </w:tc>
        <w:tc>
          <w:tcPr>
            <w:tcW w:w="1577" w:type="dxa"/>
          </w:tcPr>
          <w:p w14:paraId="37E41B72" w14:textId="77777777" w:rsidR="00F03BEF" w:rsidRPr="00E813B0" w:rsidRDefault="00F03BEF" w:rsidP="00F03BEF">
            <w:pPr>
              <w:rPr>
                <w:rStyle w:val="Boldtext"/>
              </w:rPr>
            </w:pPr>
            <w:r w:rsidRPr="00E813B0">
              <w:rPr>
                <w:rStyle w:val="Boldtext"/>
              </w:rPr>
              <w:t>Medium</w:t>
            </w:r>
          </w:p>
        </w:tc>
      </w:tr>
    </w:tbl>
    <w:p w14:paraId="55059A75" w14:textId="79DF5E85" w:rsidR="00F03BEF" w:rsidRPr="00E813B0" w:rsidRDefault="00F870EE" w:rsidP="00FE4143">
      <w:pPr>
        <w:rPr>
          <w:rStyle w:val="Boldtext"/>
        </w:rPr>
      </w:pPr>
      <w:r>
        <w:rPr>
          <w:rStyle w:val="Boldtext"/>
        </w:rPr>
        <w:t xml:space="preserve">Whilst it is </w:t>
      </w:r>
      <w:r w:rsidR="00A04D5B">
        <w:rPr>
          <w:rStyle w:val="Boldtext"/>
        </w:rPr>
        <w:t xml:space="preserve">too </w:t>
      </w:r>
      <w:r w:rsidR="00F03BEF" w:rsidRPr="00E813B0">
        <w:rPr>
          <w:rStyle w:val="Boldtext"/>
        </w:rPr>
        <w:t>early to assess LEAF’s effects, including unintended ones, on IP and LC</w:t>
      </w:r>
      <w:r w:rsidR="00EE0BDE">
        <w:rPr>
          <w:rStyle w:val="Boldtext"/>
        </w:rPr>
        <w:t>s</w:t>
      </w:r>
      <w:r w:rsidR="00831943">
        <w:rPr>
          <w:rStyle w:val="Boldtext"/>
        </w:rPr>
        <w:t xml:space="preserve">, </w:t>
      </w:r>
      <w:r w:rsidR="00B30D8D">
        <w:rPr>
          <w:rStyle w:val="Boldtext"/>
        </w:rPr>
        <w:t>there are early signs</w:t>
      </w:r>
      <w:r w:rsidR="00D93BBA">
        <w:rPr>
          <w:rStyle w:val="Boldtext"/>
        </w:rPr>
        <w:t xml:space="preserve"> that there are r</w:t>
      </w:r>
      <w:r w:rsidR="00F03BEF" w:rsidRPr="00E813B0">
        <w:rPr>
          <w:rStyle w:val="Boldtext"/>
        </w:rPr>
        <w:t xml:space="preserve">isks of marginalisation and exclusion </w:t>
      </w:r>
      <w:r w:rsidR="00D93BBA">
        <w:rPr>
          <w:rStyle w:val="Boldtext"/>
        </w:rPr>
        <w:t>should affirmative action not be taken soon</w:t>
      </w:r>
      <w:r w:rsidR="00F03BEF" w:rsidRPr="00E813B0">
        <w:rPr>
          <w:rStyle w:val="Boldtext"/>
        </w:rPr>
        <w:t xml:space="preserve">. </w:t>
      </w:r>
      <w:r w:rsidR="00F03BEF" w:rsidRPr="00E813B0">
        <w:t xml:space="preserve">Early signs include payments </w:t>
      </w:r>
      <w:r w:rsidR="00B56A21">
        <w:t>that are yet to materialise</w:t>
      </w:r>
      <w:r w:rsidR="00F03BEF" w:rsidRPr="00E813B0">
        <w:t xml:space="preserve"> and a gap between expectations and reality, leading to frustration, disappointment and mistrust from IP and LC groups. </w:t>
      </w:r>
    </w:p>
    <w:p w14:paraId="5BF79A16" w14:textId="0F6D9CDD" w:rsidR="003C3A3E" w:rsidRPr="00E813B0" w:rsidRDefault="00F03BEF" w:rsidP="00F03BEF">
      <w:r w:rsidRPr="00E813B0">
        <w:rPr>
          <w:rStyle w:val="Boldtext"/>
        </w:rPr>
        <w:t xml:space="preserve">Conflation of IP and LCs. </w:t>
      </w:r>
      <w:r w:rsidRPr="00E813B0">
        <w:t>Throughout this report</w:t>
      </w:r>
      <w:r w:rsidR="003C090A">
        <w:t>,</w:t>
      </w:r>
      <w:r w:rsidRPr="00E813B0">
        <w:t xml:space="preserve"> we have intentionally ‘disaggregated’ IP and LC groups and stakeholders in our terminology (ceasing to use the conflated ‘IPLC’ acronym).</w:t>
      </w:r>
      <w:r w:rsidR="00CC4011">
        <w:t xml:space="preserve"> </w:t>
      </w:r>
      <w:r w:rsidRPr="00E813B0">
        <w:t>This links to a specific request from the UN Permanent Forum on Indigenous Issues</w:t>
      </w:r>
      <w:r w:rsidR="00F00892" w:rsidRPr="00E813B0">
        <w:rPr>
          <w:rStyle w:val="FootnoteReference"/>
        </w:rPr>
        <w:footnoteReference w:id="18"/>
      </w:r>
      <w:r w:rsidRPr="00E813B0">
        <w:t xml:space="preserve">; as a lack of differentiation undermines distinct rights and governance structures. </w:t>
      </w:r>
    </w:p>
    <w:p w14:paraId="0861863A" w14:textId="77777777" w:rsidR="00354CA9" w:rsidRDefault="00354CA9">
      <w:pPr>
        <w:spacing w:after="160" w:line="259" w:lineRule="auto"/>
        <w:rPr>
          <w:rFonts w:eastAsiaTheme="majorEastAsia" w:cstheme="majorBidi"/>
          <w:color w:val="041E42"/>
          <w:sz w:val="52"/>
          <w:szCs w:val="32"/>
        </w:rPr>
      </w:pPr>
      <w:bookmarkStart w:id="95" w:name="_Toc204091226"/>
      <w:r>
        <w:br w:type="page"/>
      </w:r>
    </w:p>
    <w:p w14:paraId="79B013FF" w14:textId="1ED26460" w:rsidR="003C3A3E" w:rsidRPr="00E813B0" w:rsidRDefault="003C3A3E" w:rsidP="00734B7D">
      <w:pPr>
        <w:pStyle w:val="Heading1"/>
        <w:numPr>
          <w:ilvl w:val="0"/>
          <w:numId w:val="8"/>
        </w:numPr>
      </w:pPr>
      <w:bookmarkStart w:id="96" w:name="_Toc209013302"/>
      <w:r w:rsidRPr="00E813B0">
        <w:lastRenderedPageBreak/>
        <w:t>Lessons, Conclusions &amp; Recommendations</w:t>
      </w:r>
      <w:bookmarkEnd w:id="95"/>
      <w:bookmarkEnd w:id="96"/>
    </w:p>
    <w:p w14:paraId="47719F2D" w14:textId="1485603E" w:rsidR="0038695E" w:rsidRDefault="0038695E" w:rsidP="0038695E">
      <w:r>
        <w:t>A policy summary is available at Annex 1</w:t>
      </w:r>
      <w:r w:rsidR="0097358E">
        <w:t>3</w:t>
      </w:r>
      <w:r>
        <w:t xml:space="preserve">. </w:t>
      </w:r>
    </w:p>
    <w:p w14:paraId="23A241A6" w14:textId="1BCAE578" w:rsidR="00A010FB" w:rsidRPr="00E813B0" w:rsidRDefault="00A010FB" w:rsidP="00A010FB">
      <w:pPr>
        <w:pStyle w:val="Heading2"/>
      </w:pPr>
      <w:bookmarkStart w:id="97" w:name="_Toc204091227"/>
      <w:bookmarkStart w:id="98" w:name="_Toc209013303"/>
      <w:r w:rsidRPr="00E813B0">
        <w:t>3.1 Lessons</w:t>
      </w:r>
      <w:bookmarkEnd w:id="97"/>
      <w:bookmarkEnd w:id="98"/>
    </w:p>
    <w:tbl>
      <w:tblPr>
        <w:tblStyle w:val="Table-DarkblueBackground"/>
        <w:tblW w:w="0" w:type="auto"/>
        <w:tblLook w:val="04A0" w:firstRow="1" w:lastRow="0" w:firstColumn="1" w:lastColumn="0" w:noHBand="0" w:noVBand="1"/>
      </w:tblPr>
      <w:tblGrid>
        <w:gridCol w:w="403"/>
        <w:gridCol w:w="9679"/>
      </w:tblGrid>
      <w:tr w:rsidR="007F7F09" w:rsidRPr="00E813B0" w14:paraId="0AED3DD3" w14:textId="77777777" w:rsidTr="00E26C3B">
        <w:trPr>
          <w:cnfStyle w:val="100000000000" w:firstRow="1" w:lastRow="0" w:firstColumn="0" w:lastColumn="0" w:oddVBand="0" w:evenVBand="0" w:oddHBand="0" w:evenHBand="0" w:firstRowFirstColumn="0" w:firstRowLastColumn="0" w:lastRowFirstColumn="0" w:lastRowLastColumn="0"/>
        </w:trPr>
        <w:tc>
          <w:tcPr>
            <w:tcW w:w="0" w:type="auto"/>
          </w:tcPr>
          <w:p w14:paraId="59D09238" w14:textId="77777777" w:rsidR="00A010FB" w:rsidRPr="00E813B0" w:rsidRDefault="00A010FB" w:rsidP="00A010FB"/>
        </w:tc>
        <w:tc>
          <w:tcPr>
            <w:tcW w:w="0" w:type="auto"/>
          </w:tcPr>
          <w:p w14:paraId="31865EBD" w14:textId="3A28EC44" w:rsidR="00A010FB" w:rsidRPr="00E813B0" w:rsidRDefault="00A010FB" w:rsidP="00A010FB">
            <w:r w:rsidRPr="00E813B0">
              <w:t>Lesson</w:t>
            </w:r>
          </w:p>
        </w:tc>
      </w:tr>
      <w:tr w:rsidR="00B012C6" w:rsidRPr="00E813B0" w14:paraId="47CF85DA" w14:textId="77777777" w:rsidTr="00E26C3B">
        <w:tc>
          <w:tcPr>
            <w:tcW w:w="0" w:type="auto"/>
          </w:tcPr>
          <w:p w14:paraId="52ECBD44" w14:textId="77777777" w:rsidR="00A010FB" w:rsidRPr="00E813B0" w:rsidRDefault="00A010FB" w:rsidP="00A010FB">
            <w:r w:rsidRPr="00E813B0">
              <w:t>A</w:t>
            </w:r>
          </w:p>
        </w:tc>
        <w:tc>
          <w:tcPr>
            <w:tcW w:w="0" w:type="auto"/>
          </w:tcPr>
          <w:p w14:paraId="5F25CA52" w14:textId="20267F0E" w:rsidR="00A010FB" w:rsidRPr="00E813B0" w:rsidRDefault="00A010FB" w:rsidP="00A010FB">
            <w:r w:rsidRPr="00E813B0">
              <w:t>UK Government teams should create and retain clear boundaries on setting performance measures of programmes in order to objectively manage programmes. This should include “</w:t>
            </w:r>
            <w:r w:rsidR="00840337">
              <w:t>stop-go</w:t>
            </w:r>
            <w:r w:rsidRPr="00E813B0">
              <w:t xml:space="preserve">” points where performance is very clearly scrutinised and the strategy is reviewed. </w:t>
            </w:r>
            <w:r w:rsidR="0053430B">
              <w:t xml:space="preserve">Acknowledging that LEAF is operating in an untested </w:t>
            </w:r>
            <w:r w:rsidR="002B3059">
              <w:t xml:space="preserve">and innovative </w:t>
            </w:r>
            <w:r w:rsidR="0053430B">
              <w:t>space</w:t>
            </w:r>
            <w:r w:rsidR="000A4CAA">
              <w:t>,</w:t>
            </w:r>
            <w:r w:rsidR="00F259A9">
              <w:t xml:space="preserve"> there </w:t>
            </w:r>
            <w:r w:rsidR="002B3059">
              <w:t>remains a need for clear criteria and timelines for funding decisions on UK ICF.</w:t>
            </w:r>
          </w:p>
        </w:tc>
      </w:tr>
      <w:tr w:rsidR="00B012C6" w:rsidRPr="00E813B0" w14:paraId="1738905B" w14:textId="77777777" w:rsidTr="00E26C3B">
        <w:tc>
          <w:tcPr>
            <w:tcW w:w="0" w:type="auto"/>
          </w:tcPr>
          <w:p w14:paraId="7F4EE2C5" w14:textId="77777777" w:rsidR="00A010FB" w:rsidRPr="00E813B0" w:rsidRDefault="00A010FB" w:rsidP="00A010FB">
            <w:r w:rsidRPr="00E813B0">
              <w:t>B</w:t>
            </w:r>
          </w:p>
        </w:tc>
        <w:tc>
          <w:tcPr>
            <w:tcW w:w="0" w:type="auto"/>
          </w:tcPr>
          <w:p w14:paraId="105E92F6" w14:textId="281AFEA8" w:rsidR="00A010FB" w:rsidRPr="00E813B0" w:rsidRDefault="00A010FB" w:rsidP="00A010FB">
            <w:r w:rsidRPr="00E813B0">
              <w:t xml:space="preserve">UK Government teams should seek independent advice on standards </w:t>
            </w:r>
            <w:r w:rsidR="000A4CAA">
              <w:t>that</w:t>
            </w:r>
            <w:r w:rsidRPr="00E813B0">
              <w:t xml:space="preserve"> are later central to programmes</w:t>
            </w:r>
            <w:r w:rsidR="00EC17BF">
              <w:t>.</w:t>
            </w:r>
            <w:r w:rsidR="00831A0D">
              <w:t xml:space="preserve"> Understanding the strengths, weaknesses</w:t>
            </w:r>
            <w:r w:rsidR="000A4CAA">
              <w:t>,</w:t>
            </w:r>
            <w:r w:rsidR="00831A0D">
              <w:t xml:space="preserve"> and future trajectories of standards is critical</w:t>
            </w:r>
            <w:r w:rsidR="000A4CAA">
              <w:t>,</w:t>
            </w:r>
            <w:r w:rsidR="007229CA">
              <w:t xml:space="preserve"> as well as </w:t>
            </w:r>
            <w:r w:rsidR="00BC7CC2">
              <w:t xml:space="preserve">building resilience in the market, where over dependence on one set of standards may create risk. </w:t>
            </w:r>
          </w:p>
        </w:tc>
      </w:tr>
      <w:tr w:rsidR="00B012C6" w:rsidRPr="00E813B0" w14:paraId="758D2581" w14:textId="77777777" w:rsidTr="00E26C3B">
        <w:tc>
          <w:tcPr>
            <w:tcW w:w="0" w:type="auto"/>
          </w:tcPr>
          <w:p w14:paraId="7006B43E" w14:textId="77777777" w:rsidR="00A010FB" w:rsidRPr="00E813B0" w:rsidRDefault="00A010FB" w:rsidP="00A010FB">
            <w:r w:rsidRPr="00E813B0">
              <w:t>C</w:t>
            </w:r>
          </w:p>
        </w:tc>
        <w:tc>
          <w:tcPr>
            <w:tcW w:w="0" w:type="auto"/>
          </w:tcPr>
          <w:p w14:paraId="4C3DAFC6" w14:textId="0524AC08" w:rsidR="00A010FB" w:rsidRPr="00E813B0" w:rsidRDefault="00A010FB" w:rsidP="00A010FB">
            <w:r w:rsidRPr="00E813B0">
              <w:t xml:space="preserve">LEAF and wider actors have underestimated the real costs of engaging in a </w:t>
            </w:r>
            <w:r w:rsidR="000A4CAA">
              <w:t>high-integrity</w:t>
            </w:r>
            <w:r w:rsidRPr="00E813B0">
              <w:t xml:space="preserve"> carbon market. HJs </w:t>
            </w:r>
            <w:r w:rsidR="009F6733">
              <w:t xml:space="preserve">have </w:t>
            </w:r>
            <w:r w:rsidRPr="00E813B0">
              <w:t>struggle</w:t>
            </w:r>
            <w:r w:rsidR="003B6CB2">
              <w:t>d</w:t>
            </w:r>
            <w:r w:rsidRPr="00E813B0">
              <w:t xml:space="preserve"> to finance </w:t>
            </w:r>
            <w:r w:rsidR="009F6733">
              <w:t xml:space="preserve">the </w:t>
            </w:r>
            <w:r w:rsidRPr="00E813B0">
              <w:t>upfront costs</w:t>
            </w:r>
            <w:r w:rsidR="009F6733">
              <w:t xml:space="preserve"> involved in preparing for the ART TREES standard and negotiating ERPAs</w:t>
            </w:r>
            <w:r w:rsidRPr="00E813B0">
              <w:t>.</w:t>
            </w:r>
          </w:p>
        </w:tc>
      </w:tr>
      <w:tr w:rsidR="00B012C6" w:rsidRPr="00E813B0" w14:paraId="3454E1EB" w14:textId="77777777" w:rsidTr="00E26C3B">
        <w:tc>
          <w:tcPr>
            <w:tcW w:w="0" w:type="auto"/>
          </w:tcPr>
          <w:p w14:paraId="42E4B941" w14:textId="77777777" w:rsidR="00A010FB" w:rsidRPr="00E813B0" w:rsidRDefault="00A010FB" w:rsidP="00A010FB">
            <w:r w:rsidRPr="00E813B0">
              <w:t>D</w:t>
            </w:r>
          </w:p>
        </w:tc>
        <w:tc>
          <w:tcPr>
            <w:tcW w:w="0" w:type="auto"/>
          </w:tcPr>
          <w:p w14:paraId="5BA3C1F6" w14:textId="532DDA6E" w:rsidR="00A010FB" w:rsidRPr="00E813B0" w:rsidRDefault="00A010FB" w:rsidP="00A010FB">
            <w:r w:rsidRPr="00E813B0">
              <w:t xml:space="preserve">There is a perception that LEAF serves the corporate sector as the </w:t>
            </w:r>
            <w:r w:rsidR="00D4058C">
              <w:t>client</w:t>
            </w:r>
            <w:r w:rsidR="000A4CAA">
              <w:t>,</w:t>
            </w:r>
            <w:r w:rsidRPr="00E813B0">
              <w:t xml:space="preserve"> not HJs</w:t>
            </w:r>
            <w:r w:rsidR="002F1353">
              <w:t xml:space="preserve"> in equal measure</w:t>
            </w:r>
            <w:r w:rsidRPr="00E813B0">
              <w:t>. How new initiatives are introduced, communicated</w:t>
            </w:r>
            <w:r w:rsidR="000A4CAA">
              <w:t>,</w:t>
            </w:r>
            <w:r w:rsidRPr="00E813B0">
              <w:t xml:space="preserve"> and operationalised can reinforce ‘Global North’ dominant power dynamics. </w:t>
            </w:r>
            <w:r w:rsidR="00DF3B81">
              <w:t xml:space="preserve">UK </w:t>
            </w:r>
            <w:r w:rsidR="000A4CAA">
              <w:t>ICF-funded</w:t>
            </w:r>
            <w:r w:rsidR="00DF3B81">
              <w:t xml:space="preserve"> </w:t>
            </w:r>
            <w:r w:rsidR="00B72DF4">
              <w:t xml:space="preserve">interventions should have clear pathways to delivering </w:t>
            </w:r>
            <w:r w:rsidR="00C51441">
              <w:t>support to the most vulnerable</w:t>
            </w:r>
            <w:r w:rsidR="00C213F5">
              <w:t xml:space="preserve"> countries and communities</w:t>
            </w:r>
            <w:r w:rsidR="00660A1B">
              <w:t>,</w:t>
            </w:r>
            <w:r w:rsidR="002F1353">
              <w:t xml:space="preserve"> but this does not appear to have been a primary message so far in LEAF</w:t>
            </w:r>
            <w:r w:rsidR="00C51441">
              <w:t>.</w:t>
            </w:r>
          </w:p>
        </w:tc>
      </w:tr>
      <w:tr w:rsidR="00B012C6" w:rsidRPr="00E813B0" w14:paraId="60DB1DBD" w14:textId="77777777" w:rsidTr="00E26C3B">
        <w:tc>
          <w:tcPr>
            <w:tcW w:w="0" w:type="auto"/>
          </w:tcPr>
          <w:p w14:paraId="376BCF43" w14:textId="77777777" w:rsidR="00A010FB" w:rsidRPr="00E813B0" w:rsidRDefault="00A010FB" w:rsidP="00A010FB">
            <w:r w:rsidRPr="00E813B0">
              <w:t>E</w:t>
            </w:r>
          </w:p>
        </w:tc>
        <w:tc>
          <w:tcPr>
            <w:tcW w:w="0" w:type="auto"/>
          </w:tcPr>
          <w:p w14:paraId="3DFAFD7B" w14:textId="1E9FF26E" w:rsidR="00A010FB" w:rsidRPr="00E813B0" w:rsidRDefault="00A010FB" w:rsidP="00A010FB">
            <w:r w:rsidRPr="00E813B0">
              <w:t>Carbon markets are unpredictable</w:t>
            </w:r>
            <w:r w:rsidR="00660A1B">
              <w:t>,</w:t>
            </w:r>
            <w:r w:rsidRPr="00E813B0">
              <w:t xml:space="preserve"> and a highly adaptive programme design is needed to maximise opportunities and reduce risks. Studies are underway on ‘who owns’ carbon rights and credits. Actors should be regularly conducting horizon scans of ‘external’ contexts and creating space for dialogue with all LEAF actors</w:t>
            </w:r>
            <w:r w:rsidR="00660A1B">
              <w:t>,</w:t>
            </w:r>
            <w:r w:rsidR="00697BD0">
              <w:t xml:space="preserve"> and using independent advice.</w:t>
            </w:r>
          </w:p>
        </w:tc>
      </w:tr>
      <w:tr w:rsidR="00B012C6" w:rsidRPr="00E813B0" w14:paraId="2BE52DB0" w14:textId="77777777" w:rsidTr="00E26C3B">
        <w:tc>
          <w:tcPr>
            <w:tcW w:w="0" w:type="auto"/>
          </w:tcPr>
          <w:p w14:paraId="5110D57E" w14:textId="77777777" w:rsidR="00A010FB" w:rsidRPr="00E813B0" w:rsidRDefault="00A010FB" w:rsidP="00A010FB">
            <w:r w:rsidRPr="00E813B0">
              <w:t>F</w:t>
            </w:r>
          </w:p>
        </w:tc>
        <w:tc>
          <w:tcPr>
            <w:tcW w:w="0" w:type="auto"/>
          </w:tcPr>
          <w:p w14:paraId="0DDB29F4" w14:textId="49367A44" w:rsidR="00A010FB" w:rsidRPr="00E813B0" w:rsidRDefault="00A010FB" w:rsidP="00A010FB">
            <w:r w:rsidRPr="00E813B0">
              <w:t xml:space="preserve">The amount of time it takes to ‘create’ a </w:t>
            </w:r>
            <w:r w:rsidR="00045708">
              <w:t>forest-based</w:t>
            </w:r>
            <w:r w:rsidR="00C11034">
              <w:t xml:space="preserve"> </w:t>
            </w:r>
            <w:r w:rsidRPr="00E813B0">
              <w:t>carbon market is unpredictable</w:t>
            </w:r>
            <w:r w:rsidR="00660A1B">
              <w:t>,</w:t>
            </w:r>
            <w:r w:rsidRPr="00E813B0">
              <w:t xml:space="preserve"> and the timeframes in the business case were vastly optimistic. Emergent </w:t>
            </w:r>
            <w:r w:rsidR="002C0B3B">
              <w:t>has</w:t>
            </w:r>
            <w:r w:rsidRPr="00E813B0">
              <w:t xml:space="preserve"> </w:t>
            </w:r>
            <w:r w:rsidR="00FC5996">
              <w:t xml:space="preserve">underestimated the complexity of the task and </w:t>
            </w:r>
            <w:r w:rsidR="002C0B3B">
              <w:t xml:space="preserve">has </w:t>
            </w:r>
            <w:r w:rsidRPr="00E813B0">
              <w:t>also been over</w:t>
            </w:r>
            <w:r w:rsidR="00C06319">
              <w:t>ly</w:t>
            </w:r>
            <w:r w:rsidRPr="00E813B0">
              <w:t xml:space="preserve"> optimistic on this. </w:t>
            </w:r>
          </w:p>
        </w:tc>
      </w:tr>
      <w:tr w:rsidR="00B012C6" w:rsidRPr="00E813B0" w14:paraId="4EAF958E" w14:textId="77777777" w:rsidTr="00E26C3B">
        <w:tc>
          <w:tcPr>
            <w:tcW w:w="0" w:type="auto"/>
          </w:tcPr>
          <w:p w14:paraId="12168DAF" w14:textId="77777777" w:rsidR="00A010FB" w:rsidRPr="00E813B0" w:rsidRDefault="00A010FB" w:rsidP="00A010FB">
            <w:r w:rsidRPr="00E813B0">
              <w:lastRenderedPageBreak/>
              <w:t>G</w:t>
            </w:r>
          </w:p>
        </w:tc>
        <w:tc>
          <w:tcPr>
            <w:tcW w:w="0" w:type="auto"/>
          </w:tcPr>
          <w:p w14:paraId="064636C3" w14:textId="16EDE846" w:rsidR="00A010FB" w:rsidRPr="00E813B0" w:rsidRDefault="00A010FB" w:rsidP="00A010FB">
            <w:r w:rsidRPr="00E813B0">
              <w:t xml:space="preserve">There is a need for clarity on definitions of what a self-sustaining market is and the role of </w:t>
            </w:r>
            <w:r w:rsidR="00BE21A6">
              <w:t>ICF</w:t>
            </w:r>
            <w:r w:rsidRPr="00E813B0">
              <w:t xml:space="preserve"> in supporting this </w:t>
            </w:r>
            <w:r w:rsidR="0087024B">
              <w:t xml:space="preserve">(see also </w:t>
            </w:r>
            <w:r w:rsidR="0087024B">
              <w:fldChar w:fldCharType="begin"/>
            </w:r>
            <w:r w:rsidR="0087024B">
              <w:instrText xml:space="preserve"> REF _Ref204013019 \h </w:instrText>
            </w:r>
            <w:r w:rsidR="0087024B">
              <w:fldChar w:fldCharType="separate"/>
            </w:r>
            <w:r w:rsidR="0087024B">
              <w:t xml:space="preserve">Figure </w:t>
            </w:r>
            <w:r w:rsidR="0087024B">
              <w:rPr>
                <w:noProof/>
              </w:rPr>
              <w:t>4</w:t>
            </w:r>
            <w:r w:rsidR="0087024B">
              <w:t xml:space="preserve"> Revised Theory of Change</w:t>
            </w:r>
            <w:r w:rsidR="0087024B">
              <w:fldChar w:fldCharType="end"/>
            </w:r>
            <w:r w:rsidR="0087024B">
              <w:t xml:space="preserve">) </w:t>
            </w:r>
            <w:r w:rsidRPr="00E813B0">
              <w:t>– currently</w:t>
            </w:r>
            <w:r w:rsidR="00660A1B">
              <w:t>,</w:t>
            </w:r>
            <w:r w:rsidRPr="00E813B0">
              <w:t xml:space="preserve"> the progress appears to have favoured the establishment of Emergent instead of a focus on the market (almost as a private</w:t>
            </w:r>
            <w:r w:rsidR="00C61B23">
              <w:t>/</w:t>
            </w:r>
            <w:r w:rsidR="00660A1B">
              <w:t>not-for-profit</w:t>
            </w:r>
            <w:r w:rsidRPr="00E813B0">
              <w:t xml:space="preserve"> sector start</w:t>
            </w:r>
            <w:r w:rsidR="00C06319">
              <w:t>-</w:t>
            </w:r>
            <w:r w:rsidRPr="00E813B0">
              <w:t>up). The messaging and action should be around creating a functioning market ecosystem of standards, verification processes</w:t>
            </w:r>
            <w:r w:rsidR="00660A1B">
              <w:t>,</w:t>
            </w:r>
            <w:r w:rsidRPr="00E813B0">
              <w:t xml:space="preserve"> and diverse and active market players. There are many other ‘market makers’ to invest in</w:t>
            </w:r>
            <w:r w:rsidR="00E6274F">
              <w:t xml:space="preserve"> (see </w:t>
            </w:r>
            <w:r w:rsidR="008F35F8">
              <w:t>Annex 3)</w:t>
            </w:r>
            <w:r w:rsidRPr="00E813B0">
              <w:t xml:space="preserve">. </w:t>
            </w:r>
          </w:p>
        </w:tc>
      </w:tr>
      <w:tr w:rsidR="00B012C6" w:rsidRPr="00E813B0" w14:paraId="3F243599" w14:textId="77777777" w:rsidTr="00E26C3B">
        <w:tc>
          <w:tcPr>
            <w:tcW w:w="0" w:type="auto"/>
          </w:tcPr>
          <w:p w14:paraId="410943B3" w14:textId="77777777" w:rsidR="00A010FB" w:rsidRPr="00E813B0" w:rsidRDefault="00A010FB" w:rsidP="00A010FB">
            <w:r w:rsidRPr="00E813B0">
              <w:t>H</w:t>
            </w:r>
          </w:p>
        </w:tc>
        <w:tc>
          <w:tcPr>
            <w:tcW w:w="0" w:type="auto"/>
          </w:tcPr>
          <w:p w14:paraId="1B76FF13" w14:textId="0F83CA5D" w:rsidR="00A010FB" w:rsidRPr="00E813B0" w:rsidRDefault="00E7779E" w:rsidP="00A010FB">
            <w:r>
              <w:t xml:space="preserve">Creating new TA offers necessitates </w:t>
            </w:r>
            <w:r w:rsidR="00660A1B">
              <w:t>longer-term</w:t>
            </w:r>
            <w:r>
              <w:t xml:space="preserve"> planning and integration with existing offers to ensure added value. </w:t>
            </w:r>
            <w:r w:rsidR="00A010FB" w:rsidRPr="00E813B0">
              <w:t xml:space="preserve">Whilst the additional </w:t>
            </w:r>
            <w:r w:rsidR="00E3022F">
              <w:t>DESNZ-supported</w:t>
            </w:r>
            <w:r w:rsidR="00A010FB" w:rsidRPr="00E813B0">
              <w:t xml:space="preserve"> £5M TA has been welcomed, a more strategic, longer-term</w:t>
            </w:r>
            <w:r w:rsidR="00E3022F">
              <w:t>,</w:t>
            </w:r>
            <w:r w:rsidR="00A010FB" w:rsidRPr="00E813B0">
              <w:t xml:space="preserve"> and locally engaged approach to TA provision is needed.</w:t>
            </w:r>
          </w:p>
        </w:tc>
      </w:tr>
      <w:tr w:rsidR="00B012C6" w:rsidRPr="00E813B0" w14:paraId="0196F154" w14:textId="77777777" w:rsidTr="00E26C3B">
        <w:tc>
          <w:tcPr>
            <w:tcW w:w="0" w:type="auto"/>
          </w:tcPr>
          <w:p w14:paraId="6B29032C" w14:textId="77777777" w:rsidR="00A010FB" w:rsidRPr="00E813B0" w:rsidRDefault="00A010FB" w:rsidP="00A010FB">
            <w:r w:rsidRPr="00E813B0">
              <w:t>I</w:t>
            </w:r>
          </w:p>
        </w:tc>
        <w:tc>
          <w:tcPr>
            <w:tcW w:w="0" w:type="auto"/>
          </w:tcPr>
          <w:p w14:paraId="1F6BB1F6" w14:textId="1804EFF9" w:rsidR="00A010FB" w:rsidRPr="00E813B0" w:rsidRDefault="00A010FB" w:rsidP="00A010FB">
            <w:r w:rsidRPr="00E813B0">
              <w:t>A holistic approach to valuing forests is needed. Forests provide a wealth of benefits to a diverse set of stakeholders – often through complex rights, access</w:t>
            </w:r>
            <w:r w:rsidR="00E3022F">
              <w:t>,</w:t>
            </w:r>
            <w:r w:rsidRPr="00E813B0">
              <w:t xml:space="preserve"> and cultural practices. Mitigating </w:t>
            </w:r>
            <w:r w:rsidR="005903F1">
              <w:t>GHGs</w:t>
            </w:r>
            <w:r w:rsidRPr="00E813B0">
              <w:t xml:space="preserve"> is one of many benefits</w:t>
            </w:r>
            <w:r w:rsidR="005903F1">
              <w:t>,</w:t>
            </w:r>
            <w:r w:rsidRPr="00E813B0">
              <w:t xml:space="preserve"> and deeper understanding of the suite of benefits would be useful.  </w:t>
            </w:r>
            <w:r w:rsidR="004C75BD">
              <w:t>Ensuring ‘</w:t>
            </w:r>
            <w:r w:rsidR="005903F1">
              <w:t>no one</w:t>
            </w:r>
            <w:r w:rsidR="004C75BD">
              <w:t xml:space="preserve"> is left behind’ is vital, including in </w:t>
            </w:r>
            <w:r w:rsidR="002C0B3B">
              <w:t>post-conflict countries</w:t>
            </w:r>
            <w:r w:rsidR="004C75BD">
              <w:t xml:space="preserve">.  </w:t>
            </w:r>
          </w:p>
        </w:tc>
      </w:tr>
      <w:tr w:rsidR="00B012C6" w:rsidRPr="00E813B0" w14:paraId="0DF9D10B" w14:textId="77777777" w:rsidTr="00E26C3B">
        <w:trPr>
          <w:trHeight w:val="300"/>
        </w:trPr>
        <w:tc>
          <w:tcPr>
            <w:tcW w:w="0" w:type="auto"/>
          </w:tcPr>
          <w:p w14:paraId="16B4D785" w14:textId="77777777" w:rsidR="00A010FB" w:rsidRPr="00E813B0" w:rsidRDefault="00A010FB" w:rsidP="00A010FB">
            <w:r w:rsidRPr="00E813B0">
              <w:t>J</w:t>
            </w:r>
          </w:p>
        </w:tc>
        <w:tc>
          <w:tcPr>
            <w:tcW w:w="0" w:type="auto"/>
          </w:tcPr>
          <w:p w14:paraId="32BCBF0B" w14:textId="0B990850" w:rsidR="00A010FB" w:rsidRPr="00E813B0" w:rsidRDefault="00A010FB" w:rsidP="00A010FB">
            <w:r w:rsidRPr="00E813B0">
              <w:t>Investing in novel ‘start-ups’</w:t>
            </w:r>
            <w:r w:rsidR="005903F1">
              <w:t>,</w:t>
            </w:r>
            <w:r w:rsidRPr="00E813B0">
              <w:t xml:space="preserve"> whether </w:t>
            </w:r>
            <w:r w:rsidR="00C259DE">
              <w:t>non-profit</w:t>
            </w:r>
            <w:r w:rsidRPr="00E813B0">
              <w:t xml:space="preserve"> or for-profit requires significant </w:t>
            </w:r>
            <w:r w:rsidR="008F35F8">
              <w:t>tracking</w:t>
            </w:r>
            <w:r w:rsidR="008F35F8" w:rsidRPr="00E813B0">
              <w:t xml:space="preserve"> </w:t>
            </w:r>
            <w:r w:rsidRPr="00E813B0">
              <w:t xml:space="preserve">to ensure the ‘innovation’ is rooted in reality and the </w:t>
            </w:r>
            <w:r w:rsidR="005903F1">
              <w:t>systems/processes</w:t>
            </w:r>
            <w:r w:rsidRPr="00E813B0">
              <w:t xml:space="preserve"> / technical knowledge are in place</w:t>
            </w:r>
            <w:r w:rsidR="00717CEE">
              <w:t>. Without that</w:t>
            </w:r>
            <w:r w:rsidR="00D95F02">
              <w:t>,</w:t>
            </w:r>
            <w:r w:rsidRPr="00E813B0" w:rsidDel="00717CEE">
              <w:t xml:space="preserve"> </w:t>
            </w:r>
            <w:r w:rsidRPr="00E813B0">
              <w:t>craft</w:t>
            </w:r>
            <w:r w:rsidR="00717CEE">
              <w:t>ing</w:t>
            </w:r>
            <w:r w:rsidRPr="00E813B0">
              <w:t xml:space="preserve"> a ‘self-sustaining market’ for the sale of forest carbon credits from diverse operational, regulatory</w:t>
            </w:r>
            <w:r w:rsidR="005903F1">
              <w:t>,</w:t>
            </w:r>
            <w:r w:rsidRPr="00E813B0">
              <w:t xml:space="preserve"> and capacity contexts</w:t>
            </w:r>
            <w:r w:rsidR="002223F6">
              <w:t xml:space="preserve"> will be more challenging</w:t>
            </w:r>
            <w:r w:rsidRPr="00E813B0">
              <w:t>. Clear criteria for decision</w:t>
            </w:r>
            <w:r w:rsidR="008210F2">
              <w:t>-</w:t>
            </w:r>
            <w:r w:rsidRPr="00E813B0">
              <w:t xml:space="preserve">making on effectiveness are required to ensure VfM and effective investment.  </w:t>
            </w:r>
          </w:p>
        </w:tc>
      </w:tr>
    </w:tbl>
    <w:p w14:paraId="4FA912F5" w14:textId="77777777" w:rsidR="00A010FB" w:rsidRPr="00E813B0" w:rsidRDefault="00A010FB" w:rsidP="00A010FB"/>
    <w:p w14:paraId="46EAC972" w14:textId="60223181" w:rsidR="003C3A3E" w:rsidRPr="00E813B0" w:rsidRDefault="00F23580" w:rsidP="00775E76">
      <w:pPr>
        <w:pStyle w:val="Heading2"/>
      </w:pPr>
      <w:bookmarkStart w:id="99" w:name="_Toc204091228"/>
      <w:bookmarkStart w:id="100" w:name="_Toc209013304"/>
      <w:r w:rsidRPr="00E813B0">
        <w:t xml:space="preserve">3.2 </w:t>
      </w:r>
      <w:r w:rsidR="003C3A3E" w:rsidRPr="00E813B0">
        <w:t>Conclusions</w:t>
      </w:r>
      <w:bookmarkEnd w:id="99"/>
      <w:bookmarkEnd w:id="100"/>
      <w:r w:rsidR="00944635">
        <w:t xml:space="preserve"> </w:t>
      </w:r>
    </w:p>
    <w:p w14:paraId="5C17D9C1" w14:textId="08E0A056" w:rsidR="00184B2B" w:rsidRDefault="00184B2B" w:rsidP="0060489A">
      <w:r>
        <w:t xml:space="preserve">The </w:t>
      </w:r>
      <w:r w:rsidR="002661A4">
        <w:t xml:space="preserve">carbon </w:t>
      </w:r>
      <w:r w:rsidR="00F10C4A">
        <w:t>market</w:t>
      </w:r>
      <w:r>
        <w:t xml:space="preserve">, whilst turbulent, has </w:t>
      </w:r>
      <w:r w:rsidR="00DF20D6">
        <w:t>remained steady</w:t>
      </w:r>
      <w:r w:rsidR="001E41A9">
        <w:t xml:space="preserve"> on messaging around quality and integrity. </w:t>
      </w:r>
      <w:r w:rsidR="00314CDA">
        <w:t>Forecast to grow rapidly</w:t>
      </w:r>
      <w:r w:rsidR="00567B3B">
        <w:t>,</w:t>
      </w:r>
      <w:r w:rsidR="00BC3A33">
        <w:t xml:space="preserve"> fuelled by net zero goals and regulatory changes</w:t>
      </w:r>
      <w:r w:rsidR="00567B3B">
        <w:t xml:space="preserve"> – LEAF clearly has </w:t>
      </w:r>
      <w:r w:rsidR="006215E1">
        <w:t>the potential to play a critical role</w:t>
      </w:r>
      <w:r w:rsidR="00D264AC">
        <w:t xml:space="preserve"> and </w:t>
      </w:r>
      <w:r w:rsidR="00933E41">
        <w:t xml:space="preserve">prove what is possible in the </w:t>
      </w:r>
      <w:r w:rsidR="007D3EA7">
        <w:t>jurisdictional</w:t>
      </w:r>
      <w:r w:rsidR="00933E41">
        <w:t xml:space="preserve"> REDD space.</w:t>
      </w:r>
      <w:r w:rsidR="007D3EA7">
        <w:t xml:space="preserve"> LEAF stakeholders have shown resilience, patience</w:t>
      </w:r>
      <w:r w:rsidR="005903F1">
        <w:t>,</w:t>
      </w:r>
      <w:r w:rsidR="007D3EA7">
        <w:t xml:space="preserve"> and optimism</w:t>
      </w:r>
      <w:r w:rsidR="00FB7A61">
        <w:t xml:space="preserve"> over the last four years as LEAF </w:t>
      </w:r>
      <w:r w:rsidR="00C259DE">
        <w:t xml:space="preserve">has </w:t>
      </w:r>
      <w:r w:rsidR="00D72F56">
        <w:t>evolved</w:t>
      </w:r>
      <w:r w:rsidR="00B5151C">
        <w:t xml:space="preserve"> and continues to evolve. </w:t>
      </w:r>
      <w:r w:rsidR="002A419F">
        <w:t xml:space="preserve">Slow progress and </w:t>
      </w:r>
      <w:r w:rsidR="00A84BD2">
        <w:t xml:space="preserve">a lack of transactions </w:t>
      </w:r>
      <w:r w:rsidR="005903F1">
        <w:t>have</w:t>
      </w:r>
      <w:r w:rsidR="00A84BD2">
        <w:t xml:space="preserve"> </w:t>
      </w:r>
      <w:r w:rsidR="000E2ADF">
        <w:t xml:space="preserve">been a significant challenge. </w:t>
      </w:r>
      <w:r w:rsidR="00807CDC" w:rsidRPr="00807CDC">
        <w:t xml:space="preserve">LEAF </w:t>
      </w:r>
      <w:r w:rsidR="00DA2146">
        <w:t>o</w:t>
      </w:r>
      <w:r w:rsidR="00807CDC" w:rsidRPr="00807CDC">
        <w:t xml:space="preserve">bjectives and design were well-intentioned in meeting </w:t>
      </w:r>
      <w:r w:rsidR="005903F1">
        <w:t xml:space="preserve">the </w:t>
      </w:r>
      <w:r w:rsidR="00807CDC" w:rsidRPr="00807CDC">
        <w:t>needs of HJs, global stakeholders, sovereign donors</w:t>
      </w:r>
      <w:r w:rsidR="005903F1">
        <w:t>,</w:t>
      </w:r>
      <w:r w:rsidR="00807CDC" w:rsidRPr="00807CDC">
        <w:t xml:space="preserve"> and corporates</w:t>
      </w:r>
      <w:r w:rsidR="000928AA">
        <w:t>,</w:t>
      </w:r>
      <w:r w:rsidR="00807CDC" w:rsidRPr="00807CDC">
        <w:t xml:space="preserve"> but the slow progress to date on completing transactions has led many stakeholders to question the design. 2025 is seen as a pivotal moment when funds </w:t>
      </w:r>
      <w:r w:rsidR="00F52182">
        <w:t>are likely to</w:t>
      </w:r>
      <w:r w:rsidR="00807CDC" w:rsidRPr="00807CDC">
        <w:t xml:space="preserve"> flow</w:t>
      </w:r>
      <w:r w:rsidR="00F52182">
        <w:t xml:space="preserve"> to HJs </w:t>
      </w:r>
      <w:r w:rsidR="009A6A7B">
        <w:t>- through</w:t>
      </w:r>
      <w:r w:rsidR="00F52182">
        <w:t xml:space="preserve"> agreed Benefit Sharing Plans for IP</w:t>
      </w:r>
      <w:r w:rsidR="009D3176">
        <w:t xml:space="preserve"> and </w:t>
      </w:r>
      <w:r w:rsidR="00F52182">
        <w:t>LCs</w:t>
      </w:r>
      <w:r w:rsidR="000928AA">
        <w:t>,</w:t>
      </w:r>
      <w:r w:rsidR="00807CDC" w:rsidRPr="00807CDC">
        <w:t xml:space="preserve"> and </w:t>
      </w:r>
      <w:r w:rsidR="003D4E29">
        <w:t>ideally contributing to an i</w:t>
      </w:r>
      <w:r w:rsidR="00B35144">
        <w:t xml:space="preserve">mprovement in </w:t>
      </w:r>
      <w:r w:rsidR="00807CDC" w:rsidRPr="00807CDC">
        <w:t>market confidence.</w:t>
      </w:r>
    </w:p>
    <w:p w14:paraId="1AE7FAC7" w14:textId="60C5C02C" w:rsidR="00A22DB6" w:rsidRDefault="008847FA" w:rsidP="00A22DB6">
      <w:r>
        <w:lastRenderedPageBreak/>
        <w:t>Future shifts around Article 6</w:t>
      </w:r>
      <w:r w:rsidR="00317CCD">
        <w:t xml:space="preserve"> of the Paris Agreement</w:t>
      </w:r>
      <w:r>
        <w:t xml:space="preserve"> and </w:t>
      </w:r>
      <w:r w:rsidR="00EE56B7">
        <w:t>alignments with compliance markets</w:t>
      </w:r>
      <w:r w:rsidR="00A32475">
        <w:t xml:space="preserve"> mean LEAF will need to be nimble and </w:t>
      </w:r>
      <w:r w:rsidR="00D813FB">
        <w:t>be ahead of the game</w:t>
      </w:r>
      <w:r w:rsidR="00131436">
        <w:t xml:space="preserve">. </w:t>
      </w:r>
      <w:r w:rsidR="00A22DB6">
        <w:t xml:space="preserve">Increased policy ambitions around the compliance carbon market </w:t>
      </w:r>
      <w:r w:rsidR="00A50F6A">
        <w:t>and the rapid development of</w:t>
      </w:r>
      <w:r w:rsidR="00A22DB6">
        <w:t xml:space="preserve"> new market structures</w:t>
      </w:r>
      <w:r w:rsidR="00A50F6A">
        <w:t xml:space="preserve"> </w:t>
      </w:r>
      <w:r w:rsidR="00AE30A3">
        <w:t>will require any market player to be highly adaptive</w:t>
      </w:r>
      <w:r w:rsidR="009102B8">
        <w:t>.</w:t>
      </w:r>
      <w:r w:rsidR="00073BE4">
        <w:t xml:space="preserve"> </w:t>
      </w:r>
      <w:r w:rsidR="003C439F">
        <w:t>A</w:t>
      </w:r>
      <w:r w:rsidR="00073BE4" w:rsidRPr="00073BE4">
        <w:t>s more voluntary credits are designed to be eligible for compliance obligations in national and international systems</w:t>
      </w:r>
      <w:r w:rsidR="003C439F">
        <w:t xml:space="preserve">, and </w:t>
      </w:r>
      <w:r w:rsidR="007261A8">
        <w:t>discussions on</w:t>
      </w:r>
      <w:r w:rsidR="003C439F">
        <w:t xml:space="preserve"> ‘interoperability’ </w:t>
      </w:r>
      <w:r w:rsidR="007261A8">
        <w:t>rise</w:t>
      </w:r>
      <w:r w:rsidR="000928AA">
        <w:t>,</w:t>
      </w:r>
      <w:r w:rsidR="009E54FB">
        <w:t xml:space="preserve"> it will be important for LEAF to make clear signals on how it might </w:t>
      </w:r>
      <w:r w:rsidR="00C820E6">
        <w:t xml:space="preserve">operate in the coming years as the markets continue to evolve. </w:t>
      </w:r>
    </w:p>
    <w:p w14:paraId="2F0AEB2C" w14:textId="478D49C8" w:rsidR="006D142C" w:rsidRDefault="00147EC4" w:rsidP="00A22DB6">
      <w:r>
        <w:t xml:space="preserve">Adopting the revised ToC </w:t>
      </w:r>
      <w:r w:rsidRPr="00147EC4">
        <w:t xml:space="preserve">provides an opportunity to lay out a deeper understanding of the multi-layered process of ‘market creation’ and market making with </w:t>
      </w:r>
      <w:r w:rsidR="00AD711F">
        <w:t>HJs</w:t>
      </w:r>
      <w:r w:rsidRPr="00147EC4">
        <w:t xml:space="preserve">, </w:t>
      </w:r>
      <w:r w:rsidR="000928AA">
        <w:t>CPs</w:t>
      </w:r>
      <w:r w:rsidR="00914D02" w:rsidRPr="00914D02">
        <w:t xml:space="preserve"> </w:t>
      </w:r>
      <w:r w:rsidRPr="00147EC4">
        <w:t>and standards organisations and verification bodies</w:t>
      </w:r>
      <w:r w:rsidR="000928AA">
        <w:t>,</w:t>
      </w:r>
      <w:r w:rsidRPr="00147EC4">
        <w:t xml:space="preserve"> as well as diverse transaction routes</w:t>
      </w:r>
      <w:r>
        <w:t xml:space="preserve">. </w:t>
      </w:r>
    </w:p>
    <w:p w14:paraId="74C22726" w14:textId="5D62F83B" w:rsidR="00E11F9C" w:rsidRDefault="00E11F9C" w:rsidP="00A22DB6">
      <w:r>
        <w:t xml:space="preserve">With the demand for quality and integrity – comes a need for </w:t>
      </w:r>
      <w:r w:rsidR="00386DDC">
        <w:t>legitimacy, trust and transparency</w:t>
      </w:r>
      <w:r w:rsidR="00D90788">
        <w:t xml:space="preserve">. </w:t>
      </w:r>
      <w:r w:rsidR="00E45DB1">
        <w:t xml:space="preserve">LEAF </w:t>
      </w:r>
      <w:r w:rsidR="00616224">
        <w:t xml:space="preserve">could improve </w:t>
      </w:r>
      <w:r w:rsidR="00295F7E">
        <w:t>communications and information sharing across all stakeholder groups and take bolder moves towards greater transparency</w:t>
      </w:r>
      <w:r w:rsidR="00A04172">
        <w:t>.</w:t>
      </w:r>
      <w:r w:rsidR="005550EA">
        <w:t xml:space="preserve"> </w:t>
      </w:r>
      <w:r w:rsidR="005550EA" w:rsidRPr="005550EA">
        <w:t xml:space="preserve">Transparency across all stakeholders, including </w:t>
      </w:r>
      <w:r w:rsidR="00914D02" w:rsidRPr="00914D02">
        <w:t>CPs</w:t>
      </w:r>
      <w:r w:rsidR="005550EA" w:rsidRPr="005550EA">
        <w:t>, will increase accountability and thus reduce reputational risks associated with climate litigation and wider legal challenges around the application of agreed safeguards</w:t>
      </w:r>
      <w:r w:rsidR="00A04172">
        <w:t>.</w:t>
      </w:r>
    </w:p>
    <w:p w14:paraId="7F47E043" w14:textId="7A934F2F" w:rsidR="00184B2B" w:rsidRDefault="00131436" w:rsidP="0060489A">
      <w:r>
        <w:t xml:space="preserve">The UK Government </w:t>
      </w:r>
      <w:r w:rsidR="00D759A8">
        <w:t xml:space="preserve">has played an important role in </w:t>
      </w:r>
      <w:r w:rsidR="008450AC">
        <w:t>kick starting the LEAF Coalition</w:t>
      </w:r>
      <w:r w:rsidR="0038276F">
        <w:t>. In the medium to longer term, the UK Government</w:t>
      </w:r>
      <w:r w:rsidR="008450AC">
        <w:t xml:space="preserve"> should </w:t>
      </w:r>
      <w:r w:rsidR="00E10504">
        <w:t xml:space="preserve">generate a plan to </w:t>
      </w:r>
      <w:r w:rsidR="006A7DE9">
        <w:t xml:space="preserve">tail off </w:t>
      </w:r>
      <w:r w:rsidR="00D9066F">
        <w:t>support to Emergent</w:t>
      </w:r>
      <w:r w:rsidR="008A1C09">
        <w:t xml:space="preserve"> and use time and resources to strengthen other market </w:t>
      </w:r>
      <w:r w:rsidR="001359B1">
        <w:t>makers</w:t>
      </w:r>
      <w:r w:rsidR="000660CE">
        <w:t xml:space="preserve">. They should be planning to level the playing field </w:t>
      </w:r>
      <w:r w:rsidR="00941B3C">
        <w:t>for</w:t>
      </w:r>
      <w:r w:rsidR="000660CE">
        <w:t xml:space="preserve"> </w:t>
      </w:r>
      <w:r w:rsidR="00EB20A0">
        <w:t>HJ</w:t>
      </w:r>
      <w:r w:rsidR="00311032">
        <w:t xml:space="preserve">s – assuming the </w:t>
      </w:r>
      <w:r w:rsidR="00045BA6">
        <w:t xml:space="preserve">first </w:t>
      </w:r>
      <w:r w:rsidR="005A0061">
        <w:t>LEAF transactions take place in 2025 and prove the concept</w:t>
      </w:r>
      <w:r w:rsidR="00EF6501">
        <w:t>.</w:t>
      </w:r>
      <w:r w:rsidR="005A0061">
        <w:t xml:space="preserve"> </w:t>
      </w:r>
      <w:r w:rsidR="00D70B9E">
        <w:t>Focus should shift</w:t>
      </w:r>
      <w:r w:rsidR="009803D7">
        <w:t xml:space="preserve"> </w:t>
      </w:r>
      <w:r w:rsidR="009C00C9">
        <w:t>to</w:t>
      </w:r>
      <w:r w:rsidR="00650DEF">
        <w:t xml:space="preserve"> address</w:t>
      </w:r>
      <w:r w:rsidR="003A389E">
        <w:t xml:space="preserve"> the</w:t>
      </w:r>
      <w:r w:rsidR="005A0061">
        <w:t xml:space="preserve"> needs </w:t>
      </w:r>
      <w:r w:rsidR="003A389E">
        <w:t>of</w:t>
      </w:r>
      <w:r w:rsidR="005A0061">
        <w:t xml:space="preserve"> high forest, less </w:t>
      </w:r>
      <w:r w:rsidR="00163C48">
        <w:t>advanced</w:t>
      </w:r>
      <w:r w:rsidR="005A0061">
        <w:t xml:space="preserve"> jurisdictions</w:t>
      </w:r>
      <w:r w:rsidR="00E8429A">
        <w:t xml:space="preserve"> (and High Forest Low Defor</w:t>
      </w:r>
      <w:r w:rsidR="0015307A">
        <w:t>e</w:t>
      </w:r>
      <w:r w:rsidR="00E8429A">
        <w:t xml:space="preserve">station </w:t>
      </w:r>
      <w:r w:rsidR="00402F6D">
        <w:t>Jurisdictions</w:t>
      </w:r>
      <w:r w:rsidR="00E8429A">
        <w:t>)</w:t>
      </w:r>
      <w:r w:rsidR="000E5070">
        <w:t>,</w:t>
      </w:r>
      <w:r w:rsidR="005A0061">
        <w:t xml:space="preserve"> to ensure they aren’t left behind</w:t>
      </w:r>
      <w:r w:rsidR="0067671F">
        <w:t xml:space="preserve"> and valuable forest</w:t>
      </w:r>
      <w:r w:rsidR="007106BB">
        <w:t xml:space="preserve">s lost for </w:t>
      </w:r>
      <w:r w:rsidR="00056564">
        <w:t>climate change mitigation and local adaptation</w:t>
      </w:r>
      <w:r w:rsidR="002C07EE">
        <w:t>.</w:t>
      </w:r>
      <w:r w:rsidR="005A0061">
        <w:t xml:space="preserve"> </w:t>
      </w:r>
      <w:r w:rsidR="00FC6FAB">
        <w:t xml:space="preserve">The UK Government should </w:t>
      </w:r>
      <w:r w:rsidR="008F25C2">
        <w:t>work more closely with standard setting bodies</w:t>
      </w:r>
      <w:r w:rsidR="00173BE0">
        <w:t xml:space="preserve"> </w:t>
      </w:r>
      <w:r w:rsidR="009D3176">
        <w:t>that</w:t>
      </w:r>
      <w:r w:rsidR="00173BE0">
        <w:t xml:space="preserve"> shape supply side practices</w:t>
      </w:r>
      <w:r w:rsidR="005A0061">
        <w:t xml:space="preserve"> – arguably </w:t>
      </w:r>
      <w:r w:rsidR="002433CC">
        <w:t>influencing</w:t>
      </w:r>
      <w:r w:rsidR="005A0061">
        <w:t xml:space="preserve"> the standards </w:t>
      </w:r>
      <w:r w:rsidR="002433CC">
        <w:t xml:space="preserve">and </w:t>
      </w:r>
      <w:r w:rsidR="00D916D1">
        <w:t>strengthening them will have the most lasting impact on the market</w:t>
      </w:r>
      <w:r w:rsidR="009D3176">
        <w:t>,</w:t>
      </w:r>
      <w:r w:rsidR="003F31D8">
        <w:t xml:space="preserve"> </w:t>
      </w:r>
      <w:r w:rsidR="00B12DF7">
        <w:t>which has</w:t>
      </w:r>
      <w:r w:rsidR="003F31D8">
        <w:t xml:space="preserve"> significant gaps on GEDSI, IP and LC issues. </w:t>
      </w:r>
    </w:p>
    <w:p w14:paraId="2C6D9A37" w14:textId="6C5B37DA" w:rsidR="00B575B1" w:rsidRDefault="002713EB" w:rsidP="0060489A">
      <w:r>
        <w:t>Being a first mover on jurisdictional REDD</w:t>
      </w:r>
      <w:r w:rsidR="0048429B">
        <w:t>+</w:t>
      </w:r>
      <w:r>
        <w:t xml:space="preserve"> is something all LEAF stakeholders should be proud of</w:t>
      </w:r>
      <w:r w:rsidR="00B83742">
        <w:t xml:space="preserve">, </w:t>
      </w:r>
      <w:r w:rsidR="009D3176">
        <w:t>as</w:t>
      </w:r>
      <w:r w:rsidR="00B83742">
        <w:t xml:space="preserve"> it takes courage to </w:t>
      </w:r>
      <w:r w:rsidR="002B0B64">
        <w:t>create</w:t>
      </w:r>
      <w:r w:rsidR="005E272D">
        <w:t xml:space="preserve"> something new and take risks in public</w:t>
      </w:r>
      <w:r>
        <w:t xml:space="preserve">. </w:t>
      </w:r>
      <w:r w:rsidR="00C259DE">
        <w:t>No one</w:t>
      </w:r>
      <w:r>
        <w:t xml:space="preserve"> knew what lay ahead </w:t>
      </w:r>
      <w:r w:rsidR="003E6A64">
        <w:t xml:space="preserve">and everyone took risks. </w:t>
      </w:r>
      <w:r w:rsidR="00814299">
        <w:t xml:space="preserve">This process evaluation has set out </w:t>
      </w:r>
      <w:r w:rsidR="005547B9">
        <w:t xml:space="preserve">a range of successes and </w:t>
      </w:r>
      <w:r w:rsidR="00FD3786">
        <w:t xml:space="preserve">failures. Failures are </w:t>
      </w:r>
      <w:r w:rsidR="00E27B18">
        <w:t xml:space="preserve">bound to happen in an untested space and </w:t>
      </w:r>
      <w:r w:rsidR="004270BB">
        <w:t>bring with it the opportunity to make change</w:t>
      </w:r>
      <w:r w:rsidR="001E5766">
        <w:t>s</w:t>
      </w:r>
      <w:r w:rsidR="00EA2026">
        <w:t xml:space="preserve"> based on effective learning</w:t>
      </w:r>
      <w:r w:rsidR="004270BB">
        <w:t xml:space="preserve">. </w:t>
      </w:r>
      <w:r w:rsidR="00DF51FB">
        <w:t xml:space="preserve">It is critical that </w:t>
      </w:r>
      <w:r w:rsidR="00555A4E">
        <w:t>learning and corrections happen fast.</w:t>
      </w:r>
      <w:r w:rsidR="00DF51FB">
        <w:t xml:space="preserve"> </w:t>
      </w:r>
      <w:r w:rsidR="00F75842">
        <w:t>Core improvements ar</w:t>
      </w:r>
      <w:r w:rsidR="004B39EC">
        <w:t xml:space="preserve">ound </w:t>
      </w:r>
      <w:r w:rsidR="005F4225">
        <w:t>simplifying</w:t>
      </w:r>
      <w:r w:rsidR="00763272" w:rsidRPr="00E813B0">
        <w:t xml:space="preserve"> </w:t>
      </w:r>
      <w:r w:rsidR="00413C02">
        <w:t xml:space="preserve">the </w:t>
      </w:r>
      <w:r w:rsidR="00763272" w:rsidRPr="00E813B0">
        <w:t>transaction architecture</w:t>
      </w:r>
      <w:r w:rsidR="004B39EC">
        <w:t xml:space="preserve">, </w:t>
      </w:r>
      <w:r w:rsidR="006F78FE">
        <w:t>improving</w:t>
      </w:r>
      <w:r w:rsidR="002327DB" w:rsidRPr="00E813B0">
        <w:t xml:space="preserve"> the process for benefit sharing</w:t>
      </w:r>
      <w:r w:rsidR="00BF7F1B">
        <w:t xml:space="preserve"> -</w:t>
      </w:r>
      <w:r w:rsidR="006F78FE">
        <w:t xml:space="preserve"> </w:t>
      </w:r>
      <w:r w:rsidR="00ED0C19">
        <w:t xml:space="preserve">supporting JREDD players </w:t>
      </w:r>
      <w:r w:rsidR="00644881">
        <w:t xml:space="preserve">to plan for future </w:t>
      </w:r>
      <w:r w:rsidR="00A7697C">
        <w:t>funding</w:t>
      </w:r>
      <w:r w:rsidR="00BF7F1B">
        <w:t xml:space="preserve">, </w:t>
      </w:r>
      <w:r w:rsidR="006F78FE">
        <w:t>addressing standards weaknesses on IP and LC and GEDSI</w:t>
      </w:r>
      <w:r w:rsidR="009D3176">
        <w:t>,</w:t>
      </w:r>
      <w:r w:rsidR="006F78FE">
        <w:t xml:space="preserve"> </w:t>
      </w:r>
      <w:r w:rsidR="006C7CEC">
        <w:t xml:space="preserve">strengthening the space for IP and LC issues within LEAF </w:t>
      </w:r>
      <w:r w:rsidR="00692461">
        <w:t xml:space="preserve">and including </w:t>
      </w:r>
      <w:r w:rsidR="009D3176">
        <w:t>c</w:t>
      </w:r>
      <w:r w:rsidR="00692461">
        <w:t xml:space="preserve">orporate accountability for their </w:t>
      </w:r>
      <w:r w:rsidR="009D3176">
        <w:t>n</w:t>
      </w:r>
      <w:r w:rsidR="00692461">
        <w:t xml:space="preserve">et </w:t>
      </w:r>
      <w:r w:rsidR="009D3176">
        <w:t>z</w:t>
      </w:r>
      <w:r w:rsidR="00692461">
        <w:t xml:space="preserve">ero pathways </w:t>
      </w:r>
      <w:r w:rsidR="006C7CEC">
        <w:t xml:space="preserve">will all bring </w:t>
      </w:r>
      <w:r w:rsidR="00683B6B">
        <w:t xml:space="preserve">significant </w:t>
      </w:r>
      <w:r w:rsidR="001C7134">
        <w:t xml:space="preserve">wins. </w:t>
      </w:r>
    </w:p>
    <w:p w14:paraId="148998E5" w14:textId="66277A9E" w:rsidR="00A36A4A" w:rsidRPr="00E813B0" w:rsidRDefault="00FA3BD7" w:rsidP="0060489A">
      <w:r>
        <w:t xml:space="preserve">Charting a path for </w:t>
      </w:r>
      <w:r w:rsidR="00F06285" w:rsidRPr="00E813B0">
        <w:t>countries</w:t>
      </w:r>
      <w:r w:rsidR="0044231B">
        <w:t xml:space="preserve"> </w:t>
      </w:r>
      <w:r w:rsidR="00F50248">
        <w:t>with lower development and governance indicators</w:t>
      </w:r>
      <w:r w:rsidR="0044231B">
        <w:t xml:space="preserve"> is</w:t>
      </w:r>
      <w:r w:rsidR="00F06285" w:rsidRPr="00E813B0">
        <w:t xml:space="preserve"> </w:t>
      </w:r>
      <w:r w:rsidR="001A0A68">
        <w:t>critical</w:t>
      </w:r>
      <w:r w:rsidR="009D3176">
        <w:t xml:space="preserve">. </w:t>
      </w:r>
      <w:r w:rsidR="00885517">
        <w:t>F</w:t>
      </w:r>
      <w:r w:rsidR="00F375D0">
        <w:t xml:space="preserve">inding </w:t>
      </w:r>
      <w:r w:rsidR="00232C90">
        <w:t xml:space="preserve">ways to bring them into the carbon market </w:t>
      </w:r>
      <w:r w:rsidR="00972B34">
        <w:t xml:space="preserve">where corporate players may be less </w:t>
      </w:r>
      <w:r w:rsidR="00F2478C">
        <w:t xml:space="preserve">interested </w:t>
      </w:r>
      <w:r w:rsidR="0032075E">
        <w:t xml:space="preserve">will </w:t>
      </w:r>
      <w:r w:rsidR="00212B10">
        <w:t>require creative thinking</w:t>
      </w:r>
      <w:r w:rsidR="00885517">
        <w:t>,</w:t>
      </w:r>
      <w:r w:rsidR="00387667">
        <w:t xml:space="preserve"> with a possible focus on ‘pooled</w:t>
      </w:r>
      <w:r w:rsidR="00B63553">
        <w:t xml:space="preserve"> corporate finance</w:t>
      </w:r>
      <w:r w:rsidR="00387667">
        <w:t>’ to reduc</w:t>
      </w:r>
      <w:r w:rsidR="00B63553">
        <w:t xml:space="preserve">e direct corporate </w:t>
      </w:r>
      <w:r w:rsidR="006016DD">
        <w:t>risks but</w:t>
      </w:r>
      <w:r w:rsidR="00D866CB">
        <w:t xml:space="preserve"> </w:t>
      </w:r>
      <w:r w:rsidR="00C259DE">
        <w:t xml:space="preserve">it </w:t>
      </w:r>
      <w:r w:rsidR="00D866CB">
        <w:t xml:space="preserve">is </w:t>
      </w:r>
      <w:r w:rsidR="00AA6530">
        <w:t xml:space="preserve">necessary to </w:t>
      </w:r>
      <w:r w:rsidR="00C259DE">
        <w:t>delivering</w:t>
      </w:r>
      <w:r w:rsidR="00FB6FDC">
        <w:t xml:space="preserve"> </w:t>
      </w:r>
      <w:r w:rsidR="001808A4">
        <w:t xml:space="preserve">a transparent and fair </w:t>
      </w:r>
      <w:r w:rsidR="00586B65">
        <w:t xml:space="preserve">market. </w:t>
      </w:r>
    </w:p>
    <w:p w14:paraId="5E10A452" w14:textId="7E4F2FF8" w:rsidR="009E4C12" w:rsidRPr="00E813B0" w:rsidRDefault="009A2A21" w:rsidP="0060489A">
      <w:r w:rsidRPr="00E813B0">
        <w:lastRenderedPageBreak/>
        <w:t>The UK, Norway, the USA and South Korea – through LEAF - have invested in the development and early implementation of innovative approaches and investments towards potential market-scale transformations.</w:t>
      </w:r>
      <w:r w:rsidR="00730338" w:rsidRPr="00E813B0">
        <w:t xml:space="preserve"> With declining ODA, the case for mobilising private climate finance at scale is </w:t>
      </w:r>
      <w:r w:rsidR="00E007D5" w:rsidRPr="00E813B0">
        <w:t xml:space="preserve">even more important. </w:t>
      </w:r>
      <w:r w:rsidR="007638C6">
        <w:t xml:space="preserve">LEAF has the potential to </w:t>
      </w:r>
      <w:r w:rsidR="000A226B">
        <w:t>be a catalysing agent in the market and donors should ensure they keep their eye on all of the market makers</w:t>
      </w:r>
      <w:r w:rsidR="00416229">
        <w:t xml:space="preserve"> </w:t>
      </w:r>
      <w:r w:rsidR="00627FE0">
        <w:t xml:space="preserve">– investing resources </w:t>
      </w:r>
      <w:r w:rsidR="00960954">
        <w:t xml:space="preserve">wisely to </w:t>
      </w:r>
      <w:r w:rsidR="0062464C">
        <w:t xml:space="preserve">ensure </w:t>
      </w:r>
      <w:r w:rsidR="002E5FD8">
        <w:t xml:space="preserve">public funds deliver the </w:t>
      </w:r>
      <w:r w:rsidR="00D31EDC">
        <w:t>strongest</w:t>
      </w:r>
      <w:r w:rsidR="005B1B3A">
        <w:t xml:space="preserve"> mitigation and developmental</w:t>
      </w:r>
      <w:r w:rsidR="00D31EDC">
        <w:t xml:space="preserve"> impacts</w:t>
      </w:r>
      <w:r w:rsidR="00F130C5">
        <w:t xml:space="preserve"> in diverse operational contexts</w:t>
      </w:r>
      <w:r w:rsidR="00D31EDC">
        <w:t xml:space="preserve">. </w:t>
      </w:r>
    </w:p>
    <w:p w14:paraId="3CAB6CD4" w14:textId="7EBF392D" w:rsidR="00775E76" w:rsidRPr="00E813B0" w:rsidRDefault="00F23580" w:rsidP="00775E76">
      <w:pPr>
        <w:pStyle w:val="Heading2"/>
      </w:pPr>
      <w:bookmarkStart w:id="101" w:name="_Toc204091229"/>
      <w:bookmarkStart w:id="102" w:name="_Toc209013305"/>
      <w:r w:rsidRPr="00E813B0">
        <w:t xml:space="preserve">3.3 </w:t>
      </w:r>
      <w:r w:rsidR="00775E76" w:rsidRPr="00E813B0">
        <w:t>Recommendations</w:t>
      </w:r>
      <w:bookmarkEnd w:id="101"/>
      <w:bookmarkEnd w:id="102"/>
    </w:p>
    <w:p w14:paraId="2C331D2C" w14:textId="7D9A50B3" w:rsidR="00BC31B4" w:rsidRPr="00E813B0" w:rsidRDefault="00626B1B" w:rsidP="00354CA9">
      <w:r w:rsidRPr="00626B1B">
        <w:t>The following recommendations are made based on evidence gathered in the process evaluation and the findings from the analysis. These recommendations refer to LEAF activity up to 2030 given the business case extension. A summary table of recommendations is noted below (</w:t>
      </w:r>
      <w:r w:rsidR="00BC31B4" w:rsidRPr="00E813B0">
        <w:fldChar w:fldCharType="begin"/>
      </w:r>
      <w:r w:rsidR="00BC31B4" w:rsidRPr="00E813B0">
        <w:instrText xml:space="preserve"> REF _Ref203479517 \h </w:instrText>
      </w:r>
      <w:r w:rsidR="00BC31B4" w:rsidRPr="00E813B0">
        <w:fldChar w:fldCharType="separate"/>
      </w:r>
      <w:r w:rsidR="006D459E" w:rsidRPr="00E813B0">
        <w:t xml:space="preserve">Table </w:t>
      </w:r>
      <w:r w:rsidR="00BC31B4" w:rsidRPr="00E813B0">
        <w:fldChar w:fldCharType="end"/>
      </w:r>
      <w:r w:rsidR="006D459E">
        <w:t>3</w:t>
      </w:r>
      <w:r w:rsidRPr="00626B1B">
        <w:t xml:space="preserve">) and a more detailed version is presented in Annex </w:t>
      </w:r>
      <w:r w:rsidR="001245FB" w:rsidRPr="00E813B0">
        <w:t>1</w:t>
      </w:r>
      <w:r w:rsidR="004C0A5D">
        <w:t>2</w:t>
      </w:r>
      <w:r w:rsidR="009652F1">
        <w:t xml:space="preserve">, alongside the ET’s rating of the risk if </w:t>
      </w:r>
      <w:r w:rsidR="000950FD">
        <w:t>not adopted</w:t>
      </w:r>
      <w:r w:rsidRPr="00626B1B">
        <w:t xml:space="preserve">. </w:t>
      </w:r>
    </w:p>
    <w:p w14:paraId="496FD9E9" w14:textId="631C9529" w:rsidR="00460B8A" w:rsidRDefault="00460B8A" w:rsidP="00460B8A">
      <w:pPr>
        <w:pStyle w:val="Caption"/>
        <w:keepNext/>
      </w:pPr>
      <w:bookmarkStart w:id="103" w:name="_Toc209019075"/>
      <w:r>
        <w:t xml:space="preserve">Table </w:t>
      </w:r>
      <w:fldSimple w:instr=" SEQ Table \* ARABIC ">
        <w:r>
          <w:rPr>
            <w:noProof/>
          </w:rPr>
          <w:t>3</w:t>
        </w:r>
      </w:fldSimple>
      <w:r w:rsidRPr="00492445">
        <w:t>: Evaluation Recommendations</w:t>
      </w:r>
      <w:bookmarkEnd w:id="103"/>
    </w:p>
    <w:tbl>
      <w:tblPr>
        <w:tblStyle w:val="Table-DarkblueBackground"/>
        <w:tblW w:w="0" w:type="auto"/>
        <w:tblLook w:val="04A0" w:firstRow="1" w:lastRow="0" w:firstColumn="1" w:lastColumn="0" w:noHBand="0" w:noVBand="1"/>
      </w:tblPr>
      <w:tblGrid>
        <w:gridCol w:w="350"/>
        <w:gridCol w:w="7438"/>
        <w:gridCol w:w="2294"/>
      </w:tblGrid>
      <w:tr w:rsidR="00C87A22" w:rsidRPr="00E813B0" w14:paraId="7B6A8AB9" w14:textId="77777777" w:rsidTr="00C87A22">
        <w:trPr>
          <w:cnfStyle w:val="100000000000" w:firstRow="1" w:lastRow="0" w:firstColumn="0" w:lastColumn="0" w:oddVBand="0" w:evenVBand="0" w:oddHBand="0" w:evenHBand="0" w:firstRowFirstColumn="0" w:firstRowLastColumn="0" w:lastRowFirstColumn="0" w:lastRowLastColumn="0"/>
          <w:trHeight w:val="691"/>
        </w:trPr>
        <w:tc>
          <w:tcPr>
            <w:tcW w:w="0" w:type="auto"/>
          </w:tcPr>
          <w:p w14:paraId="32091124" w14:textId="77777777" w:rsidR="00C87A22" w:rsidRPr="00626B1B" w:rsidRDefault="00C87A22" w:rsidP="00271095"/>
        </w:tc>
        <w:tc>
          <w:tcPr>
            <w:tcW w:w="7447" w:type="dxa"/>
          </w:tcPr>
          <w:p w14:paraId="60718180" w14:textId="717F0C55" w:rsidR="00C87A22" w:rsidRPr="00626B1B" w:rsidRDefault="00C87A22" w:rsidP="00271095">
            <w:r w:rsidRPr="00626B1B">
              <w:t>Recommendations (Short version)</w:t>
            </w:r>
          </w:p>
        </w:tc>
        <w:tc>
          <w:tcPr>
            <w:tcW w:w="2295" w:type="dxa"/>
          </w:tcPr>
          <w:p w14:paraId="7D81E63C" w14:textId="77777777" w:rsidR="00C87A22" w:rsidRPr="00626B1B" w:rsidRDefault="00C87A22" w:rsidP="00626B1B">
            <w:r w:rsidRPr="00626B1B">
              <w:t>Targeted audience</w:t>
            </w:r>
          </w:p>
        </w:tc>
      </w:tr>
      <w:tr w:rsidR="00152A43" w:rsidRPr="00626B1B" w14:paraId="44D557B9" w14:textId="77777777" w:rsidTr="00C87A22">
        <w:trPr>
          <w:trHeight w:val="1627"/>
        </w:trPr>
        <w:tc>
          <w:tcPr>
            <w:tcW w:w="0" w:type="auto"/>
          </w:tcPr>
          <w:p w14:paraId="6F8F5CAE" w14:textId="58CE4C0E" w:rsidR="00C87A22" w:rsidRPr="00626B1B" w:rsidRDefault="00C87A22" w:rsidP="00734B7D">
            <w:r>
              <w:t>1</w:t>
            </w:r>
          </w:p>
        </w:tc>
        <w:tc>
          <w:tcPr>
            <w:tcW w:w="7447" w:type="dxa"/>
          </w:tcPr>
          <w:p w14:paraId="75CA9339" w14:textId="25FE0352" w:rsidR="00C87A22" w:rsidRDefault="00C87A22" w:rsidP="00734B7D">
            <w:r w:rsidRPr="00626B1B">
              <w:t xml:space="preserve">DESNZ should strengthen programme management by appointing an enhanced independent </w:t>
            </w:r>
            <w:r>
              <w:t>body to support work on accountability and learning.</w:t>
            </w:r>
            <w:r w:rsidRPr="00626B1B">
              <w:t xml:space="preserve"> </w:t>
            </w:r>
            <w:r w:rsidR="007626EC">
              <w:t xml:space="preserve">Scope would also include enhanced tracking of VfM metrics. </w:t>
            </w:r>
            <w:r w:rsidRPr="00626B1B">
              <w:t xml:space="preserve">DESNZ should </w:t>
            </w:r>
            <w:r w:rsidR="00C9728C">
              <w:t>agree with Emergent</w:t>
            </w:r>
            <w:r w:rsidR="00966946">
              <w:t xml:space="preserve"> </w:t>
            </w:r>
            <w:r w:rsidR="00083BB6">
              <w:t xml:space="preserve">on </w:t>
            </w:r>
            <w:r w:rsidR="00966946">
              <w:t xml:space="preserve">a secure method to share sensitive LEAF documentation to improve transparency. </w:t>
            </w:r>
          </w:p>
          <w:p w14:paraId="0731308D" w14:textId="2EEB0661" w:rsidR="006C26D7" w:rsidRPr="00626B1B" w:rsidRDefault="006C26D7" w:rsidP="00734B7D">
            <w:r w:rsidRPr="006C26D7">
              <w:rPr>
                <w:lang w:eastAsia="en-US"/>
              </w:rPr>
              <w:t>DESNZ should adopt the recommended changes to the ToC and revise the logframe to create one overarching framework covering all programme activities</w:t>
            </w:r>
            <w:r w:rsidR="00C9728C">
              <w:t>.</w:t>
            </w:r>
          </w:p>
        </w:tc>
        <w:tc>
          <w:tcPr>
            <w:tcW w:w="2295" w:type="dxa"/>
          </w:tcPr>
          <w:p w14:paraId="052057CF" w14:textId="77777777" w:rsidR="00C87A22" w:rsidRPr="00626B1B" w:rsidRDefault="00C87A22" w:rsidP="00626B1B">
            <w:r w:rsidRPr="00626B1B">
              <w:t>DESNZ</w:t>
            </w:r>
          </w:p>
        </w:tc>
      </w:tr>
      <w:tr w:rsidR="00152A43" w:rsidRPr="00626B1B" w14:paraId="527B54DA" w14:textId="77777777" w:rsidTr="00C87A22">
        <w:tc>
          <w:tcPr>
            <w:tcW w:w="0" w:type="auto"/>
          </w:tcPr>
          <w:p w14:paraId="63B9507F" w14:textId="7D48A4CD" w:rsidR="00C87A22" w:rsidRPr="00626B1B" w:rsidRDefault="00C87A22" w:rsidP="00626B1B">
            <w:r>
              <w:t>2</w:t>
            </w:r>
          </w:p>
        </w:tc>
        <w:tc>
          <w:tcPr>
            <w:tcW w:w="7447" w:type="dxa"/>
          </w:tcPr>
          <w:p w14:paraId="47931E89" w14:textId="32683B57" w:rsidR="00C87A22" w:rsidRPr="00626B1B" w:rsidRDefault="00C87A22" w:rsidP="00626B1B">
            <w:r w:rsidRPr="00626B1B">
              <w:t>The UK Government should deepen coordinated action on forestry by leveraging the International Forest Unit and establishing country-level coordination platforms. Sovereign donors should adopt a more directive and explicit approach to the inclusion of Indigenous Peoples (IP) and Local Communities (LCs) in LEAF.</w:t>
            </w:r>
          </w:p>
        </w:tc>
        <w:tc>
          <w:tcPr>
            <w:tcW w:w="2295" w:type="dxa"/>
          </w:tcPr>
          <w:p w14:paraId="72074ECD" w14:textId="77777777" w:rsidR="00C87A22" w:rsidRPr="00626B1B" w:rsidRDefault="00C87A22" w:rsidP="00626B1B">
            <w:r w:rsidRPr="00626B1B">
              <w:t>DESNZ</w:t>
            </w:r>
          </w:p>
          <w:p w14:paraId="1D66F0EE" w14:textId="77777777" w:rsidR="00C87A22" w:rsidRPr="00626B1B" w:rsidRDefault="00C87A22" w:rsidP="00626B1B">
            <w:r w:rsidRPr="00626B1B">
              <w:t>FCDO</w:t>
            </w:r>
          </w:p>
          <w:p w14:paraId="1135A804" w14:textId="77777777" w:rsidR="00C87A22" w:rsidRPr="00626B1B" w:rsidRDefault="00C87A22" w:rsidP="00626B1B">
            <w:r w:rsidRPr="00626B1B">
              <w:t>Sovereign donors</w:t>
            </w:r>
          </w:p>
        </w:tc>
      </w:tr>
      <w:tr w:rsidR="00152A43" w:rsidRPr="00626B1B" w14:paraId="2B461A96" w14:textId="77777777" w:rsidTr="00C87A22">
        <w:tc>
          <w:tcPr>
            <w:tcW w:w="0" w:type="auto"/>
          </w:tcPr>
          <w:p w14:paraId="25B69C53" w14:textId="66E74601" w:rsidR="00C87A22" w:rsidRPr="00626B1B" w:rsidRDefault="00C87A22" w:rsidP="00626B1B">
            <w:r>
              <w:t>3</w:t>
            </w:r>
          </w:p>
        </w:tc>
        <w:tc>
          <w:tcPr>
            <w:tcW w:w="7447" w:type="dxa"/>
          </w:tcPr>
          <w:p w14:paraId="60732043" w14:textId="1838FB04" w:rsidR="00C87A22" w:rsidRPr="00626B1B" w:rsidRDefault="00C87A22" w:rsidP="00626B1B">
            <w:r w:rsidRPr="00626B1B">
              <w:t>LEAF should improve communications</w:t>
            </w:r>
            <w:r w:rsidR="00FA73EC">
              <w:t xml:space="preserve"> with core stakeholders (</w:t>
            </w:r>
            <w:r w:rsidR="00083BB6">
              <w:t>CPs</w:t>
            </w:r>
            <w:r w:rsidR="00FA73EC">
              <w:t xml:space="preserve"> and HJs) </w:t>
            </w:r>
            <w:r w:rsidRPr="00626B1B">
              <w:t>and explore new market options</w:t>
            </w:r>
            <w:r w:rsidR="00854744">
              <w:t>, e.g. compliance markets</w:t>
            </w:r>
            <w:r w:rsidRPr="00626B1B">
              <w:t>. It should develop tailored strategies for different regions.</w:t>
            </w:r>
            <w:r>
              <w:t xml:space="preserve"> </w:t>
            </w:r>
            <w:r w:rsidRPr="00626B1B">
              <w:t>It should enhance transparency in pricing and align more closely with national government priorities. LEAF should reform current practice on sensitive IP and LC issues and strengthen GEDSI aspects.</w:t>
            </w:r>
          </w:p>
        </w:tc>
        <w:tc>
          <w:tcPr>
            <w:tcW w:w="2295" w:type="dxa"/>
          </w:tcPr>
          <w:p w14:paraId="3BA987DA" w14:textId="77777777" w:rsidR="00C87A22" w:rsidRPr="00626B1B" w:rsidRDefault="00C87A22" w:rsidP="00626B1B">
            <w:r w:rsidRPr="00626B1B">
              <w:t>LEAF</w:t>
            </w:r>
          </w:p>
          <w:p w14:paraId="71CD840B" w14:textId="77777777" w:rsidR="00C87A22" w:rsidRPr="00626B1B" w:rsidRDefault="00C87A22" w:rsidP="00626B1B">
            <w:r w:rsidRPr="00626B1B">
              <w:t>Emergent</w:t>
            </w:r>
          </w:p>
          <w:p w14:paraId="744F8FA1" w14:textId="77777777" w:rsidR="00C87A22" w:rsidRPr="00626B1B" w:rsidRDefault="00C87A22" w:rsidP="00626B1B">
            <w:r w:rsidRPr="00626B1B">
              <w:t>DESNZ</w:t>
            </w:r>
          </w:p>
        </w:tc>
      </w:tr>
      <w:tr w:rsidR="00152A43" w:rsidRPr="00626B1B" w14:paraId="42610EA1" w14:textId="77777777" w:rsidTr="00C87A22">
        <w:tc>
          <w:tcPr>
            <w:tcW w:w="0" w:type="auto"/>
          </w:tcPr>
          <w:p w14:paraId="0E9C261E" w14:textId="5175862E" w:rsidR="00C87A22" w:rsidRPr="00626B1B" w:rsidRDefault="00C87A22" w:rsidP="00626B1B">
            <w:r>
              <w:lastRenderedPageBreak/>
              <w:t>4</w:t>
            </w:r>
          </w:p>
        </w:tc>
        <w:tc>
          <w:tcPr>
            <w:tcW w:w="7447" w:type="dxa"/>
          </w:tcPr>
          <w:p w14:paraId="3B76B326" w14:textId="1CC62213" w:rsidR="00C87A22" w:rsidRPr="00626B1B" w:rsidRDefault="00F0257D" w:rsidP="00626B1B">
            <w:r>
              <w:t xml:space="preserve">Increasing the value proposition for HJs - </w:t>
            </w:r>
            <w:r w:rsidR="00C87A22" w:rsidRPr="00626B1B">
              <w:t xml:space="preserve">LEAF should review its governance to enable greater involvement of </w:t>
            </w:r>
            <w:r w:rsidR="00C87A22">
              <w:t>HJ</w:t>
            </w:r>
            <w:r w:rsidR="00C87A22" w:rsidRPr="00E813B0">
              <w:t>s</w:t>
            </w:r>
            <w:r w:rsidR="00C87A22" w:rsidRPr="00626B1B">
              <w:t xml:space="preserve"> and increase transparency around advisory group membership and corporate commitments. Emergent should </w:t>
            </w:r>
            <w:r w:rsidR="00C87A22" w:rsidRPr="00E813B0">
              <w:t xml:space="preserve">further </w:t>
            </w:r>
            <w:r w:rsidR="00C87A22" w:rsidRPr="00626B1B">
              <w:t xml:space="preserve">simplify </w:t>
            </w:r>
            <w:r w:rsidR="00C87A22" w:rsidRPr="00E813B0">
              <w:t xml:space="preserve">the </w:t>
            </w:r>
            <w:r w:rsidR="00C87A22" w:rsidRPr="00626B1B">
              <w:t>transaction processes, clarify pricing and financial intermediary arrangements, and accelerate the establishment of clear insurance and dispute resolution mechanisms.</w:t>
            </w:r>
          </w:p>
        </w:tc>
        <w:tc>
          <w:tcPr>
            <w:tcW w:w="2295" w:type="dxa"/>
          </w:tcPr>
          <w:p w14:paraId="53C39DA8" w14:textId="77777777" w:rsidR="00C87A22" w:rsidRPr="00626B1B" w:rsidRDefault="00C87A22" w:rsidP="00626B1B">
            <w:r w:rsidRPr="00626B1B">
              <w:t>LEAF</w:t>
            </w:r>
          </w:p>
          <w:p w14:paraId="1284229B" w14:textId="77777777" w:rsidR="00C87A22" w:rsidRPr="00626B1B" w:rsidRDefault="00C87A22" w:rsidP="00626B1B">
            <w:r w:rsidRPr="00626B1B">
              <w:t>Emergent</w:t>
            </w:r>
          </w:p>
          <w:p w14:paraId="72304F59" w14:textId="77777777" w:rsidR="00C87A22" w:rsidRPr="00626B1B" w:rsidRDefault="00C87A22" w:rsidP="00626B1B"/>
        </w:tc>
      </w:tr>
      <w:tr w:rsidR="00152A43" w:rsidRPr="00626B1B" w14:paraId="7008BBD6" w14:textId="77777777" w:rsidTr="00C87A22">
        <w:tc>
          <w:tcPr>
            <w:tcW w:w="0" w:type="auto"/>
          </w:tcPr>
          <w:p w14:paraId="1946418D" w14:textId="4BD130FC" w:rsidR="00C87A22" w:rsidRPr="00626B1B" w:rsidRDefault="00C87A22" w:rsidP="00626B1B">
            <w:r>
              <w:t>5</w:t>
            </w:r>
          </w:p>
        </w:tc>
        <w:tc>
          <w:tcPr>
            <w:tcW w:w="7447" w:type="dxa"/>
          </w:tcPr>
          <w:p w14:paraId="207B15B9" w14:textId="7BA403DD" w:rsidR="00C87A22" w:rsidRPr="00626B1B" w:rsidRDefault="00C87A22" w:rsidP="00626B1B">
            <w:r w:rsidRPr="00626B1B">
              <w:t>Sovereign donors should streamline</w:t>
            </w:r>
            <w:r w:rsidR="00360826">
              <w:t>, scale up</w:t>
            </w:r>
            <w:r w:rsidRPr="00626B1B">
              <w:t xml:space="preserve"> and enhance technical assistance for </w:t>
            </w:r>
            <w:r>
              <w:t>HJ</w:t>
            </w:r>
            <w:r w:rsidRPr="00E813B0">
              <w:t>s</w:t>
            </w:r>
            <w:r w:rsidRPr="00626B1B">
              <w:t xml:space="preserve"> and wider stakeholders, ensuring support is efficient, longer-term with conscious capacity building, cost effective including the use of local experts and better aligned with programme needs. </w:t>
            </w:r>
            <w:r w:rsidR="00776A46">
              <w:t xml:space="preserve">Strengthened QA of TA and tracking costs would be advantageous. </w:t>
            </w:r>
            <w:r w:rsidR="00D92A6C">
              <w:t xml:space="preserve">Donors </w:t>
            </w:r>
            <w:r w:rsidRPr="00626B1B">
              <w:t>should explore sustainable financing options</w:t>
            </w:r>
            <w:r w:rsidR="00E2463B">
              <w:t xml:space="preserve">, e.g. </w:t>
            </w:r>
            <w:r w:rsidR="00806FF8">
              <w:t xml:space="preserve">if Emergent becomes profitable - </w:t>
            </w:r>
            <w:r w:rsidR="00E2463B">
              <w:t xml:space="preserve">using a percentage profit </w:t>
            </w:r>
            <w:r w:rsidR="00806FF8">
              <w:t>to fund TA</w:t>
            </w:r>
            <w:r w:rsidR="006D1667">
              <w:t xml:space="preserve"> or allocating a percentage of fees paid to Emergent to a fund for TA</w:t>
            </w:r>
            <w:r w:rsidRPr="00626B1B">
              <w:t>. TA providers should develop a joint 5-year TA plan.</w:t>
            </w:r>
          </w:p>
        </w:tc>
        <w:tc>
          <w:tcPr>
            <w:tcW w:w="2295" w:type="dxa"/>
          </w:tcPr>
          <w:p w14:paraId="2CFD2EE1" w14:textId="77777777" w:rsidR="00C87A22" w:rsidRPr="00626B1B" w:rsidRDefault="00C87A22" w:rsidP="00626B1B">
            <w:r w:rsidRPr="00626B1B">
              <w:t>Sovereign donors</w:t>
            </w:r>
          </w:p>
          <w:p w14:paraId="07FC2AF5" w14:textId="77777777" w:rsidR="00C87A22" w:rsidRPr="00626B1B" w:rsidRDefault="00C87A22" w:rsidP="00626B1B">
            <w:r w:rsidRPr="00626B1B">
              <w:t>TA providers</w:t>
            </w:r>
          </w:p>
        </w:tc>
      </w:tr>
      <w:tr w:rsidR="00152A43" w:rsidRPr="00626B1B" w14:paraId="67D7DAE6" w14:textId="77777777" w:rsidTr="00C87A22">
        <w:trPr>
          <w:trHeight w:val="2173"/>
        </w:trPr>
        <w:tc>
          <w:tcPr>
            <w:tcW w:w="0" w:type="auto"/>
          </w:tcPr>
          <w:p w14:paraId="218504DF" w14:textId="335111E2" w:rsidR="00C87A22" w:rsidRPr="00626B1B" w:rsidRDefault="00C87A22" w:rsidP="00626B1B">
            <w:r>
              <w:t>6</w:t>
            </w:r>
          </w:p>
        </w:tc>
        <w:tc>
          <w:tcPr>
            <w:tcW w:w="7447" w:type="dxa"/>
          </w:tcPr>
          <w:p w14:paraId="1A1B01D9" w14:textId="5F24CACD" w:rsidR="00C87A22" w:rsidRPr="00626B1B" w:rsidRDefault="00C87A22" w:rsidP="00626B1B">
            <w:r w:rsidRPr="00626B1B">
              <w:t>DESNZ, LEAF, the UK, and Norway should actively participate in the ART-TREES review, advocating for stronger verification, monitoring, and the inclusion of IP, LC, gender, and disability issues. LEAF and sovereign donors should also ensure better oversight of third-party verification to maintain high integrity and robust reporting.</w:t>
            </w:r>
          </w:p>
        </w:tc>
        <w:tc>
          <w:tcPr>
            <w:tcW w:w="2295" w:type="dxa"/>
          </w:tcPr>
          <w:p w14:paraId="1922941D" w14:textId="77777777" w:rsidR="00C87A22" w:rsidRPr="00626B1B" w:rsidRDefault="00C87A22" w:rsidP="00626B1B">
            <w:r w:rsidRPr="00626B1B">
              <w:t>DESNZ (on behalf of UK Government)</w:t>
            </w:r>
          </w:p>
          <w:p w14:paraId="5E98CB70" w14:textId="77777777" w:rsidR="00C87A22" w:rsidRPr="00626B1B" w:rsidRDefault="00C87A22" w:rsidP="00626B1B">
            <w:r w:rsidRPr="00626B1B">
              <w:t>Norway</w:t>
            </w:r>
          </w:p>
          <w:p w14:paraId="26C17CA7" w14:textId="77777777" w:rsidR="00C87A22" w:rsidRPr="00626B1B" w:rsidRDefault="00C87A22" w:rsidP="00626B1B">
            <w:r w:rsidRPr="00626B1B">
              <w:t>LEAF</w:t>
            </w:r>
          </w:p>
        </w:tc>
      </w:tr>
      <w:tr w:rsidR="00152A43" w:rsidRPr="00626B1B" w14:paraId="5E6DF657" w14:textId="77777777" w:rsidTr="00C87A22">
        <w:tc>
          <w:tcPr>
            <w:tcW w:w="0" w:type="auto"/>
          </w:tcPr>
          <w:p w14:paraId="6705E08E" w14:textId="4827D8E1" w:rsidR="00C87A22" w:rsidRPr="00626B1B" w:rsidRDefault="00C87A22" w:rsidP="00626B1B">
            <w:r>
              <w:t>7</w:t>
            </w:r>
          </w:p>
        </w:tc>
        <w:tc>
          <w:tcPr>
            <w:tcW w:w="7447" w:type="dxa"/>
          </w:tcPr>
          <w:p w14:paraId="5EF5874A" w14:textId="5375BDF9" w:rsidR="00C87A22" w:rsidRPr="00626B1B" w:rsidRDefault="00C87A22" w:rsidP="00626B1B">
            <w:r w:rsidRPr="00626B1B">
              <w:t xml:space="preserve">The UK Government should establish explicit pathways for </w:t>
            </w:r>
            <w:r>
              <w:t>less advanced c</w:t>
            </w:r>
            <w:r w:rsidRPr="00E813B0">
              <w:t>ountries</w:t>
            </w:r>
            <w:r w:rsidRPr="00626B1B">
              <w:t xml:space="preserve"> in future LEAF investments to prevent these high-forest, high-poverty countries from being left behind. It should also transparently demonstrate how UK </w:t>
            </w:r>
            <w:r>
              <w:t>ICF</w:t>
            </w:r>
            <w:r w:rsidRPr="00626B1B">
              <w:t xml:space="preserve"> spent through LEAF complies with legal requirements on poverty and gender.</w:t>
            </w:r>
          </w:p>
        </w:tc>
        <w:tc>
          <w:tcPr>
            <w:tcW w:w="2295" w:type="dxa"/>
          </w:tcPr>
          <w:p w14:paraId="0C5404A4" w14:textId="77777777" w:rsidR="00C87A22" w:rsidRPr="00626B1B" w:rsidRDefault="00C87A22" w:rsidP="00626B1B">
            <w:r w:rsidRPr="00626B1B">
              <w:t>DESNZ (on behalf of UK Government)</w:t>
            </w:r>
          </w:p>
          <w:p w14:paraId="0E42CA7E" w14:textId="77777777" w:rsidR="00C87A22" w:rsidRPr="00626B1B" w:rsidRDefault="00C87A22" w:rsidP="00626B1B">
            <w:r w:rsidRPr="00626B1B">
              <w:t>Norway</w:t>
            </w:r>
          </w:p>
          <w:p w14:paraId="335EFF1E" w14:textId="77777777" w:rsidR="00C87A22" w:rsidRPr="00626B1B" w:rsidRDefault="00C87A22" w:rsidP="00626B1B">
            <w:r w:rsidRPr="00626B1B">
              <w:t>LEAF</w:t>
            </w:r>
          </w:p>
        </w:tc>
      </w:tr>
    </w:tbl>
    <w:p w14:paraId="3462B279" w14:textId="581E8945" w:rsidR="00775E76" w:rsidRPr="00E813B0" w:rsidRDefault="00775E76">
      <w:pPr>
        <w:spacing w:after="160" w:line="259" w:lineRule="auto"/>
        <w:rPr>
          <w:rFonts w:eastAsiaTheme="majorEastAsia" w:cstheme="majorBidi"/>
          <w:color w:val="041E42"/>
          <w:sz w:val="36"/>
          <w:szCs w:val="26"/>
        </w:rPr>
      </w:pPr>
    </w:p>
    <w:sectPr w:rsidR="00775E76" w:rsidRPr="00E813B0" w:rsidSect="00303390">
      <w:pgSz w:w="11906" w:h="16838"/>
      <w:pgMar w:top="1418" w:right="907" w:bottom="907" w:left="907" w:header="709" w:footer="2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022994" w14:textId="77777777" w:rsidR="004A685D" w:rsidRPr="005513BF" w:rsidRDefault="004A685D" w:rsidP="00490BD3">
      <w:pPr>
        <w:spacing w:after="0"/>
      </w:pPr>
      <w:r w:rsidRPr="005513BF">
        <w:separator/>
      </w:r>
    </w:p>
  </w:endnote>
  <w:endnote w:type="continuationSeparator" w:id="0">
    <w:p w14:paraId="178017C3" w14:textId="77777777" w:rsidR="004A685D" w:rsidRPr="005513BF" w:rsidRDefault="004A685D" w:rsidP="00490BD3">
      <w:pPr>
        <w:spacing w:after="0"/>
      </w:pPr>
      <w:r w:rsidRPr="005513B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Sans-Serif">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2952F" w14:textId="7F75A151" w:rsidR="00FC1A03" w:rsidRPr="005513BF" w:rsidRDefault="00571C07" w:rsidP="00FC1A03">
    <w:pPr>
      <w:pStyle w:val="DESNZDate"/>
    </w:pPr>
    <w:r>
      <w:t>September</w:t>
    </w:r>
    <w:r w:rsidR="00A0050A" w:rsidRPr="005513BF">
      <w:t xml:space="preserve"> </w:t>
    </w:r>
    <w:r w:rsidR="00FC1A03" w:rsidRPr="005513BF">
      <w:t>20</w:t>
    </w:r>
    <w:r w:rsidR="00154AE8" w:rsidRPr="005513BF">
      <w:t>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5293848"/>
      <w:docPartObj>
        <w:docPartGallery w:val="Page Numbers (Bottom of Page)"/>
        <w:docPartUnique/>
      </w:docPartObj>
    </w:sdtPr>
    <w:sdtContent>
      <w:p w14:paraId="13B80BDA" w14:textId="334D8FE6" w:rsidR="00622364" w:rsidRPr="00622364" w:rsidRDefault="00622364">
        <w:pPr>
          <w:pStyle w:val="Footer"/>
        </w:pPr>
        <w:r w:rsidRPr="00622364">
          <w:fldChar w:fldCharType="begin"/>
        </w:r>
        <w:r w:rsidRPr="00622364">
          <w:instrText xml:space="preserve"> PAGE   \* MERGEFORMAT </w:instrText>
        </w:r>
        <w:r w:rsidRPr="00622364">
          <w:fldChar w:fldCharType="separate"/>
        </w:r>
        <w:r w:rsidRPr="00622364">
          <w:t>2</w:t>
        </w:r>
        <w:r w:rsidRPr="00622364">
          <w:fldChar w:fldCharType="end"/>
        </w:r>
      </w:p>
    </w:sdtContent>
  </w:sdt>
  <w:p w14:paraId="5FB0098E" w14:textId="77777777" w:rsidR="00EE178D" w:rsidRPr="005513BF" w:rsidRDefault="00EE178D" w:rsidP="00C26D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A7CE5" w14:textId="77777777" w:rsidR="004A685D" w:rsidRPr="005513BF" w:rsidRDefault="004A685D" w:rsidP="00490BD3">
      <w:pPr>
        <w:spacing w:after="0"/>
      </w:pPr>
      <w:r w:rsidRPr="005513BF">
        <w:separator/>
      </w:r>
    </w:p>
  </w:footnote>
  <w:footnote w:type="continuationSeparator" w:id="0">
    <w:p w14:paraId="3CBEAFDB" w14:textId="77777777" w:rsidR="004A685D" w:rsidRPr="005513BF" w:rsidRDefault="004A685D" w:rsidP="00490BD3">
      <w:pPr>
        <w:spacing w:after="0"/>
      </w:pPr>
      <w:r w:rsidRPr="005513BF">
        <w:continuationSeparator/>
      </w:r>
    </w:p>
  </w:footnote>
  <w:footnote w:id="1">
    <w:p w14:paraId="5CC7BA3B" w14:textId="689128D4" w:rsidR="00F3136F" w:rsidRDefault="00F3136F" w:rsidP="0086230A">
      <w:pPr>
        <w:pStyle w:val="Footer"/>
      </w:pPr>
      <w:r>
        <w:rPr>
          <w:rStyle w:val="FootnoteReference"/>
        </w:rPr>
        <w:footnoteRef/>
      </w:r>
      <w:r>
        <w:t xml:space="preserve"> </w:t>
      </w:r>
      <w:r w:rsidRPr="00F3136F">
        <w:t>TREES – The REDD+ Environmental Excellence Standard – is ART’s standard for the quantification, monitoring, reporting and verification of Greenhouse Gas (GHG) emission reductions and removals from REDD+ activities at a jurisdictional and national scale.</w:t>
      </w:r>
      <w:r w:rsidR="004C7ECA">
        <w:t xml:space="preserve"> </w:t>
      </w:r>
      <w:hyperlink r:id="rId1" w:history="1">
        <w:r w:rsidR="00D73AC4" w:rsidRPr="00D1569E">
          <w:rPr>
            <w:rStyle w:val="Hyperlink"/>
            <w:color w:val="auto"/>
            <w:u w:val="none"/>
          </w:rPr>
          <w:t>https://www.artredd.org/trees/</w:t>
        </w:r>
      </w:hyperlink>
    </w:p>
  </w:footnote>
  <w:footnote w:id="2">
    <w:p w14:paraId="24F3CDD1" w14:textId="77777777" w:rsidR="0091792F" w:rsidRPr="00B937C6" w:rsidRDefault="0091792F" w:rsidP="009316CA">
      <w:pPr>
        <w:pStyle w:val="Footer"/>
      </w:pPr>
      <w:r w:rsidRPr="00B937C6">
        <w:rPr>
          <w:rStyle w:val="FootnoteReference"/>
          <w:rFonts w:asciiTheme="majorHAnsi" w:hAnsiTheme="majorHAnsi" w:cstheme="majorHAnsi"/>
          <w:color w:val="000000" w:themeColor="text1"/>
          <w:szCs w:val="18"/>
        </w:rPr>
        <w:footnoteRef/>
      </w:r>
      <w:r w:rsidRPr="00B937C6">
        <w:t xml:space="preserve"> </w:t>
      </w:r>
      <w:r w:rsidRPr="00D50B7F">
        <w:t>BEIS, 2021. LEAF Business Case.</w:t>
      </w:r>
    </w:p>
  </w:footnote>
  <w:footnote w:id="3">
    <w:p w14:paraId="382B831F" w14:textId="77777777" w:rsidR="0091792F" w:rsidRPr="00B937C6" w:rsidRDefault="0091792F" w:rsidP="0086230A">
      <w:pPr>
        <w:pStyle w:val="Footer"/>
        <w:rPr>
          <w:sz w:val="18"/>
        </w:rPr>
      </w:pPr>
      <w:r w:rsidRPr="00B937C6">
        <w:rPr>
          <w:rStyle w:val="FooterChar"/>
          <w:rFonts w:asciiTheme="majorHAnsi" w:hAnsiTheme="majorHAnsi" w:cstheme="majorHAnsi"/>
          <w:color w:val="000000" w:themeColor="text1"/>
          <w:szCs w:val="18"/>
        </w:rPr>
        <w:footnoteRef/>
      </w:r>
      <w:r w:rsidRPr="00B937C6">
        <w:rPr>
          <w:rStyle w:val="FooterChar"/>
          <w:rFonts w:asciiTheme="majorHAnsi" w:hAnsiTheme="majorHAnsi" w:cstheme="majorHAnsi"/>
          <w:color w:val="000000" w:themeColor="text1"/>
          <w:szCs w:val="18"/>
        </w:rPr>
        <w:t xml:space="preserve"> </w:t>
      </w:r>
      <w:r w:rsidRPr="00D50B7F">
        <w:rPr>
          <w:rStyle w:val="FooterChar"/>
        </w:rPr>
        <w:t>ART (Architecture for Redd+ Standards) is an independent organization that creates the rules under which carbon credits are issued. TREES is the first purely jurisdictional carbon credit standard, created by ART. It ensures that deforestation reductions are more likely to be permanent (</w:t>
      </w:r>
      <w:hyperlink r:id="rId2" w:history="1">
        <w:r w:rsidRPr="00D50B7F">
          <w:rPr>
            <w:rStyle w:val="FooterChar"/>
          </w:rPr>
          <w:t>https://emergentclimate.com/how-we-work/</w:t>
        </w:r>
      </w:hyperlink>
      <w:r w:rsidRPr="00D50B7F">
        <w:rPr>
          <w:rStyle w:val="FooterChar"/>
        </w:rPr>
        <w:t>)</w:t>
      </w:r>
      <w:r w:rsidRPr="00B937C6">
        <w:rPr>
          <w:sz w:val="18"/>
        </w:rPr>
        <w:t xml:space="preserve"> </w:t>
      </w:r>
    </w:p>
  </w:footnote>
  <w:footnote w:id="4">
    <w:p w14:paraId="2FF0BBE2" w14:textId="3F3B653C" w:rsidR="00E14ECD" w:rsidRDefault="00E14ECD">
      <w:pPr>
        <w:pStyle w:val="FootnoteText"/>
      </w:pPr>
      <w:r>
        <w:rPr>
          <w:rStyle w:val="FootnoteReference"/>
        </w:rPr>
        <w:footnoteRef/>
      </w:r>
      <w:r>
        <w:t xml:space="preserve"> </w:t>
      </w:r>
      <w:r w:rsidR="00E958F4">
        <w:t xml:space="preserve">Airbnb, </w:t>
      </w:r>
      <w:r w:rsidRPr="00E14ECD">
        <w:t xml:space="preserve">Amazon, Bayer, </w:t>
      </w:r>
      <w:r w:rsidR="009122EE" w:rsidRPr="009122EE">
        <w:t>Boston Consulting Group</w:t>
      </w:r>
      <w:r w:rsidR="00250AD3">
        <w:t>,</w:t>
      </w:r>
      <w:r w:rsidR="00E958F4">
        <w:t xml:space="preserve"> Burberry,</w:t>
      </w:r>
      <w:r w:rsidR="00250AD3">
        <w:t xml:space="preserve"> </w:t>
      </w:r>
      <w:r w:rsidRPr="00E14ECD">
        <w:t>Capgemini, Delta Air Lines, E.ON,</w:t>
      </w:r>
      <w:r w:rsidR="00250AD3">
        <w:t xml:space="preserve"> EY,</w:t>
      </w:r>
      <w:r w:rsidRPr="00E14ECD">
        <w:t xml:space="preserve"> GSK, H&amp;M Group,</w:t>
      </w:r>
      <w:r w:rsidR="00E958F4">
        <w:t xml:space="preserve"> Inditex, Intertek,</w:t>
      </w:r>
      <w:r w:rsidRPr="00E14ECD">
        <w:t xml:space="preserve"> </w:t>
      </w:r>
      <w:r w:rsidR="002A1560">
        <w:t xml:space="preserve">Landsec, </w:t>
      </w:r>
      <w:r w:rsidRPr="00E14ECD">
        <w:t>McKinsey &amp; Company, Nestlé, PwC, Salesforce,</w:t>
      </w:r>
      <w:r w:rsidR="00232793">
        <w:t xml:space="preserve"> SAP</w:t>
      </w:r>
      <w:r w:rsidR="0051709B">
        <w:t>,</w:t>
      </w:r>
      <w:r w:rsidRPr="00E14ECD">
        <w:t xml:space="preserve"> Unilever, Volkswagen Group, Walmart</w:t>
      </w:r>
      <w:r w:rsidR="002A1560">
        <w:t xml:space="preserve"> and Zurich</w:t>
      </w:r>
      <w:r w:rsidRPr="00E14ECD">
        <w:t>.</w:t>
      </w:r>
    </w:p>
  </w:footnote>
  <w:footnote w:id="5">
    <w:p w14:paraId="784F5E00" w14:textId="1E6D66A0" w:rsidR="00875699" w:rsidRPr="00EE24AE" w:rsidRDefault="00875699" w:rsidP="00F365A3">
      <w:pPr>
        <w:pStyle w:val="Footer"/>
      </w:pPr>
      <w:r>
        <w:rPr>
          <w:rStyle w:val="FootnoteReference"/>
        </w:rPr>
        <w:footnoteRef/>
      </w:r>
      <w:r w:rsidRPr="00EE24AE">
        <w:t xml:space="preserve"> Source – </w:t>
      </w:r>
      <w:r w:rsidR="00EE24AE">
        <w:t xml:space="preserve">data was taken from </w:t>
      </w:r>
      <w:hyperlink r:id="rId3" w:history="1">
        <w:r w:rsidR="00EE24AE" w:rsidRPr="00EE24AE">
          <w:rPr>
            <w:rStyle w:val="Hyperlink"/>
          </w:rPr>
          <w:t>https://emergentclimate.com/leaf-coalition/</w:t>
        </w:r>
      </w:hyperlink>
      <w:r w:rsidR="00344027" w:rsidRPr="00EE24AE">
        <w:t xml:space="preserve"> </w:t>
      </w:r>
      <w:r w:rsidR="00344027">
        <w:t xml:space="preserve">[Accessed </w:t>
      </w:r>
      <w:r w:rsidR="00EE24AE">
        <w:t>July 22</w:t>
      </w:r>
      <w:r w:rsidR="00EE24AE" w:rsidRPr="001B5440">
        <w:rPr>
          <w:vertAlign w:val="superscript"/>
        </w:rPr>
        <w:t>nd</w:t>
      </w:r>
      <w:r w:rsidR="00873ED6">
        <w:t>, 2025</w:t>
      </w:r>
      <w:r w:rsidR="00EE24AE">
        <w:t>]</w:t>
      </w:r>
      <w:r w:rsidRPr="00EE24AE">
        <w:t xml:space="preserve">. </w:t>
      </w:r>
      <w:r w:rsidR="00EE24AE">
        <w:t xml:space="preserve">Image was </w:t>
      </w:r>
      <w:r w:rsidR="00786241">
        <w:t>developed by IOD PARC.</w:t>
      </w:r>
    </w:p>
  </w:footnote>
  <w:footnote w:id="6">
    <w:p w14:paraId="3DE64305" w14:textId="1EC63D00" w:rsidR="008C04F1" w:rsidRDefault="008C04F1">
      <w:pPr>
        <w:pStyle w:val="FootnoteText"/>
      </w:pPr>
      <w:r>
        <w:rPr>
          <w:rStyle w:val="FootnoteReference"/>
        </w:rPr>
        <w:footnoteRef/>
      </w:r>
      <w:r>
        <w:t xml:space="preserve"> </w:t>
      </w:r>
      <w:r w:rsidR="006016DD" w:rsidRPr="00A7439A">
        <w:t>Emergent,</w:t>
      </w:r>
      <w:r w:rsidR="00A7439A" w:rsidRPr="00A7439A">
        <w:t xml:space="preserve"> 2022, Call for Proposals Terms 3rd Window</w:t>
      </w:r>
    </w:p>
  </w:footnote>
  <w:footnote w:id="7">
    <w:p w14:paraId="27E819EF" w14:textId="7B692D6F" w:rsidR="00F851AE" w:rsidRDefault="00F851AE" w:rsidP="00F365A3">
      <w:pPr>
        <w:pStyle w:val="Footer"/>
      </w:pPr>
      <w:r>
        <w:rPr>
          <w:rStyle w:val="FootnoteReference"/>
        </w:rPr>
        <w:footnoteRef/>
      </w:r>
      <w:r>
        <w:t xml:space="preserve"> </w:t>
      </w:r>
      <w:r w:rsidRPr="00F851AE">
        <w:t>including the Forest Carbon Partnership Facility, BioCarbon Fund ISFL, Forest &amp; Climate Leaders’ Partnership (FCLP), and others like AMDTF, AMCAT and FGMC. FGMC was most referenced by informants</w:t>
      </w:r>
      <w:r>
        <w:t xml:space="preserve">. LEAF complements </w:t>
      </w:r>
      <w:r w:rsidR="00805FC4">
        <w:t xml:space="preserve">other carbon market initiatives supported by the UK including VCMI and TSVCM. </w:t>
      </w:r>
      <w:r w:rsidR="005865AA">
        <w:t xml:space="preserve">On Norway - </w:t>
      </w:r>
      <w:r w:rsidR="005865AA" w:rsidRPr="005865AA">
        <w:t>Mobilizing large-scale climate finance for reduced deforestation has been a key priority for NICFI since 2008</w:t>
      </w:r>
      <w:r w:rsidR="005865AA">
        <w:t>.</w:t>
      </w:r>
    </w:p>
  </w:footnote>
  <w:footnote w:id="8">
    <w:p w14:paraId="5ED8D3AC" w14:textId="77777777" w:rsidR="00F8091B" w:rsidRDefault="00F8091B" w:rsidP="00F365A3">
      <w:pPr>
        <w:pStyle w:val="Footer"/>
      </w:pPr>
      <w:r>
        <w:rPr>
          <w:rStyle w:val="FootnoteReference"/>
        </w:rPr>
        <w:footnoteRef/>
      </w:r>
      <w:r>
        <w:t xml:space="preserve"> </w:t>
      </w:r>
      <w:r w:rsidRPr="00F00892">
        <w:t>CIFOR, 2021, REDD+ Safeguards at a glance. Conservation International, 2021, Literature Review of Best Practices for REDD+ Social Safeguards. UNDP, 2024, Emerging Lessons from Social and Environmental Safeguards Assessments for ART TREES Certification in the States of the Brazilian Amazon</w:t>
      </w:r>
      <w:r>
        <w:t>.</w:t>
      </w:r>
    </w:p>
  </w:footnote>
  <w:footnote w:id="9">
    <w:p w14:paraId="371D69C0" w14:textId="363DA459" w:rsidR="000B21CC" w:rsidRDefault="000B21CC" w:rsidP="00F365A3">
      <w:pPr>
        <w:pStyle w:val="Footer"/>
      </w:pPr>
      <w:r>
        <w:rPr>
          <w:rStyle w:val="FootnoteReference"/>
        </w:rPr>
        <w:footnoteRef/>
      </w:r>
      <w:r>
        <w:t xml:space="preserve"> </w:t>
      </w:r>
      <w:r w:rsidRPr="007D7CAE">
        <w:t xml:space="preserve">UN-REDD Programme. 2024. </w:t>
      </w:r>
      <w:r>
        <w:t>“</w:t>
      </w:r>
      <w:r w:rsidRPr="007D7CAE">
        <w:t>NDC Engagement and Forest Solutions: REDD+ Contributions to Nationally Determined Contributions.</w:t>
      </w:r>
      <w:r>
        <w:t>”</w:t>
      </w:r>
    </w:p>
  </w:footnote>
  <w:footnote w:id="10">
    <w:p w14:paraId="2B87ABFF" w14:textId="23690DAF" w:rsidR="00485E50" w:rsidRDefault="00485E50" w:rsidP="00F365A3">
      <w:pPr>
        <w:pStyle w:val="Footer"/>
      </w:pPr>
      <w:r>
        <w:rPr>
          <w:rStyle w:val="FootnoteReference"/>
        </w:rPr>
        <w:footnoteRef/>
      </w:r>
      <w:r>
        <w:t xml:space="preserve"> The scope of this process evaluation covers the implementation period of the LEAF Coalition, not the pre business case/design stage – therefore no comments are made on </w:t>
      </w:r>
      <w:r w:rsidR="00E3025C">
        <w:t xml:space="preserve">how </w:t>
      </w:r>
      <w:r w:rsidR="00605F6E">
        <w:t xml:space="preserve">the model of delivery of the LEAF Coalition and associated UK TA was agreed. </w:t>
      </w:r>
    </w:p>
  </w:footnote>
  <w:footnote w:id="11">
    <w:p w14:paraId="76D6D5FA" w14:textId="76669F66" w:rsidR="00697B0C" w:rsidRDefault="00697B0C" w:rsidP="00F365A3">
      <w:pPr>
        <w:pStyle w:val="Footer"/>
      </w:pPr>
      <w:r>
        <w:rPr>
          <w:rStyle w:val="FootnoteReference"/>
        </w:rPr>
        <w:footnoteRef/>
      </w:r>
      <w:r>
        <w:t xml:space="preserve"> Whilst noting earlier concerns over weak IP and LC elements. </w:t>
      </w:r>
    </w:p>
  </w:footnote>
  <w:footnote w:id="12">
    <w:p w14:paraId="17C627C6" w14:textId="2A1C4282" w:rsidR="001D2EC8" w:rsidRDefault="001D2EC8" w:rsidP="00F365A3">
      <w:pPr>
        <w:pStyle w:val="Footer"/>
      </w:pPr>
      <w:r>
        <w:rPr>
          <w:rStyle w:val="FootnoteReference"/>
        </w:rPr>
        <w:footnoteRef/>
      </w:r>
      <w:r>
        <w:t xml:space="preserve"> </w:t>
      </w:r>
      <w:r w:rsidRPr="001D2EC8">
        <w:t>https://tsapps.nist.gov/publication/get_pdf.cfm?pub_id=957721</w:t>
      </w:r>
    </w:p>
  </w:footnote>
  <w:footnote w:id="13">
    <w:p w14:paraId="133B5794" w14:textId="7E19372F" w:rsidR="00D62CBB" w:rsidRDefault="00D62CBB" w:rsidP="00F365A3">
      <w:pPr>
        <w:pStyle w:val="Footer"/>
      </w:pPr>
      <w:r>
        <w:rPr>
          <w:rStyle w:val="FootnoteReference"/>
        </w:rPr>
        <w:footnoteRef/>
      </w:r>
      <w:r>
        <w:t xml:space="preserve"> </w:t>
      </w:r>
      <w:r w:rsidR="0002712E">
        <w:t>It is worth</w:t>
      </w:r>
      <w:r w:rsidR="00717EBE">
        <w:t xml:space="preserve"> noting that </w:t>
      </w:r>
      <w:r w:rsidR="00600FEB">
        <w:t xml:space="preserve">a foundational </w:t>
      </w:r>
      <w:r w:rsidR="00796561">
        <w:t xml:space="preserve">element of benefit sharing processes is access to the </w:t>
      </w:r>
      <w:r w:rsidR="00F37BF4">
        <w:t xml:space="preserve">volumes of finance being transacted. </w:t>
      </w:r>
    </w:p>
  </w:footnote>
  <w:footnote w:id="14">
    <w:p w14:paraId="68FC3A72" w14:textId="05A38A50" w:rsidR="00E54EC0" w:rsidRPr="00E54EC0" w:rsidRDefault="00E54EC0" w:rsidP="00B02F56">
      <w:pPr>
        <w:pStyle w:val="Footer"/>
      </w:pPr>
      <w:r>
        <w:rPr>
          <w:rStyle w:val="FootnoteReference"/>
        </w:rPr>
        <w:footnoteRef/>
      </w:r>
      <w:r>
        <w:t xml:space="preserve"> These relate to fees on external supplier costs. </w:t>
      </w:r>
    </w:p>
  </w:footnote>
  <w:footnote w:id="15">
    <w:p w14:paraId="10C86FDF" w14:textId="6D017FF9" w:rsidR="00A90063" w:rsidRPr="00A90063" w:rsidRDefault="00A90063" w:rsidP="00B02F56">
      <w:pPr>
        <w:pStyle w:val="Footer"/>
      </w:pPr>
      <w:r>
        <w:rPr>
          <w:rStyle w:val="FootnoteReference"/>
        </w:rPr>
        <w:footnoteRef/>
      </w:r>
      <w:r>
        <w:t xml:space="preserve"> Part of BA1 costs </w:t>
      </w:r>
      <w:r w:rsidR="0084515B">
        <w:t xml:space="preserve">relate to Winrock and CLP </w:t>
      </w:r>
      <w:r w:rsidR="00D609F7">
        <w:t>fees</w:t>
      </w:r>
      <w:r w:rsidR="0084515B">
        <w:t>.</w:t>
      </w:r>
    </w:p>
  </w:footnote>
  <w:footnote w:id="16">
    <w:p w14:paraId="1421B99F" w14:textId="25721609" w:rsidR="00E34BE7" w:rsidRPr="00E34BE7" w:rsidRDefault="00E34BE7" w:rsidP="00B02F56">
      <w:pPr>
        <w:pStyle w:val="Footer"/>
      </w:pPr>
      <w:r>
        <w:rPr>
          <w:rStyle w:val="FootnoteReference"/>
        </w:rPr>
        <w:footnoteRef/>
      </w:r>
      <w:r>
        <w:t xml:space="preserve"> BA2 mainly relates to costs incurred by Winrock and CLP.</w:t>
      </w:r>
    </w:p>
  </w:footnote>
  <w:footnote w:id="17">
    <w:p w14:paraId="75C9BAD0" w14:textId="09C88C4C" w:rsidR="00A6676B" w:rsidRDefault="00A6676B" w:rsidP="00F365A3">
      <w:pPr>
        <w:pStyle w:val="Footer"/>
      </w:pPr>
      <w:r>
        <w:rPr>
          <w:rStyle w:val="FootnoteReference"/>
        </w:rPr>
        <w:footnoteRef/>
      </w:r>
      <w:r>
        <w:t xml:space="preserve"> </w:t>
      </w:r>
      <w:r w:rsidR="00CC4044">
        <w:t xml:space="preserve">E.g. where Emergent or TA partners are </w:t>
      </w:r>
      <w:r w:rsidR="00001AB7">
        <w:t xml:space="preserve">entering into new government relationships or </w:t>
      </w:r>
      <w:r w:rsidR="00CC4044">
        <w:t xml:space="preserve">experiencing delays – where appropriate </w:t>
      </w:r>
      <w:r w:rsidR="00202C13">
        <w:t xml:space="preserve">access could be speeded up by using UK Embassy staff </w:t>
      </w:r>
      <w:r w:rsidR="00737EAE">
        <w:t xml:space="preserve">to support Government </w:t>
      </w:r>
      <w:r w:rsidR="008C15A3">
        <w:t>connections</w:t>
      </w:r>
      <w:r w:rsidR="00383605">
        <w:t>.</w:t>
      </w:r>
    </w:p>
  </w:footnote>
  <w:footnote w:id="18">
    <w:p w14:paraId="777BAB9A" w14:textId="76ACBD99" w:rsidR="00F00892" w:rsidRDefault="00F00892" w:rsidP="00F365A3">
      <w:pPr>
        <w:pStyle w:val="Footer"/>
      </w:pPr>
      <w:r>
        <w:rPr>
          <w:rStyle w:val="FootnoteReference"/>
        </w:rPr>
        <w:footnoteRef/>
      </w:r>
      <w:r>
        <w:t xml:space="preserve"> </w:t>
      </w:r>
      <w:r w:rsidRPr="00F00892">
        <w:t>UN, 2022, Report of the Permanent Forum on Indigenous Issues on its 21st session (25 April–6 May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5DB5E" w14:textId="77777777" w:rsidR="00490BD3" w:rsidRPr="005513BF" w:rsidRDefault="002A0759" w:rsidP="00FC1A03">
    <w:pPr>
      <w:pStyle w:val="Header"/>
      <w:ind w:left="-142"/>
    </w:pPr>
    <w:r w:rsidRPr="005513BF">
      <w:rPr>
        <w:noProof/>
        <w:lang w:eastAsia="en-GB"/>
      </w:rPr>
      <w:drawing>
        <wp:anchor distT="0" distB="0" distL="114300" distR="114300" simplePos="0" relativeHeight="251658240" behindDoc="0" locked="0" layoutInCell="1" allowOverlap="1" wp14:anchorId="322AA66F" wp14:editId="293FC67E">
          <wp:simplePos x="0" y="0"/>
          <wp:positionH relativeFrom="column">
            <wp:posOffset>-45449</wp:posOffset>
          </wp:positionH>
          <wp:positionV relativeFrom="paragraph">
            <wp:posOffset>-62865</wp:posOffset>
          </wp:positionV>
          <wp:extent cx="2096996" cy="1180800"/>
          <wp:effectExtent l="0" t="0" r="0" b="635"/>
          <wp:wrapNone/>
          <wp:docPr id="95776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76663" name="Picture 95776663"/>
                  <pic:cNvPicPr/>
                </pic:nvPicPr>
                <pic:blipFill rotWithShape="1">
                  <a:blip r:embed="rId1">
                    <a:extLst>
                      <a:ext uri="{28A0092B-C50C-407E-A947-70E740481C1C}">
                        <a14:useLocalDpi xmlns:a14="http://schemas.microsoft.com/office/drawing/2010/main" val="0"/>
                      </a:ext>
                    </a:extLst>
                  </a:blip>
                  <a:srcRect l="13848" t="18111" b="18081"/>
                  <a:stretch/>
                </pic:blipFill>
                <pic:spPr bwMode="auto">
                  <a:xfrm>
                    <a:off x="0" y="0"/>
                    <a:ext cx="2096996" cy="118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C5DA3" w14:textId="6E0ACDAD" w:rsidR="00490BD3" w:rsidRPr="005513BF" w:rsidRDefault="00490BD3" w:rsidP="00582C8C">
    <w:pPr>
      <w:pStyle w:val="Header"/>
      <w:ind w:left="-567"/>
      <w:rPr>
        <w:color w:val="041E42"/>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CF9A6" w14:textId="21DF2601" w:rsidR="0038306A" w:rsidRPr="00535EF0" w:rsidRDefault="00535EF0" w:rsidP="00C26D9C">
    <w:pPr>
      <w:pStyle w:val="Header"/>
      <w:pBdr>
        <w:bottom w:val="single" w:sz="2" w:space="3" w:color="2B7EE2"/>
      </w:pBdr>
      <w:rPr>
        <w:color w:val="041E42"/>
        <w:sz w:val="22"/>
      </w:rPr>
    </w:pPr>
    <w:r w:rsidRPr="00535EF0">
      <w:rPr>
        <w:sz w:val="22"/>
      </w:rPr>
      <w:t xml:space="preserve">Independent </w:t>
    </w:r>
    <w:r w:rsidR="006E1DAC">
      <w:rPr>
        <w:sz w:val="22"/>
      </w:rPr>
      <w:t>e</w:t>
    </w:r>
    <w:r w:rsidR="006E1DAC" w:rsidRPr="00535EF0">
      <w:rPr>
        <w:sz w:val="22"/>
      </w:rPr>
      <w:t xml:space="preserve">valuation </w:t>
    </w:r>
    <w:r w:rsidRPr="00535EF0">
      <w:rPr>
        <w:sz w:val="22"/>
      </w:rPr>
      <w:t>of the UK's contribution to the LEAF Coalition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4B4CD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FC0B5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10A7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CA8BE1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E8472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4E2B2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D8A4C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9A857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3650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F2CB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DD260A"/>
    <w:multiLevelType w:val="hybridMultilevel"/>
    <w:tmpl w:val="F2EA8F9E"/>
    <w:lvl w:ilvl="0" w:tplc="2EF00A4A">
      <w:start w:val="1"/>
      <w:numFmt w:val="bullet"/>
      <w:lvlText w:val="•"/>
      <w:lvlJc w:val="left"/>
      <w:pPr>
        <w:tabs>
          <w:tab w:val="num" w:pos="720"/>
        </w:tabs>
        <w:ind w:left="720" w:hanging="360"/>
      </w:pPr>
      <w:rPr>
        <w:rFonts w:ascii="Arial" w:hAnsi="Arial" w:hint="default"/>
      </w:rPr>
    </w:lvl>
    <w:lvl w:ilvl="1" w:tplc="FFBEC0C2" w:tentative="1">
      <w:start w:val="1"/>
      <w:numFmt w:val="bullet"/>
      <w:lvlText w:val="•"/>
      <w:lvlJc w:val="left"/>
      <w:pPr>
        <w:tabs>
          <w:tab w:val="num" w:pos="1440"/>
        </w:tabs>
        <w:ind w:left="1440" w:hanging="360"/>
      </w:pPr>
      <w:rPr>
        <w:rFonts w:ascii="Arial" w:hAnsi="Arial" w:hint="default"/>
      </w:rPr>
    </w:lvl>
    <w:lvl w:ilvl="2" w:tplc="713A1F72" w:tentative="1">
      <w:start w:val="1"/>
      <w:numFmt w:val="bullet"/>
      <w:lvlText w:val="•"/>
      <w:lvlJc w:val="left"/>
      <w:pPr>
        <w:tabs>
          <w:tab w:val="num" w:pos="2160"/>
        </w:tabs>
        <w:ind w:left="2160" w:hanging="360"/>
      </w:pPr>
      <w:rPr>
        <w:rFonts w:ascii="Arial" w:hAnsi="Arial" w:hint="default"/>
      </w:rPr>
    </w:lvl>
    <w:lvl w:ilvl="3" w:tplc="9C7CBB14" w:tentative="1">
      <w:start w:val="1"/>
      <w:numFmt w:val="bullet"/>
      <w:lvlText w:val="•"/>
      <w:lvlJc w:val="left"/>
      <w:pPr>
        <w:tabs>
          <w:tab w:val="num" w:pos="2880"/>
        </w:tabs>
        <w:ind w:left="2880" w:hanging="360"/>
      </w:pPr>
      <w:rPr>
        <w:rFonts w:ascii="Arial" w:hAnsi="Arial" w:hint="default"/>
      </w:rPr>
    </w:lvl>
    <w:lvl w:ilvl="4" w:tplc="7178896C" w:tentative="1">
      <w:start w:val="1"/>
      <w:numFmt w:val="bullet"/>
      <w:lvlText w:val="•"/>
      <w:lvlJc w:val="left"/>
      <w:pPr>
        <w:tabs>
          <w:tab w:val="num" w:pos="3600"/>
        </w:tabs>
        <w:ind w:left="3600" w:hanging="360"/>
      </w:pPr>
      <w:rPr>
        <w:rFonts w:ascii="Arial" w:hAnsi="Arial" w:hint="default"/>
      </w:rPr>
    </w:lvl>
    <w:lvl w:ilvl="5" w:tplc="6A5020D4" w:tentative="1">
      <w:start w:val="1"/>
      <w:numFmt w:val="bullet"/>
      <w:lvlText w:val="•"/>
      <w:lvlJc w:val="left"/>
      <w:pPr>
        <w:tabs>
          <w:tab w:val="num" w:pos="4320"/>
        </w:tabs>
        <w:ind w:left="4320" w:hanging="360"/>
      </w:pPr>
      <w:rPr>
        <w:rFonts w:ascii="Arial" w:hAnsi="Arial" w:hint="default"/>
      </w:rPr>
    </w:lvl>
    <w:lvl w:ilvl="6" w:tplc="C2A48946" w:tentative="1">
      <w:start w:val="1"/>
      <w:numFmt w:val="bullet"/>
      <w:lvlText w:val="•"/>
      <w:lvlJc w:val="left"/>
      <w:pPr>
        <w:tabs>
          <w:tab w:val="num" w:pos="5040"/>
        </w:tabs>
        <w:ind w:left="5040" w:hanging="360"/>
      </w:pPr>
      <w:rPr>
        <w:rFonts w:ascii="Arial" w:hAnsi="Arial" w:hint="default"/>
      </w:rPr>
    </w:lvl>
    <w:lvl w:ilvl="7" w:tplc="EA988600" w:tentative="1">
      <w:start w:val="1"/>
      <w:numFmt w:val="bullet"/>
      <w:lvlText w:val="•"/>
      <w:lvlJc w:val="left"/>
      <w:pPr>
        <w:tabs>
          <w:tab w:val="num" w:pos="5760"/>
        </w:tabs>
        <w:ind w:left="5760" w:hanging="360"/>
      </w:pPr>
      <w:rPr>
        <w:rFonts w:ascii="Arial" w:hAnsi="Arial" w:hint="default"/>
      </w:rPr>
    </w:lvl>
    <w:lvl w:ilvl="8" w:tplc="34C4C53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4DC2A4A"/>
    <w:multiLevelType w:val="hybridMultilevel"/>
    <w:tmpl w:val="368C1B3C"/>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2" w15:restartNumberingAfterBreak="0">
    <w:nsid w:val="08710693"/>
    <w:multiLevelType w:val="hybridMultilevel"/>
    <w:tmpl w:val="C5EA1876"/>
    <w:lvl w:ilvl="0" w:tplc="D688A5A2">
      <w:start w:val="1"/>
      <w:numFmt w:val="bullet"/>
      <w:lvlText w:val="•"/>
      <w:lvlJc w:val="left"/>
      <w:pPr>
        <w:tabs>
          <w:tab w:val="num" w:pos="720"/>
        </w:tabs>
        <w:ind w:left="720" w:hanging="360"/>
      </w:pPr>
      <w:rPr>
        <w:rFonts w:ascii="Arial,Sans-Serif" w:hAnsi="Arial,Sans-Serif" w:hint="default"/>
      </w:rPr>
    </w:lvl>
    <w:lvl w:ilvl="1" w:tplc="BEA441FC" w:tentative="1">
      <w:start w:val="1"/>
      <w:numFmt w:val="bullet"/>
      <w:lvlText w:val="•"/>
      <w:lvlJc w:val="left"/>
      <w:pPr>
        <w:tabs>
          <w:tab w:val="num" w:pos="1440"/>
        </w:tabs>
        <w:ind w:left="1440" w:hanging="360"/>
      </w:pPr>
      <w:rPr>
        <w:rFonts w:ascii="Arial,Sans-Serif" w:hAnsi="Arial,Sans-Serif" w:hint="default"/>
      </w:rPr>
    </w:lvl>
    <w:lvl w:ilvl="2" w:tplc="E06E883E" w:tentative="1">
      <w:start w:val="1"/>
      <w:numFmt w:val="bullet"/>
      <w:lvlText w:val="•"/>
      <w:lvlJc w:val="left"/>
      <w:pPr>
        <w:tabs>
          <w:tab w:val="num" w:pos="2160"/>
        </w:tabs>
        <w:ind w:left="2160" w:hanging="360"/>
      </w:pPr>
      <w:rPr>
        <w:rFonts w:ascii="Arial,Sans-Serif" w:hAnsi="Arial,Sans-Serif" w:hint="default"/>
      </w:rPr>
    </w:lvl>
    <w:lvl w:ilvl="3" w:tplc="54603E2E" w:tentative="1">
      <w:start w:val="1"/>
      <w:numFmt w:val="bullet"/>
      <w:lvlText w:val="•"/>
      <w:lvlJc w:val="left"/>
      <w:pPr>
        <w:tabs>
          <w:tab w:val="num" w:pos="2880"/>
        </w:tabs>
        <w:ind w:left="2880" w:hanging="360"/>
      </w:pPr>
      <w:rPr>
        <w:rFonts w:ascii="Arial,Sans-Serif" w:hAnsi="Arial,Sans-Serif" w:hint="default"/>
      </w:rPr>
    </w:lvl>
    <w:lvl w:ilvl="4" w:tplc="C27238AC" w:tentative="1">
      <w:start w:val="1"/>
      <w:numFmt w:val="bullet"/>
      <w:lvlText w:val="•"/>
      <w:lvlJc w:val="left"/>
      <w:pPr>
        <w:tabs>
          <w:tab w:val="num" w:pos="3600"/>
        </w:tabs>
        <w:ind w:left="3600" w:hanging="360"/>
      </w:pPr>
      <w:rPr>
        <w:rFonts w:ascii="Arial,Sans-Serif" w:hAnsi="Arial,Sans-Serif" w:hint="default"/>
      </w:rPr>
    </w:lvl>
    <w:lvl w:ilvl="5" w:tplc="96C0B968" w:tentative="1">
      <w:start w:val="1"/>
      <w:numFmt w:val="bullet"/>
      <w:lvlText w:val="•"/>
      <w:lvlJc w:val="left"/>
      <w:pPr>
        <w:tabs>
          <w:tab w:val="num" w:pos="4320"/>
        </w:tabs>
        <w:ind w:left="4320" w:hanging="360"/>
      </w:pPr>
      <w:rPr>
        <w:rFonts w:ascii="Arial,Sans-Serif" w:hAnsi="Arial,Sans-Serif" w:hint="default"/>
      </w:rPr>
    </w:lvl>
    <w:lvl w:ilvl="6" w:tplc="38CA20D6" w:tentative="1">
      <w:start w:val="1"/>
      <w:numFmt w:val="bullet"/>
      <w:lvlText w:val="•"/>
      <w:lvlJc w:val="left"/>
      <w:pPr>
        <w:tabs>
          <w:tab w:val="num" w:pos="5040"/>
        </w:tabs>
        <w:ind w:left="5040" w:hanging="360"/>
      </w:pPr>
      <w:rPr>
        <w:rFonts w:ascii="Arial,Sans-Serif" w:hAnsi="Arial,Sans-Serif" w:hint="default"/>
      </w:rPr>
    </w:lvl>
    <w:lvl w:ilvl="7" w:tplc="068EBC5C" w:tentative="1">
      <w:start w:val="1"/>
      <w:numFmt w:val="bullet"/>
      <w:lvlText w:val="•"/>
      <w:lvlJc w:val="left"/>
      <w:pPr>
        <w:tabs>
          <w:tab w:val="num" w:pos="5760"/>
        </w:tabs>
        <w:ind w:left="5760" w:hanging="360"/>
      </w:pPr>
      <w:rPr>
        <w:rFonts w:ascii="Arial,Sans-Serif" w:hAnsi="Arial,Sans-Serif" w:hint="default"/>
      </w:rPr>
    </w:lvl>
    <w:lvl w:ilvl="8" w:tplc="8CBED794" w:tentative="1">
      <w:start w:val="1"/>
      <w:numFmt w:val="bullet"/>
      <w:lvlText w:val="•"/>
      <w:lvlJc w:val="left"/>
      <w:pPr>
        <w:tabs>
          <w:tab w:val="num" w:pos="6480"/>
        </w:tabs>
        <w:ind w:left="6480" w:hanging="360"/>
      </w:pPr>
      <w:rPr>
        <w:rFonts w:ascii="Arial,Sans-Serif" w:hAnsi="Arial,Sans-Serif" w:hint="default"/>
      </w:rPr>
    </w:lvl>
  </w:abstractNum>
  <w:abstractNum w:abstractNumId="13" w15:restartNumberingAfterBreak="0">
    <w:nsid w:val="0908288D"/>
    <w:multiLevelType w:val="hybridMultilevel"/>
    <w:tmpl w:val="B0727EDE"/>
    <w:lvl w:ilvl="0" w:tplc="9D369CE0">
      <w:start w:val="1"/>
      <w:numFmt w:val="bullet"/>
      <w:lvlText w:val="•"/>
      <w:lvlJc w:val="left"/>
      <w:pPr>
        <w:tabs>
          <w:tab w:val="num" w:pos="720"/>
        </w:tabs>
        <w:ind w:left="720" w:hanging="360"/>
      </w:pPr>
      <w:rPr>
        <w:rFonts w:ascii="Arial" w:hAnsi="Arial" w:hint="default"/>
      </w:rPr>
    </w:lvl>
    <w:lvl w:ilvl="1" w:tplc="E6EED46A" w:tentative="1">
      <w:start w:val="1"/>
      <w:numFmt w:val="bullet"/>
      <w:lvlText w:val="•"/>
      <w:lvlJc w:val="left"/>
      <w:pPr>
        <w:tabs>
          <w:tab w:val="num" w:pos="1440"/>
        </w:tabs>
        <w:ind w:left="1440" w:hanging="360"/>
      </w:pPr>
      <w:rPr>
        <w:rFonts w:ascii="Arial" w:hAnsi="Arial" w:hint="default"/>
      </w:rPr>
    </w:lvl>
    <w:lvl w:ilvl="2" w:tplc="648E06E8" w:tentative="1">
      <w:start w:val="1"/>
      <w:numFmt w:val="bullet"/>
      <w:lvlText w:val="•"/>
      <w:lvlJc w:val="left"/>
      <w:pPr>
        <w:tabs>
          <w:tab w:val="num" w:pos="2160"/>
        </w:tabs>
        <w:ind w:left="2160" w:hanging="360"/>
      </w:pPr>
      <w:rPr>
        <w:rFonts w:ascii="Arial" w:hAnsi="Arial" w:hint="default"/>
      </w:rPr>
    </w:lvl>
    <w:lvl w:ilvl="3" w:tplc="5FFCA388" w:tentative="1">
      <w:start w:val="1"/>
      <w:numFmt w:val="bullet"/>
      <w:lvlText w:val="•"/>
      <w:lvlJc w:val="left"/>
      <w:pPr>
        <w:tabs>
          <w:tab w:val="num" w:pos="2880"/>
        </w:tabs>
        <w:ind w:left="2880" w:hanging="360"/>
      </w:pPr>
      <w:rPr>
        <w:rFonts w:ascii="Arial" w:hAnsi="Arial" w:hint="default"/>
      </w:rPr>
    </w:lvl>
    <w:lvl w:ilvl="4" w:tplc="47AC1308" w:tentative="1">
      <w:start w:val="1"/>
      <w:numFmt w:val="bullet"/>
      <w:lvlText w:val="•"/>
      <w:lvlJc w:val="left"/>
      <w:pPr>
        <w:tabs>
          <w:tab w:val="num" w:pos="3600"/>
        </w:tabs>
        <w:ind w:left="3600" w:hanging="360"/>
      </w:pPr>
      <w:rPr>
        <w:rFonts w:ascii="Arial" w:hAnsi="Arial" w:hint="default"/>
      </w:rPr>
    </w:lvl>
    <w:lvl w:ilvl="5" w:tplc="99363B46" w:tentative="1">
      <w:start w:val="1"/>
      <w:numFmt w:val="bullet"/>
      <w:lvlText w:val="•"/>
      <w:lvlJc w:val="left"/>
      <w:pPr>
        <w:tabs>
          <w:tab w:val="num" w:pos="4320"/>
        </w:tabs>
        <w:ind w:left="4320" w:hanging="360"/>
      </w:pPr>
      <w:rPr>
        <w:rFonts w:ascii="Arial" w:hAnsi="Arial" w:hint="default"/>
      </w:rPr>
    </w:lvl>
    <w:lvl w:ilvl="6" w:tplc="3922428C" w:tentative="1">
      <w:start w:val="1"/>
      <w:numFmt w:val="bullet"/>
      <w:lvlText w:val="•"/>
      <w:lvlJc w:val="left"/>
      <w:pPr>
        <w:tabs>
          <w:tab w:val="num" w:pos="5040"/>
        </w:tabs>
        <w:ind w:left="5040" w:hanging="360"/>
      </w:pPr>
      <w:rPr>
        <w:rFonts w:ascii="Arial" w:hAnsi="Arial" w:hint="default"/>
      </w:rPr>
    </w:lvl>
    <w:lvl w:ilvl="7" w:tplc="6F2AFFBA" w:tentative="1">
      <w:start w:val="1"/>
      <w:numFmt w:val="bullet"/>
      <w:lvlText w:val="•"/>
      <w:lvlJc w:val="left"/>
      <w:pPr>
        <w:tabs>
          <w:tab w:val="num" w:pos="5760"/>
        </w:tabs>
        <w:ind w:left="5760" w:hanging="360"/>
      </w:pPr>
      <w:rPr>
        <w:rFonts w:ascii="Arial" w:hAnsi="Arial" w:hint="default"/>
      </w:rPr>
    </w:lvl>
    <w:lvl w:ilvl="8" w:tplc="27C4E5C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D0F1CDB"/>
    <w:multiLevelType w:val="hybridMultilevel"/>
    <w:tmpl w:val="86B411BC"/>
    <w:lvl w:ilvl="0" w:tplc="D9F2D1D2">
      <w:start w:val="1"/>
      <w:numFmt w:val="bullet"/>
      <w:lvlText w:val="•"/>
      <w:lvlJc w:val="left"/>
      <w:pPr>
        <w:tabs>
          <w:tab w:val="num" w:pos="720"/>
        </w:tabs>
        <w:ind w:left="720" w:hanging="360"/>
      </w:pPr>
      <w:rPr>
        <w:rFonts w:ascii="Arial" w:hAnsi="Arial" w:hint="default"/>
      </w:rPr>
    </w:lvl>
    <w:lvl w:ilvl="1" w:tplc="02CEDE10" w:tentative="1">
      <w:start w:val="1"/>
      <w:numFmt w:val="bullet"/>
      <w:lvlText w:val="•"/>
      <w:lvlJc w:val="left"/>
      <w:pPr>
        <w:tabs>
          <w:tab w:val="num" w:pos="1440"/>
        </w:tabs>
        <w:ind w:left="1440" w:hanging="360"/>
      </w:pPr>
      <w:rPr>
        <w:rFonts w:ascii="Arial" w:hAnsi="Arial" w:hint="default"/>
      </w:rPr>
    </w:lvl>
    <w:lvl w:ilvl="2" w:tplc="905C84EE" w:tentative="1">
      <w:start w:val="1"/>
      <w:numFmt w:val="bullet"/>
      <w:lvlText w:val="•"/>
      <w:lvlJc w:val="left"/>
      <w:pPr>
        <w:tabs>
          <w:tab w:val="num" w:pos="2160"/>
        </w:tabs>
        <w:ind w:left="2160" w:hanging="360"/>
      </w:pPr>
      <w:rPr>
        <w:rFonts w:ascii="Arial" w:hAnsi="Arial" w:hint="default"/>
      </w:rPr>
    </w:lvl>
    <w:lvl w:ilvl="3" w:tplc="3386EA88" w:tentative="1">
      <w:start w:val="1"/>
      <w:numFmt w:val="bullet"/>
      <w:lvlText w:val="•"/>
      <w:lvlJc w:val="left"/>
      <w:pPr>
        <w:tabs>
          <w:tab w:val="num" w:pos="2880"/>
        </w:tabs>
        <w:ind w:left="2880" w:hanging="360"/>
      </w:pPr>
      <w:rPr>
        <w:rFonts w:ascii="Arial" w:hAnsi="Arial" w:hint="default"/>
      </w:rPr>
    </w:lvl>
    <w:lvl w:ilvl="4" w:tplc="E2FED3F2" w:tentative="1">
      <w:start w:val="1"/>
      <w:numFmt w:val="bullet"/>
      <w:lvlText w:val="•"/>
      <w:lvlJc w:val="left"/>
      <w:pPr>
        <w:tabs>
          <w:tab w:val="num" w:pos="3600"/>
        </w:tabs>
        <w:ind w:left="3600" w:hanging="360"/>
      </w:pPr>
      <w:rPr>
        <w:rFonts w:ascii="Arial" w:hAnsi="Arial" w:hint="default"/>
      </w:rPr>
    </w:lvl>
    <w:lvl w:ilvl="5" w:tplc="8E74A182" w:tentative="1">
      <w:start w:val="1"/>
      <w:numFmt w:val="bullet"/>
      <w:lvlText w:val="•"/>
      <w:lvlJc w:val="left"/>
      <w:pPr>
        <w:tabs>
          <w:tab w:val="num" w:pos="4320"/>
        </w:tabs>
        <w:ind w:left="4320" w:hanging="360"/>
      </w:pPr>
      <w:rPr>
        <w:rFonts w:ascii="Arial" w:hAnsi="Arial" w:hint="default"/>
      </w:rPr>
    </w:lvl>
    <w:lvl w:ilvl="6" w:tplc="69F8D69A" w:tentative="1">
      <w:start w:val="1"/>
      <w:numFmt w:val="bullet"/>
      <w:lvlText w:val="•"/>
      <w:lvlJc w:val="left"/>
      <w:pPr>
        <w:tabs>
          <w:tab w:val="num" w:pos="5040"/>
        </w:tabs>
        <w:ind w:left="5040" w:hanging="360"/>
      </w:pPr>
      <w:rPr>
        <w:rFonts w:ascii="Arial" w:hAnsi="Arial" w:hint="default"/>
      </w:rPr>
    </w:lvl>
    <w:lvl w:ilvl="7" w:tplc="90D85AA8" w:tentative="1">
      <w:start w:val="1"/>
      <w:numFmt w:val="bullet"/>
      <w:lvlText w:val="•"/>
      <w:lvlJc w:val="left"/>
      <w:pPr>
        <w:tabs>
          <w:tab w:val="num" w:pos="5760"/>
        </w:tabs>
        <w:ind w:left="5760" w:hanging="360"/>
      </w:pPr>
      <w:rPr>
        <w:rFonts w:ascii="Arial" w:hAnsi="Arial" w:hint="default"/>
      </w:rPr>
    </w:lvl>
    <w:lvl w:ilvl="8" w:tplc="50E0F24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EB6200A"/>
    <w:multiLevelType w:val="multilevel"/>
    <w:tmpl w:val="506CA4A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3B94E0D"/>
    <w:multiLevelType w:val="multilevel"/>
    <w:tmpl w:val="CD386BF2"/>
    <w:numStyleLink w:val="Numberlist"/>
  </w:abstractNum>
  <w:abstractNum w:abstractNumId="17" w15:restartNumberingAfterBreak="0">
    <w:nsid w:val="14FB0C5C"/>
    <w:multiLevelType w:val="multilevel"/>
    <w:tmpl w:val="D550EA98"/>
    <w:lvl w:ilvl="0">
      <w:start w:val="1"/>
      <w:numFmt w:val="decimal"/>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8" w15:restartNumberingAfterBreak="0">
    <w:nsid w:val="196B46A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BE83E8A"/>
    <w:multiLevelType w:val="multilevel"/>
    <w:tmpl w:val="506CA4A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C343F34"/>
    <w:multiLevelType w:val="multilevel"/>
    <w:tmpl w:val="CD386BF2"/>
    <w:numStyleLink w:val="Numberlist"/>
  </w:abstractNum>
  <w:abstractNum w:abstractNumId="21" w15:restartNumberingAfterBreak="0">
    <w:nsid w:val="1F70516A"/>
    <w:multiLevelType w:val="multilevel"/>
    <w:tmpl w:val="506CA4A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FE26741"/>
    <w:multiLevelType w:val="multilevel"/>
    <w:tmpl w:val="9F7E4A52"/>
    <w:lvl w:ilvl="0">
      <w:start w:val="1"/>
      <w:numFmt w:val="decimal"/>
      <w:pStyle w:val="NumberedparagraphSimple"/>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5270452"/>
    <w:multiLevelType w:val="hybridMultilevel"/>
    <w:tmpl w:val="5D027CD6"/>
    <w:lvl w:ilvl="0" w:tplc="398AB696">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82B259F"/>
    <w:multiLevelType w:val="hybridMultilevel"/>
    <w:tmpl w:val="A6FC7D14"/>
    <w:lvl w:ilvl="0" w:tplc="E24E69B4">
      <w:start w:val="1"/>
      <w:numFmt w:val="bullet"/>
      <w:pStyle w:val="DESNZbulletedlist"/>
      <w:lvlText w:val=""/>
      <w:lvlJc w:val="left"/>
      <w:pPr>
        <w:ind w:left="717" w:hanging="360"/>
      </w:pPr>
      <w:rPr>
        <w:rFonts w:ascii="Symbol" w:hAnsi="Symbol" w:hint="default"/>
        <w:color w:val="041E4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AD4448"/>
    <w:multiLevelType w:val="hybridMultilevel"/>
    <w:tmpl w:val="31B2F09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6" w15:restartNumberingAfterBreak="0">
    <w:nsid w:val="2EAF1DBA"/>
    <w:multiLevelType w:val="hybridMultilevel"/>
    <w:tmpl w:val="21BC9AD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7" w15:restartNumberingAfterBreak="0">
    <w:nsid w:val="32423BB7"/>
    <w:multiLevelType w:val="multilevel"/>
    <w:tmpl w:val="3EE08A70"/>
    <w:numStyleLink w:val="Legalnumbering"/>
  </w:abstractNum>
  <w:abstractNum w:abstractNumId="28" w15:restartNumberingAfterBreak="0">
    <w:nsid w:val="35B52D7F"/>
    <w:multiLevelType w:val="hybridMultilevel"/>
    <w:tmpl w:val="2AEAACBE"/>
    <w:lvl w:ilvl="0" w:tplc="6C2424B6">
      <w:start w:val="1"/>
      <w:numFmt w:val="bullet"/>
      <w:lvlText w:val="•"/>
      <w:lvlJc w:val="left"/>
      <w:pPr>
        <w:tabs>
          <w:tab w:val="num" w:pos="720"/>
        </w:tabs>
        <w:ind w:left="720" w:hanging="360"/>
      </w:pPr>
      <w:rPr>
        <w:rFonts w:ascii="Arial" w:hAnsi="Arial" w:hint="default"/>
      </w:rPr>
    </w:lvl>
    <w:lvl w:ilvl="1" w:tplc="ADCE3E16" w:tentative="1">
      <w:start w:val="1"/>
      <w:numFmt w:val="bullet"/>
      <w:lvlText w:val="•"/>
      <w:lvlJc w:val="left"/>
      <w:pPr>
        <w:tabs>
          <w:tab w:val="num" w:pos="1440"/>
        </w:tabs>
        <w:ind w:left="1440" w:hanging="360"/>
      </w:pPr>
      <w:rPr>
        <w:rFonts w:ascii="Arial" w:hAnsi="Arial" w:hint="default"/>
      </w:rPr>
    </w:lvl>
    <w:lvl w:ilvl="2" w:tplc="2BD02310" w:tentative="1">
      <w:start w:val="1"/>
      <w:numFmt w:val="bullet"/>
      <w:lvlText w:val="•"/>
      <w:lvlJc w:val="left"/>
      <w:pPr>
        <w:tabs>
          <w:tab w:val="num" w:pos="2160"/>
        </w:tabs>
        <w:ind w:left="2160" w:hanging="360"/>
      </w:pPr>
      <w:rPr>
        <w:rFonts w:ascii="Arial" w:hAnsi="Arial" w:hint="default"/>
      </w:rPr>
    </w:lvl>
    <w:lvl w:ilvl="3" w:tplc="6CE04468" w:tentative="1">
      <w:start w:val="1"/>
      <w:numFmt w:val="bullet"/>
      <w:lvlText w:val="•"/>
      <w:lvlJc w:val="left"/>
      <w:pPr>
        <w:tabs>
          <w:tab w:val="num" w:pos="2880"/>
        </w:tabs>
        <w:ind w:left="2880" w:hanging="360"/>
      </w:pPr>
      <w:rPr>
        <w:rFonts w:ascii="Arial" w:hAnsi="Arial" w:hint="default"/>
      </w:rPr>
    </w:lvl>
    <w:lvl w:ilvl="4" w:tplc="D99E0314" w:tentative="1">
      <w:start w:val="1"/>
      <w:numFmt w:val="bullet"/>
      <w:lvlText w:val="•"/>
      <w:lvlJc w:val="left"/>
      <w:pPr>
        <w:tabs>
          <w:tab w:val="num" w:pos="3600"/>
        </w:tabs>
        <w:ind w:left="3600" w:hanging="360"/>
      </w:pPr>
      <w:rPr>
        <w:rFonts w:ascii="Arial" w:hAnsi="Arial" w:hint="default"/>
      </w:rPr>
    </w:lvl>
    <w:lvl w:ilvl="5" w:tplc="6B48011A" w:tentative="1">
      <w:start w:val="1"/>
      <w:numFmt w:val="bullet"/>
      <w:lvlText w:val="•"/>
      <w:lvlJc w:val="left"/>
      <w:pPr>
        <w:tabs>
          <w:tab w:val="num" w:pos="4320"/>
        </w:tabs>
        <w:ind w:left="4320" w:hanging="360"/>
      </w:pPr>
      <w:rPr>
        <w:rFonts w:ascii="Arial" w:hAnsi="Arial" w:hint="default"/>
      </w:rPr>
    </w:lvl>
    <w:lvl w:ilvl="6" w:tplc="7F4C128E" w:tentative="1">
      <w:start w:val="1"/>
      <w:numFmt w:val="bullet"/>
      <w:lvlText w:val="•"/>
      <w:lvlJc w:val="left"/>
      <w:pPr>
        <w:tabs>
          <w:tab w:val="num" w:pos="5040"/>
        </w:tabs>
        <w:ind w:left="5040" w:hanging="360"/>
      </w:pPr>
      <w:rPr>
        <w:rFonts w:ascii="Arial" w:hAnsi="Arial" w:hint="default"/>
      </w:rPr>
    </w:lvl>
    <w:lvl w:ilvl="7" w:tplc="57FEFD56" w:tentative="1">
      <w:start w:val="1"/>
      <w:numFmt w:val="bullet"/>
      <w:lvlText w:val="•"/>
      <w:lvlJc w:val="left"/>
      <w:pPr>
        <w:tabs>
          <w:tab w:val="num" w:pos="5760"/>
        </w:tabs>
        <w:ind w:left="5760" w:hanging="360"/>
      </w:pPr>
      <w:rPr>
        <w:rFonts w:ascii="Arial" w:hAnsi="Arial" w:hint="default"/>
      </w:rPr>
    </w:lvl>
    <w:lvl w:ilvl="8" w:tplc="86E6B54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5D858D8"/>
    <w:multiLevelType w:val="multilevel"/>
    <w:tmpl w:val="8096863A"/>
    <w:lvl w:ilvl="0">
      <w:start w:val="1"/>
      <w:numFmt w:val="decimal"/>
      <w:pStyle w:val="Heading1Legal-Level1"/>
      <w:lvlText w:val="%1"/>
      <w:lvlJc w:val="left"/>
      <w:pPr>
        <w:ind w:left="720" w:hanging="720"/>
      </w:pPr>
      <w:rPr>
        <w:rFonts w:hint="default"/>
      </w:rPr>
    </w:lvl>
    <w:lvl w:ilvl="1">
      <w:start w:val="1"/>
      <w:numFmt w:val="decimal"/>
      <w:pStyle w:val="NumberedparagraphLegal-Level2"/>
      <w:lvlText w:val="%1.%2"/>
      <w:lvlJc w:val="left"/>
      <w:pPr>
        <w:ind w:left="720" w:hanging="720"/>
      </w:pPr>
      <w:rPr>
        <w:rFonts w:hint="default"/>
      </w:rPr>
    </w:lvl>
    <w:lvl w:ilvl="2">
      <w:start w:val="1"/>
      <w:numFmt w:val="decimal"/>
      <w:pStyle w:val="NumberedparagraphLegal-Level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6CB4490"/>
    <w:multiLevelType w:val="multilevel"/>
    <w:tmpl w:val="CD386BF2"/>
    <w:numStyleLink w:val="Numberlist"/>
  </w:abstractNum>
  <w:abstractNum w:abstractNumId="31" w15:restartNumberingAfterBreak="0">
    <w:nsid w:val="36D07D86"/>
    <w:multiLevelType w:val="multilevel"/>
    <w:tmpl w:val="CD386BF2"/>
    <w:numStyleLink w:val="Numberlist"/>
  </w:abstractNum>
  <w:abstractNum w:abstractNumId="32" w15:restartNumberingAfterBreak="0">
    <w:nsid w:val="389456F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92A3BDF"/>
    <w:multiLevelType w:val="hybridMultilevel"/>
    <w:tmpl w:val="E60E5C6E"/>
    <w:lvl w:ilvl="0" w:tplc="A266AB8C">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F3F0C78"/>
    <w:multiLevelType w:val="multilevel"/>
    <w:tmpl w:val="506CA4A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78E478B"/>
    <w:multiLevelType w:val="hybridMultilevel"/>
    <w:tmpl w:val="A1CCBC98"/>
    <w:lvl w:ilvl="0" w:tplc="A2146A06">
      <w:start w:val="1"/>
      <w:numFmt w:val="bullet"/>
      <w:lvlText w:val="•"/>
      <w:lvlJc w:val="left"/>
      <w:pPr>
        <w:tabs>
          <w:tab w:val="num" w:pos="720"/>
        </w:tabs>
        <w:ind w:left="720" w:hanging="360"/>
      </w:pPr>
      <w:rPr>
        <w:rFonts w:ascii="Arial" w:hAnsi="Arial" w:hint="default"/>
      </w:rPr>
    </w:lvl>
    <w:lvl w:ilvl="1" w:tplc="D158B412" w:tentative="1">
      <w:start w:val="1"/>
      <w:numFmt w:val="bullet"/>
      <w:lvlText w:val="•"/>
      <w:lvlJc w:val="left"/>
      <w:pPr>
        <w:tabs>
          <w:tab w:val="num" w:pos="1440"/>
        </w:tabs>
        <w:ind w:left="1440" w:hanging="360"/>
      </w:pPr>
      <w:rPr>
        <w:rFonts w:ascii="Arial" w:hAnsi="Arial" w:hint="default"/>
      </w:rPr>
    </w:lvl>
    <w:lvl w:ilvl="2" w:tplc="A8B84A6E">
      <w:numFmt w:val="bullet"/>
      <w:lvlText w:val="Ø"/>
      <w:lvlJc w:val="left"/>
      <w:pPr>
        <w:tabs>
          <w:tab w:val="num" w:pos="2160"/>
        </w:tabs>
        <w:ind w:left="2160" w:hanging="360"/>
      </w:pPr>
      <w:rPr>
        <w:rFonts w:ascii="Wingdings" w:hAnsi="Wingdings" w:hint="default"/>
      </w:rPr>
    </w:lvl>
    <w:lvl w:ilvl="3" w:tplc="DAF46EF4" w:tentative="1">
      <w:start w:val="1"/>
      <w:numFmt w:val="bullet"/>
      <w:lvlText w:val="•"/>
      <w:lvlJc w:val="left"/>
      <w:pPr>
        <w:tabs>
          <w:tab w:val="num" w:pos="2880"/>
        </w:tabs>
        <w:ind w:left="2880" w:hanging="360"/>
      </w:pPr>
      <w:rPr>
        <w:rFonts w:ascii="Arial" w:hAnsi="Arial" w:hint="default"/>
      </w:rPr>
    </w:lvl>
    <w:lvl w:ilvl="4" w:tplc="EE62A572" w:tentative="1">
      <w:start w:val="1"/>
      <w:numFmt w:val="bullet"/>
      <w:lvlText w:val="•"/>
      <w:lvlJc w:val="left"/>
      <w:pPr>
        <w:tabs>
          <w:tab w:val="num" w:pos="3600"/>
        </w:tabs>
        <w:ind w:left="3600" w:hanging="360"/>
      </w:pPr>
      <w:rPr>
        <w:rFonts w:ascii="Arial" w:hAnsi="Arial" w:hint="default"/>
      </w:rPr>
    </w:lvl>
    <w:lvl w:ilvl="5" w:tplc="87AC4AE4" w:tentative="1">
      <w:start w:val="1"/>
      <w:numFmt w:val="bullet"/>
      <w:lvlText w:val="•"/>
      <w:lvlJc w:val="left"/>
      <w:pPr>
        <w:tabs>
          <w:tab w:val="num" w:pos="4320"/>
        </w:tabs>
        <w:ind w:left="4320" w:hanging="360"/>
      </w:pPr>
      <w:rPr>
        <w:rFonts w:ascii="Arial" w:hAnsi="Arial" w:hint="default"/>
      </w:rPr>
    </w:lvl>
    <w:lvl w:ilvl="6" w:tplc="7E4A6F42" w:tentative="1">
      <w:start w:val="1"/>
      <w:numFmt w:val="bullet"/>
      <w:lvlText w:val="•"/>
      <w:lvlJc w:val="left"/>
      <w:pPr>
        <w:tabs>
          <w:tab w:val="num" w:pos="5040"/>
        </w:tabs>
        <w:ind w:left="5040" w:hanging="360"/>
      </w:pPr>
      <w:rPr>
        <w:rFonts w:ascii="Arial" w:hAnsi="Arial" w:hint="default"/>
      </w:rPr>
    </w:lvl>
    <w:lvl w:ilvl="7" w:tplc="B402531C" w:tentative="1">
      <w:start w:val="1"/>
      <w:numFmt w:val="bullet"/>
      <w:lvlText w:val="•"/>
      <w:lvlJc w:val="left"/>
      <w:pPr>
        <w:tabs>
          <w:tab w:val="num" w:pos="5760"/>
        </w:tabs>
        <w:ind w:left="5760" w:hanging="360"/>
      </w:pPr>
      <w:rPr>
        <w:rFonts w:ascii="Arial" w:hAnsi="Arial" w:hint="default"/>
      </w:rPr>
    </w:lvl>
    <w:lvl w:ilvl="8" w:tplc="E4D8C9D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7AC62A8"/>
    <w:multiLevelType w:val="hybridMultilevel"/>
    <w:tmpl w:val="C7D6E9AA"/>
    <w:lvl w:ilvl="0" w:tplc="EC60C8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C6B792C"/>
    <w:multiLevelType w:val="multilevel"/>
    <w:tmpl w:val="CD386BF2"/>
    <w:numStyleLink w:val="Numberlist"/>
  </w:abstractNum>
  <w:abstractNum w:abstractNumId="38" w15:restartNumberingAfterBreak="0">
    <w:nsid w:val="4FC45C99"/>
    <w:multiLevelType w:val="multilevel"/>
    <w:tmpl w:val="CD386BF2"/>
    <w:numStyleLink w:val="Numberlist"/>
  </w:abstractNum>
  <w:abstractNum w:abstractNumId="39" w15:restartNumberingAfterBreak="0">
    <w:nsid w:val="562E662E"/>
    <w:multiLevelType w:val="multilevel"/>
    <w:tmpl w:val="506CA4A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AF66748"/>
    <w:multiLevelType w:val="hybridMultilevel"/>
    <w:tmpl w:val="E57674D6"/>
    <w:lvl w:ilvl="0" w:tplc="FFFFFFFF">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C9B00C5"/>
    <w:multiLevelType w:val="multilevel"/>
    <w:tmpl w:val="3EE08A70"/>
    <w:styleLink w:val="Legalnumbering"/>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E2B667C"/>
    <w:multiLevelType w:val="multilevel"/>
    <w:tmpl w:val="EB4669C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10F375B"/>
    <w:multiLevelType w:val="hybridMultilevel"/>
    <w:tmpl w:val="A426E538"/>
    <w:lvl w:ilvl="0" w:tplc="11149C40">
      <w:start w:val="1"/>
      <w:numFmt w:val="bullet"/>
      <w:lvlText w:val="•"/>
      <w:lvlJc w:val="left"/>
      <w:pPr>
        <w:tabs>
          <w:tab w:val="num" w:pos="720"/>
        </w:tabs>
        <w:ind w:left="720" w:hanging="360"/>
      </w:pPr>
      <w:rPr>
        <w:rFonts w:ascii="Arial" w:hAnsi="Arial" w:hint="default"/>
      </w:rPr>
    </w:lvl>
    <w:lvl w:ilvl="1" w:tplc="B4048B4C" w:tentative="1">
      <w:start w:val="1"/>
      <w:numFmt w:val="bullet"/>
      <w:lvlText w:val="•"/>
      <w:lvlJc w:val="left"/>
      <w:pPr>
        <w:tabs>
          <w:tab w:val="num" w:pos="1440"/>
        </w:tabs>
        <w:ind w:left="1440" w:hanging="360"/>
      </w:pPr>
      <w:rPr>
        <w:rFonts w:ascii="Arial" w:hAnsi="Arial" w:hint="default"/>
      </w:rPr>
    </w:lvl>
    <w:lvl w:ilvl="2" w:tplc="8CF296D0" w:tentative="1">
      <w:start w:val="1"/>
      <w:numFmt w:val="bullet"/>
      <w:lvlText w:val="•"/>
      <w:lvlJc w:val="left"/>
      <w:pPr>
        <w:tabs>
          <w:tab w:val="num" w:pos="2160"/>
        </w:tabs>
        <w:ind w:left="2160" w:hanging="360"/>
      </w:pPr>
      <w:rPr>
        <w:rFonts w:ascii="Arial" w:hAnsi="Arial" w:hint="default"/>
      </w:rPr>
    </w:lvl>
    <w:lvl w:ilvl="3" w:tplc="2662F632" w:tentative="1">
      <w:start w:val="1"/>
      <w:numFmt w:val="bullet"/>
      <w:lvlText w:val="•"/>
      <w:lvlJc w:val="left"/>
      <w:pPr>
        <w:tabs>
          <w:tab w:val="num" w:pos="2880"/>
        </w:tabs>
        <w:ind w:left="2880" w:hanging="360"/>
      </w:pPr>
      <w:rPr>
        <w:rFonts w:ascii="Arial" w:hAnsi="Arial" w:hint="default"/>
      </w:rPr>
    </w:lvl>
    <w:lvl w:ilvl="4" w:tplc="74A45D32" w:tentative="1">
      <w:start w:val="1"/>
      <w:numFmt w:val="bullet"/>
      <w:lvlText w:val="•"/>
      <w:lvlJc w:val="left"/>
      <w:pPr>
        <w:tabs>
          <w:tab w:val="num" w:pos="3600"/>
        </w:tabs>
        <w:ind w:left="3600" w:hanging="360"/>
      </w:pPr>
      <w:rPr>
        <w:rFonts w:ascii="Arial" w:hAnsi="Arial" w:hint="default"/>
      </w:rPr>
    </w:lvl>
    <w:lvl w:ilvl="5" w:tplc="C9BA907A" w:tentative="1">
      <w:start w:val="1"/>
      <w:numFmt w:val="bullet"/>
      <w:lvlText w:val="•"/>
      <w:lvlJc w:val="left"/>
      <w:pPr>
        <w:tabs>
          <w:tab w:val="num" w:pos="4320"/>
        </w:tabs>
        <w:ind w:left="4320" w:hanging="360"/>
      </w:pPr>
      <w:rPr>
        <w:rFonts w:ascii="Arial" w:hAnsi="Arial" w:hint="default"/>
      </w:rPr>
    </w:lvl>
    <w:lvl w:ilvl="6" w:tplc="099E3B82" w:tentative="1">
      <w:start w:val="1"/>
      <w:numFmt w:val="bullet"/>
      <w:lvlText w:val="•"/>
      <w:lvlJc w:val="left"/>
      <w:pPr>
        <w:tabs>
          <w:tab w:val="num" w:pos="5040"/>
        </w:tabs>
        <w:ind w:left="5040" w:hanging="360"/>
      </w:pPr>
      <w:rPr>
        <w:rFonts w:ascii="Arial" w:hAnsi="Arial" w:hint="default"/>
      </w:rPr>
    </w:lvl>
    <w:lvl w:ilvl="7" w:tplc="7BE6B932" w:tentative="1">
      <w:start w:val="1"/>
      <w:numFmt w:val="bullet"/>
      <w:lvlText w:val="•"/>
      <w:lvlJc w:val="left"/>
      <w:pPr>
        <w:tabs>
          <w:tab w:val="num" w:pos="5760"/>
        </w:tabs>
        <w:ind w:left="5760" w:hanging="360"/>
      </w:pPr>
      <w:rPr>
        <w:rFonts w:ascii="Arial" w:hAnsi="Arial" w:hint="default"/>
      </w:rPr>
    </w:lvl>
    <w:lvl w:ilvl="8" w:tplc="23F4ADE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37419B9"/>
    <w:multiLevelType w:val="multilevel"/>
    <w:tmpl w:val="FA821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B3B031B"/>
    <w:multiLevelType w:val="hybridMultilevel"/>
    <w:tmpl w:val="8698D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F0343C"/>
    <w:multiLevelType w:val="multilevel"/>
    <w:tmpl w:val="BD98EEB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E1E3B21"/>
    <w:multiLevelType w:val="multilevel"/>
    <w:tmpl w:val="CD386BF2"/>
    <w:styleLink w:val="Numberlist"/>
    <w:lvl w:ilvl="0">
      <w:start w:val="1"/>
      <w:numFmt w:val="decimal"/>
      <w:lvlText w:val="%1."/>
      <w:lvlJc w:val="left"/>
      <w:pPr>
        <w:ind w:left="862" w:hanging="357"/>
      </w:pPr>
      <w:rPr>
        <w:rFonts w:ascii="Arial" w:hAnsi="Arial" w:cs="Times New Roman" w:hint="default"/>
        <w:sz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8" w15:restartNumberingAfterBreak="0">
    <w:nsid w:val="6E697E0F"/>
    <w:multiLevelType w:val="multilevel"/>
    <w:tmpl w:val="CD386BF2"/>
    <w:numStyleLink w:val="Numberlist"/>
  </w:abstractNum>
  <w:abstractNum w:abstractNumId="49" w15:restartNumberingAfterBreak="0">
    <w:nsid w:val="6EAA460C"/>
    <w:multiLevelType w:val="hybridMultilevel"/>
    <w:tmpl w:val="01545F2C"/>
    <w:lvl w:ilvl="0" w:tplc="87B4658C">
      <w:start w:val="1"/>
      <w:numFmt w:val="bullet"/>
      <w:lvlText w:val="•"/>
      <w:lvlJc w:val="left"/>
      <w:pPr>
        <w:tabs>
          <w:tab w:val="num" w:pos="720"/>
        </w:tabs>
        <w:ind w:left="720" w:hanging="360"/>
      </w:pPr>
      <w:rPr>
        <w:rFonts w:ascii="Arial" w:hAnsi="Arial" w:hint="default"/>
      </w:rPr>
    </w:lvl>
    <w:lvl w:ilvl="1" w:tplc="42504D94" w:tentative="1">
      <w:start w:val="1"/>
      <w:numFmt w:val="bullet"/>
      <w:lvlText w:val="•"/>
      <w:lvlJc w:val="left"/>
      <w:pPr>
        <w:tabs>
          <w:tab w:val="num" w:pos="1440"/>
        </w:tabs>
        <w:ind w:left="1440" w:hanging="360"/>
      </w:pPr>
      <w:rPr>
        <w:rFonts w:ascii="Arial" w:hAnsi="Arial" w:hint="default"/>
      </w:rPr>
    </w:lvl>
    <w:lvl w:ilvl="2" w:tplc="87B486CA" w:tentative="1">
      <w:start w:val="1"/>
      <w:numFmt w:val="bullet"/>
      <w:lvlText w:val="•"/>
      <w:lvlJc w:val="left"/>
      <w:pPr>
        <w:tabs>
          <w:tab w:val="num" w:pos="2160"/>
        </w:tabs>
        <w:ind w:left="2160" w:hanging="360"/>
      </w:pPr>
      <w:rPr>
        <w:rFonts w:ascii="Arial" w:hAnsi="Arial" w:hint="default"/>
      </w:rPr>
    </w:lvl>
    <w:lvl w:ilvl="3" w:tplc="940C3182" w:tentative="1">
      <w:start w:val="1"/>
      <w:numFmt w:val="bullet"/>
      <w:lvlText w:val="•"/>
      <w:lvlJc w:val="left"/>
      <w:pPr>
        <w:tabs>
          <w:tab w:val="num" w:pos="2880"/>
        </w:tabs>
        <w:ind w:left="2880" w:hanging="360"/>
      </w:pPr>
      <w:rPr>
        <w:rFonts w:ascii="Arial" w:hAnsi="Arial" w:hint="default"/>
      </w:rPr>
    </w:lvl>
    <w:lvl w:ilvl="4" w:tplc="A4F60026" w:tentative="1">
      <w:start w:val="1"/>
      <w:numFmt w:val="bullet"/>
      <w:lvlText w:val="•"/>
      <w:lvlJc w:val="left"/>
      <w:pPr>
        <w:tabs>
          <w:tab w:val="num" w:pos="3600"/>
        </w:tabs>
        <w:ind w:left="3600" w:hanging="360"/>
      </w:pPr>
      <w:rPr>
        <w:rFonts w:ascii="Arial" w:hAnsi="Arial" w:hint="default"/>
      </w:rPr>
    </w:lvl>
    <w:lvl w:ilvl="5" w:tplc="F6F2380A" w:tentative="1">
      <w:start w:val="1"/>
      <w:numFmt w:val="bullet"/>
      <w:lvlText w:val="•"/>
      <w:lvlJc w:val="left"/>
      <w:pPr>
        <w:tabs>
          <w:tab w:val="num" w:pos="4320"/>
        </w:tabs>
        <w:ind w:left="4320" w:hanging="360"/>
      </w:pPr>
      <w:rPr>
        <w:rFonts w:ascii="Arial" w:hAnsi="Arial" w:hint="default"/>
      </w:rPr>
    </w:lvl>
    <w:lvl w:ilvl="6" w:tplc="23BC3CEC" w:tentative="1">
      <w:start w:val="1"/>
      <w:numFmt w:val="bullet"/>
      <w:lvlText w:val="•"/>
      <w:lvlJc w:val="left"/>
      <w:pPr>
        <w:tabs>
          <w:tab w:val="num" w:pos="5040"/>
        </w:tabs>
        <w:ind w:left="5040" w:hanging="360"/>
      </w:pPr>
      <w:rPr>
        <w:rFonts w:ascii="Arial" w:hAnsi="Arial" w:hint="default"/>
      </w:rPr>
    </w:lvl>
    <w:lvl w:ilvl="7" w:tplc="92880126" w:tentative="1">
      <w:start w:val="1"/>
      <w:numFmt w:val="bullet"/>
      <w:lvlText w:val="•"/>
      <w:lvlJc w:val="left"/>
      <w:pPr>
        <w:tabs>
          <w:tab w:val="num" w:pos="5760"/>
        </w:tabs>
        <w:ind w:left="5760" w:hanging="360"/>
      </w:pPr>
      <w:rPr>
        <w:rFonts w:ascii="Arial" w:hAnsi="Arial" w:hint="default"/>
      </w:rPr>
    </w:lvl>
    <w:lvl w:ilvl="8" w:tplc="698EDE6C"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701400FB"/>
    <w:multiLevelType w:val="hybridMultilevel"/>
    <w:tmpl w:val="B6F0B0DE"/>
    <w:lvl w:ilvl="0" w:tplc="ABF4530A">
      <w:start w:val="1"/>
      <w:numFmt w:val="bullet"/>
      <w:lvlText w:val="•"/>
      <w:lvlJc w:val="left"/>
      <w:pPr>
        <w:tabs>
          <w:tab w:val="num" w:pos="720"/>
        </w:tabs>
        <w:ind w:left="720" w:hanging="360"/>
      </w:pPr>
      <w:rPr>
        <w:rFonts w:ascii="Arial" w:hAnsi="Arial" w:hint="default"/>
      </w:rPr>
    </w:lvl>
    <w:lvl w:ilvl="1" w:tplc="0C78BCD6" w:tentative="1">
      <w:start w:val="1"/>
      <w:numFmt w:val="bullet"/>
      <w:lvlText w:val="•"/>
      <w:lvlJc w:val="left"/>
      <w:pPr>
        <w:tabs>
          <w:tab w:val="num" w:pos="1440"/>
        </w:tabs>
        <w:ind w:left="1440" w:hanging="360"/>
      </w:pPr>
      <w:rPr>
        <w:rFonts w:ascii="Arial" w:hAnsi="Arial" w:hint="default"/>
      </w:rPr>
    </w:lvl>
    <w:lvl w:ilvl="2" w:tplc="E7EAAA3A" w:tentative="1">
      <w:start w:val="1"/>
      <w:numFmt w:val="bullet"/>
      <w:lvlText w:val="•"/>
      <w:lvlJc w:val="left"/>
      <w:pPr>
        <w:tabs>
          <w:tab w:val="num" w:pos="2160"/>
        </w:tabs>
        <w:ind w:left="2160" w:hanging="360"/>
      </w:pPr>
      <w:rPr>
        <w:rFonts w:ascii="Arial" w:hAnsi="Arial" w:hint="default"/>
      </w:rPr>
    </w:lvl>
    <w:lvl w:ilvl="3" w:tplc="23EC91B4" w:tentative="1">
      <w:start w:val="1"/>
      <w:numFmt w:val="bullet"/>
      <w:lvlText w:val="•"/>
      <w:lvlJc w:val="left"/>
      <w:pPr>
        <w:tabs>
          <w:tab w:val="num" w:pos="2880"/>
        </w:tabs>
        <w:ind w:left="2880" w:hanging="360"/>
      </w:pPr>
      <w:rPr>
        <w:rFonts w:ascii="Arial" w:hAnsi="Arial" w:hint="default"/>
      </w:rPr>
    </w:lvl>
    <w:lvl w:ilvl="4" w:tplc="23DADBBA" w:tentative="1">
      <w:start w:val="1"/>
      <w:numFmt w:val="bullet"/>
      <w:lvlText w:val="•"/>
      <w:lvlJc w:val="left"/>
      <w:pPr>
        <w:tabs>
          <w:tab w:val="num" w:pos="3600"/>
        </w:tabs>
        <w:ind w:left="3600" w:hanging="360"/>
      </w:pPr>
      <w:rPr>
        <w:rFonts w:ascii="Arial" w:hAnsi="Arial" w:hint="default"/>
      </w:rPr>
    </w:lvl>
    <w:lvl w:ilvl="5" w:tplc="0C9ABFB0" w:tentative="1">
      <w:start w:val="1"/>
      <w:numFmt w:val="bullet"/>
      <w:lvlText w:val="•"/>
      <w:lvlJc w:val="left"/>
      <w:pPr>
        <w:tabs>
          <w:tab w:val="num" w:pos="4320"/>
        </w:tabs>
        <w:ind w:left="4320" w:hanging="360"/>
      </w:pPr>
      <w:rPr>
        <w:rFonts w:ascii="Arial" w:hAnsi="Arial" w:hint="default"/>
      </w:rPr>
    </w:lvl>
    <w:lvl w:ilvl="6" w:tplc="622E1716" w:tentative="1">
      <w:start w:val="1"/>
      <w:numFmt w:val="bullet"/>
      <w:lvlText w:val="•"/>
      <w:lvlJc w:val="left"/>
      <w:pPr>
        <w:tabs>
          <w:tab w:val="num" w:pos="5040"/>
        </w:tabs>
        <w:ind w:left="5040" w:hanging="360"/>
      </w:pPr>
      <w:rPr>
        <w:rFonts w:ascii="Arial" w:hAnsi="Arial" w:hint="default"/>
      </w:rPr>
    </w:lvl>
    <w:lvl w:ilvl="7" w:tplc="F692D49E" w:tentative="1">
      <w:start w:val="1"/>
      <w:numFmt w:val="bullet"/>
      <w:lvlText w:val="•"/>
      <w:lvlJc w:val="left"/>
      <w:pPr>
        <w:tabs>
          <w:tab w:val="num" w:pos="5760"/>
        </w:tabs>
        <w:ind w:left="5760" w:hanging="360"/>
      </w:pPr>
      <w:rPr>
        <w:rFonts w:ascii="Arial" w:hAnsi="Arial" w:hint="default"/>
      </w:rPr>
    </w:lvl>
    <w:lvl w:ilvl="8" w:tplc="3D5E9EE2"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77B06132"/>
    <w:multiLevelType w:val="multilevel"/>
    <w:tmpl w:val="CD386BF2"/>
    <w:numStyleLink w:val="Numberlist"/>
  </w:abstractNum>
  <w:abstractNum w:abstractNumId="52" w15:restartNumberingAfterBreak="0">
    <w:nsid w:val="78785F09"/>
    <w:multiLevelType w:val="hybridMultilevel"/>
    <w:tmpl w:val="1C820D34"/>
    <w:lvl w:ilvl="0" w:tplc="081C7CDC">
      <w:start w:val="1"/>
      <w:numFmt w:val="bullet"/>
      <w:lvlText w:val=""/>
      <w:lvlJc w:val="left"/>
      <w:pPr>
        <w:ind w:left="720" w:hanging="360"/>
      </w:pPr>
      <w:rPr>
        <w:rFonts w:ascii="Symbol" w:hAnsi="Symbol" w:hint="default"/>
        <w:color w:val="AC2B3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1073909">
    <w:abstractNumId w:val="33"/>
  </w:num>
  <w:num w:numId="2" w16cid:durableId="1824927166">
    <w:abstractNumId w:val="47"/>
  </w:num>
  <w:num w:numId="3" w16cid:durableId="395202613">
    <w:abstractNumId w:val="22"/>
  </w:num>
  <w:num w:numId="4" w16cid:durableId="2003501849">
    <w:abstractNumId w:val="24"/>
  </w:num>
  <w:num w:numId="5" w16cid:durableId="197204742">
    <w:abstractNumId w:val="29"/>
  </w:num>
  <w:num w:numId="6" w16cid:durableId="1337852561">
    <w:abstractNumId w:val="41"/>
  </w:num>
  <w:num w:numId="7" w16cid:durableId="993142344">
    <w:abstractNumId w:val="37"/>
  </w:num>
  <w:num w:numId="8" w16cid:durableId="46609767">
    <w:abstractNumId w:val="17"/>
  </w:num>
  <w:num w:numId="9" w16cid:durableId="821847459">
    <w:abstractNumId w:val="36"/>
  </w:num>
  <w:num w:numId="10" w16cid:durableId="1786148177">
    <w:abstractNumId w:val="52"/>
  </w:num>
  <w:num w:numId="11" w16cid:durableId="1097096901">
    <w:abstractNumId w:val="32"/>
  </w:num>
  <w:num w:numId="12" w16cid:durableId="2130272638">
    <w:abstractNumId w:val="18"/>
  </w:num>
  <w:num w:numId="13" w16cid:durableId="371996846">
    <w:abstractNumId w:val="46"/>
  </w:num>
  <w:num w:numId="14" w16cid:durableId="534001899">
    <w:abstractNumId w:val="34"/>
  </w:num>
  <w:num w:numId="15" w16cid:durableId="1052999381">
    <w:abstractNumId w:val="45"/>
  </w:num>
  <w:num w:numId="16" w16cid:durableId="2043433836">
    <w:abstractNumId w:val="25"/>
  </w:num>
  <w:num w:numId="17" w16cid:durableId="484013190">
    <w:abstractNumId w:val="26"/>
  </w:num>
  <w:num w:numId="18" w16cid:durableId="278026248">
    <w:abstractNumId w:val="11"/>
  </w:num>
  <w:num w:numId="19" w16cid:durableId="1429109878">
    <w:abstractNumId w:val="33"/>
    <w:lvlOverride w:ilvl="0">
      <w:startOverride w:val="1"/>
    </w:lvlOverride>
  </w:num>
  <w:num w:numId="20" w16cid:durableId="1168640603">
    <w:abstractNumId w:val="31"/>
  </w:num>
  <w:num w:numId="21" w16cid:durableId="1506432527">
    <w:abstractNumId w:val="42"/>
  </w:num>
  <w:num w:numId="22" w16cid:durableId="1242760315">
    <w:abstractNumId w:val="15"/>
  </w:num>
  <w:num w:numId="23" w16cid:durableId="445274879">
    <w:abstractNumId w:val="21"/>
  </w:num>
  <w:num w:numId="24" w16cid:durableId="451368166">
    <w:abstractNumId w:val="39"/>
  </w:num>
  <w:num w:numId="25" w16cid:durableId="71128039">
    <w:abstractNumId w:val="19"/>
  </w:num>
  <w:num w:numId="26" w16cid:durableId="894467479">
    <w:abstractNumId w:val="29"/>
    <w:lvlOverride w:ilvl="0">
      <w:lvl w:ilvl="0">
        <w:start w:val="1"/>
        <w:numFmt w:val="decimal"/>
        <w:pStyle w:val="Heading1Legal-Level1"/>
        <w:lvlText w:val="%1."/>
        <w:lvlJc w:val="left"/>
        <w:pPr>
          <w:ind w:left="720" w:hanging="720"/>
        </w:pPr>
        <w:rPr>
          <w:rFonts w:hint="default"/>
        </w:rPr>
      </w:lvl>
    </w:lvlOverride>
    <w:lvlOverride w:ilvl="1">
      <w:lvl w:ilvl="1">
        <w:start w:val="1"/>
        <w:numFmt w:val="decimal"/>
        <w:pStyle w:val="NumberedparagraphLegal-Level2"/>
        <w:lvlText w:val="%1.%2."/>
        <w:lvlJc w:val="left"/>
        <w:pPr>
          <w:ind w:left="720" w:hanging="720"/>
        </w:pPr>
        <w:rPr>
          <w:rFonts w:hint="default"/>
        </w:rPr>
      </w:lvl>
    </w:lvlOverride>
    <w:lvlOverride w:ilvl="2">
      <w:lvl w:ilvl="2">
        <w:start w:val="1"/>
        <w:numFmt w:val="decimal"/>
        <w:pStyle w:val="NumberedparagraphLegal-Level3"/>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1800" w:hanging="1800"/>
        </w:pPr>
        <w:rPr>
          <w:rFonts w:hint="default"/>
        </w:rPr>
      </w:lvl>
    </w:lvlOverride>
  </w:num>
  <w:num w:numId="27" w16cid:durableId="553203725">
    <w:abstractNumId w:val="30"/>
  </w:num>
  <w:num w:numId="28" w16cid:durableId="620771591">
    <w:abstractNumId w:val="27"/>
  </w:num>
  <w:num w:numId="29" w16cid:durableId="1309244770">
    <w:abstractNumId w:val="33"/>
    <w:lvlOverride w:ilvl="0">
      <w:startOverride w:val="1"/>
    </w:lvlOverride>
  </w:num>
  <w:num w:numId="30" w16cid:durableId="1564178037">
    <w:abstractNumId w:val="9"/>
  </w:num>
  <w:num w:numId="31" w16cid:durableId="416481662">
    <w:abstractNumId w:val="7"/>
  </w:num>
  <w:num w:numId="32" w16cid:durableId="1959026292">
    <w:abstractNumId w:val="6"/>
  </w:num>
  <w:num w:numId="33" w16cid:durableId="686560655">
    <w:abstractNumId w:val="5"/>
  </w:num>
  <w:num w:numId="34" w16cid:durableId="1155799837">
    <w:abstractNumId w:val="4"/>
  </w:num>
  <w:num w:numId="35" w16cid:durableId="778453609">
    <w:abstractNumId w:val="8"/>
  </w:num>
  <w:num w:numId="36" w16cid:durableId="1469199437">
    <w:abstractNumId w:val="3"/>
  </w:num>
  <w:num w:numId="37" w16cid:durableId="19358841">
    <w:abstractNumId w:val="2"/>
  </w:num>
  <w:num w:numId="38" w16cid:durableId="1479423755">
    <w:abstractNumId w:val="1"/>
  </w:num>
  <w:num w:numId="39" w16cid:durableId="2092460213">
    <w:abstractNumId w:val="0"/>
  </w:num>
  <w:num w:numId="40" w16cid:durableId="1899779882">
    <w:abstractNumId w:val="23"/>
  </w:num>
  <w:num w:numId="41" w16cid:durableId="455875270">
    <w:abstractNumId w:val="38"/>
  </w:num>
  <w:num w:numId="42" w16cid:durableId="339698438">
    <w:abstractNumId w:val="13"/>
  </w:num>
  <w:num w:numId="43" w16cid:durableId="308556912">
    <w:abstractNumId w:val="28"/>
  </w:num>
  <w:num w:numId="44" w16cid:durableId="979960840">
    <w:abstractNumId w:val="49"/>
  </w:num>
  <w:num w:numId="45" w16cid:durableId="2109233378">
    <w:abstractNumId w:val="12"/>
  </w:num>
  <w:num w:numId="46" w16cid:durableId="1676151943">
    <w:abstractNumId w:val="50"/>
  </w:num>
  <w:num w:numId="47" w16cid:durableId="2036878596">
    <w:abstractNumId w:val="14"/>
  </w:num>
  <w:num w:numId="48" w16cid:durableId="1702634868">
    <w:abstractNumId w:val="43"/>
  </w:num>
  <w:num w:numId="49" w16cid:durableId="1275868372">
    <w:abstractNumId w:val="10"/>
  </w:num>
  <w:num w:numId="50" w16cid:durableId="386026979">
    <w:abstractNumId w:val="35"/>
  </w:num>
  <w:num w:numId="51" w16cid:durableId="1075123200">
    <w:abstractNumId w:val="48"/>
  </w:num>
  <w:num w:numId="52" w16cid:durableId="1074669062">
    <w:abstractNumId w:val="44"/>
  </w:num>
  <w:num w:numId="53" w16cid:durableId="1108962328">
    <w:abstractNumId w:val="16"/>
  </w:num>
  <w:num w:numId="54" w16cid:durableId="1824346566">
    <w:abstractNumId w:val="40"/>
  </w:num>
  <w:num w:numId="55" w16cid:durableId="159272687">
    <w:abstractNumId w:val="51"/>
  </w:num>
  <w:num w:numId="56" w16cid:durableId="1565526590">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attachedTemplate r:id="rId1"/>
  <w:trackRevisions/>
  <w:documentProtection w:formatting="1" w:enforcement="1"/>
  <w:autoFormatOverride/>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5B2"/>
    <w:rsid w:val="000003CE"/>
    <w:rsid w:val="000009A5"/>
    <w:rsid w:val="00000D15"/>
    <w:rsid w:val="00000E36"/>
    <w:rsid w:val="00000EDD"/>
    <w:rsid w:val="0000148E"/>
    <w:rsid w:val="000014B4"/>
    <w:rsid w:val="000015D5"/>
    <w:rsid w:val="00001AB7"/>
    <w:rsid w:val="00001D25"/>
    <w:rsid w:val="00001E1B"/>
    <w:rsid w:val="00001F6B"/>
    <w:rsid w:val="00002381"/>
    <w:rsid w:val="000023EA"/>
    <w:rsid w:val="0000277E"/>
    <w:rsid w:val="0000285F"/>
    <w:rsid w:val="0000290D"/>
    <w:rsid w:val="00003143"/>
    <w:rsid w:val="000032F7"/>
    <w:rsid w:val="0000331B"/>
    <w:rsid w:val="0000345A"/>
    <w:rsid w:val="00003613"/>
    <w:rsid w:val="00003A66"/>
    <w:rsid w:val="00003B76"/>
    <w:rsid w:val="00003D4C"/>
    <w:rsid w:val="00003F96"/>
    <w:rsid w:val="00003FD7"/>
    <w:rsid w:val="000044ED"/>
    <w:rsid w:val="0000471F"/>
    <w:rsid w:val="000049EC"/>
    <w:rsid w:val="00004CCE"/>
    <w:rsid w:val="00004CEA"/>
    <w:rsid w:val="00004D38"/>
    <w:rsid w:val="00004F15"/>
    <w:rsid w:val="000051E6"/>
    <w:rsid w:val="000054DC"/>
    <w:rsid w:val="00005580"/>
    <w:rsid w:val="00005648"/>
    <w:rsid w:val="00005816"/>
    <w:rsid w:val="00006217"/>
    <w:rsid w:val="00006367"/>
    <w:rsid w:val="000066E3"/>
    <w:rsid w:val="000066E5"/>
    <w:rsid w:val="000073DE"/>
    <w:rsid w:val="0000743E"/>
    <w:rsid w:val="00007EB7"/>
    <w:rsid w:val="00010466"/>
    <w:rsid w:val="000108D0"/>
    <w:rsid w:val="00010CE3"/>
    <w:rsid w:val="00010D4C"/>
    <w:rsid w:val="000112E6"/>
    <w:rsid w:val="0001138A"/>
    <w:rsid w:val="000119E6"/>
    <w:rsid w:val="00011CDF"/>
    <w:rsid w:val="0001229E"/>
    <w:rsid w:val="000123B0"/>
    <w:rsid w:val="0001253E"/>
    <w:rsid w:val="00012686"/>
    <w:rsid w:val="00012928"/>
    <w:rsid w:val="00012C6E"/>
    <w:rsid w:val="00012E70"/>
    <w:rsid w:val="0001300A"/>
    <w:rsid w:val="0001316E"/>
    <w:rsid w:val="000137B3"/>
    <w:rsid w:val="000137F9"/>
    <w:rsid w:val="000139E3"/>
    <w:rsid w:val="00013BC6"/>
    <w:rsid w:val="00014065"/>
    <w:rsid w:val="000142B7"/>
    <w:rsid w:val="000144A2"/>
    <w:rsid w:val="000144BB"/>
    <w:rsid w:val="00014D40"/>
    <w:rsid w:val="00014E44"/>
    <w:rsid w:val="000152DA"/>
    <w:rsid w:val="00015578"/>
    <w:rsid w:val="000155EC"/>
    <w:rsid w:val="00015687"/>
    <w:rsid w:val="0001593E"/>
    <w:rsid w:val="00015D4D"/>
    <w:rsid w:val="00015DA4"/>
    <w:rsid w:val="00015DFC"/>
    <w:rsid w:val="00015E68"/>
    <w:rsid w:val="00015F22"/>
    <w:rsid w:val="00015FB3"/>
    <w:rsid w:val="00016A43"/>
    <w:rsid w:val="00016C54"/>
    <w:rsid w:val="00016E6A"/>
    <w:rsid w:val="00016E95"/>
    <w:rsid w:val="00016F9E"/>
    <w:rsid w:val="0001710F"/>
    <w:rsid w:val="0001730A"/>
    <w:rsid w:val="000173DC"/>
    <w:rsid w:val="000174AF"/>
    <w:rsid w:val="0001752A"/>
    <w:rsid w:val="00017983"/>
    <w:rsid w:val="00017AB8"/>
    <w:rsid w:val="00017BCC"/>
    <w:rsid w:val="00017D5B"/>
    <w:rsid w:val="00017EA1"/>
    <w:rsid w:val="00020022"/>
    <w:rsid w:val="000204CF"/>
    <w:rsid w:val="000207B3"/>
    <w:rsid w:val="00020FEA"/>
    <w:rsid w:val="00021136"/>
    <w:rsid w:val="00021417"/>
    <w:rsid w:val="00021A55"/>
    <w:rsid w:val="00021E26"/>
    <w:rsid w:val="00021F98"/>
    <w:rsid w:val="00022594"/>
    <w:rsid w:val="0002263F"/>
    <w:rsid w:val="00022BC9"/>
    <w:rsid w:val="00022BDB"/>
    <w:rsid w:val="00022CAC"/>
    <w:rsid w:val="00022D48"/>
    <w:rsid w:val="00022EB6"/>
    <w:rsid w:val="0002302F"/>
    <w:rsid w:val="000230EF"/>
    <w:rsid w:val="0002327F"/>
    <w:rsid w:val="00023338"/>
    <w:rsid w:val="00023791"/>
    <w:rsid w:val="000239A8"/>
    <w:rsid w:val="00023A5C"/>
    <w:rsid w:val="00023B27"/>
    <w:rsid w:val="00023D4E"/>
    <w:rsid w:val="00023F94"/>
    <w:rsid w:val="00023FDE"/>
    <w:rsid w:val="00024250"/>
    <w:rsid w:val="000242B2"/>
    <w:rsid w:val="000248BC"/>
    <w:rsid w:val="000248EB"/>
    <w:rsid w:val="0002493F"/>
    <w:rsid w:val="00025360"/>
    <w:rsid w:val="00025AB3"/>
    <w:rsid w:val="00025ACF"/>
    <w:rsid w:val="00025C24"/>
    <w:rsid w:val="00026028"/>
    <w:rsid w:val="000260F7"/>
    <w:rsid w:val="000261DB"/>
    <w:rsid w:val="00026531"/>
    <w:rsid w:val="00026D20"/>
    <w:rsid w:val="0002712E"/>
    <w:rsid w:val="0002738E"/>
    <w:rsid w:val="000273D4"/>
    <w:rsid w:val="0002743C"/>
    <w:rsid w:val="00027648"/>
    <w:rsid w:val="000276E6"/>
    <w:rsid w:val="0002797A"/>
    <w:rsid w:val="000279B3"/>
    <w:rsid w:val="00027BE5"/>
    <w:rsid w:val="00027C70"/>
    <w:rsid w:val="00027C78"/>
    <w:rsid w:val="00027D6C"/>
    <w:rsid w:val="000303CC"/>
    <w:rsid w:val="0003058E"/>
    <w:rsid w:val="00030685"/>
    <w:rsid w:val="00030A00"/>
    <w:rsid w:val="00030F70"/>
    <w:rsid w:val="000310E6"/>
    <w:rsid w:val="000316DD"/>
    <w:rsid w:val="00031A07"/>
    <w:rsid w:val="00031B7B"/>
    <w:rsid w:val="00031E8F"/>
    <w:rsid w:val="0003230A"/>
    <w:rsid w:val="00032465"/>
    <w:rsid w:val="000325E6"/>
    <w:rsid w:val="00032719"/>
    <w:rsid w:val="0003273D"/>
    <w:rsid w:val="00032877"/>
    <w:rsid w:val="000328E3"/>
    <w:rsid w:val="000329FA"/>
    <w:rsid w:val="00032C74"/>
    <w:rsid w:val="00032E6C"/>
    <w:rsid w:val="00032F1D"/>
    <w:rsid w:val="0003331A"/>
    <w:rsid w:val="00033A38"/>
    <w:rsid w:val="00033AD3"/>
    <w:rsid w:val="00033D5A"/>
    <w:rsid w:val="00034287"/>
    <w:rsid w:val="000346E6"/>
    <w:rsid w:val="00034CA7"/>
    <w:rsid w:val="000352F7"/>
    <w:rsid w:val="00035463"/>
    <w:rsid w:val="00035534"/>
    <w:rsid w:val="000358B8"/>
    <w:rsid w:val="00035C91"/>
    <w:rsid w:val="00035ECF"/>
    <w:rsid w:val="00036325"/>
    <w:rsid w:val="00036473"/>
    <w:rsid w:val="00036608"/>
    <w:rsid w:val="00036AF0"/>
    <w:rsid w:val="00036B61"/>
    <w:rsid w:val="00036D30"/>
    <w:rsid w:val="0003714D"/>
    <w:rsid w:val="000377EC"/>
    <w:rsid w:val="000378A5"/>
    <w:rsid w:val="00040452"/>
    <w:rsid w:val="00040644"/>
    <w:rsid w:val="00040821"/>
    <w:rsid w:val="00040A81"/>
    <w:rsid w:val="00040BEE"/>
    <w:rsid w:val="00040D1E"/>
    <w:rsid w:val="00040E3D"/>
    <w:rsid w:val="00041051"/>
    <w:rsid w:val="00041436"/>
    <w:rsid w:val="00041956"/>
    <w:rsid w:val="0004233A"/>
    <w:rsid w:val="000424EE"/>
    <w:rsid w:val="00042A37"/>
    <w:rsid w:val="00042BC1"/>
    <w:rsid w:val="000435F6"/>
    <w:rsid w:val="000437EC"/>
    <w:rsid w:val="00043F25"/>
    <w:rsid w:val="000442BB"/>
    <w:rsid w:val="00044F13"/>
    <w:rsid w:val="00044F2B"/>
    <w:rsid w:val="000455D6"/>
    <w:rsid w:val="00045708"/>
    <w:rsid w:val="000457D9"/>
    <w:rsid w:val="00045ACE"/>
    <w:rsid w:val="00045BA6"/>
    <w:rsid w:val="00045E7E"/>
    <w:rsid w:val="00046649"/>
    <w:rsid w:val="000467A3"/>
    <w:rsid w:val="00046803"/>
    <w:rsid w:val="00046B9E"/>
    <w:rsid w:val="00046CED"/>
    <w:rsid w:val="00046DBD"/>
    <w:rsid w:val="000470FE"/>
    <w:rsid w:val="00047329"/>
    <w:rsid w:val="00047979"/>
    <w:rsid w:val="000479B7"/>
    <w:rsid w:val="00047A26"/>
    <w:rsid w:val="00047B49"/>
    <w:rsid w:val="00047EBA"/>
    <w:rsid w:val="00050678"/>
    <w:rsid w:val="000508E8"/>
    <w:rsid w:val="00050D9B"/>
    <w:rsid w:val="0005112A"/>
    <w:rsid w:val="00051314"/>
    <w:rsid w:val="0005159D"/>
    <w:rsid w:val="00051766"/>
    <w:rsid w:val="00051DC0"/>
    <w:rsid w:val="0005298F"/>
    <w:rsid w:val="00052A10"/>
    <w:rsid w:val="00052C25"/>
    <w:rsid w:val="00052C3B"/>
    <w:rsid w:val="00052CC9"/>
    <w:rsid w:val="00052E0F"/>
    <w:rsid w:val="00052FB1"/>
    <w:rsid w:val="0005310F"/>
    <w:rsid w:val="000531DD"/>
    <w:rsid w:val="00053427"/>
    <w:rsid w:val="00053836"/>
    <w:rsid w:val="00053881"/>
    <w:rsid w:val="00053A96"/>
    <w:rsid w:val="00053F9E"/>
    <w:rsid w:val="0005403D"/>
    <w:rsid w:val="00054558"/>
    <w:rsid w:val="0005466C"/>
    <w:rsid w:val="000547A5"/>
    <w:rsid w:val="00054AD2"/>
    <w:rsid w:val="000550BA"/>
    <w:rsid w:val="000550E6"/>
    <w:rsid w:val="00055A55"/>
    <w:rsid w:val="00055C08"/>
    <w:rsid w:val="00055C96"/>
    <w:rsid w:val="00056155"/>
    <w:rsid w:val="00056564"/>
    <w:rsid w:val="00056A64"/>
    <w:rsid w:val="00056A85"/>
    <w:rsid w:val="00056D3E"/>
    <w:rsid w:val="00057116"/>
    <w:rsid w:val="00057254"/>
    <w:rsid w:val="00057531"/>
    <w:rsid w:val="000577E6"/>
    <w:rsid w:val="00057A3F"/>
    <w:rsid w:val="00057BB0"/>
    <w:rsid w:val="00057C52"/>
    <w:rsid w:val="00057D8C"/>
    <w:rsid w:val="00057EC2"/>
    <w:rsid w:val="0006001D"/>
    <w:rsid w:val="00060055"/>
    <w:rsid w:val="0006011A"/>
    <w:rsid w:val="00060240"/>
    <w:rsid w:val="000606F4"/>
    <w:rsid w:val="00060A1F"/>
    <w:rsid w:val="00060BCA"/>
    <w:rsid w:val="00060D3D"/>
    <w:rsid w:val="00060D65"/>
    <w:rsid w:val="00060EE6"/>
    <w:rsid w:val="00060EEB"/>
    <w:rsid w:val="00060F9C"/>
    <w:rsid w:val="0006118C"/>
    <w:rsid w:val="000614BB"/>
    <w:rsid w:val="0006154F"/>
    <w:rsid w:val="00061597"/>
    <w:rsid w:val="00061CB1"/>
    <w:rsid w:val="00062223"/>
    <w:rsid w:val="0006273A"/>
    <w:rsid w:val="00062779"/>
    <w:rsid w:val="000627F4"/>
    <w:rsid w:val="00062C70"/>
    <w:rsid w:val="00062CE4"/>
    <w:rsid w:val="00063313"/>
    <w:rsid w:val="00063670"/>
    <w:rsid w:val="000638AB"/>
    <w:rsid w:val="0006412A"/>
    <w:rsid w:val="00064D23"/>
    <w:rsid w:val="00064DDA"/>
    <w:rsid w:val="00064F91"/>
    <w:rsid w:val="000654BE"/>
    <w:rsid w:val="00065860"/>
    <w:rsid w:val="000658B1"/>
    <w:rsid w:val="00065E6F"/>
    <w:rsid w:val="00065FDE"/>
    <w:rsid w:val="000660CE"/>
    <w:rsid w:val="000660F7"/>
    <w:rsid w:val="000667B7"/>
    <w:rsid w:val="00066B89"/>
    <w:rsid w:val="00066BE4"/>
    <w:rsid w:val="00066EDF"/>
    <w:rsid w:val="00066F28"/>
    <w:rsid w:val="000671FB"/>
    <w:rsid w:val="000672B8"/>
    <w:rsid w:val="00067FF0"/>
    <w:rsid w:val="00070121"/>
    <w:rsid w:val="000705AF"/>
    <w:rsid w:val="00070B37"/>
    <w:rsid w:val="00070CF3"/>
    <w:rsid w:val="00070DB3"/>
    <w:rsid w:val="00070DD6"/>
    <w:rsid w:val="0007176C"/>
    <w:rsid w:val="0007183F"/>
    <w:rsid w:val="00071981"/>
    <w:rsid w:val="00071EFC"/>
    <w:rsid w:val="00071F86"/>
    <w:rsid w:val="000722C3"/>
    <w:rsid w:val="00072A51"/>
    <w:rsid w:val="0007302F"/>
    <w:rsid w:val="0007329F"/>
    <w:rsid w:val="00073A3C"/>
    <w:rsid w:val="00073A80"/>
    <w:rsid w:val="00073BE4"/>
    <w:rsid w:val="00073D7D"/>
    <w:rsid w:val="00073F84"/>
    <w:rsid w:val="00074261"/>
    <w:rsid w:val="000743C6"/>
    <w:rsid w:val="00074770"/>
    <w:rsid w:val="00074853"/>
    <w:rsid w:val="00075136"/>
    <w:rsid w:val="00075190"/>
    <w:rsid w:val="000755E7"/>
    <w:rsid w:val="000756CE"/>
    <w:rsid w:val="00075A69"/>
    <w:rsid w:val="00075B64"/>
    <w:rsid w:val="00075C23"/>
    <w:rsid w:val="00075DC8"/>
    <w:rsid w:val="00075FA8"/>
    <w:rsid w:val="00076182"/>
    <w:rsid w:val="0007629C"/>
    <w:rsid w:val="000762FF"/>
    <w:rsid w:val="0007671F"/>
    <w:rsid w:val="00076A9C"/>
    <w:rsid w:val="00076BFA"/>
    <w:rsid w:val="00077372"/>
    <w:rsid w:val="00077A21"/>
    <w:rsid w:val="00077AC4"/>
    <w:rsid w:val="00077D58"/>
    <w:rsid w:val="00080239"/>
    <w:rsid w:val="0008051F"/>
    <w:rsid w:val="00080B17"/>
    <w:rsid w:val="000811E6"/>
    <w:rsid w:val="00081C68"/>
    <w:rsid w:val="00081CBB"/>
    <w:rsid w:val="000824EF"/>
    <w:rsid w:val="000825D8"/>
    <w:rsid w:val="00082755"/>
    <w:rsid w:val="000827A8"/>
    <w:rsid w:val="00082E75"/>
    <w:rsid w:val="00082E84"/>
    <w:rsid w:val="00082FB4"/>
    <w:rsid w:val="000834B9"/>
    <w:rsid w:val="00083588"/>
    <w:rsid w:val="00083B05"/>
    <w:rsid w:val="00083BB6"/>
    <w:rsid w:val="00083E8B"/>
    <w:rsid w:val="00083F15"/>
    <w:rsid w:val="000841B1"/>
    <w:rsid w:val="00084901"/>
    <w:rsid w:val="00084EEB"/>
    <w:rsid w:val="000851F3"/>
    <w:rsid w:val="00085265"/>
    <w:rsid w:val="000852E0"/>
    <w:rsid w:val="000853F8"/>
    <w:rsid w:val="00085530"/>
    <w:rsid w:val="00085664"/>
    <w:rsid w:val="00085688"/>
    <w:rsid w:val="00085A27"/>
    <w:rsid w:val="00085E96"/>
    <w:rsid w:val="00085F22"/>
    <w:rsid w:val="00085F53"/>
    <w:rsid w:val="00085F80"/>
    <w:rsid w:val="00086352"/>
    <w:rsid w:val="00086406"/>
    <w:rsid w:val="000867AB"/>
    <w:rsid w:val="00086965"/>
    <w:rsid w:val="000870D0"/>
    <w:rsid w:val="00087126"/>
    <w:rsid w:val="000872D4"/>
    <w:rsid w:val="000875DC"/>
    <w:rsid w:val="000877A0"/>
    <w:rsid w:val="0008795C"/>
    <w:rsid w:val="00087AFD"/>
    <w:rsid w:val="00087C31"/>
    <w:rsid w:val="00087DC4"/>
    <w:rsid w:val="000903D6"/>
    <w:rsid w:val="00090895"/>
    <w:rsid w:val="0009093C"/>
    <w:rsid w:val="00090BB3"/>
    <w:rsid w:val="00090F3C"/>
    <w:rsid w:val="000910C0"/>
    <w:rsid w:val="00091712"/>
    <w:rsid w:val="00091B04"/>
    <w:rsid w:val="00091F73"/>
    <w:rsid w:val="00092508"/>
    <w:rsid w:val="000928AA"/>
    <w:rsid w:val="00092B88"/>
    <w:rsid w:val="00092C06"/>
    <w:rsid w:val="000933C1"/>
    <w:rsid w:val="00093675"/>
    <w:rsid w:val="00093E5A"/>
    <w:rsid w:val="00093EC0"/>
    <w:rsid w:val="00094566"/>
    <w:rsid w:val="00094910"/>
    <w:rsid w:val="00094AA6"/>
    <w:rsid w:val="00094C7D"/>
    <w:rsid w:val="000950FD"/>
    <w:rsid w:val="00095688"/>
    <w:rsid w:val="0009590C"/>
    <w:rsid w:val="000963AB"/>
    <w:rsid w:val="000968EA"/>
    <w:rsid w:val="00096D9C"/>
    <w:rsid w:val="00096F05"/>
    <w:rsid w:val="00097B93"/>
    <w:rsid w:val="00097CE2"/>
    <w:rsid w:val="00097EF6"/>
    <w:rsid w:val="000A0094"/>
    <w:rsid w:val="000A07C3"/>
    <w:rsid w:val="000A0C1D"/>
    <w:rsid w:val="000A0CF4"/>
    <w:rsid w:val="000A0EA0"/>
    <w:rsid w:val="000A1172"/>
    <w:rsid w:val="000A1228"/>
    <w:rsid w:val="000A13ED"/>
    <w:rsid w:val="000A20F7"/>
    <w:rsid w:val="000A2201"/>
    <w:rsid w:val="000A226B"/>
    <w:rsid w:val="000A26E0"/>
    <w:rsid w:val="000A29F3"/>
    <w:rsid w:val="000A2DF0"/>
    <w:rsid w:val="000A3037"/>
    <w:rsid w:val="000A4355"/>
    <w:rsid w:val="000A4432"/>
    <w:rsid w:val="000A4639"/>
    <w:rsid w:val="000A464C"/>
    <w:rsid w:val="000A4703"/>
    <w:rsid w:val="000A47C5"/>
    <w:rsid w:val="000A4926"/>
    <w:rsid w:val="000A493E"/>
    <w:rsid w:val="000A4CAA"/>
    <w:rsid w:val="000A4D56"/>
    <w:rsid w:val="000A4E55"/>
    <w:rsid w:val="000A4F35"/>
    <w:rsid w:val="000A51DC"/>
    <w:rsid w:val="000A59E0"/>
    <w:rsid w:val="000A5F60"/>
    <w:rsid w:val="000A61ED"/>
    <w:rsid w:val="000A6568"/>
    <w:rsid w:val="000A6C36"/>
    <w:rsid w:val="000A6F3C"/>
    <w:rsid w:val="000A74D7"/>
    <w:rsid w:val="000A74DD"/>
    <w:rsid w:val="000A770F"/>
    <w:rsid w:val="000A7B5A"/>
    <w:rsid w:val="000B036E"/>
    <w:rsid w:val="000B07E8"/>
    <w:rsid w:val="000B0902"/>
    <w:rsid w:val="000B0BAF"/>
    <w:rsid w:val="000B0BF3"/>
    <w:rsid w:val="000B0D4E"/>
    <w:rsid w:val="000B0DF5"/>
    <w:rsid w:val="000B1094"/>
    <w:rsid w:val="000B170B"/>
    <w:rsid w:val="000B1E1E"/>
    <w:rsid w:val="000B1E51"/>
    <w:rsid w:val="000B1F5F"/>
    <w:rsid w:val="000B1FD8"/>
    <w:rsid w:val="000B2177"/>
    <w:rsid w:val="000B21CC"/>
    <w:rsid w:val="000B23C0"/>
    <w:rsid w:val="000B27C0"/>
    <w:rsid w:val="000B2825"/>
    <w:rsid w:val="000B2911"/>
    <w:rsid w:val="000B2E98"/>
    <w:rsid w:val="000B3400"/>
    <w:rsid w:val="000B350B"/>
    <w:rsid w:val="000B3947"/>
    <w:rsid w:val="000B39D6"/>
    <w:rsid w:val="000B39E9"/>
    <w:rsid w:val="000B3A87"/>
    <w:rsid w:val="000B3AB3"/>
    <w:rsid w:val="000B3C26"/>
    <w:rsid w:val="000B484C"/>
    <w:rsid w:val="000B48DA"/>
    <w:rsid w:val="000B496D"/>
    <w:rsid w:val="000B551A"/>
    <w:rsid w:val="000B560B"/>
    <w:rsid w:val="000B5644"/>
    <w:rsid w:val="000B593E"/>
    <w:rsid w:val="000B5AB7"/>
    <w:rsid w:val="000B5B91"/>
    <w:rsid w:val="000B5C96"/>
    <w:rsid w:val="000B5EC3"/>
    <w:rsid w:val="000B6093"/>
    <w:rsid w:val="000B6102"/>
    <w:rsid w:val="000B650F"/>
    <w:rsid w:val="000B65E5"/>
    <w:rsid w:val="000B6D90"/>
    <w:rsid w:val="000B6F14"/>
    <w:rsid w:val="000B6F32"/>
    <w:rsid w:val="000B71A7"/>
    <w:rsid w:val="000B7798"/>
    <w:rsid w:val="000B7AFC"/>
    <w:rsid w:val="000B7D87"/>
    <w:rsid w:val="000C0494"/>
    <w:rsid w:val="000C08A0"/>
    <w:rsid w:val="000C0966"/>
    <w:rsid w:val="000C0BB4"/>
    <w:rsid w:val="000C0FF8"/>
    <w:rsid w:val="000C147B"/>
    <w:rsid w:val="000C1A8C"/>
    <w:rsid w:val="000C1EFB"/>
    <w:rsid w:val="000C208C"/>
    <w:rsid w:val="000C2573"/>
    <w:rsid w:val="000C2DDB"/>
    <w:rsid w:val="000C3366"/>
    <w:rsid w:val="000C3620"/>
    <w:rsid w:val="000C36FD"/>
    <w:rsid w:val="000C37AC"/>
    <w:rsid w:val="000C3BFE"/>
    <w:rsid w:val="000C3C9D"/>
    <w:rsid w:val="000C3DA1"/>
    <w:rsid w:val="000C3FA1"/>
    <w:rsid w:val="000C44B8"/>
    <w:rsid w:val="000C468E"/>
    <w:rsid w:val="000C47B5"/>
    <w:rsid w:val="000C482F"/>
    <w:rsid w:val="000C4B92"/>
    <w:rsid w:val="000C4CB8"/>
    <w:rsid w:val="000C4E7D"/>
    <w:rsid w:val="000C4F8B"/>
    <w:rsid w:val="000C50E1"/>
    <w:rsid w:val="000C56DC"/>
    <w:rsid w:val="000C5DE9"/>
    <w:rsid w:val="000C5E9D"/>
    <w:rsid w:val="000C680C"/>
    <w:rsid w:val="000C69E4"/>
    <w:rsid w:val="000C6C40"/>
    <w:rsid w:val="000C6FBB"/>
    <w:rsid w:val="000C794C"/>
    <w:rsid w:val="000C7BDA"/>
    <w:rsid w:val="000C7DCB"/>
    <w:rsid w:val="000C7E1C"/>
    <w:rsid w:val="000D0061"/>
    <w:rsid w:val="000D0082"/>
    <w:rsid w:val="000D059F"/>
    <w:rsid w:val="000D161A"/>
    <w:rsid w:val="000D1769"/>
    <w:rsid w:val="000D189A"/>
    <w:rsid w:val="000D1DF8"/>
    <w:rsid w:val="000D20F0"/>
    <w:rsid w:val="000D2B1E"/>
    <w:rsid w:val="000D2BBD"/>
    <w:rsid w:val="000D2E5B"/>
    <w:rsid w:val="000D2EE6"/>
    <w:rsid w:val="000D2F75"/>
    <w:rsid w:val="000D3321"/>
    <w:rsid w:val="000D3543"/>
    <w:rsid w:val="000D3CDB"/>
    <w:rsid w:val="000D3E9F"/>
    <w:rsid w:val="000D400F"/>
    <w:rsid w:val="000D43DB"/>
    <w:rsid w:val="000D4435"/>
    <w:rsid w:val="000D447A"/>
    <w:rsid w:val="000D47BB"/>
    <w:rsid w:val="000D4DD3"/>
    <w:rsid w:val="000D4E4C"/>
    <w:rsid w:val="000D5062"/>
    <w:rsid w:val="000D54A9"/>
    <w:rsid w:val="000D587E"/>
    <w:rsid w:val="000D5ACA"/>
    <w:rsid w:val="000D5EF2"/>
    <w:rsid w:val="000D61EE"/>
    <w:rsid w:val="000D645F"/>
    <w:rsid w:val="000D655A"/>
    <w:rsid w:val="000D6947"/>
    <w:rsid w:val="000D6986"/>
    <w:rsid w:val="000D69CE"/>
    <w:rsid w:val="000D6EA1"/>
    <w:rsid w:val="000D6F09"/>
    <w:rsid w:val="000D736B"/>
    <w:rsid w:val="000D7519"/>
    <w:rsid w:val="000D7611"/>
    <w:rsid w:val="000D7A1D"/>
    <w:rsid w:val="000D7CCB"/>
    <w:rsid w:val="000D7EFD"/>
    <w:rsid w:val="000D7F25"/>
    <w:rsid w:val="000D7FFD"/>
    <w:rsid w:val="000E04E0"/>
    <w:rsid w:val="000E06B7"/>
    <w:rsid w:val="000E1086"/>
    <w:rsid w:val="000E1C72"/>
    <w:rsid w:val="000E1E6C"/>
    <w:rsid w:val="000E1F79"/>
    <w:rsid w:val="000E2952"/>
    <w:rsid w:val="000E29FE"/>
    <w:rsid w:val="000E2ADF"/>
    <w:rsid w:val="000E2D24"/>
    <w:rsid w:val="000E37BC"/>
    <w:rsid w:val="000E380A"/>
    <w:rsid w:val="000E38D2"/>
    <w:rsid w:val="000E3CC9"/>
    <w:rsid w:val="000E4551"/>
    <w:rsid w:val="000E458C"/>
    <w:rsid w:val="000E4995"/>
    <w:rsid w:val="000E4DDB"/>
    <w:rsid w:val="000E4E9B"/>
    <w:rsid w:val="000E4F62"/>
    <w:rsid w:val="000E5033"/>
    <w:rsid w:val="000E5070"/>
    <w:rsid w:val="000E5120"/>
    <w:rsid w:val="000E53E2"/>
    <w:rsid w:val="000E54AB"/>
    <w:rsid w:val="000E5634"/>
    <w:rsid w:val="000E56B6"/>
    <w:rsid w:val="000E57A1"/>
    <w:rsid w:val="000E5E32"/>
    <w:rsid w:val="000E6006"/>
    <w:rsid w:val="000E608C"/>
    <w:rsid w:val="000E6286"/>
    <w:rsid w:val="000E63EF"/>
    <w:rsid w:val="000E64EF"/>
    <w:rsid w:val="000E6606"/>
    <w:rsid w:val="000E662E"/>
    <w:rsid w:val="000E6631"/>
    <w:rsid w:val="000E6CDF"/>
    <w:rsid w:val="000E6DE8"/>
    <w:rsid w:val="000E77C9"/>
    <w:rsid w:val="000E7BBA"/>
    <w:rsid w:val="000F003D"/>
    <w:rsid w:val="000F0B16"/>
    <w:rsid w:val="000F0B47"/>
    <w:rsid w:val="000F0C60"/>
    <w:rsid w:val="000F0D36"/>
    <w:rsid w:val="000F0F95"/>
    <w:rsid w:val="000F106A"/>
    <w:rsid w:val="000F1490"/>
    <w:rsid w:val="000F190E"/>
    <w:rsid w:val="000F1A77"/>
    <w:rsid w:val="000F213C"/>
    <w:rsid w:val="000F21FE"/>
    <w:rsid w:val="000F267A"/>
    <w:rsid w:val="000F288F"/>
    <w:rsid w:val="000F292F"/>
    <w:rsid w:val="000F2AC5"/>
    <w:rsid w:val="000F2CCF"/>
    <w:rsid w:val="000F2D0C"/>
    <w:rsid w:val="000F32DA"/>
    <w:rsid w:val="000F34D3"/>
    <w:rsid w:val="000F350B"/>
    <w:rsid w:val="000F37B8"/>
    <w:rsid w:val="000F3A56"/>
    <w:rsid w:val="000F3C00"/>
    <w:rsid w:val="000F3CAF"/>
    <w:rsid w:val="000F47F5"/>
    <w:rsid w:val="000F496C"/>
    <w:rsid w:val="000F4D13"/>
    <w:rsid w:val="000F4D36"/>
    <w:rsid w:val="000F4E2C"/>
    <w:rsid w:val="000F54B8"/>
    <w:rsid w:val="000F5733"/>
    <w:rsid w:val="000F5B39"/>
    <w:rsid w:val="000F615A"/>
    <w:rsid w:val="000F68F8"/>
    <w:rsid w:val="000F6BD7"/>
    <w:rsid w:val="000F6BF3"/>
    <w:rsid w:val="000F79B4"/>
    <w:rsid w:val="000F79B7"/>
    <w:rsid w:val="000F7A2D"/>
    <w:rsid w:val="00100211"/>
    <w:rsid w:val="001002B0"/>
    <w:rsid w:val="00100360"/>
    <w:rsid w:val="00100686"/>
    <w:rsid w:val="0010119B"/>
    <w:rsid w:val="001011EE"/>
    <w:rsid w:val="00101463"/>
    <w:rsid w:val="0010157F"/>
    <w:rsid w:val="001018E7"/>
    <w:rsid w:val="00101D1C"/>
    <w:rsid w:val="00101F12"/>
    <w:rsid w:val="001026F5"/>
    <w:rsid w:val="00102A01"/>
    <w:rsid w:val="00102F33"/>
    <w:rsid w:val="0010305A"/>
    <w:rsid w:val="001031DA"/>
    <w:rsid w:val="001034BD"/>
    <w:rsid w:val="001036D8"/>
    <w:rsid w:val="001038B6"/>
    <w:rsid w:val="00104269"/>
    <w:rsid w:val="001049E8"/>
    <w:rsid w:val="00104EA4"/>
    <w:rsid w:val="00104FB5"/>
    <w:rsid w:val="0010512F"/>
    <w:rsid w:val="00105254"/>
    <w:rsid w:val="00105277"/>
    <w:rsid w:val="0010564F"/>
    <w:rsid w:val="0010589F"/>
    <w:rsid w:val="00105BEF"/>
    <w:rsid w:val="00105FE6"/>
    <w:rsid w:val="00106449"/>
    <w:rsid w:val="001069D3"/>
    <w:rsid w:val="00106C52"/>
    <w:rsid w:val="00106F07"/>
    <w:rsid w:val="00107369"/>
    <w:rsid w:val="0010763D"/>
    <w:rsid w:val="00107C9D"/>
    <w:rsid w:val="00107CFB"/>
    <w:rsid w:val="00107F93"/>
    <w:rsid w:val="00107FA4"/>
    <w:rsid w:val="00110022"/>
    <w:rsid w:val="001102E0"/>
    <w:rsid w:val="00110876"/>
    <w:rsid w:val="001108C2"/>
    <w:rsid w:val="00110F94"/>
    <w:rsid w:val="00111285"/>
    <w:rsid w:val="001112BB"/>
    <w:rsid w:val="00111682"/>
    <w:rsid w:val="0011170A"/>
    <w:rsid w:val="0011171F"/>
    <w:rsid w:val="00111791"/>
    <w:rsid w:val="0011187F"/>
    <w:rsid w:val="00111AF7"/>
    <w:rsid w:val="00111DE6"/>
    <w:rsid w:val="00111EFD"/>
    <w:rsid w:val="00111F52"/>
    <w:rsid w:val="0011269B"/>
    <w:rsid w:val="00112BBF"/>
    <w:rsid w:val="001132A8"/>
    <w:rsid w:val="00113346"/>
    <w:rsid w:val="00113565"/>
    <w:rsid w:val="001136CA"/>
    <w:rsid w:val="001139A1"/>
    <w:rsid w:val="001139CD"/>
    <w:rsid w:val="00113CD6"/>
    <w:rsid w:val="00114015"/>
    <w:rsid w:val="00114270"/>
    <w:rsid w:val="0011454D"/>
    <w:rsid w:val="00114771"/>
    <w:rsid w:val="00114EE9"/>
    <w:rsid w:val="0011510B"/>
    <w:rsid w:val="00115145"/>
    <w:rsid w:val="001153E9"/>
    <w:rsid w:val="001154CE"/>
    <w:rsid w:val="001159C3"/>
    <w:rsid w:val="00115E7E"/>
    <w:rsid w:val="00116220"/>
    <w:rsid w:val="001167BE"/>
    <w:rsid w:val="00116B45"/>
    <w:rsid w:val="00116CB6"/>
    <w:rsid w:val="001174C9"/>
    <w:rsid w:val="00117A57"/>
    <w:rsid w:val="0012010B"/>
    <w:rsid w:val="001202F3"/>
    <w:rsid w:val="001205F5"/>
    <w:rsid w:val="00120FE7"/>
    <w:rsid w:val="00121085"/>
    <w:rsid w:val="001213F0"/>
    <w:rsid w:val="0012194A"/>
    <w:rsid w:val="00121AF5"/>
    <w:rsid w:val="00121B1D"/>
    <w:rsid w:val="00121FCD"/>
    <w:rsid w:val="0012204C"/>
    <w:rsid w:val="00122055"/>
    <w:rsid w:val="00122153"/>
    <w:rsid w:val="00122398"/>
    <w:rsid w:val="001226B6"/>
    <w:rsid w:val="00122713"/>
    <w:rsid w:val="00122E20"/>
    <w:rsid w:val="00122EB2"/>
    <w:rsid w:val="0012349F"/>
    <w:rsid w:val="00123C6F"/>
    <w:rsid w:val="00123D07"/>
    <w:rsid w:val="001242BB"/>
    <w:rsid w:val="001244FA"/>
    <w:rsid w:val="001245FB"/>
    <w:rsid w:val="001251F9"/>
    <w:rsid w:val="0012539D"/>
    <w:rsid w:val="001254AA"/>
    <w:rsid w:val="0012550B"/>
    <w:rsid w:val="001255CE"/>
    <w:rsid w:val="00125A18"/>
    <w:rsid w:val="00125CF4"/>
    <w:rsid w:val="00125D4D"/>
    <w:rsid w:val="00125F8F"/>
    <w:rsid w:val="001261AF"/>
    <w:rsid w:val="0012661E"/>
    <w:rsid w:val="0012676C"/>
    <w:rsid w:val="00126AE7"/>
    <w:rsid w:val="001270B2"/>
    <w:rsid w:val="001273B3"/>
    <w:rsid w:val="00127460"/>
    <w:rsid w:val="00127870"/>
    <w:rsid w:val="00127993"/>
    <w:rsid w:val="00127B87"/>
    <w:rsid w:val="0013057D"/>
    <w:rsid w:val="001305A6"/>
    <w:rsid w:val="001308C3"/>
    <w:rsid w:val="00130CF6"/>
    <w:rsid w:val="00130F50"/>
    <w:rsid w:val="00131436"/>
    <w:rsid w:val="0013168F"/>
    <w:rsid w:val="00131744"/>
    <w:rsid w:val="001317D7"/>
    <w:rsid w:val="001319D0"/>
    <w:rsid w:val="00131B64"/>
    <w:rsid w:val="00131FE9"/>
    <w:rsid w:val="00132149"/>
    <w:rsid w:val="00132181"/>
    <w:rsid w:val="0013298C"/>
    <w:rsid w:val="00132C96"/>
    <w:rsid w:val="00132DD2"/>
    <w:rsid w:val="00132E41"/>
    <w:rsid w:val="00132F53"/>
    <w:rsid w:val="00133006"/>
    <w:rsid w:val="001331B9"/>
    <w:rsid w:val="00133225"/>
    <w:rsid w:val="0013334F"/>
    <w:rsid w:val="0013341C"/>
    <w:rsid w:val="00133C1E"/>
    <w:rsid w:val="00133D78"/>
    <w:rsid w:val="0013438D"/>
    <w:rsid w:val="001344B7"/>
    <w:rsid w:val="0013464A"/>
    <w:rsid w:val="00134675"/>
    <w:rsid w:val="001346FD"/>
    <w:rsid w:val="001349E6"/>
    <w:rsid w:val="00135383"/>
    <w:rsid w:val="001354F1"/>
    <w:rsid w:val="0013571B"/>
    <w:rsid w:val="001359B1"/>
    <w:rsid w:val="00135CD3"/>
    <w:rsid w:val="00136079"/>
    <w:rsid w:val="001365D3"/>
    <w:rsid w:val="001367EF"/>
    <w:rsid w:val="00136C33"/>
    <w:rsid w:val="00136ED8"/>
    <w:rsid w:val="001371F2"/>
    <w:rsid w:val="001376C9"/>
    <w:rsid w:val="00137A2A"/>
    <w:rsid w:val="00137C05"/>
    <w:rsid w:val="00137C1B"/>
    <w:rsid w:val="00137ECF"/>
    <w:rsid w:val="001404A5"/>
    <w:rsid w:val="001407EB"/>
    <w:rsid w:val="00140A2C"/>
    <w:rsid w:val="00140A8E"/>
    <w:rsid w:val="00140AD9"/>
    <w:rsid w:val="00140FE6"/>
    <w:rsid w:val="001410D1"/>
    <w:rsid w:val="0014113E"/>
    <w:rsid w:val="001414C7"/>
    <w:rsid w:val="00141886"/>
    <w:rsid w:val="00141FB0"/>
    <w:rsid w:val="001421CC"/>
    <w:rsid w:val="0014230B"/>
    <w:rsid w:val="0014260A"/>
    <w:rsid w:val="0014267F"/>
    <w:rsid w:val="0014270E"/>
    <w:rsid w:val="00142BC7"/>
    <w:rsid w:val="00142C72"/>
    <w:rsid w:val="00142E7C"/>
    <w:rsid w:val="0014314E"/>
    <w:rsid w:val="001432ED"/>
    <w:rsid w:val="001434C0"/>
    <w:rsid w:val="001441A0"/>
    <w:rsid w:val="001443B7"/>
    <w:rsid w:val="00144BC1"/>
    <w:rsid w:val="00144E6F"/>
    <w:rsid w:val="00144E89"/>
    <w:rsid w:val="00145216"/>
    <w:rsid w:val="0014535E"/>
    <w:rsid w:val="0014567F"/>
    <w:rsid w:val="0014574B"/>
    <w:rsid w:val="00145C50"/>
    <w:rsid w:val="001460CB"/>
    <w:rsid w:val="001460EC"/>
    <w:rsid w:val="001465ED"/>
    <w:rsid w:val="00146B2B"/>
    <w:rsid w:val="00146CE1"/>
    <w:rsid w:val="00146FAE"/>
    <w:rsid w:val="00147318"/>
    <w:rsid w:val="00147585"/>
    <w:rsid w:val="0014766A"/>
    <w:rsid w:val="00147A88"/>
    <w:rsid w:val="00147B42"/>
    <w:rsid w:val="00147B4E"/>
    <w:rsid w:val="00147CB1"/>
    <w:rsid w:val="00147CC4"/>
    <w:rsid w:val="00147E78"/>
    <w:rsid w:val="00147EC4"/>
    <w:rsid w:val="00147F27"/>
    <w:rsid w:val="001505B5"/>
    <w:rsid w:val="001506F5"/>
    <w:rsid w:val="00150A9A"/>
    <w:rsid w:val="001512E0"/>
    <w:rsid w:val="00151409"/>
    <w:rsid w:val="00151807"/>
    <w:rsid w:val="00151D52"/>
    <w:rsid w:val="00151FC6"/>
    <w:rsid w:val="00152002"/>
    <w:rsid w:val="00152554"/>
    <w:rsid w:val="0015262C"/>
    <w:rsid w:val="00152720"/>
    <w:rsid w:val="00152903"/>
    <w:rsid w:val="00152A43"/>
    <w:rsid w:val="00152F09"/>
    <w:rsid w:val="0015307A"/>
    <w:rsid w:val="001530DE"/>
    <w:rsid w:val="00153388"/>
    <w:rsid w:val="00153501"/>
    <w:rsid w:val="00153632"/>
    <w:rsid w:val="0015394B"/>
    <w:rsid w:val="00153C42"/>
    <w:rsid w:val="0015426C"/>
    <w:rsid w:val="001544E2"/>
    <w:rsid w:val="0015450D"/>
    <w:rsid w:val="0015452C"/>
    <w:rsid w:val="00154593"/>
    <w:rsid w:val="00154654"/>
    <w:rsid w:val="00154AE8"/>
    <w:rsid w:val="00154B96"/>
    <w:rsid w:val="001550D4"/>
    <w:rsid w:val="00155695"/>
    <w:rsid w:val="00155A6E"/>
    <w:rsid w:val="00155A77"/>
    <w:rsid w:val="00155B82"/>
    <w:rsid w:val="00155E51"/>
    <w:rsid w:val="001560F5"/>
    <w:rsid w:val="001562C9"/>
    <w:rsid w:val="0015630D"/>
    <w:rsid w:val="001563F4"/>
    <w:rsid w:val="00156583"/>
    <w:rsid w:val="00156A6F"/>
    <w:rsid w:val="00156AEB"/>
    <w:rsid w:val="00156D62"/>
    <w:rsid w:val="00157521"/>
    <w:rsid w:val="0015772E"/>
    <w:rsid w:val="00157943"/>
    <w:rsid w:val="001600CF"/>
    <w:rsid w:val="0016015B"/>
    <w:rsid w:val="0016025D"/>
    <w:rsid w:val="00160430"/>
    <w:rsid w:val="00160485"/>
    <w:rsid w:val="00160660"/>
    <w:rsid w:val="00160731"/>
    <w:rsid w:val="00160979"/>
    <w:rsid w:val="00161004"/>
    <w:rsid w:val="00161C14"/>
    <w:rsid w:val="00161C1D"/>
    <w:rsid w:val="00161CD3"/>
    <w:rsid w:val="00161FDE"/>
    <w:rsid w:val="0016200D"/>
    <w:rsid w:val="001625F7"/>
    <w:rsid w:val="00162794"/>
    <w:rsid w:val="001628D5"/>
    <w:rsid w:val="001628DA"/>
    <w:rsid w:val="00162B2C"/>
    <w:rsid w:val="00162BDB"/>
    <w:rsid w:val="00162CA9"/>
    <w:rsid w:val="00162F58"/>
    <w:rsid w:val="001634B9"/>
    <w:rsid w:val="001634DD"/>
    <w:rsid w:val="00163921"/>
    <w:rsid w:val="00163B64"/>
    <w:rsid w:val="00163C48"/>
    <w:rsid w:val="00163CB8"/>
    <w:rsid w:val="001640D2"/>
    <w:rsid w:val="00164181"/>
    <w:rsid w:val="00164273"/>
    <w:rsid w:val="001644A4"/>
    <w:rsid w:val="00164660"/>
    <w:rsid w:val="0016485F"/>
    <w:rsid w:val="00164A3A"/>
    <w:rsid w:val="00164A63"/>
    <w:rsid w:val="00164FE4"/>
    <w:rsid w:val="001652CD"/>
    <w:rsid w:val="0016530A"/>
    <w:rsid w:val="0016536F"/>
    <w:rsid w:val="0016555E"/>
    <w:rsid w:val="00165AFD"/>
    <w:rsid w:val="00165B7E"/>
    <w:rsid w:val="00166017"/>
    <w:rsid w:val="0016678F"/>
    <w:rsid w:val="00166F89"/>
    <w:rsid w:val="00167212"/>
    <w:rsid w:val="00167563"/>
    <w:rsid w:val="001677F3"/>
    <w:rsid w:val="00167866"/>
    <w:rsid w:val="0016792B"/>
    <w:rsid w:val="00167F24"/>
    <w:rsid w:val="00167F95"/>
    <w:rsid w:val="001701FD"/>
    <w:rsid w:val="001706DE"/>
    <w:rsid w:val="00170855"/>
    <w:rsid w:val="0017088C"/>
    <w:rsid w:val="001708AC"/>
    <w:rsid w:val="001708D4"/>
    <w:rsid w:val="00170D35"/>
    <w:rsid w:val="0017109C"/>
    <w:rsid w:val="001711AD"/>
    <w:rsid w:val="001715BE"/>
    <w:rsid w:val="00171AEE"/>
    <w:rsid w:val="00171F4C"/>
    <w:rsid w:val="0017223F"/>
    <w:rsid w:val="001722A8"/>
    <w:rsid w:val="00172DBD"/>
    <w:rsid w:val="001733E3"/>
    <w:rsid w:val="0017345A"/>
    <w:rsid w:val="00173494"/>
    <w:rsid w:val="00173576"/>
    <w:rsid w:val="0017384B"/>
    <w:rsid w:val="00173868"/>
    <w:rsid w:val="00173AC4"/>
    <w:rsid w:val="00173BE0"/>
    <w:rsid w:val="00173D69"/>
    <w:rsid w:val="00174015"/>
    <w:rsid w:val="00174221"/>
    <w:rsid w:val="001742D1"/>
    <w:rsid w:val="0017439F"/>
    <w:rsid w:val="0017477B"/>
    <w:rsid w:val="0017482C"/>
    <w:rsid w:val="00174840"/>
    <w:rsid w:val="0017491E"/>
    <w:rsid w:val="00174D92"/>
    <w:rsid w:val="0017551A"/>
    <w:rsid w:val="00175903"/>
    <w:rsid w:val="0017590C"/>
    <w:rsid w:val="00175B34"/>
    <w:rsid w:val="00176B41"/>
    <w:rsid w:val="00176BE6"/>
    <w:rsid w:val="00176D0D"/>
    <w:rsid w:val="00176F30"/>
    <w:rsid w:val="00176F55"/>
    <w:rsid w:val="0017762D"/>
    <w:rsid w:val="00177735"/>
    <w:rsid w:val="00177F09"/>
    <w:rsid w:val="00180027"/>
    <w:rsid w:val="001807CC"/>
    <w:rsid w:val="001808A4"/>
    <w:rsid w:val="00180A5B"/>
    <w:rsid w:val="00180E63"/>
    <w:rsid w:val="00180E68"/>
    <w:rsid w:val="00181095"/>
    <w:rsid w:val="00181122"/>
    <w:rsid w:val="0018127F"/>
    <w:rsid w:val="00181FCF"/>
    <w:rsid w:val="001820B7"/>
    <w:rsid w:val="00182D95"/>
    <w:rsid w:val="00182DDD"/>
    <w:rsid w:val="00182DF7"/>
    <w:rsid w:val="00182E12"/>
    <w:rsid w:val="00183880"/>
    <w:rsid w:val="001844EF"/>
    <w:rsid w:val="00184B2B"/>
    <w:rsid w:val="00184D23"/>
    <w:rsid w:val="0018521E"/>
    <w:rsid w:val="00185374"/>
    <w:rsid w:val="001856F1"/>
    <w:rsid w:val="00185C3C"/>
    <w:rsid w:val="00185C89"/>
    <w:rsid w:val="00185E0A"/>
    <w:rsid w:val="00185F3B"/>
    <w:rsid w:val="00186001"/>
    <w:rsid w:val="00186640"/>
    <w:rsid w:val="00186B09"/>
    <w:rsid w:val="00186DFA"/>
    <w:rsid w:val="00186ECA"/>
    <w:rsid w:val="001870C4"/>
    <w:rsid w:val="001878D7"/>
    <w:rsid w:val="00187A9B"/>
    <w:rsid w:val="00187C3D"/>
    <w:rsid w:val="00187C54"/>
    <w:rsid w:val="00187FE1"/>
    <w:rsid w:val="0019016B"/>
    <w:rsid w:val="001901EB"/>
    <w:rsid w:val="0019024D"/>
    <w:rsid w:val="00190CCA"/>
    <w:rsid w:val="00190EB4"/>
    <w:rsid w:val="00191572"/>
    <w:rsid w:val="00191972"/>
    <w:rsid w:val="00191E72"/>
    <w:rsid w:val="00191ECD"/>
    <w:rsid w:val="00191F1A"/>
    <w:rsid w:val="00192217"/>
    <w:rsid w:val="00192394"/>
    <w:rsid w:val="0019247E"/>
    <w:rsid w:val="00192630"/>
    <w:rsid w:val="00192900"/>
    <w:rsid w:val="00192BFB"/>
    <w:rsid w:val="00192C8D"/>
    <w:rsid w:val="00192D12"/>
    <w:rsid w:val="00192E41"/>
    <w:rsid w:val="00192F38"/>
    <w:rsid w:val="00193259"/>
    <w:rsid w:val="0019328E"/>
    <w:rsid w:val="001933AE"/>
    <w:rsid w:val="00193634"/>
    <w:rsid w:val="001938F4"/>
    <w:rsid w:val="001939D8"/>
    <w:rsid w:val="00193CAE"/>
    <w:rsid w:val="00193E49"/>
    <w:rsid w:val="00193ED4"/>
    <w:rsid w:val="0019400D"/>
    <w:rsid w:val="001944B9"/>
    <w:rsid w:val="001944D0"/>
    <w:rsid w:val="00194A08"/>
    <w:rsid w:val="00194D14"/>
    <w:rsid w:val="00194E5B"/>
    <w:rsid w:val="00194E7E"/>
    <w:rsid w:val="001956EA"/>
    <w:rsid w:val="00195791"/>
    <w:rsid w:val="001958AE"/>
    <w:rsid w:val="0019596E"/>
    <w:rsid w:val="00195B14"/>
    <w:rsid w:val="00195D22"/>
    <w:rsid w:val="00195D32"/>
    <w:rsid w:val="00195EAC"/>
    <w:rsid w:val="00196642"/>
    <w:rsid w:val="001966E9"/>
    <w:rsid w:val="00196CD4"/>
    <w:rsid w:val="001975E1"/>
    <w:rsid w:val="00197737"/>
    <w:rsid w:val="00197CD2"/>
    <w:rsid w:val="00197DAF"/>
    <w:rsid w:val="001A0061"/>
    <w:rsid w:val="001A02E0"/>
    <w:rsid w:val="001A0424"/>
    <w:rsid w:val="001A0628"/>
    <w:rsid w:val="001A0A68"/>
    <w:rsid w:val="001A0BBF"/>
    <w:rsid w:val="001A0E87"/>
    <w:rsid w:val="001A10CA"/>
    <w:rsid w:val="001A127D"/>
    <w:rsid w:val="001A171C"/>
    <w:rsid w:val="001A1A9B"/>
    <w:rsid w:val="001A206D"/>
    <w:rsid w:val="001A213A"/>
    <w:rsid w:val="001A2155"/>
    <w:rsid w:val="001A2399"/>
    <w:rsid w:val="001A29A4"/>
    <w:rsid w:val="001A2EAD"/>
    <w:rsid w:val="001A3507"/>
    <w:rsid w:val="001A3938"/>
    <w:rsid w:val="001A3B43"/>
    <w:rsid w:val="001A3B66"/>
    <w:rsid w:val="001A405D"/>
    <w:rsid w:val="001A442D"/>
    <w:rsid w:val="001A45A1"/>
    <w:rsid w:val="001A4AE1"/>
    <w:rsid w:val="001A56C9"/>
    <w:rsid w:val="001A59C0"/>
    <w:rsid w:val="001A5B49"/>
    <w:rsid w:val="001A6070"/>
    <w:rsid w:val="001A609C"/>
    <w:rsid w:val="001A60A1"/>
    <w:rsid w:val="001A6144"/>
    <w:rsid w:val="001A677A"/>
    <w:rsid w:val="001A6A5E"/>
    <w:rsid w:val="001A6B7D"/>
    <w:rsid w:val="001A6EB8"/>
    <w:rsid w:val="001A6FD1"/>
    <w:rsid w:val="001A702F"/>
    <w:rsid w:val="001A70D9"/>
    <w:rsid w:val="001A70E2"/>
    <w:rsid w:val="001A7C76"/>
    <w:rsid w:val="001A7E4E"/>
    <w:rsid w:val="001B00B5"/>
    <w:rsid w:val="001B013B"/>
    <w:rsid w:val="001B0155"/>
    <w:rsid w:val="001B02CC"/>
    <w:rsid w:val="001B05F3"/>
    <w:rsid w:val="001B0764"/>
    <w:rsid w:val="001B0E43"/>
    <w:rsid w:val="001B1A34"/>
    <w:rsid w:val="001B1A70"/>
    <w:rsid w:val="001B1FFC"/>
    <w:rsid w:val="001B211A"/>
    <w:rsid w:val="001B26AD"/>
    <w:rsid w:val="001B284B"/>
    <w:rsid w:val="001B2B4B"/>
    <w:rsid w:val="001B2E3A"/>
    <w:rsid w:val="001B2F8C"/>
    <w:rsid w:val="001B312E"/>
    <w:rsid w:val="001B3176"/>
    <w:rsid w:val="001B31E3"/>
    <w:rsid w:val="001B33E5"/>
    <w:rsid w:val="001B34F1"/>
    <w:rsid w:val="001B3710"/>
    <w:rsid w:val="001B380A"/>
    <w:rsid w:val="001B3D9C"/>
    <w:rsid w:val="001B3E6A"/>
    <w:rsid w:val="001B3FB9"/>
    <w:rsid w:val="001B4096"/>
    <w:rsid w:val="001B4936"/>
    <w:rsid w:val="001B4ADC"/>
    <w:rsid w:val="001B4C03"/>
    <w:rsid w:val="001B4C56"/>
    <w:rsid w:val="001B5374"/>
    <w:rsid w:val="001B5440"/>
    <w:rsid w:val="001B54E6"/>
    <w:rsid w:val="001B5A07"/>
    <w:rsid w:val="001B5C22"/>
    <w:rsid w:val="001B5D8B"/>
    <w:rsid w:val="001B5E71"/>
    <w:rsid w:val="001B6561"/>
    <w:rsid w:val="001B65A7"/>
    <w:rsid w:val="001B6C7E"/>
    <w:rsid w:val="001B6CB2"/>
    <w:rsid w:val="001B6D14"/>
    <w:rsid w:val="001B7213"/>
    <w:rsid w:val="001B778E"/>
    <w:rsid w:val="001B78F5"/>
    <w:rsid w:val="001B791A"/>
    <w:rsid w:val="001B7BA1"/>
    <w:rsid w:val="001B7BC1"/>
    <w:rsid w:val="001C043A"/>
    <w:rsid w:val="001C0460"/>
    <w:rsid w:val="001C0C9D"/>
    <w:rsid w:val="001C12E1"/>
    <w:rsid w:val="001C1795"/>
    <w:rsid w:val="001C2029"/>
    <w:rsid w:val="001C24AE"/>
    <w:rsid w:val="001C2536"/>
    <w:rsid w:val="001C26F4"/>
    <w:rsid w:val="001C2A4D"/>
    <w:rsid w:val="001C2FA2"/>
    <w:rsid w:val="001C331E"/>
    <w:rsid w:val="001C362C"/>
    <w:rsid w:val="001C37EE"/>
    <w:rsid w:val="001C40EE"/>
    <w:rsid w:val="001C45F2"/>
    <w:rsid w:val="001C4923"/>
    <w:rsid w:val="001C4D77"/>
    <w:rsid w:val="001C503A"/>
    <w:rsid w:val="001C56C2"/>
    <w:rsid w:val="001C56C9"/>
    <w:rsid w:val="001C5E36"/>
    <w:rsid w:val="001C603B"/>
    <w:rsid w:val="001C628E"/>
    <w:rsid w:val="001C64BE"/>
    <w:rsid w:val="001C67C2"/>
    <w:rsid w:val="001C6B7E"/>
    <w:rsid w:val="001C6B9F"/>
    <w:rsid w:val="001C6D34"/>
    <w:rsid w:val="001C7134"/>
    <w:rsid w:val="001C7929"/>
    <w:rsid w:val="001C7AEA"/>
    <w:rsid w:val="001C7CD8"/>
    <w:rsid w:val="001C7DEA"/>
    <w:rsid w:val="001C7F0D"/>
    <w:rsid w:val="001D02CF"/>
    <w:rsid w:val="001D0374"/>
    <w:rsid w:val="001D0748"/>
    <w:rsid w:val="001D0BD1"/>
    <w:rsid w:val="001D0BF1"/>
    <w:rsid w:val="001D124A"/>
    <w:rsid w:val="001D1AFC"/>
    <w:rsid w:val="001D208C"/>
    <w:rsid w:val="001D20EA"/>
    <w:rsid w:val="001D2166"/>
    <w:rsid w:val="001D2294"/>
    <w:rsid w:val="001D22BE"/>
    <w:rsid w:val="001D23F1"/>
    <w:rsid w:val="001D2907"/>
    <w:rsid w:val="001D2C42"/>
    <w:rsid w:val="001D2EC8"/>
    <w:rsid w:val="001D35B3"/>
    <w:rsid w:val="001D3AAD"/>
    <w:rsid w:val="001D3C8B"/>
    <w:rsid w:val="001D3E96"/>
    <w:rsid w:val="001D42F1"/>
    <w:rsid w:val="001D4315"/>
    <w:rsid w:val="001D4333"/>
    <w:rsid w:val="001D49C1"/>
    <w:rsid w:val="001D4D05"/>
    <w:rsid w:val="001D4EBE"/>
    <w:rsid w:val="001D5242"/>
    <w:rsid w:val="001D5259"/>
    <w:rsid w:val="001D55C3"/>
    <w:rsid w:val="001D5899"/>
    <w:rsid w:val="001D58F0"/>
    <w:rsid w:val="001D5ADE"/>
    <w:rsid w:val="001D5D6D"/>
    <w:rsid w:val="001D5E87"/>
    <w:rsid w:val="001D6115"/>
    <w:rsid w:val="001D631D"/>
    <w:rsid w:val="001D6586"/>
    <w:rsid w:val="001D672E"/>
    <w:rsid w:val="001D68B1"/>
    <w:rsid w:val="001D6CBA"/>
    <w:rsid w:val="001D6F7F"/>
    <w:rsid w:val="001D7355"/>
    <w:rsid w:val="001D7469"/>
    <w:rsid w:val="001D76A2"/>
    <w:rsid w:val="001E05BF"/>
    <w:rsid w:val="001E0939"/>
    <w:rsid w:val="001E0AD5"/>
    <w:rsid w:val="001E0BBD"/>
    <w:rsid w:val="001E130C"/>
    <w:rsid w:val="001E2043"/>
    <w:rsid w:val="001E2380"/>
    <w:rsid w:val="001E2412"/>
    <w:rsid w:val="001E2568"/>
    <w:rsid w:val="001E25E0"/>
    <w:rsid w:val="001E28AC"/>
    <w:rsid w:val="001E296A"/>
    <w:rsid w:val="001E2AA2"/>
    <w:rsid w:val="001E37C1"/>
    <w:rsid w:val="001E3A8F"/>
    <w:rsid w:val="001E3EFA"/>
    <w:rsid w:val="001E406A"/>
    <w:rsid w:val="001E41A9"/>
    <w:rsid w:val="001E489B"/>
    <w:rsid w:val="001E4907"/>
    <w:rsid w:val="001E4ECF"/>
    <w:rsid w:val="001E5288"/>
    <w:rsid w:val="001E5578"/>
    <w:rsid w:val="001E5766"/>
    <w:rsid w:val="001E5980"/>
    <w:rsid w:val="001E6000"/>
    <w:rsid w:val="001E6474"/>
    <w:rsid w:val="001E6EDE"/>
    <w:rsid w:val="001E6F30"/>
    <w:rsid w:val="001E7057"/>
    <w:rsid w:val="001E7497"/>
    <w:rsid w:val="001E7562"/>
    <w:rsid w:val="001E7971"/>
    <w:rsid w:val="001E7E6A"/>
    <w:rsid w:val="001E7F09"/>
    <w:rsid w:val="001F015F"/>
    <w:rsid w:val="001F0CD9"/>
    <w:rsid w:val="001F0E09"/>
    <w:rsid w:val="001F14DD"/>
    <w:rsid w:val="001F19D5"/>
    <w:rsid w:val="001F1B81"/>
    <w:rsid w:val="001F1D1D"/>
    <w:rsid w:val="001F1F6A"/>
    <w:rsid w:val="001F2029"/>
    <w:rsid w:val="001F2383"/>
    <w:rsid w:val="001F249C"/>
    <w:rsid w:val="001F2638"/>
    <w:rsid w:val="001F293E"/>
    <w:rsid w:val="001F2B8A"/>
    <w:rsid w:val="001F427B"/>
    <w:rsid w:val="001F4318"/>
    <w:rsid w:val="001F4C0D"/>
    <w:rsid w:val="001F4C57"/>
    <w:rsid w:val="001F4CF4"/>
    <w:rsid w:val="001F4F4D"/>
    <w:rsid w:val="001F4FC6"/>
    <w:rsid w:val="001F5217"/>
    <w:rsid w:val="001F5F14"/>
    <w:rsid w:val="001F6016"/>
    <w:rsid w:val="001F65B8"/>
    <w:rsid w:val="001F6618"/>
    <w:rsid w:val="001F6885"/>
    <w:rsid w:val="001F6D42"/>
    <w:rsid w:val="001F7281"/>
    <w:rsid w:val="001F73FD"/>
    <w:rsid w:val="001F7C47"/>
    <w:rsid w:val="00200108"/>
    <w:rsid w:val="00200123"/>
    <w:rsid w:val="002003CD"/>
    <w:rsid w:val="00200703"/>
    <w:rsid w:val="00200780"/>
    <w:rsid w:val="00200E0E"/>
    <w:rsid w:val="002010C5"/>
    <w:rsid w:val="002012C1"/>
    <w:rsid w:val="002012C7"/>
    <w:rsid w:val="0020133B"/>
    <w:rsid w:val="00201358"/>
    <w:rsid w:val="00201614"/>
    <w:rsid w:val="002016C5"/>
    <w:rsid w:val="0020172E"/>
    <w:rsid w:val="00201B51"/>
    <w:rsid w:val="00202055"/>
    <w:rsid w:val="002024FC"/>
    <w:rsid w:val="00202820"/>
    <w:rsid w:val="00202A18"/>
    <w:rsid w:val="00202C13"/>
    <w:rsid w:val="00202FBB"/>
    <w:rsid w:val="0020336A"/>
    <w:rsid w:val="002033D1"/>
    <w:rsid w:val="002034A4"/>
    <w:rsid w:val="00203865"/>
    <w:rsid w:val="002038F8"/>
    <w:rsid w:val="00203ABA"/>
    <w:rsid w:val="002042C0"/>
    <w:rsid w:val="00204AE9"/>
    <w:rsid w:val="0020517A"/>
    <w:rsid w:val="00205480"/>
    <w:rsid w:val="00205940"/>
    <w:rsid w:val="00205BBB"/>
    <w:rsid w:val="00205CE8"/>
    <w:rsid w:val="00205E10"/>
    <w:rsid w:val="00206723"/>
    <w:rsid w:val="002067D6"/>
    <w:rsid w:val="00206A48"/>
    <w:rsid w:val="00206A5D"/>
    <w:rsid w:val="00206C6A"/>
    <w:rsid w:val="00207A61"/>
    <w:rsid w:val="00207FE0"/>
    <w:rsid w:val="00210073"/>
    <w:rsid w:val="0021037A"/>
    <w:rsid w:val="00210385"/>
    <w:rsid w:val="002118AE"/>
    <w:rsid w:val="00211D87"/>
    <w:rsid w:val="00211E51"/>
    <w:rsid w:val="00211FEA"/>
    <w:rsid w:val="002121F2"/>
    <w:rsid w:val="002123B5"/>
    <w:rsid w:val="00212470"/>
    <w:rsid w:val="002126A4"/>
    <w:rsid w:val="00212B10"/>
    <w:rsid w:val="00213450"/>
    <w:rsid w:val="00213C69"/>
    <w:rsid w:val="00213E5A"/>
    <w:rsid w:val="0021438F"/>
    <w:rsid w:val="002146B9"/>
    <w:rsid w:val="0021497B"/>
    <w:rsid w:val="00214AA4"/>
    <w:rsid w:val="00214BCF"/>
    <w:rsid w:val="00214CD2"/>
    <w:rsid w:val="002153B7"/>
    <w:rsid w:val="002155F8"/>
    <w:rsid w:val="002158C6"/>
    <w:rsid w:val="002159E0"/>
    <w:rsid w:val="00215EEB"/>
    <w:rsid w:val="002164DD"/>
    <w:rsid w:val="0021657B"/>
    <w:rsid w:val="00216AC2"/>
    <w:rsid w:val="00216E9E"/>
    <w:rsid w:val="00217027"/>
    <w:rsid w:val="0021707D"/>
    <w:rsid w:val="00217462"/>
    <w:rsid w:val="00217608"/>
    <w:rsid w:val="002176E3"/>
    <w:rsid w:val="0021791B"/>
    <w:rsid w:val="0021798E"/>
    <w:rsid w:val="00217B1E"/>
    <w:rsid w:val="00217C08"/>
    <w:rsid w:val="00220188"/>
    <w:rsid w:val="0022082E"/>
    <w:rsid w:val="00220A61"/>
    <w:rsid w:val="0022128C"/>
    <w:rsid w:val="00221295"/>
    <w:rsid w:val="00221548"/>
    <w:rsid w:val="0022171D"/>
    <w:rsid w:val="0022173B"/>
    <w:rsid w:val="00221A86"/>
    <w:rsid w:val="00221B8C"/>
    <w:rsid w:val="00221EC7"/>
    <w:rsid w:val="00222265"/>
    <w:rsid w:val="002223DC"/>
    <w:rsid w:val="002223F6"/>
    <w:rsid w:val="00222438"/>
    <w:rsid w:val="002224D1"/>
    <w:rsid w:val="00222731"/>
    <w:rsid w:val="0022274F"/>
    <w:rsid w:val="00222C84"/>
    <w:rsid w:val="00222E75"/>
    <w:rsid w:val="002230D6"/>
    <w:rsid w:val="00223236"/>
    <w:rsid w:val="002237DF"/>
    <w:rsid w:val="00223894"/>
    <w:rsid w:val="002238DB"/>
    <w:rsid w:val="00223F6D"/>
    <w:rsid w:val="0022409C"/>
    <w:rsid w:val="00224120"/>
    <w:rsid w:val="002242E6"/>
    <w:rsid w:val="00224313"/>
    <w:rsid w:val="002247A9"/>
    <w:rsid w:val="00224959"/>
    <w:rsid w:val="00224CB2"/>
    <w:rsid w:val="00224DD9"/>
    <w:rsid w:val="00224E69"/>
    <w:rsid w:val="00224F85"/>
    <w:rsid w:val="00225573"/>
    <w:rsid w:val="00225EC5"/>
    <w:rsid w:val="00226016"/>
    <w:rsid w:val="002263D9"/>
    <w:rsid w:val="002265B6"/>
    <w:rsid w:val="002269A3"/>
    <w:rsid w:val="002269B0"/>
    <w:rsid w:val="00226A06"/>
    <w:rsid w:val="002271E5"/>
    <w:rsid w:val="0022736A"/>
    <w:rsid w:val="002273B4"/>
    <w:rsid w:val="002275B2"/>
    <w:rsid w:val="002275E3"/>
    <w:rsid w:val="00227D61"/>
    <w:rsid w:val="00227E81"/>
    <w:rsid w:val="002300C9"/>
    <w:rsid w:val="00230508"/>
    <w:rsid w:val="00230863"/>
    <w:rsid w:val="002309A4"/>
    <w:rsid w:val="00230BD5"/>
    <w:rsid w:val="00230F5F"/>
    <w:rsid w:val="00230FFB"/>
    <w:rsid w:val="0023100C"/>
    <w:rsid w:val="00231625"/>
    <w:rsid w:val="00231E15"/>
    <w:rsid w:val="00232793"/>
    <w:rsid w:val="002327DB"/>
    <w:rsid w:val="00232A71"/>
    <w:rsid w:val="00232C90"/>
    <w:rsid w:val="00232DAF"/>
    <w:rsid w:val="00233097"/>
    <w:rsid w:val="00233852"/>
    <w:rsid w:val="00233956"/>
    <w:rsid w:val="00233AA7"/>
    <w:rsid w:val="00233FB1"/>
    <w:rsid w:val="002341B4"/>
    <w:rsid w:val="00234347"/>
    <w:rsid w:val="00234407"/>
    <w:rsid w:val="00234489"/>
    <w:rsid w:val="00234840"/>
    <w:rsid w:val="0023488D"/>
    <w:rsid w:val="00234A8D"/>
    <w:rsid w:val="00234F33"/>
    <w:rsid w:val="0023515B"/>
    <w:rsid w:val="002352DC"/>
    <w:rsid w:val="00235303"/>
    <w:rsid w:val="00235522"/>
    <w:rsid w:val="00235B7B"/>
    <w:rsid w:val="00235BDC"/>
    <w:rsid w:val="00235C9A"/>
    <w:rsid w:val="00236095"/>
    <w:rsid w:val="0023652B"/>
    <w:rsid w:val="00236629"/>
    <w:rsid w:val="002371EE"/>
    <w:rsid w:val="002373C3"/>
    <w:rsid w:val="00237543"/>
    <w:rsid w:val="0023755F"/>
    <w:rsid w:val="0023793C"/>
    <w:rsid w:val="002408A9"/>
    <w:rsid w:val="002409B5"/>
    <w:rsid w:val="00240CF6"/>
    <w:rsid w:val="00240D74"/>
    <w:rsid w:val="00240F1E"/>
    <w:rsid w:val="002410B5"/>
    <w:rsid w:val="002413C7"/>
    <w:rsid w:val="0024159C"/>
    <w:rsid w:val="00241BF1"/>
    <w:rsid w:val="00241E3D"/>
    <w:rsid w:val="00241ED9"/>
    <w:rsid w:val="002424CC"/>
    <w:rsid w:val="00242F7D"/>
    <w:rsid w:val="00243275"/>
    <w:rsid w:val="002432F1"/>
    <w:rsid w:val="002433CC"/>
    <w:rsid w:val="002435C4"/>
    <w:rsid w:val="00243A59"/>
    <w:rsid w:val="00243ED7"/>
    <w:rsid w:val="00243FFD"/>
    <w:rsid w:val="002442CD"/>
    <w:rsid w:val="002447C7"/>
    <w:rsid w:val="00244BCA"/>
    <w:rsid w:val="00245064"/>
    <w:rsid w:val="002450B6"/>
    <w:rsid w:val="002450E4"/>
    <w:rsid w:val="00245146"/>
    <w:rsid w:val="002453B3"/>
    <w:rsid w:val="0024540A"/>
    <w:rsid w:val="002455D0"/>
    <w:rsid w:val="002458DA"/>
    <w:rsid w:val="00245CB3"/>
    <w:rsid w:val="00246308"/>
    <w:rsid w:val="0024631B"/>
    <w:rsid w:val="002466FF"/>
    <w:rsid w:val="002469EA"/>
    <w:rsid w:val="00246ACE"/>
    <w:rsid w:val="00246DF7"/>
    <w:rsid w:val="00246E63"/>
    <w:rsid w:val="00246FCD"/>
    <w:rsid w:val="00247390"/>
    <w:rsid w:val="002473BD"/>
    <w:rsid w:val="0024769A"/>
    <w:rsid w:val="002477E8"/>
    <w:rsid w:val="002477FA"/>
    <w:rsid w:val="0024789F"/>
    <w:rsid w:val="00247905"/>
    <w:rsid w:val="00247B2B"/>
    <w:rsid w:val="00250063"/>
    <w:rsid w:val="0025019A"/>
    <w:rsid w:val="00250295"/>
    <w:rsid w:val="0025046A"/>
    <w:rsid w:val="00250591"/>
    <w:rsid w:val="00250AD3"/>
    <w:rsid w:val="002515B1"/>
    <w:rsid w:val="00251A8D"/>
    <w:rsid w:val="0025255E"/>
    <w:rsid w:val="00252A43"/>
    <w:rsid w:val="00252A60"/>
    <w:rsid w:val="00252B33"/>
    <w:rsid w:val="00252BDB"/>
    <w:rsid w:val="00252DE4"/>
    <w:rsid w:val="00252EAB"/>
    <w:rsid w:val="00253561"/>
    <w:rsid w:val="0025410E"/>
    <w:rsid w:val="0025431F"/>
    <w:rsid w:val="0025457E"/>
    <w:rsid w:val="00254637"/>
    <w:rsid w:val="00254D1E"/>
    <w:rsid w:val="00254F67"/>
    <w:rsid w:val="002551D3"/>
    <w:rsid w:val="0025526C"/>
    <w:rsid w:val="002556F6"/>
    <w:rsid w:val="002557B5"/>
    <w:rsid w:val="00255C24"/>
    <w:rsid w:val="00255E75"/>
    <w:rsid w:val="00256215"/>
    <w:rsid w:val="0025634E"/>
    <w:rsid w:val="002564DC"/>
    <w:rsid w:val="00256588"/>
    <w:rsid w:val="002568C3"/>
    <w:rsid w:val="00256AB7"/>
    <w:rsid w:val="00257414"/>
    <w:rsid w:val="00257536"/>
    <w:rsid w:val="00257537"/>
    <w:rsid w:val="00257A80"/>
    <w:rsid w:val="00257AF3"/>
    <w:rsid w:val="00260045"/>
    <w:rsid w:val="00260354"/>
    <w:rsid w:val="0026051E"/>
    <w:rsid w:val="00260AE7"/>
    <w:rsid w:val="00260B3E"/>
    <w:rsid w:val="0026111E"/>
    <w:rsid w:val="0026128A"/>
    <w:rsid w:val="002616BB"/>
    <w:rsid w:val="00261B96"/>
    <w:rsid w:val="00261CC0"/>
    <w:rsid w:val="00261D59"/>
    <w:rsid w:val="00261E9C"/>
    <w:rsid w:val="0026212A"/>
    <w:rsid w:val="0026271F"/>
    <w:rsid w:val="00262B8A"/>
    <w:rsid w:val="00262EE8"/>
    <w:rsid w:val="00262FC4"/>
    <w:rsid w:val="0026303C"/>
    <w:rsid w:val="00263164"/>
    <w:rsid w:val="002634A3"/>
    <w:rsid w:val="002637D2"/>
    <w:rsid w:val="002639F2"/>
    <w:rsid w:val="00263EB9"/>
    <w:rsid w:val="00263F28"/>
    <w:rsid w:val="00264176"/>
    <w:rsid w:val="0026428E"/>
    <w:rsid w:val="002642C7"/>
    <w:rsid w:val="002642FB"/>
    <w:rsid w:val="00264887"/>
    <w:rsid w:val="00264B54"/>
    <w:rsid w:val="00264C28"/>
    <w:rsid w:val="00264E01"/>
    <w:rsid w:val="00264F55"/>
    <w:rsid w:val="00265410"/>
    <w:rsid w:val="00265D55"/>
    <w:rsid w:val="002661A4"/>
    <w:rsid w:val="00266247"/>
    <w:rsid w:val="00266551"/>
    <w:rsid w:val="00266699"/>
    <w:rsid w:val="002668A0"/>
    <w:rsid w:val="00266DA9"/>
    <w:rsid w:val="00266E1D"/>
    <w:rsid w:val="00266E87"/>
    <w:rsid w:val="00266F23"/>
    <w:rsid w:val="002672CB"/>
    <w:rsid w:val="002677B0"/>
    <w:rsid w:val="00267877"/>
    <w:rsid w:val="00267CB5"/>
    <w:rsid w:val="00267F57"/>
    <w:rsid w:val="002706B5"/>
    <w:rsid w:val="002706DA"/>
    <w:rsid w:val="00271095"/>
    <w:rsid w:val="002713EB"/>
    <w:rsid w:val="002713F4"/>
    <w:rsid w:val="002715A5"/>
    <w:rsid w:val="00271700"/>
    <w:rsid w:val="002717A6"/>
    <w:rsid w:val="0027189F"/>
    <w:rsid w:val="00271A29"/>
    <w:rsid w:val="00271D96"/>
    <w:rsid w:val="00272026"/>
    <w:rsid w:val="00272182"/>
    <w:rsid w:val="0027228E"/>
    <w:rsid w:val="00272545"/>
    <w:rsid w:val="00272B10"/>
    <w:rsid w:val="00272CDC"/>
    <w:rsid w:val="00272D5B"/>
    <w:rsid w:val="00272DBB"/>
    <w:rsid w:val="00272FBC"/>
    <w:rsid w:val="00273D9E"/>
    <w:rsid w:val="0027405C"/>
    <w:rsid w:val="002742BF"/>
    <w:rsid w:val="0027436B"/>
    <w:rsid w:val="002744BF"/>
    <w:rsid w:val="002744F1"/>
    <w:rsid w:val="002749F0"/>
    <w:rsid w:val="00274D49"/>
    <w:rsid w:val="00274E15"/>
    <w:rsid w:val="002754F1"/>
    <w:rsid w:val="00275A51"/>
    <w:rsid w:val="00275B9D"/>
    <w:rsid w:val="00275D1C"/>
    <w:rsid w:val="00275F35"/>
    <w:rsid w:val="002763ED"/>
    <w:rsid w:val="002764C6"/>
    <w:rsid w:val="002765E1"/>
    <w:rsid w:val="00276627"/>
    <w:rsid w:val="002772A2"/>
    <w:rsid w:val="00277623"/>
    <w:rsid w:val="00277996"/>
    <w:rsid w:val="002779D9"/>
    <w:rsid w:val="00277BEC"/>
    <w:rsid w:val="00277E25"/>
    <w:rsid w:val="00280116"/>
    <w:rsid w:val="00280842"/>
    <w:rsid w:val="00280A3C"/>
    <w:rsid w:val="00280E36"/>
    <w:rsid w:val="00281005"/>
    <w:rsid w:val="002812E0"/>
    <w:rsid w:val="0028137D"/>
    <w:rsid w:val="002813A3"/>
    <w:rsid w:val="00281610"/>
    <w:rsid w:val="002818D7"/>
    <w:rsid w:val="00281ACA"/>
    <w:rsid w:val="00281C35"/>
    <w:rsid w:val="00281C6F"/>
    <w:rsid w:val="00281E88"/>
    <w:rsid w:val="00281F7F"/>
    <w:rsid w:val="002820ED"/>
    <w:rsid w:val="0028237B"/>
    <w:rsid w:val="002826C8"/>
    <w:rsid w:val="002826FB"/>
    <w:rsid w:val="00282FE4"/>
    <w:rsid w:val="0028374C"/>
    <w:rsid w:val="00283C80"/>
    <w:rsid w:val="00283CD4"/>
    <w:rsid w:val="002843AF"/>
    <w:rsid w:val="002844BC"/>
    <w:rsid w:val="00284600"/>
    <w:rsid w:val="0028464B"/>
    <w:rsid w:val="00284740"/>
    <w:rsid w:val="00284C74"/>
    <w:rsid w:val="002850E4"/>
    <w:rsid w:val="00285173"/>
    <w:rsid w:val="00285611"/>
    <w:rsid w:val="00285813"/>
    <w:rsid w:val="002858A1"/>
    <w:rsid w:val="00286182"/>
    <w:rsid w:val="002862EF"/>
    <w:rsid w:val="002866F9"/>
    <w:rsid w:val="00286A33"/>
    <w:rsid w:val="00286BAD"/>
    <w:rsid w:val="00286E50"/>
    <w:rsid w:val="002876F6"/>
    <w:rsid w:val="002879BC"/>
    <w:rsid w:val="00287C26"/>
    <w:rsid w:val="00287D1E"/>
    <w:rsid w:val="00290401"/>
    <w:rsid w:val="00290507"/>
    <w:rsid w:val="0029096D"/>
    <w:rsid w:val="00290C24"/>
    <w:rsid w:val="00290CE0"/>
    <w:rsid w:val="00290ED1"/>
    <w:rsid w:val="00291A69"/>
    <w:rsid w:val="00291B2C"/>
    <w:rsid w:val="00291E9A"/>
    <w:rsid w:val="002925C4"/>
    <w:rsid w:val="002928AB"/>
    <w:rsid w:val="00292BF9"/>
    <w:rsid w:val="0029318B"/>
    <w:rsid w:val="0029319E"/>
    <w:rsid w:val="002935DA"/>
    <w:rsid w:val="00293862"/>
    <w:rsid w:val="00293996"/>
    <w:rsid w:val="002939A1"/>
    <w:rsid w:val="00293A6B"/>
    <w:rsid w:val="00293B8D"/>
    <w:rsid w:val="002940B4"/>
    <w:rsid w:val="0029446A"/>
    <w:rsid w:val="002944AA"/>
    <w:rsid w:val="00294A2C"/>
    <w:rsid w:val="00294C00"/>
    <w:rsid w:val="00294DA0"/>
    <w:rsid w:val="00294DA4"/>
    <w:rsid w:val="00294F12"/>
    <w:rsid w:val="00294FBA"/>
    <w:rsid w:val="002950F0"/>
    <w:rsid w:val="002954EF"/>
    <w:rsid w:val="00295534"/>
    <w:rsid w:val="00295CE8"/>
    <w:rsid w:val="00295DA2"/>
    <w:rsid w:val="00295E6F"/>
    <w:rsid w:val="00295F7E"/>
    <w:rsid w:val="0029608B"/>
    <w:rsid w:val="0029611D"/>
    <w:rsid w:val="0029614D"/>
    <w:rsid w:val="0029636B"/>
    <w:rsid w:val="00296596"/>
    <w:rsid w:val="00296C2B"/>
    <w:rsid w:val="00296DB7"/>
    <w:rsid w:val="002972C7"/>
    <w:rsid w:val="0029781E"/>
    <w:rsid w:val="002A02C9"/>
    <w:rsid w:val="002A05C1"/>
    <w:rsid w:val="002A0759"/>
    <w:rsid w:val="002A08BD"/>
    <w:rsid w:val="002A08C5"/>
    <w:rsid w:val="002A0EAE"/>
    <w:rsid w:val="002A101B"/>
    <w:rsid w:val="002A10F9"/>
    <w:rsid w:val="002A1560"/>
    <w:rsid w:val="002A16B8"/>
    <w:rsid w:val="002A1784"/>
    <w:rsid w:val="002A19B1"/>
    <w:rsid w:val="002A1A23"/>
    <w:rsid w:val="002A1B45"/>
    <w:rsid w:val="002A2480"/>
    <w:rsid w:val="002A276A"/>
    <w:rsid w:val="002A36BE"/>
    <w:rsid w:val="002A3E4F"/>
    <w:rsid w:val="002A3F26"/>
    <w:rsid w:val="002A4188"/>
    <w:rsid w:val="002A419F"/>
    <w:rsid w:val="002A43F9"/>
    <w:rsid w:val="002A4630"/>
    <w:rsid w:val="002A4652"/>
    <w:rsid w:val="002A4FB2"/>
    <w:rsid w:val="002A5412"/>
    <w:rsid w:val="002A5544"/>
    <w:rsid w:val="002A55A8"/>
    <w:rsid w:val="002A564B"/>
    <w:rsid w:val="002A5760"/>
    <w:rsid w:val="002A5A46"/>
    <w:rsid w:val="002A5BA3"/>
    <w:rsid w:val="002A6025"/>
    <w:rsid w:val="002A62C6"/>
    <w:rsid w:val="002A651C"/>
    <w:rsid w:val="002A6770"/>
    <w:rsid w:val="002A6ACC"/>
    <w:rsid w:val="002A6B37"/>
    <w:rsid w:val="002A6E1F"/>
    <w:rsid w:val="002A6F40"/>
    <w:rsid w:val="002A6FD5"/>
    <w:rsid w:val="002A70FC"/>
    <w:rsid w:val="002A7118"/>
    <w:rsid w:val="002A735F"/>
    <w:rsid w:val="002A7DAB"/>
    <w:rsid w:val="002B07EB"/>
    <w:rsid w:val="002B0B64"/>
    <w:rsid w:val="002B1010"/>
    <w:rsid w:val="002B102A"/>
    <w:rsid w:val="002B106C"/>
    <w:rsid w:val="002B14F9"/>
    <w:rsid w:val="002B1C08"/>
    <w:rsid w:val="002B22D9"/>
    <w:rsid w:val="002B296C"/>
    <w:rsid w:val="002B2B44"/>
    <w:rsid w:val="002B2DDB"/>
    <w:rsid w:val="002B2F46"/>
    <w:rsid w:val="002B3059"/>
    <w:rsid w:val="002B3A56"/>
    <w:rsid w:val="002B3FE9"/>
    <w:rsid w:val="002B4583"/>
    <w:rsid w:val="002B4DD3"/>
    <w:rsid w:val="002B5197"/>
    <w:rsid w:val="002B53E5"/>
    <w:rsid w:val="002B55DA"/>
    <w:rsid w:val="002B55EB"/>
    <w:rsid w:val="002B58FE"/>
    <w:rsid w:val="002B62B4"/>
    <w:rsid w:val="002B68EB"/>
    <w:rsid w:val="002B72E5"/>
    <w:rsid w:val="002B733C"/>
    <w:rsid w:val="002B77DE"/>
    <w:rsid w:val="002B7D84"/>
    <w:rsid w:val="002C0296"/>
    <w:rsid w:val="002C04F7"/>
    <w:rsid w:val="002C07EE"/>
    <w:rsid w:val="002C0A53"/>
    <w:rsid w:val="002C0B3B"/>
    <w:rsid w:val="002C0D0A"/>
    <w:rsid w:val="002C0E09"/>
    <w:rsid w:val="002C0F1A"/>
    <w:rsid w:val="002C165E"/>
    <w:rsid w:val="002C1953"/>
    <w:rsid w:val="002C1AD8"/>
    <w:rsid w:val="002C2248"/>
    <w:rsid w:val="002C22A2"/>
    <w:rsid w:val="002C24D9"/>
    <w:rsid w:val="002C24FF"/>
    <w:rsid w:val="002C272D"/>
    <w:rsid w:val="002C2A38"/>
    <w:rsid w:val="002C2B1A"/>
    <w:rsid w:val="002C3101"/>
    <w:rsid w:val="002C318E"/>
    <w:rsid w:val="002C35C0"/>
    <w:rsid w:val="002C384C"/>
    <w:rsid w:val="002C3A79"/>
    <w:rsid w:val="002C3D17"/>
    <w:rsid w:val="002C3DAE"/>
    <w:rsid w:val="002C3DF5"/>
    <w:rsid w:val="002C3F63"/>
    <w:rsid w:val="002C406F"/>
    <w:rsid w:val="002C4645"/>
    <w:rsid w:val="002C4F1A"/>
    <w:rsid w:val="002C500B"/>
    <w:rsid w:val="002C538F"/>
    <w:rsid w:val="002C5414"/>
    <w:rsid w:val="002C54C5"/>
    <w:rsid w:val="002C5609"/>
    <w:rsid w:val="002C5840"/>
    <w:rsid w:val="002C5A3C"/>
    <w:rsid w:val="002C5B6F"/>
    <w:rsid w:val="002C5C3B"/>
    <w:rsid w:val="002C5E75"/>
    <w:rsid w:val="002C5FB5"/>
    <w:rsid w:val="002C61EC"/>
    <w:rsid w:val="002C6466"/>
    <w:rsid w:val="002C6536"/>
    <w:rsid w:val="002C667D"/>
    <w:rsid w:val="002C6AB1"/>
    <w:rsid w:val="002C6B50"/>
    <w:rsid w:val="002C6CE0"/>
    <w:rsid w:val="002C6E99"/>
    <w:rsid w:val="002C7145"/>
    <w:rsid w:val="002C7B69"/>
    <w:rsid w:val="002C7C90"/>
    <w:rsid w:val="002C7DB0"/>
    <w:rsid w:val="002D07C1"/>
    <w:rsid w:val="002D0BF4"/>
    <w:rsid w:val="002D0C25"/>
    <w:rsid w:val="002D12F8"/>
    <w:rsid w:val="002D1A9B"/>
    <w:rsid w:val="002D1B7E"/>
    <w:rsid w:val="002D1E0A"/>
    <w:rsid w:val="002D1F0C"/>
    <w:rsid w:val="002D34CB"/>
    <w:rsid w:val="002D34E2"/>
    <w:rsid w:val="002D359D"/>
    <w:rsid w:val="002D3875"/>
    <w:rsid w:val="002D3927"/>
    <w:rsid w:val="002D3B5F"/>
    <w:rsid w:val="002D3BB6"/>
    <w:rsid w:val="002D3E0E"/>
    <w:rsid w:val="002D40E8"/>
    <w:rsid w:val="002D4450"/>
    <w:rsid w:val="002D4553"/>
    <w:rsid w:val="002D4785"/>
    <w:rsid w:val="002D47AD"/>
    <w:rsid w:val="002D4983"/>
    <w:rsid w:val="002D49A5"/>
    <w:rsid w:val="002D4CE6"/>
    <w:rsid w:val="002D4DEB"/>
    <w:rsid w:val="002D4DED"/>
    <w:rsid w:val="002D4F9F"/>
    <w:rsid w:val="002D5541"/>
    <w:rsid w:val="002D599D"/>
    <w:rsid w:val="002D5EAA"/>
    <w:rsid w:val="002D633D"/>
    <w:rsid w:val="002D7020"/>
    <w:rsid w:val="002D731B"/>
    <w:rsid w:val="002D7335"/>
    <w:rsid w:val="002D7BBF"/>
    <w:rsid w:val="002D7E27"/>
    <w:rsid w:val="002D7FAA"/>
    <w:rsid w:val="002E03AF"/>
    <w:rsid w:val="002E0581"/>
    <w:rsid w:val="002E072B"/>
    <w:rsid w:val="002E0A18"/>
    <w:rsid w:val="002E0BC7"/>
    <w:rsid w:val="002E147F"/>
    <w:rsid w:val="002E1604"/>
    <w:rsid w:val="002E177C"/>
    <w:rsid w:val="002E1889"/>
    <w:rsid w:val="002E18A0"/>
    <w:rsid w:val="002E2268"/>
    <w:rsid w:val="002E2284"/>
    <w:rsid w:val="002E2408"/>
    <w:rsid w:val="002E2C7E"/>
    <w:rsid w:val="002E3DD4"/>
    <w:rsid w:val="002E3DE6"/>
    <w:rsid w:val="002E4245"/>
    <w:rsid w:val="002E541B"/>
    <w:rsid w:val="002E5526"/>
    <w:rsid w:val="002E56D2"/>
    <w:rsid w:val="002E581F"/>
    <w:rsid w:val="002E5E08"/>
    <w:rsid w:val="002E5F8C"/>
    <w:rsid w:val="002E5FD8"/>
    <w:rsid w:val="002E65C3"/>
    <w:rsid w:val="002E65DF"/>
    <w:rsid w:val="002E6917"/>
    <w:rsid w:val="002E6D2A"/>
    <w:rsid w:val="002E6DAD"/>
    <w:rsid w:val="002E701B"/>
    <w:rsid w:val="002E720C"/>
    <w:rsid w:val="002E7535"/>
    <w:rsid w:val="002E7B46"/>
    <w:rsid w:val="002E7BA7"/>
    <w:rsid w:val="002E7D56"/>
    <w:rsid w:val="002F0074"/>
    <w:rsid w:val="002F0799"/>
    <w:rsid w:val="002F0BF8"/>
    <w:rsid w:val="002F0CB9"/>
    <w:rsid w:val="002F0D07"/>
    <w:rsid w:val="002F1353"/>
    <w:rsid w:val="002F17D9"/>
    <w:rsid w:val="002F18C1"/>
    <w:rsid w:val="002F1AD5"/>
    <w:rsid w:val="002F1D14"/>
    <w:rsid w:val="002F1D3A"/>
    <w:rsid w:val="002F213A"/>
    <w:rsid w:val="002F22A4"/>
    <w:rsid w:val="002F28E4"/>
    <w:rsid w:val="002F299E"/>
    <w:rsid w:val="002F29AB"/>
    <w:rsid w:val="002F2B43"/>
    <w:rsid w:val="002F2BA1"/>
    <w:rsid w:val="002F2C38"/>
    <w:rsid w:val="002F2CBF"/>
    <w:rsid w:val="002F3982"/>
    <w:rsid w:val="002F3A68"/>
    <w:rsid w:val="002F3B95"/>
    <w:rsid w:val="002F3ECF"/>
    <w:rsid w:val="002F3ED4"/>
    <w:rsid w:val="002F4722"/>
    <w:rsid w:val="002F4AB0"/>
    <w:rsid w:val="002F4B40"/>
    <w:rsid w:val="002F509B"/>
    <w:rsid w:val="002F5152"/>
    <w:rsid w:val="002F52B1"/>
    <w:rsid w:val="002F53B6"/>
    <w:rsid w:val="002F5781"/>
    <w:rsid w:val="002F5B65"/>
    <w:rsid w:val="002F5C36"/>
    <w:rsid w:val="002F5CF1"/>
    <w:rsid w:val="002F6154"/>
    <w:rsid w:val="002F627F"/>
    <w:rsid w:val="002F667D"/>
    <w:rsid w:val="002F76CB"/>
    <w:rsid w:val="002F7890"/>
    <w:rsid w:val="002F7892"/>
    <w:rsid w:val="002F7C09"/>
    <w:rsid w:val="00300069"/>
    <w:rsid w:val="003001DE"/>
    <w:rsid w:val="00300B25"/>
    <w:rsid w:val="003010A5"/>
    <w:rsid w:val="0030182C"/>
    <w:rsid w:val="00301855"/>
    <w:rsid w:val="00301FA3"/>
    <w:rsid w:val="00301FD5"/>
    <w:rsid w:val="0030247A"/>
    <w:rsid w:val="0030256D"/>
    <w:rsid w:val="003027FE"/>
    <w:rsid w:val="0030296C"/>
    <w:rsid w:val="00302D34"/>
    <w:rsid w:val="00303390"/>
    <w:rsid w:val="00303D81"/>
    <w:rsid w:val="00303E96"/>
    <w:rsid w:val="00303EEE"/>
    <w:rsid w:val="00304197"/>
    <w:rsid w:val="00304D8D"/>
    <w:rsid w:val="0030599A"/>
    <w:rsid w:val="0030665F"/>
    <w:rsid w:val="00306AEC"/>
    <w:rsid w:val="00306E60"/>
    <w:rsid w:val="00306EAD"/>
    <w:rsid w:val="00307846"/>
    <w:rsid w:val="00307B27"/>
    <w:rsid w:val="00310945"/>
    <w:rsid w:val="00310A1B"/>
    <w:rsid w:val="00310C1C"/>
    <w:rsid w:val="00310CDC"/>
    <w:rsid w:val="00311032"/>
    <w:rsid w:val="00311439"/>
    <w:rsid w:val="00311499"/>
    <w:rsid w:val="003114AF"/>
    <w:rsid w:val="00311A3C"/>
    <w:rsid w:val="00311D67"/>
    <w:rsid w:val="00311DE5"/>
    <w:rsid w:val="00311EC8"/>
    <w:rsid w:val="0031236E"/>
    <w:rsid w:val="003127F7"/>
    <w:rsid w:val="0031286F"/>
    <w:rsid w:val="00312F4E"/>
    <w:rsid w:val="0031328E"/>
    <w:rsid w:val="0031330E"/>
    <w:rsid w:val="003137AB"/>
    <w:rsid w:val="00313C51"/>
    <w:rsid w:val="00313C7A"/>
    <w:rsid w:val="00313F0A"/>
    <w:rsid w:val="00314168"/>
    <w:rsid w:val="00314505"/>
    <w:rsid w:val="00314528"/>
    <w:rsid w:val="00314548"/>
    <w:rsid w:val="00314CDA"/>
    <w:rsid w:val="003152CD"/>
    <w:rsid w:val="0031588B"/>
    <w:rsid w:val="00315934"/>
    <w:rsid w:val="00315B9A"/>
    <w:rsid w:val="00315D30"/>
    <w:rsid w:val="00315DD7"/>
    <w:rsid w:val="003162E5"/>
    <w:rsid w:val="003166EF"/>
    <w:rsid w:val="00316739"/>
    <w:rsid w:val="00316A50"/>
    <w:rsid w:val="00316EF0"/>
    <w:rsid w:val="0031707B"/>
    <w:rsid w:val="00317500"/>
    <w:rsid w:val="003175F4"/>
    <w:rsid w:val="00317933"/>
    <w:rsid w:val="00317CCD"/>
    <w:rsid w:val="00317D2D"/>
    <w:rsid w:val="00320683"/>
    <w:rsid w:val="0032075E"/>
    <w:rsid w:val="00320834"/>
    <w:rsid w:val="0032095E"/>
    <w:rsid w:val="00320A97"/>
    <w:rsid w:val="00320B45"/>
    <w:rsid w:val="00321168"/>
    <w:rsid w:val="00321904"/>
    <w:rsid w:val="00321BD7"/>
    <w:rsid w:val="00321C0D"/>
    <w:rsid w:val="003222B1"/>
    <w:rsid w:val="0032237D"/>
    <w:rsid w:val="0032266B"/>
    <w:rsid w:val="00322831"/>
    <w:rsid w:val="003228F6"/>
    <w:rsid w:val="00322AA2"/>
    <w:rsid w:val="00322CAD"/>
    <w:rsid w:val="00322E24"/>
    <w:rsid w:val="0032306F"/>
    <w:rsid w:val="00323094"/>
    <w:rsid w:val="00323213"/>
    <w:rsid w:val="003233E1"/>
    <w:rsid w:val="00323999"/>
    <w:rsid w:val="003239F3"/>
    <w:rsid w:val="00323F9D"/>
    <w:rsid w:val="0032464F"/>
    <w:rsid w:val="003247DF"/>
    <w:rsid w:val="00324836"/>
    <w:rsid w:val="00324EE8"/>
    <w:rsid w:val="0032532A"/>
    <w:rsid w:val="0032537D"/>
    <w:rsid w:val="003254FB"/>
    <w:rsid w:val="00325564"/>
    <w:rsid w:val="0032572E"/>
    <w:rsid w:val="00325756"/>
    <w:rsid w:val="00325BED"/>
    <w:rsid w:val="00325CD6"/>
    <w:rsid w:val="00325D08"/>
    <w:rsid w:val="00325F1D"/>
    <w:rsid w:val="00326CF5"/>
    <w:rsid w:val="00326FCC"/>
    <w:rsid w:val="0032717D"/>
    <w:rsid w:val="003274D3"/>
    <w:rsid w:val="003275CB"/>
    <w:rsid w:val="00327A5E"/>
    <w:rsid w:val="00327BAF"/>
    <w:rsid w:val="00327C84"/>
    <w:rsid w:val="00327FD1"/>
    <w:rsid w:val="00330FEF"/>
    <w:rsid w:val="0033127A"/>
    <w:rsid w:val="00331497"/>
    <w:rsid w:val="003316DA"/>
    <w:rsid w:val="00331B25"/>
    <w:rsid w:val="00331FA2"/>
    <w:rsid w:val="00332114"/>
    <w:rsid w:val="0033245C"/>
    <w:rsid w:val="00332671"/>
    <w:rsid w:val="0033292A"/>
    <w:rsid w:val="003329DE"/>
    <w:rsid w:val="003329F6"/>
    <w:rsid w:val="00332A70"/>
    <w:rsid w:val="00332C72"/>
    <w:rsid w:val="00332D38"/>
    <w:rsid w:val="00333003"/>
    <w:rsid w:val="00333114"/>
    <w:rsid w:val="003334D3"/>
    <w:rsid w:val="00333996"/>
    <w:rsid w:val="00333AFC"/>
    <w:rsid w:val="00333C33"/>
    <w:rsid w:val="00333F1E"/>
    <w:rsid w:val="00334030"/>
    <w:rsid w:val="003340D4"/>
    <w:rsid w:val="00334169"/>
    <w:rsid w:val="003342C3"/>
    <w:rsid w:val="00334348"/>
    <w:rsid w:val="003344DE"/>
    <w:rsid w:val="00334BA6"/>
    <w:rsid w:val="00334ED6"/>
    <w:rsid w:val="003350C1"/>
    <w:rsid w:val="00335747"/>
    <w:rsid w:val="003358EB"/>
    <w:rsid w:val="0033595F"/>
    <w:rsid w:val="003362ED"/>
    <w:rsid w:val="00336799"/>
    <w:rsid w:val="0033712D"/>
    <w:rsid w:val="00337433"/>
    <w:rsid w:val="003376A7"/>
    <w:rsid w:val="003376F5"/>
    <w:rsid w:val="00337CDD"/>
    <w:rsid w:val="003404CD"/>
    <w:rsid w:val="00340CB5"/>
    <w:rsid w:val="0034114A"/>
    <w:rsid w:val="00341881"/>
    <w:rsid w:val="00341970"/>
    <w:rsid w:val="00341A22"/>
    <w:rsid w:val="00341BCD"/>
    <w:rsid w:val="00341C82"/>
    <w:rsid w:val="00341D35"/>
    <w:rsid w:val="00341EA1"/>
    <w:rsid w:val="0034231C"/>
    <w:rsid w:val="00342CB2"/>
    <w:rsid w:val="00342D05"/>
    <w:rsid w:val="00342D1A"/>
    <w:rsid w:val="00343071"/>
    <w:rsid w:val="003430C8"/>
    <w:rsid w:val="00343E90"/>
    <w:rsid w:val="00343EFB"/>
    <w:rsid w:val="00344027"/>
    <w:rsid w:val="00344326"/>
    <w:rsid w:val="003443FD"/>
    <w:rsid w:val="00344748"/>
    <w:rsid w:val="00344BF4"/>
    <w:rsid w:val="00345140"/>
    <w:rsid w:val="00345F07"/>
    <w:rsid w:val="00346645"/>
    <w:rsid w:val="00346B63"/>
    <w:rsid w:val="003470DB"/>
    <w:rsid w:val="003471E3"/>
    <w:rsid w:val="0034723E"/>
    <w:rsid w:val="00347265"/>
    <w:rsid w:val="0034784A"/>
    <w:rsid w:val="00347AD5"/>
    <w:rsid w:val="00347CF1"/>
    <w:rsid w:val="00347D0A"/>
    <w:rsid w:val="003501CD"/>
    <w:rsid w:val="0035037D"/>
    <w:rsid w:val="003503D1"/>
    <w:rsid w:val="00350AFF"/>
    <w:rsid w:val="00350B0B"/>
    <w:rsid w:val="00350B62"/>
    <w:rsid w:val="00350C17"/>
    <w:rsid w:val="00350D10"/>
    <w:rsid w:val="00350D32"/>
    <w:rsid w:val="00351023"/>
    <w:rsid w:val="0035202A"/>
    <w:rsid w:val="0035205F"/>
    <w:rsid w:val="00352132"/>
    <w:rsid w:val="00352296"/>
    <w:rsid w:val="00352803"/>
    <w:rsid w:val="00352942"/>
    <w:rsid w:val="00352B7A"/>
    <w:rsid w:val="00352BE3"/>
    <w:rsid w:val="00352E7B"/>
    <w:rsid w:val="00353218"/>
    <w:rsid w:val="00353592"/>
    <w:rsid w:val="003538E2"/>
    <w:rsid w:val="003540CC"/>
    <w:rsid w:val="00354236"/>
    <w:rsid w:val="00354764"/>
    <w:rsid w:val="003547CE"/>
    <w:rsid w:val="003547F6"/>
    <w:rsid w:val="00354CA9"/>
    <w:rsid w:val="003550F2"/>
    <w:rsid w:val="0035512D"/>
    <w:rsid w:val="003551D5"/>
    <w:rsid w:val="003552E9"/>
    <w:rsid w:val="003556DB"/>
    <w:rsid w:val="00355946"/>
    <w:rsid w:val="00355B4E"/>
    <w:rsid w:val="00355BB3"/>
    <w:rsid w:val="00355D2F"/>
    <w:rsid w:val="00355E7A"/>
    <w:rsid w:val="00355F95"/>
    <w:rsid w:val="00356002"/>
    <w:rsid w:val="0035647D"/>
    <w:rsid w:val="003565F8"/>
    <w:rsid w:val="00356BF7"/>
    <w:rsid w:val="00357339"/>
    <w:rsid w:val="003574DF"/>
    <w:rsid w:val="00357739"/>
    <w:rsid w:val="00357BA9"/>
    <w:rsid w:val="00357D4E"/>
    <w:rsid w:val="00357F8A"/>
    <w:rsid w:val="003606C6"/>
    <w:rsid w:val="0036077C"/>
    <w:rsid w:val="00360826"/>
    <w:rsid w:val="00360BDE"/>
    <w:rsid w:val="00360F73"/>
    <w:rsid w:val="00360FBB"/>
    <w:rsid w:val="003611A8"/>
    <w:rsid w:val="003616E6"/>
    <w:rsid w:val="003618CC"/>
    <w:rsid w:val="00361B3B"/>
    <w:rsid w:val="00361EB3"/>
    <w:rsid w:val="003620EB"/>
    <w:rsid w:val="00362810"/>
    <w:rsid w:val="00362859"/>
    <w:rsid w:val="003628CD"/>
    <w:rsid w:val="00362A2A"/>
    <w:rsid w:val="00362BF2"/>
    <w:rsid w:val="00362F0B"/>
    <w:rsid w:val="00363091"/>
    <w:rsid w:val="003631BA"/>
    <w:rsid w:val="00363274"/>
    <w:rsid w:val="003634B2"/>
    <w:rsid w:val="003635D3"/>
    <w:rsid w:val="00363735"/>
    <w:rsid w:val="00363B2E"/>
    <w:rsid w:val="00363D80"/>
    <w:rsid w:val="003641A4"/>
    <w:rsid w:val="00364286"/>
    <w:rsid w:val="00364B42"/>
    <w:rsid w:val="00364E25"/>
    <w:rsid w:val="00365045"/>
    <w:rsid w:val="003651C1"/>
    <w:rsid w:val="00365645"/>
    <w:rsid w:val="00365717"/>
    <w:rsid w:val="00365833"/>
    <w:rsid w:val="00365A69"/>
    <w:rsid w:val="00365E15"/>
    <w:rsid w:val="00365F5D"/>
    <w:rsid w:val="00366569"/>
    <w:rsid w:val="00366D5C"/>
    <w:rsid w:val="00366E5C"/>
    <w:rsid w:val="00366ED9"/>
    <w:rsid w:val="0036784A"/>
    <w:rsid w:val="0036793B"/>
    <w:rsid w:val="00367C7B"/>
    <w:rsid w:val="00367DAB"/>
    <w:rsid w:val="0037000A"/>
    <w:rsid w:val="0037041B"/>
    <w:rsid w:val="00370D53"/>
    <w:rsid w:val="00370EDE"/>
    <w:rsid w:val="00371394"/>
    <w:rsid w:val="0037178C"/>
    <w:rsid w:val="003717B7"/>
    <w:rsid w:val="003721C6"/>
    <w:rsid w:val="00372516"/>
    <w:rsid w:val="00372752"/>
    <w:rsid w:val="0037280F"/>
    <w:rsid w:val="00372E4A"/>
    <w:rsid w:val="00372E99"/>
    <w:rsid w:val="003730A0"/>
    <w:rsid w:val="003730BC"/>
    <w:rsid w:val="00373115"/>
    <w:rsid w:val="003731A2"/>
    <w:rsid w:val="00373675"/>
    <w:rsid w:val="00373963"/>
    <w:rsid w:val="00373C3A"/>
    <w:rsid w:val="003743A7"/>
    <w:rsid w:val="00374491"/>
    <w:rsid w:val="00374681"/>
    <w:rsid w:val="0037489E"/>
    <w:rsid w:val="003756EE"/>
    <w:rsid w:val="003757A1"/>
    <w:rsid w:val="00375ECD"/>
    <w:rsid w:val="00375F68"/>
    <w:rsid w:val="0037639B"/>
    <w:rsid w:val="003764A1"/>
    <w:rsid w:val="00376A72"/>
    <w:rsid w:val="00376A9E"/>
    <w:rsid w:val="00376DA8"/>
    <w:rsid w:val="00376DED"/>
    <w:rsid w:val="00377231"/>
    <w:rsid w:val="0037749D"/>
    <w:rsid w:val="0037789B"/>
    <w:rsid w:val="003801C3"/>
    <w:rsid w:val="0038028B"/>
    <w:rsid w:val="003803B6"/>
    <w:rsid w:val="0038083E"/>
    <w:rsid w:val="00380A0F"/>
    <w:rsid w:val="00380A2F"/>
    <w:rsid w:val="00380D91"/>
    <w:rsid w:val="0038150C"/>
    <w:rsid w:val="00381CB8"/>
    <w:rsid w:val="00381D4F"/>
    <w:rsid w:val="00381DB5"/>
    <w:rsid w:val="00382156"/>
    <w:rsid w:val="00382301"/>
    <w:rsid w:val="0038252C"/>
    <w:rsid w:val="0038276F"/>
    <w:rsid w:val="003827E4"/>
    <w:rsid w:val="00382B79"/>
    <w:rsid w:val="0038306A"/>
    <w:rsid w:val="00383110"/>
    <w:rsid w:val="00383605"/>
    <w:rsid w:val="003836EB"/>
    <w:rsid w:val="0038388B"/>
    <w:rsid w:val="00383989"/>
    <w:rsid w:val="00383B2E"/>
    <w:rsid w:val="003842BA"/>
    <w:rsid w:val="0038444B"/>
    <w:rsid w:val="00384587"/>
    <w:rsid w:val="00384621"/>
    <w:rsid w:val="00384883"/>
    <w:rsid w:val="003849DB"/>
    <w:rsid w:val="003859F6"/>
    <w:rsid w:val="00385B8F"/>
    <w:rsid w:val="00385C23"/>
    <w:rsid w:val="00385C93"/>
    <w:rsid w:val="00385D1B"/>
    <w:rsid w:val="00385DB7"/>
    <w:rsid w:val="00385EF3"/>
    <w:rsid w:val="0038686C"/>
    <w:rsid w:val="003868D8"/>
    <w:rsid w:val="0038695E"/>
    <w:rsid w:val="00386A37"/>
    <w:rsid w:val="00386DDC"/>
    <w:rsid w:val="00387258"/>
    <w:rsid w:val="003872DD"/>
    <w:rsid w:val="00387439"/>
    <w:rsid w:val="00387667"/>
    <w:rsid w:val="00387679"/>
    <w:rsid w:val="00387D04"/>
    <w:rsid w:val="00387D5F"/>
    <w:rsid w:val="003902A7"/>
    <w:rsid w:val="00390F1B"/>
    <w:rsid w:val="0039105C"/>
    <w:rsid w:val="0039121E"/>
    <w:rsid w:val="00391D78"/>
    <w:rsid w:val="00391EC5"/>
    <w:rsid w:val="00391F22"/>
    <w:rsid w:val="003926AF"/>
    <w:rsid w:val="00392E5D"/>
    <w:rsid w:val="00393765"/>
    <w:rsid w:val="00393A0A"/>
    <w:rsid w:val="00393A3B"/>
    <w:rsid w:val="00393B48"/>
    <w:rsid w:val="00393D61"/>
    <w:rsid w:val="00393E72"/>
    <w:rsid w:val="003945B3"/>
    <w:rsid w:val="003948B7"/>
    <w:rsid w:val="00394D0E"/>
    <w:rsid w:val="00394D91"/>
    <w:rsid w:val="0039500C"/>
    <w:rsid w:val="00395012"/>
    <w:rsid w:val="0039552D"/>
    <w:rsid w:val="00395A50"/>
    <w:rsid w:val="00395D64"/>
    <w:rsid w:val="00396019"/>
    <w:rsid w:val="003961CF"/>
    <w:rsid w:val="00396411"/>
    <w:rsid w:val="00396455"/>
    <w:rsid w:val="0039651A"/>
    <w:rsid w:val="0039689A"/>
    <w:rsid w:val="0039692A"/>
    <w:rsid w:val="00396CE9"/>
    <w:rsid w:val="00396ED1"/>
    <w:rsid w:val="00397977"/>
    <w:rsid w:val="003A00C5"/>
    <w:rsid w:val="003A02FD"/>
    <w:rsid w:val="003A081A"/>
    <w:rsid w:val="003A0832"/>
    <w:rsid w:val="003A099A"/>
    <w:rsid w:val="003A0EF7"/>
    <w:rsid w:val="003A11A8"/>
    <w:rsid w:val="003A1335"/>
    <w:rsid w:val="003A14B7"/>
    <w:rsid w:val="003A14E7"/>
    <w:rsid w:val="003A1546"/>
    <w:rsid w:val="003A1B86"/>
    <w:rsid w:val="003A1B96"/>
    <w:rsid w:val="003A1BEC"/>
    <w:rsid w:val="003A1C2E"/>
    <w:rsid w:val="003A2118"/>
    <w:rsid w:val="003A22B5"/>
    <w:rsid w:val="003A2672"/>
    <w:rsid w:val="003A27CE"/>
    <w:rsid w:val="003A2F2E"/>
    <w:rsid w:val="003A2F68"/>
    <w:rsid w:val="003A37F6"/>
    <w:rsid w:val="003A3885"/>
    <w:rsid w:val="003A3897"/>
    <w:rsid w:val="003A389E"/>
    <w:rsid w:val="003A399D"/>
    <w:rsid w:val="003A3DEA"/>
    <w:rsid w:val="003A3F00"/>
    <w:rsid w:val="003A474E"/>
    <w:rsid w:val="003A4BB8"/>
    <w:rsid w:val="003A4C32"/>
    <w:rsid w:val="003A4D3A"/>
    <w:rsid w:val="003A4F79"/>
    <w:rsid w:val="003A573D"/>
    <w:rsid w:val="003A58D0"/>
    <w:rsid w:val="003A5900"/>
    <w:rsid w:val="003A5CD1"/>
    <w:rsid w:val="003A5F8F"/>
    <w:rsid w:val="003A6028"/>
    <w:rsid w:val="003A6237"/>
    <w:rsid w:val="003A642C"/>
    <w:rsid w:val="003A666A"/>
    <w:rsid w:val="003A68FC"/>
    <w:rsid w:val="003A70B2"/>
    <w:rsid w:val="003A7988"/>
    <w:rsid w:val="003A7A85"/>
    <w:rsid w:val="003A7C2A"/>
    <w:rsid w:val="003B00A2"/>
    <w:rsid w:val="003B037D"/>
    <w:rsid w:val="003B04FD"/>
    <w:rsid w:val="003B0817"/>
    <w:rsid w:val="003B0899"/>
    <w:rsid w:val="003B08BF"/>
    <w:rsid w:val="003B0AA0"/>
    <w:rsid w:val="003B144E"/>
    <w:rsid w:val="003B14E3"/>
    <w:rsid w:val="003B150E"/>
    <w:rsid w:val="003B18B2"/>
    <w:rsid w:val="003B1CA5"/>
    <w:rsid w:val="003B1D87"/>
    <w:rsid w:val="003B1DF5"/>
    <w:rsid w:val="003B1ECA"/>
    <w:rsid w:val="003B2371"/>
    <w:rsid w:val="003B261C"/>
    <w:rsid w:val="003B280C"/>
    <w:rsid w:val="003B2D7A"/>
    <w:rsid w:val="003B3859"/>
    <w:rsid w:val="003B43A1"/>
    <w:rsid w:val="003B43BC"/>
    <w:rsid w:val="003B494F"/>
    <w:rsid w:val="003B50A1"/>
    <w:rsid w:val="003B5257"/>
    <w:rsid w:val="003B59F7"/>
    <w:rsid w:val="003B5A89"/>
    <w:rsid w:val="003B5AEF"/>
    <w:rsid w:val="003B5B80"/>
    <w:rsid w:val="003B6087"/>
    <w:rsid w:val="003B64E8"/>
    <w:rsid w:val="003B6593"/>
    <w:rsid w:val="003B6940"/>
    <w:rsid w:val="003B6CB2"/>
    <w:rsid w:val="003B6DDF"/>
    <w:rsid w:val="003B6EFE"/>
    <w:rsid w:val="003B6F3B"/>
    <w:rsid w:val="003B7021"/>
    <w:rsid w:val="003B7055"/>
    <w:rsid w:val="003B7148"/>
    <w:rsid w:val="003B7A5D"/>
    <w:rsid w:val="003B7D19"/>
    <w:rsid w:val="003B7DC2"/>
    <w:rsid w:val="003B7F8C"/>
    <w:rsid w:val="003B7FD6"/>
    <w:rsid w:val="003C02DD"/>
    <w:rsid w:val="003C0627"/>
    <w:rsid w:val="003C0824"/>
    <w:rsid w:val="003C090A"/>
    <w:rsid w:val="003C0944"/>
    <w:rsid w:val="003C0D65"/>
    <w:rsid w:val="003C130B"/>
    <w:rsid w:val="003C146A"/>
    <w:rsid w:val="003C1A74"/>
    <w:rsid w:val="003C1EC3"/>
    <w:rsid w:val="003C21CC"/>
    <w:rsid w:val="003C2960"/>
    <w:rsid w:val="003C3407"/>
    <w:rsid w:val="003C35EF"/>
    <w:rsid w:val="003C3652"/>
    <w:rsid w:val="003C3769"/>
    <w:rsid w:val="003C3A3E"/>
    <w:rsid w:val="003C3C2B"/>
    <w:rsid w:val="003C3DA5"/>
    <w:rsid w:val="003C3DA6"/>
    <w:rsid w:val="003C3EBC"/>
    <w:rsid w:val="003C435C"/>
    <w:rsid w:val="003C439F"/>
    <w:rsid w:val="003C43F8"/>
    <w:rsid w:val="003C4EBE"/>
    <w:rsid w:val="003C4EC5"/>
    <w:rsid w:val="003C53FE"/>
    <w:rsid w:val="003C5E9F"/>
    <w:rsid w:val="003C5EA5"/>
    <w:rsid w:val="003C5F10"/>
    <w:rsid w:val="003C6087"/>
    <w:rsid w:val="003C6296"/>
    <w:rsid w:val="003C663E"/>
    <w:rsid w:val="003C71C3"/>
    <w:rsid w:val="003C726A"/>
    <w:rsid w:val="003C7465"/>
    <w:rsid w:val="003C7864"/>
    <w:rsid w:val="003C7AFF"/>
    <w:rsid w:val="003C7D59"/>
    <w:rsid w:val="003D0070"/>
    <w:rsid w:val="003D0158"/>
    <w:rsid w:val="003D0621"/>
    <w:rsid w:val="003D0761"/>
    <w:rsid w:val="003D07E0"/>
    <w:rsid w:val="003D09DD"/>
    <w:rsid w:val="003D135E"/>
    <w:rsid w:val="003D137D"/>
    <w:rsid w:val="003D1666"/>
    <w:rsid w:val="003D17EE"/>
    <w:rsid w:val="003D189F"/>
    <w:rsid w:val="003D18B0"/>
    <w:rsid w:val="003D1990"/>
    <w:rsid w:val="003D1B73"/>
    <w:rsid w:val="003D1ED6"/>
    <w:rsid w:val="003D2157"/>
    <w:rsid w:val="003D2728"/>
    <w:rsid w:val="003D2B61"/>
    <w:rsid w:val="003D3086"/>
    <w:rsid w:val="003D3320"/>
    <w:rsid w:val="003D3AE9"/>
    <w:rsid w:val="003D3DF8"/>
    <w:rsid w:val="003D3E69"/>
    <w:rsid w:val="003D428B"/>
    <w:rsid w:val="003D4964"/>
    <w:rsid w:val="003D4A5D"/>
    <w:rsid w:val="003D4AC6"/>
    <w:rsid w:val="003D4E29"/>
    <w:rsid w:val="003D4F22"/>
    <w:rsid w:val="003D5275"/>
    <w:rsid w:val="003D540D"/>
    <w:rsid w:val="003D5844"/>
    <w:rsid w:val="003D5A81"/>
    <w:rsid w:val="003D5B26"/>
    <w:rsid w:val="003D5DF9"/>
    <w:rsid w:val="003D6009"/>
    <w:rsid w:val="003D65B2"/>
    <w:rsid w:val="003D6862"/>
    <w:rsid w:val="003D69C6"/>
    <w:rsid w:val="003D6C41"/>
    <w:rsid w:val="003D6E8F"/>
    <w:rsid w:val="003D7569"/>
    <w:rsid w:val="003D75BF"/>
    <w:rsid w:val="003D77CB"/>
    <w:rsid w:val="003D78EC"/>
    <w:rsid w:val="003D7A2A"/>
    <w:rsid w:val="003E01D6"/>
    <w:rsid w:val="003E040F"/>
    <w:rsid w:val="003E05CD"/>
    <w:rsid w:val="003E0A07"/>
    <w:rsid w:val="003E0D50"/>
    <w:rsid w:val="003E1232"/>
    <w:rsid w:val="003E196D"/>
    <w:rsid w:val="003E2187"/>
    <w:rsid w:val="003E2853"/>
    <w:rsid w:val="003E28D4"/>
    <w:rsid w:val="003E2DB4"/>
    <w:rsid w:val="003E2E61"/>
    <w:rsid w:val="003E2FA4"/>
    <w:rsid w:val="003E30BA"/>
    <w:rsid w:val="003E3289"/>
    <w:rsid w:val="003E3926"/>
    <w:rsid w:val="003E3E51"/>
    <w:rsid w:val="003E4547"/>
    <w:rsid w:val="003E4710"/>
    <w:rsid w:val="003E47A1"/>
    <w:rsid w:val="003E4EFD"/>
    <w:rsid w:val="003E5105"/>
    <w:rsid w:val="003E51CB"/>
    <w:rsid w:val="003E5DAC"/>
    <w:rsid w:val="003E62DA"/>
    <w:rsid w:val="003E63B5"/>
    <w:rsid w:val="003E64D4"/>
    <w:rsid w:val="003E67AA"/>
    <w:rsid w:val="003E6A64"/>
    <w:rsid w:val="003E6A69"/>
    <w:rsid w:val="003E6CD7"/>
    <w:rsid w:val="003E719D"/>
    <w:rsid w:val="003E74B2"/>
    <w:rsid w:val="003E776C"/>
    <w:rsid w:val="003E777A"/>
    <w:rsid w:val="003E7B1C"/>
    <w:rsid w:val="003E7B45"/>
    <w:rsid w:val="003E7F44"/>
    <w:rsid w:val="003F017F"/>
    <w:rsid w:val="003F021A"/>
    <w:rsid w:val="003F0277"/>
    <w:rsid w:val="003F0768"/>
    <w:rsid w:val="003F0A1C"/>
    <w:rsid w:val="003F0ABF"/>
    <w:rsid w:val="003F0AC9"/>
    <w:rsid w:val="003F0CF8"/>
    <w:rsid w:val="003F0FBB"/>
    <w:rsid w:val="003F0FFC"/>
    <w:rsid w:val="003F1044"/>
    <w:rsid w:val="003F118C"/>
    <w:rsid w:val="003F1348"/>
    <w:rsid w:val="003F1417"/>
    <w:rsid w:val="003F1556"/>
    <w:rsid w:val="003F1596"/>
    <w:rsid w:val="003F16A5"/>
    <w:rsid w:val="003F194E"/>
    <w:rsid w:val="003F19A1"/>
    <w:rsid w:val="003F1D32"/>
    <w:rsid w:val="003F2411"/>
    <w:rsid w:val="003F26F2"/>
    <w:rsid w:val="003F2904"/>
    <w:rsid w:val="003F2A81"/>
    <w:rsid w:val="003F2AB9"/>
    <w:rsid w:val="003F2B87"/>
    <w:rsid w:val="003F2C10"/>
    <w:rsid w:val="003F2CFF"/>
    <w:rsid w:val="003F2F87"/>
    <w:rsid w:val="003F31D8"/>
    <w:rsid w:val="003F3988"/>
    <w:rsid w:val="003F3C44"/>
    <w:rsid w:val="003F408B"/>
    <w:rsid w:val="003F40BC"/>
    <w:rsid w:val="003F4301"/>
    <w:rsid w:val="003F43D0"/>
    <w:rsid w:val="003F43DC"/>
    <w:rsid w:val="003F4E0F"/>
    <w:rsid w:val="003F4E3F"/>
    <w:rsid w:val="003F500C"/>
    <w:rsid w:val="003F525E"/>
    <w:rsid w:val="003F5DAE"/>
    <w:rsid w:val="003F6600"/>
    <w:rsid w:val="003F67BF"/>
    <w:rsid w:val="003F67D3"/>
    <w:rsid w:val="003F6927"/>
    <w:rsid w:val="003F6A9B"/>
    <w:rsid w:val="003F6B64"/>
    <w:rsid w:val="003F72C8"/>
    <w:rsid w:val="003F775E"/>
    <w:rsid w:val="003F7A89"/>
    <w:rsid w:val="003F7D2B"/>
    <w:rsid w:val="003F7D8E"/>
    <w:rsid w:val="003F7FBE"/>
    <w:rsid w:val="003F7FC6"/>
    <w:rsid w:val="004009EF"/>
    <w:rsid w:val="00400DF3"/>
    <w:rsid w:val="00400F94"/>
    <w:rsid w:val="0040111D"/>
    <w:rsid w:val="00401F97"/>
    <w:rsid w:val="00402720"/>
    <w:rsid w:val="00402F6D"/>
    <w:rsid w:val="00402F98"/>
    <w:rsid w:val="0040323F"/>
    <w:rsid w:val="00403408"/>
    <w:rsid w:val="00403412"/>
    <w:rsid w:val="00403861"/>
    <w:rsid w:val="00403B5B"/>
    <w:rsid w:val="00403E23"/>
    <w:rsid w:val="00403EC1"/>
    <w:rsid w:val="00404196"/>
    <w:rsid w:val="00404328"/>
    <w:rsid w:val="00404451"/>
    <w:rsid w:val="004044A2"/>
    <w:rsid w:val="00405271"/>
    <w:rsid w:val="004054AE"/>
    <w:rsid w:val="004055BC"/>
    <w:rsid w:val="004056C5"/>
    <w:rsid w:val="004057C8"/>
    <w:rsid w:val="0040580B"/>
    <w:rsid w:val="00405A0F"/>
    <w:rsid w:val="00405B71"/>
    <w:rsid w:val="00405BBB"/>
    <w:rsid w:val="00405D6A"/>
    <w:rsid w:val="00405FF1"/>
    <w:rsid w:val="004064B1"/>
    <w:rsid w:val="00406AEB"/>
    <w:rsid w:val="0040706B"/>
    <w:rsid w:val="004070FE"/>
    <w:rsid w:val="00407297"/>
    <w:rsid w:val="004073D6"/>
    <w:rsid w:val="00407650"/>
    <w:rsid w:val="004079A5"/>
    <w:rsid w:val="00407C63"/>
    <w:rsid w:val="00407CC3"/>
    <w:rsid w:val="0041083E"/>
    <w:rsid w:val="00410D80"/>
    <w:rsid w:val="00411193"/>
    <w:rsid w:val="004117D8"/>
    <w:rsid w:val="004118B8"/>
    <w:rsid w:val="00411902"/>
    <w:rsid w:val="00411B71"/>
    <w:rsid w:val="00411BA4"/>
    <w:rsid w:val="00411CBC"/>
    <w:rsid w:val="00411DDF"/>
    <w:rsid w:val="004120CA"/>
    <w:rsid w:val="004120F7"/>
    <w:rsid w:val="00412172"/>
    <w:rsid w:val="0041233A"/>
    <w:rsid w:val="0041244C"/>
    <w:rsid w:val="0041244F"/>
    <w:rsid w:val="0041266A"/>
    <w:rsid w:val="0041266F"/>
    <w:rsid w:val="004129BC"/>
    <w:rsid w:val="00412ED2"/>
    <w:rsid w:val="00412FA1"/>
    <w:rsid w:val="0041354B"/>
    <w:rsid w:val="0041388A"/>
    <w:rsid w:val="00413C02"/>
    <w:rsid w:val="0041448D"/>
    <w:rsid w:val="00414BD9"/>
    <w:rsid w:val="00414C36"/>
    <w:rsid w:val="00414DDE"/>
    <w:rsid w:val="00415139"/>
    <w:rsid w:val="00415352"/>
    <w:rsid w:val="00416229"/>
    <w:rsid w:val="0041623C"/>
    <w:rsid w:val="00416333"/>
    <w:rsid w:val="00416B2D"/>
    <w:rsid w:val="00416D34"/>
    <w:rsid w:val="00416E21"/>
    <w:rsid w:val="00416E48"/>
    <w:rsid w:val="004171EC"/>
    <w:rsid w:val="00417333"/>
    <w:rsid w:val="004173A2"/>
    <w:rsid w:val="00417408"/>
    <w:rsid w:val="0041748F"/>
    <w:rsid w:val="004177E9"/>
    <w:rsid w:val="00417D45"/>
    <w:rsid w:val="004201E0"/>
    <w:rsid w:val="00420363"/>
    <w:rsid w:val="0042070B"/>
    <w:rsid w:val="004209AE"/>
    <w:rsid w:val="004209F5"/>
    <w:rsid w:val="00420B66"/>
    <w:rsid w:val="00420CF0"/>
    <w:rsid w:val="00420D12"/>
    <w:rsid w:val="00420D4C"/>
    <w:rsid w:val="00420D88"/>
    <w:rsid w:val="00420DFD"/>
    <w:rsid w:val="004210AE"/>
    <w:rsid w:val="004211A3"/>
    <w:rsid w:val="00421692"/>
    <w:rsid w:val="00421DD9"/>
    <w:rsid w:val="00421DF1"/>
    <w:rsid w:val="004225C3"/>
    <w:rsid w:val="00422BE8"/>
    <w:rsid w:val="00422C44"/>
    <w:rsid w:val="00422CDA"/>
    <w:rsid w:val="00422ECE"/>
    <w:rsid w:val="0042302E"/>
    <w:rsid w:val="004231BA"/>
    <w:rsid w:val="00423471"/>
    <w:rsid w:val="0042354B"/>
    <w:rsid w:val="0042370F"/>
    <w:rsid w:val="00423E81"/>
    <w:rsid w:val="00424AB5"/>
    <w:rsid w:val="00424AFD"/>
    <w:rsid w:val="00424C35"/>
    <w:rsid w:val="00424FBB"/>
    <w:rsid w:val="00424FEE"/>
    <w:rsid w:val="00425380"/>
    <w:rsid w:val="0042546B"/>
    <w:rsid w:val="00425E5F"/>
    <w:rsid w:val="004260C9"/>
    <w:rsid w:val="00426477"/>
    <w:rsid w:val="004265A3"/>
    <w:rsid w:val="00426637"/>
    <w:rsid w:val="0042664F"/>
    <w:rsid w:val="0042676A"/>
    <w:rsid w:val="00426A8D"/>
    <w:rsid w:val="00426DAF"/>
    <w:rsid w:val="00426E2D"/>
    <w:rsid w:val="004270BB"/>
    <w:rsid w:val="0042738F"/>
    <w:rsid w:val="00427425"/>
    <w:rsid w:val="004275DE"/>
    <w:rsid w:val="00427621"/>
    <w:rsid w:val="00427771"/>
    <w:rsid w:val="00427A51"/>
    <w:rsid w:val="00427E69"/>
    <w:rsid w:val="004305A5"/>
    <w:rsid w:val="00430840"/>
    <w:rsid w:val="00430F14"/>
    <w:rsid w:val="004315D5"/>
    <w:rsid w:val="00431E91"/>
    <w:rsid w:val="00431FE3"/>
    <w:rsid w:val="004327DA"/>
    <w:rsid w:val="00432837"/>
    <w:rsid w:val="004329F8"/>
    <w:rsid w:val="00432F8B"/>
    <w:rsid w:val="00433362"/>
    <w:rsid w:val="00433469"/>
    <w:rsid w:val="0043349C"/>
    <w:rsid w:val="004336EC"/>
    <w:rsid w:val="004339AD"/>
    <w:rsid w:val="00433B43"/>
    <w:rsid w:val="004343D9"/>
    <w:rsid w:val="00434676"/>
    <w:rsid w:val="004350CB"/>
    <w:rsid w:val="004350D2"/>
    <w:rsid w:val="00435145"/>
    <w:rsid w:val="00435965"/>
    <w:rsid w:val="0043599E"/>
    <w:rsid w:val="00435D55"/>
    <w:rsid w:val="0043643C"/>
    <w:rsid w:val="0043693B"/>
    <w:rsid w:val="00436A76"/>
    <w:rsid w:val="00436DE0"/>
    <w:rsid w:val="00437664"/>
    <w:rsid w:val="0043775F"/>
    <w:rsid w:val="004378C0"/>
    <w:rsid w:val="00437B89"/>
    <w:rsid w:val="00440EBB"/>
    <w:rsid w:val="00441091"/>
    <w:rsid w:val="00441180"/>
    <w:rsid w:val="0044140B"/>
    <w:rsid w:val="00441753"/>
    <w:rsid w:val="00441758"/>
    <w:rsid w:val="00441D33"/>
    <w:rsid w:val="00441D35"/>
    <w:rsid w:val="004421BA"/>
    <w:rsid w:val="004421F6"/>
    <w:rsid w:val="004422ED"/>
    <w:rsid w:val="0044231B"/>
    <w:rsid w:val="00442382"/>
    <w:rsid w:val="00442443"/>
    <w:rsid w:val="00442707"/>
    <w:rsid w:val="00442BB5"/>
    <w:rsid w:val="00443343"/>
    <w:rsid w:val="0044339A"/>
    <w:rsid w:val="00443798"/>
    <w:rsid w:val="00443CE3"/>
    <w:rsid w:val="00443DA6"/>
    <w:rsid w:val="00444632"/>
    <w:rsid w:val="004446D4"/>
    <w:rsid w:val="00444889"/>
    <w:rsid w:val="00444A40"/>
    <w:rsid w:val="00444B11"/>
    <w:rsid w:val="00444C0F"/>
    <w:rsid w:val="00444C3B"/>
    <w:rsid w:val="0044513D"/>
    <w:rsid w:val="00445326"/>
    <w:rsid w:val="00445773"/>
    <w:rsid w:val="00445885"/>
    <w:rsid w:val="00445E1A"/>
    <w:rsid w:val="00445F0D"/>
    <w:rsid w:val="00446615"/>
    <w:rsid w:val="00446919"/>
    <w:rsid w:val="00446B83"/>
    <w:rsid w:val="00446DE0"/>
    <w:rsid w:val="00446FFA"/>
    <w:rsid w:val="00447203"/>
    <w:rsid w:val="0044736D"/>
    <w:rsid w:val="0044755E"/>
    <w:rsid w:val="00447AC8"/>
    <w:rsid w:val="00447DA9"/>
    <w:rsid w:val="004501A7"/>
    <w:rsid w:val="00450371"/>
    <w:rsid w:val="004503A8"/>
    <w:rsid w:val="00450968"/>
    <w:rsid w:val="0045213C"/>
    <w:rsid w:val="004521F4"/>
    <w:rsid w:val="0045241A"/>
    <w:rsid w:val="00452AF3"/>
    <w:rsid w:val="00452B13"/>
    <w:rsid w:val="00452C36"/>
    <w:rsid w:val="00452E30"/>
    <w:rsid w:val="0045340C"/>
    <w:rsid w:val="00453772"/>
    <w:rsid w:val="00453A65"/>
    <w:rsid w:val="00453AA4"/>
    <w:rsid w:val="00453B78"/>
    <w:rsid w:val="00453F38"/>
    <w:rsid w:val="004541AC"/>
    <w:rsid w:val="004547BE"/>
    <w:rsid w:val="00454CC6"/>
    <w:rsid w:val="00454E91"/>
    <w:rsid w:val="0045531E"/>
    <w:rsid w:val="00455418"/>
    <w:rsid w:val="00455B8E"/>
    <w:rsid w:val="0045615F"/>
    <w:rsid w:val="004561F8"/>
    <w:rsid w:val="004567AC"/>
    <w:rsid w:val="00456851"/>
    <w:rsid w:val="00456B4F"/>
    <w:rsid w:val="0045702E"/>
    <w:rsid w:val="00457436"/>
    <w:rsid w:val="00457B23"/>
    <w:rsid w:val="00457ED0"/>
    <w:rsid w:val="00460213"/>
    <w:rsid w:val="00460426"/>
    <w:rsid w:val="0046049D"/>
    <w:rsid w:val="004604EB"/>
    <w:rsid w:val="004604F3"/>
    <w:rsid w:val="004606FB"/>
    <w:rsid w:val="004608D6"/>
    <w:rsid w:val="00460997"/>
    <w:rsid w:val="00460AC9"/>
    <w:rsid w:val="00460B8A"/>
    <w:rsid w:val="00461007"/>
    <w:rsid w:val="00461103"/>
    <w:rsid w:val="0046126F"/>
    <w:rsid w:val="00461BFE"/>
    <w:rsid w:val="00462076"/>
    <w:rsid w:val="0046261D"/>
    <w:rsid w:val="004627A2"/>
    <w:rsid w:val="00462D84"/>
    <w:rsid w:val="00462F7A"/>
    <w:rsid w:val="004633EC"/>
    <w:rsid w:val="00463405"/>
    <w:rsid w:val="00463441"/>
    <w:rsid w:val="0046352C"/>
    <w:rsid w:val="00463893"/>
    <w:rsid w:val="00463991"/>
    <w:rsid w:val="00463CFC"/>
    <w:rsid w:val="00463FE1"/>
    <w:rsid w:val="00464414"/>
    <w:rsid w:val="00464453"/>
    <w:rsid w:val="00464C63"/>
    <w:rsid w:val="00464E18"/>
    <w:rsid w:val="00464F86"/>
    <w:rsid w:val="00465002"/>
    <w:rsid w:val="004654AE"/>
    <w:rsid w:val="00465546"/>
    <w:rsid w:val="004657F7"/>
    <w:rsid w:val="00465BD1"/>
    <w:rsid w:val="0046629C"/>
    <w:rsid w:val="0046681D"/>
    <w:rsid w:val="00466884"/>
    <w:rsid w:val="004668C6"/>
    <w:rsid w:val="00466989"/>
    <w:rsid w:val="00466AF7"/>
    <w:rsid w:val="00466C8C"/>
    <w:rsid w:val="00466EF1"/>
    <w:rsid w:val="00466F71"/>
    <w:rsid w:val="00467102"/>
    <w:rsid w:val="004675FF"/>
    <w:rsid w:val="00467A13"/>
    <w:rsid w:val="00467CDA"/>
    <w:rsid w:val="00467DDA"/>
    <w:rsid w:val="00470472"/>
    <w:rsid w:val="004705F5"/>
    <w:rsid w:val="00470737"/>
    <w:rsid w:val="00470AA7"/>
    <w:rsid w:val="00470FEA"/>
    <w:rsid w:val="00471456"/>
    <w:rsid w:val="0047171C"/>
    <w:rsid w:val="00471A27"/>
    <w:rsid w:val="00471BA2"/>
    <w:rsid w:val="0047203C"/>
    <w:rsid w:val="00472541"/>
    <w:rsid w:val="004725FA"/>
    <w:rsid w:val="00472645"/>
    <w:rsid w:val="004727E9"/>
    <w:rsid w:val="00472B7D"/>
    <w:rsid w:val="004738C4"/>
    <w:rsid w:val="00473B21"/>
    <w:rsid w:val="00473C61"/>
    <w:rsid w:val="00474A55"/>
    <w:rsid w:val="00474CCB"/>
    <w:rsid w:val="00474E9C"/>
    <w:rsid w:val="00474EBE"/>
    <w:rsid w:val="00475149"/>
    <w:rsid w:val="00475798"/>
    <w:rsid w:val="00475E70"/>
    <w:rsid w:val="00475F03"/>
    <w:rsid w:val="0047644C"/>
    <w:rsid w:val="00476E9D"/>
    <w:rsid w:val="004775D4"/>
    <w:rsid w:val="0047780A"/>
    <w:rsid w:val="004779FB"/>
    <w:rsid w:val="00477AF2"/>
    <w:rsid w:val="00477C82"/>
    <w:rsid w:val="00480380"/>
    <w:rsid w:val="004806D9"/>
    <w:rsid w:val="004807AB"/>
    <w:rsid w:val="0048101C"/>
    <w:rsid w:val="00481338"/>
    <w:rsid w:val="00481848"/>
    <w:rsid w:val="004819D0"/>
    <w:rsid w:val="004819DA"/>
    <w:rsid w:val="00481B46"/>
    <w:rsid w:val="00481D47"/>
    <w:rsid w:val="00482332"/>
    <w:rsid w:val="00482E24"/>
    <w:rsid w:val="00483140"/>
    <w:rsid w:val="004836BB"/>
    <w:rsid w:val="0048389F"/>
    <w:rsid w:val="0048397B"/>
    <w:rsid w:val="00483A51"/>
    <w:rsid w:val="00483BA0"/>
    <w:rsid w:val="00483D38"/>
    <w:rsid w:val="00483EAE"/>
    <w:rsid w:val="0048429B"/>
    <w:rsid w:val="00484985"/>
    <w:rsid w:val="00484B90"/>
    <w:rsid w:val="00484BC8"/>
    <w:rsid w:val="0048532B"/>
    <w:rsid w:val="004855EF"/>
    <w:rsid w:val="0048577C"/>
    <w:rsid w:val="00485918"/>
    <w:rsid w:val="00485C55"/>
    <w:rsid w:val="00485E50"/>
    <w:rsid w:val="00485F8F"/>
    <w:rsid w:val="00486695"/>
    <w:rsid w:val="00486795"/>
    <w:rsid w:val="004868FC"/>
    <w:rsid w:val="004875B8"/>
    <w:rsid w:val="004876F5"/>
    <w:rsid w:val="004877FE"/>
    <w:rsid w:val="00487826"/>
    <w:rsid w:val="0049051E"/>
    <w:rsid w:val="00490598"/>
    <w:rsid w:val="00490754"/>
    <w:rsid w:val="00490ABA"/>
    <w:rsid w:val="00490AE4"/>
    <w:rsid w:val="00490BD3"/>
    <w:rsid w:val="00490C14"/>
    <w:rsid w:val="00491024"/>
    <w:rsid w:val="00491144"/>
    <w:rsid w:val="00491470"/>
    <w:rsid w:val="004916DD"/>
    <w:rsid w:val="004917F7"/>
    <w:rsid w:val="00491DA2"/>
    <w:rsid w:val="004921D9"/>
    <w:rsid w:val="004922AF"/>
    <w:rsid w:val="004925AE"/>
    <w:rsid w:val="00493765"/>
    <w:rsid w:val="00493C87"/>
    <w:rsid w:val="0049413A"/>
    <w:rsid w:val="004942F6"/>
    <w:rsid w:val="004943C3"/>
    <w:rsid w:val="00494428"/>
    <w:rsid w:val="0049483A"/>
    <w:rsid w:val="0049487D"/>
    <w:rsid w:val="004949DB"/>
    <w:rsid w:val="00494A18"/>
    <w:rsid w:val="00494AE1"/>
    <w:rsid w:val="00494BE2"/>
    <w:rsid w:val="00494CF8"/>
    <w:rsid w:val="00494D47"/>
    <w:rsid w:val="00494FC6"/>
    <w:rsid w:val="0049525A"/>
    <w:rsid w:val="004953C2"/>
    <w:rsid w:val="004953DA"/>
    <w:rsid w:val="00495640"/>
    <w:rsid w:val="004959D9"/>
    <w:rsid w:val="00495CFC"/>
    <w:rsid w:val="004962A6"/>
    <w:rsid w:val="004979B6"/>
    <w:rsid w:val="00497A38"/>
    <w:rsid w:val="004A026A"/>
    <w:rsid w:val="004A054C"/>
    <w:rsid w:val="004A0598"/>
    <w:rsid w:val="004A0BDD"/>
    <w:rsid w:val="004A0D82"/>
    <w:rsid w:val="004A0DA1"/>
    <w:rsid w:val="004A111E"/>
    <w:rsid w:val="004A1415"/>
    <w:rsid w:val="004A158C"/>
    <w:rsid w:val="004A1751"/>
    <w:rsid w:val="004A1F50"/>
    <w:rsid w:val="004A20FB"/>
    <w:rsid w:val="004A2284"/>
    <w:rsid w:val="004A23A8"/>
    <w:rsid w:val="004A2588"/>
    <w:rsid w:val="004A28BA"/>
    <w:rsid w:val="004A2C4D"/>
    <w:rsid w:val="004A2D05"/>
    <w:rsid w:val="004A2F95"/>
    <w:rsid w:val="004A307A"/>
    <w:rsid w:val="004A320B"/>
    <w:rsid w:val="004A341F"/>
    <w:rsid w:val="004A360E"/>
    <w:rsid w:val="004A3A7A"/>
    <w:rsid w:val="004A4078"/>
    <w:rsid w:val="004A41AA"/>
    <w:rsid w:val="004A428D"/>
    <w:rsid w:val="004A44AD"/>
    <w:rsid w:val="004A4F6A"/>
    <w:rsid w:val="004A4FD7"/>
    <w:rsid w:val="004A539D"/>
    <w:rsid w:val="004A54C7"/>
    <w:rsid w:val="004A572B"/>
    <w:rsid w:val="004A596B"/>
    <w:rsid w:val="004A59F3"/>
    <w:rsid w:val="004A5CA6"/>
    <w:rsid w:val="004A5EB8"/>
    <w:rsid w:val="004A5F09"/>
    <w:rsid w:val="004A66C0"/>
    <w:rsid w:val="004A66DB"/>
    <w:rsid w:val="004A685D"/>
    <w:rsid w:val="004A6C48"/>
    <w:rsid w:val="004A6EE6"/>
    <w:rsid w:val="004A7E61"/>
    <w:rsid w:val="004A7F08"/>
    <w:rsid w:val="004B00F0"/>
    <w:rsid w:val="004B018D"/>
    <w:rsid w:val="004B053C"/>
    <w:rsid w:val="004B059B"/>
    <w:rsid w:val="004B05AE"/>
    <w:rsid w:val="004B07E8"/>
    <w:rsid w:val="004B0F99"/>
    <w:rsid w:val="004B1539"/>
    <w:rsid w:val="004B1B9D"/>
    <w:rsid w:val="004B1F85"/>
    <w:rsid w:val="004B2080"/>
    <w:rsid w:val="004B2277"/>
    <w:rsid w:val="004B25DA"/>
    <w:rsid w:val="004B2894"/>
    <w:rsid w:val="004B2CCB"/>
    <w:rsid w:val="004B2E57"/>
    <w:rsid w:val="004B32E1"/>
    <w:rsid w:val="004B3800"/>
    <w:rsid w:val="004B39EC"/>
    <w:rsid w:val="004B3CDB"/>
    <w:rsid w:val="004B4173"/>
    <w:rsid w:val="004B417C"/>
    <w:rsid w:val="004B41DD"/>
    <w:rsid w:val="004B44D1"/>
    <w:rsid w:val="004B47CA"/>
    <w:rsid w:val="004B4B10"/>
    <w:rsid w:val="004B4B9F"/>
    <w:rsid w:val="004B4DE3"/>
    <w:rsid w:val="004B4E3A"/>
    <w:rsid w:val="004B4EDC"/>
    <w:rsid w:val="004B5010"/>
    <w:rsid w:val="004B50CD"/>
    <w:rsid w:val="004B53F6"/>
    <w:rsid w:val="004B56CE"/>
    <w:rsid w:val="004B5A2C"/>
    <w:rsid w:val="004B5C25"/>
    <w:rsid w:val="004B6074"/>
    <w:rsid w:val="004B6328"/>
    <w:rsid w:val="004B632C"/>
    <w:rsid w:val="004B6404"/>
    <w:rsid w:val="004B68B1"/>
    <w:rsid w:val="004B68D2"/>
    <w:rsid w:val="004B6DCC"/>
    <w:rsid w:val="004B7138"/>
    <w:rsid w:val="004B733B"/>
    <w:rsid w:val="004B796A"/>
    <w:rsid w:val="004B7D22"/>
    <w:rsid w:val="004B7E60"/>
    <w:rsid w:val="004B7EB0"/>
    <w:rsid w:val="004C01EF"/>
    <w:rsid w:val="004C061C"/>
    <w:rsid w:val="004C0679"/>
    <w:rsid w:val="004C07D9"/>
    <w:rsid w:val="004C0844"/>
    <w:rsid w:val="004C09DA"/>
    <w:rsid w:val="004C0A5D"/>
    <w:rsid w:val="004C0B8C"/>
    <w:rsid w:val="004C0CCD"/>
    <w:rsid w:val="004C0D55"/>
    <w:rsid w:val="004C0E49"/>
    <w:rsid w:val="004C0FA1"/>
    <w:rsid w:val="004C0FA8"/>
    <w:rsid w:val="004C1457"/>
    <w:rsid w:val="004C1B6A"/>
    <w:rsid w:val="004C1B70"/>
    <w:rsid w:val="004C1BA0"/>
    <w:rsid w:val="004C1D0D"/>
    <w:rsid w:val="004C1DEE"/>
    <w:rsid w:val="004C1DFE"/>
    <w:rsid w:val="004C1FA5"/>
    <w:rsid w:val="004C2071"/>
    <w:rsid w:val="004C27CC"/>
    <w:rsid w:val="004C28AE"/>
    <w:rsid w:val="004C2925"/>
    <w:rsid w:val="004C293D"/>
    <w:rsid w:val="004C2C74"/>
    <w:rsid w:val="004C2CDF"/>
    <w:rsid w:val="004C302B"/>
    <w:rsid w:val="004C3328"/>
    <w:rsid w:val="004C35D9"/>
    <w:rsid w:val="004C3F9A"/>
    <w:rsid w:val="004C41CF"/>
    <w:rsid w:val="004C4365"/>
    <w:rsid w:val="004C44EC"/>
    <w:rsid w:val="004C488C"/>
    <w:rsid w:val="004C4B6D"/>
    <w:rsid w:val="004C4D60"/>
    <w:rsid w:val="004C51E9"/>
    <w:rsid w:val="004C5385"/>
    <w:rsid w:val="004C565E"/>
    <w:rsid w:val="004C5A56"/>
    <w:rsid w:val="004C5C26"/>
    <w:rsid w:val="004C5C9B"/>
    <w:rsid w:val="004C6CE3"/>
    <w:rsid w:val="004C73D0"/>
    <w:rsid w:val="004C743F"/>
    <w:rsid w:val="004C75BD"/>
    <w:rsid w:val="004C760A"/>
    <w:rsid w:val="004C78D6"/>
    <w:rsid w:val="004C7C10"/>
    <w:rsid w:val="004C7ECA"/>
    <w:rsid w:val="004D01A1"/>
    <w:rsid w:val="004D0356"/>
    <w:rsid w:val="004D0908"/>
    <w:rsid w:val="004D0B2A"/>
    <w:rsid w:val="004D0E38"/>
    <w:rsid w:val="004D105E"/>
    <w:rsid w:val="004D144E"/>
    <w:rsid w:val="004D154F"/>
    <w:rsid w:val="004D1724"/>
    <w:rsid w:val="004D18B0"/>
    <w:rsid w:val="004D1A78"/>
    <w:rsid w:val="004D1CA8"/>
    <w:rsid w:val="004D1D83"/>
    <w:rsid w:val="004D1E5E"/>
    <w:rsid w:val="004D2911"/>
    <w:rsid w:val="004D2C58"/>
    <w:rsid w:val="004D2CFF"/>
    <w:rsid w:val="004D2F2A"/>
    <w:rsid w:val="004D38C4"/>
    <w:rsid w:val="004D3C4F"/>
    <w:rsid w:val="004D44CD"/>
    <w:rsid w:val="004D4684"/>
    <w:rsid w:val="004D4BD3"/>
    <w:rsid w:val="004D4F63"/>
    <w:rsid w:val="004D50B2"/>
    <w:rsid w:val="004D54CF"/>
    <w:rsid w:val="004D56F7"/>
    <w:rsid w:val="004D5B83"/>
    <w:rsid w:val="004D62BC"/>
    <w:rsid w:val="004D633F"/>
    <w:rsid w:val="004D64E0"/>
    <w:rsid w:val="004D6506"/>
    <w:rsid w:val="004D6581"/>
    <w:rsid w:val="004D6E4E"/>
    <w:rsid w:val="004D703A"/>
    <w:rsid w:val="004D7BCF"/>
    <w:rsid w:val="004E017D"/>
    <w:rsid w:val="004E050F"/>
    <w:rsid w:val="004E05C4"/>
    <w:rsid w:val="004E0836"/>
    <w:rsid w:val="004E092E"/>
    <w:rsid w:val="004E0BF9"/>
    <w:rsid w:val="004E0DF8"/>
    <w:rsid w:val="004E1414"/>
    <w:rsid w:val="004E15F3"/>
    <w:rsid w:val="004E16BC"/>
    <w:rsid w:val="004E1BBF"/>
    <w:rsid w:val="004E2023"/>
    <w:rsid w:val="004E2099"/>
    <w:rsid w:val="004E20D2"/>
    <w:rsid w:val="004E2130"/>
    <w:rsid w:val="004E280D"/>
    <w:rsid w:val="004E29BC"/>
    <w:rsid w:val="004E2BCB"/>
    <w:rsid w:val="004E3253"/>
    <w:rsid w:val="004E374F"/>
    <w:rsid w:val="004E3907"/>
    <w:rsid w:val="004E4212"/>
    <w:rsid w:val="004E42DE"/>
    <w:rsid w:val="004E4ABB"/>
    <w:rsid w:val="004E50B7"/>
    <w:rsid w:val="004E5283"/>
    <w:rsid w:val="004E52B8"/>
    <w:rsid w:val="004E5383"/>
    <w:rsid w:val="004E59E2"/>
    <w:rsid w:val="004E5A42"/>
    <w:rsid w:val="004E5CED"/>
    <w:rsid w:val="004E61F7"/>
    <w:rsid w:val="004E621C"/>
    <w:rsid w:val="004E6484"/>
    <w:rsid w:val="004E66C6"/>
    <w:rsid w:val="004E68A4"/>
    <w:rsid w:val="004E6918"/>
    <w:rsid w:val="004E6B9F"/>
    <w:rsid w:val="004E6DF9"/>
    <w:rsid w:val="004E71B4"/>
    <w:rsid w:val="004E7390"/>
    <w:rsid w:val="004E73ED"/>
    <w:rsid w:val="004E758E"/>
    <w:rsid w:val="004E7688"/>
    <w:rsid w:val="004E781F"/>
    <w:rsid w:val="004E79C9"/>
    <w:rsid w:val="004E7A42"/>
    <w:rsid w:val="004E7AA9"/>
    <w:rsid w:val="004E7CF2"/>
    <w:rsid w:val="004E7E4F"/>
    <w:rsid w:val="004F03B9"/>
    <w:rsid w:val="004F07DE"/>
    <w:rsid w:val="004F09EA"/>
    <w:rsid w:val="004F0A15"/>
    <w:rsid w:val="004F0B4E"/>
    <w:rsid w:val="004F0F57"/>
    <w:rsid w:val="004F0FD8"/>
    <w:rsid w:val="004F169F"/>
    <w:rsid w:val="004F1B0A"/>
    <w:rsid w:val="004F1BC2"/>
    <w:rsid w:val="004F1F52"/>
    <w:rsid w:val="004F231B"/>
    <w:rsid w:val="004F23A3"/>
    <w:rsid w:val="004F247C"/>
    <w:rsid w:val="004F28AE"/>
    <w:rsid w:val="004F2CFC"/>
    <w:rsid w:val="004F2D60"/>
    <w:rsid w:val="004F3356"/>
    <w:rsid w:val="004F34E4"/>
    <w:rsid w:val="004F3634"/>
    <w:rsid w:val="004F36CF"/>
    <w:rsid w:val="004F3A0D"/>
    <w:rsid w:val="004F3AB5"/>
    <w:rsid w:val="004F3CF5"/>
    <w:rsid w:val="004F3F19"/>
    <w:rsid w:val="004F4374"/>
    <w:rsid w:val="004F43AA"/>
    <w:rsid w:val="004F4558"/>
    <w:rsid w:val="004F4821"/>
    <w:rsid w:val="004F4983"/>
    <w:rsid w:val="004F4A59"/>
    <w:rsid w:val="004F4B91"/>
    <w:rsid w:val="004F5FD4"/>
    <w:rsid w:val="004F6418"/>
    <w:rsid w:val="004F6461"/>
    <w:rsid w:val="004F683E"/>
    <w:rsid w:val="004F6A44"/>
    <w:rsid w:val="004F7326"/>
    <w:rsid w:val="004F7C06"/>
    <w:rsid w:val="004F7F3E"/>
    <w:rsid w:val="005000C3"/>
    <w:rsid w:val="0050090A"/>
    <w:rsid w:val="00500DB7"/>
    <w:rsid w:val="005012C2"/>
    <w:rsid w:val="005012D6"/>
    <w:rsid w:val="00501A9E"/>
    <w:rsid w:val="00501C19"/>
    <w:rsid w:val="00502649"/>
    <w:rsid w:val="00502817"/>
    <w:rsid w:val="00502B95"/>
    <w:rsid w:val="00502D37"/>
    <w:rsid w:val="00502E7C"/>
    <w:rsid w:val="00503014"/>
    <w:rsid w:val="005035AF"/>
    <w:rsid w:val="005038DF"/>
    <w:rsid w:val="00503B4E"/>
    <w:rsid w:val="00503B80"/>
    <w:rsid w:val="00503C6E"/>
    <w:rsid w:val="00503ED8"/>
    <w:rsid w:val="00503F32"/>
    <w:rsid w:val="00503F82"/>
    <w:rsid w:val="005040B3"/>
    <w:rsid w:val="005040C2"/>
    <w:rsid w:val="005043D0"/>
    <w:rsid w:val="005047B4"/>
    <w:rsid w:val="00505301"/>
    <w:rsid w:val="005056CA"/>
    <w:rsid w:val="00505A76"/>
    <w:rsid w:val="00505B01"/>
    <w:rsid w:val="00505BD9"/>
    <w:rsid w:val="00505C6F"/>
    <w:rsid w:val="0050618F"/>
    <w:rsid w:val="005064F5"/>
    <w:rsid w:val="00506C6D"/>
    <w:rsid w:val="00506CCF"/>
    <w:rsid w:val="00507107"/>
    <w:rsid w:val="0050751C"/>
    <w:rsid w:val="00507591"/>
    <w:rsid w:val="0050797E"/>
    <w:rsid w:val="00507B28"/>
    <w:rsid w:val="00507E5B"/>
    <w:rsid w:val="00510000"/>
    <w:rsid w:val="005107F2"/>
    <w:rsid w:val="005108BA"/>
    <w:rsid w:val="00510B1C"/>
    <w:rsid w:val="005110D1"/>
    <w:rsid w:val="005113C3"/>
    <w:rsid w:val="00511650"/>
    <w:rsid w:val="00511B57"/>
    <w:rsid w:val="00511D3F"/>
    <w:rsid w:val="00511D73"/>
    <w:rsid w:val="0051208F"/>
    <w:rsid w:val="00512097"/>
    <w:rsid w:val="00512724"/>
    <w:rsid w:val="00512EB7"/>
    <w:rsid w:val="0051324E"/>
    <w:rsid w:val="005132B9"/>
    <w:rsid w:val="005139C1"/>
    <w:rsid w:val="00514441"/>
    <w:rsid w:val="00514B1E"/>
    <w:rsid w:val="00515004"/>
    <w:rsid w:val="00515122"/>
    <w:rsid w:val="00515224"/>
    <w:rsid w:val="00515432"/>
    <w:rsid w:val="005154C5"/>
    <w:rsid w:val="00515620"/>
    <w:rsid w:val="00515743"/>
    <w:rsid w:val="00515882"/>
    <w:rsid w:val="00515896"/>
    <w:rsid w:val="005158E2"/>
    <w:rsid w:val="005161FA"/>
    <w:rsid w:val="00516591"/>
    <w:rsid w:val="00516695"/>
    <w:rsid w:val="00516CC2"/>
    <w:rsid w:val="0051709B"/>
    <w:rsid w:val="0051713C"/>
    <w:rsid w:val="00517247"/>
    <w:rsid w:val="005175F2"/>
    <w:rsid w:val="005178C2"/>
    <w:rsid w:val="0051795E"/>
    <w:rsid w:val="00517D84"/>
    <w:rsid w:val="00517F25"/>
    <w:rsid w:val="005200AD"/>
    <w:rsid w:val="0052048A"/>
    <w:rsid w:val="00520871"/>
    <w:rsid w:val="005208D5"/>
    <w:rsid w:val="00520EF4"/>
    <w:rsid w:val="00521122"/>
    <w:rsid w:val="0052166E"/>
    <w:rsid w:val="00521CDA"/>
    <w:rsid w:val="00522D13"/>
    <w:rsid w:val="00522F99"/>
    <w:rsid w:val="005233D3"/>
    <w:rsid w:val="00523590"/>
    <w:rsid w:val="00523E29"/>
    <w:rsid w:val="00523ED5"/>
    <w:rsid w:val="00523FD2"/>
    <w:rsid w:val="00524535"/>
    <w:rsid w:val="00524AC3"/>
    <w:rsid w:val="00524ADC"/>
    <w:rsid w:val="00525059"/>
    <w:rsid w:val="00525441"/>
    <w:rsid w:val="005254B9"/>
    <w:rsid w:val="0052584E"/>
    <w:rsid w:val="00525AA1"/>
    <w:rsid w:val="00525E66"/>
    <w:rsid w:val="00525F04"/>
    <w:rsid w:val="005260EC"/>
    <w:rsid w:val="00526593"/>
    <w:rsid w:val="00526636"/>
    <w:rsid w:val="0052663C"/>
    <w:rsid w:val="00526AE4"/>
    <w:rsid w:val="00526DF7"/>
    <w:rsid w:val="00527765"/>
    <w:rsid w:val="0052777B"/>
    <w:rsid w:val="00527888"/>
    <w:rsid w:val="00530229"/>
    <w:rsid w:val="00530300"/>
    <w:rsid w:val="005304C0"/>
    <w:rsid w:val="005304DF"/>
    <w:rsid w:val="00530553"/>
    <w:rsid w:val="005305F5"/>
    <w:rsid w:val="00531313"/>
    <w:rsid w:val="00531660"/>
    <w:rsid w:val="0053169C"/>
    <w:rsid w:val="005316EE"/>
    <w:rsid w:val="0053182D"/>
    <w:rsid w:val="005318A7"/>
    <w:rsid w:val="005318D8"/>
    <w:rsid w:val="00532147"/>
    <w:rsid w:val="00532245"/>
    <w:rsid w:val="00532282"/>
    <w:rsid w:val="00532288"/>
    <w:rsid w:val="005324BA"/>
    <w:rsid w:val="005326AE"/>
    <w:rsid w:val="00532C53"/>
    <w:rsid w:val="0053372A"/>
    <w:rsid w:val="005339AC"/>
    <w:rsid w:val="00533A48"/>
    <w:rsid w:val="00533E87"/>
    <w:rsid w:val="00533EE7"/>
    <w:rsid w:val="005341D8"/>
    <w:rsid w:val="0053430B"/>
    <w:rsid w:val="005343CC"/>
    <w:rsid w:val="005344DB"/>
    <w:rsid w:val="00534A8A"/>
    <w:rsid w:val="00534DC3"/>
    <w:rsid w:val="005351AD"/>
    <w:rsid w:val="00535395"/>
    <w:rsid w:val="00535511"/>
    <w:rsid w:val="00535720"/>
    <w:rsid w:val="00535882"/>
    <w:rsid w:val="00535BF3"/>
    <w:rsid w:val="00535CD4"/>
    <w:rsid w:val="00535EF0"/>
    <w:rsid w:val="005361E3"/>
    <w:rsid w:val="00536457"/>
    <w:rsid w:val="0053651D"/>
    <w:rsid w:val="005367CE"/>
    <w:rsid w:val="00537076"/>
    <w:rsid w:val="00537220"/>
    <w:rsid w:val="0053746A"/>
    <w:rsid w:val="00537785"/>
    <w:rsid w:val="00537929"/>
    <w:rsid w:val="00537973"/>
    <w:rsid w:val="00537E2C"/>
    <w:rsid w:val="00537FB6"/>
    <w:rsid w:val="00540489"/>
    <w:rsid w:val="005405F8"/>
    <w:rsid w:val="005408C8"/>
    <w:rsid w:val="0054124D"/>
    <w:rsid w:val="005415E9"/>
    <w:rsid w:val="0054178B"/>
    <w:rsid w:val="0054188C"/>
    <w:rsid w:val="00541958"/>
    <w:rsid w:val="00541D81"/>
    <w:rsid w:val="00541D92"/>
    <w:rsid w:val="005421C7"/>
    <w:rsid w:val="005424F6"/>
    <w:rsid w:val="0054274A"/>
    <w:rsid w:val="00542960"/>
    <w:rsid w:val="00542BCC"/>
    <w:rsid w:val="00542E35"/>
    <w:rsid w:val="0054318F"/>
    <w:rsid w:val="00543613"/>
    <w:rsid w:val="00543633"/>
    <w:rsid w:val="00543B62"/>
    <w:rsid w:val="00543B89"/>
    <w:rsid w:val="00544006"/>
    <w:rsid w:val="00544095"/>
    <w:rsid w:val="0054447C"/>
    <w:rsid w:val="00544A55"/>
    <w:rsid w:val="00544BB6"/>
    <w:rsid w:val="00544C2F"/>
    <w:rsid w:val="00545325"/>
    <w:rsid w:val="00545B3A"/>
    <w:rsid w:val="00545E93"/>
    <w:rsid w:val="00545FE2"/>
    <w:rsid w:val="005460E6"/>
    <w:rsid w:val="0054649D"/>
    <w:rsid w:val="005469B5"/>
    <w:rsid w:val="00547204"/>
    <w:rsid w:val="0054749C"/>
    <w:rsid w:val="0054765E"/>
    <w:rsid w:val="00547AA6"/>
    <w:rsid w:val="00547AAC"/>
    <w:rsid w:val="00547EB3"/>
    <w:rsid w:val="00550382"/>
    <w:rsid w:val="00550527"/>
    <w:rsid w:val="00550966"/>
    <w:rsid w:val="00550FB2"/>
    <w:rsid w:val="005513BF"/>
    <w:rsid w:val="00551474"/>
    <w:rsid w:val="00551957"/>
    <w:rsid w:val="00552081"/>
    <w:rsid w:val="0055235D"/>
    <w:rsid w:val="00552437"/>
    <w:rsid w:val="005527DD"/>
    <w:rsid w:val="00552855"/>
    <w:rsid w:val="00552879"/>
    <w:rsid w:val="00553BCD"/>
    <w:rsid w:val="00553CE7"/>
    <w:rsid w:val="00553DD0"/>
    <w:rsid w:val="00554123"/>
    <w:rsid w:val="00554494"/>
    <w:rsid w:val="005547B9"/>
    <w:rsid w:val="00554BEE"/>
    <w:rsid w:val="00554D4F"/>
    <w:rsid w:val="00554F8E"/>
    <w:rsid w:val="005550EA"/>
    <w:rsid w:val="00555103"/>
    <w:rsid w:val="005555D2"/>
    <w:rsid w:val="00555862"/>
    <w:rsid w:val="00555A4E"/>
    <w:rsid w:val="00555B85"/>
    <w:rsid w:val="00556563"/>
    <w:rsid w:val="00556D0E"/>
    <w:rsid w:val="00556EE0"/>
    <w:rsid w:val="005570EB"/>
    <w:rsid w:val="0055786B"/>
    <w:rsid w:val="00557968"/>
    <w:rsid w:val="00557C86"/>
    <w:rsid w:val="00557D7E"/>
    <w:rsid w:val="00557E45"/>
    <w:rsid w:val="00557EAC"/>
    <w:rsid w:val="00560149"/>
    <w:rsid w:val="00560213"/>
    <w:rsid w:val="00560D50"/>
    <w:rsid w:val="00561BF0"/>
    <w:rsid w:val="00561F1A"/>
    <w:rsid w:val="00562164"/>
    <w:rsid w:val="005629B7"/>
    <w:rsid w:val="00562A02"/>
    <w:rsid w:val="00562B88"/>
    <w:rsid w:val="0056308C"/>
    <w:rsid w:val="0056324C"/>
    <w:rsid w:val="005633F0"/>
    <w:rsid w:val="00563409"/>
    <w:rsid w:val="0056365A"/>
    <w:rsid w:val="0056383B"/>
    <w:rsid w:val="00563CBA"/>
    <w:rsid w:val="00563E9F"/>
    <w:rsid w:val="00564183"/>
    <w:rsid w:val="00564B0D"/>
    <w:rsid w:val="00564CA4"/>
    <w:rsid w:val="00564CDF"/>
    <w:rsid w:val="00564D55"/>
    <w:rsid w:val="00565456"/>
    <w:rsid w:val="005655BE"/>
    <w:rsid w:val="00565E22"/>
    <w:rsid w:val="0056615E"/>
    <w:rsid w:val="005661FE"/>
    <w:rsid w:val="00566230"/>
    <w:rsid w:val="00566323"/>
    <w:rsid w:val="00566392"/>
    <w:rsid w:val="00566617"/>
    <w:rsid w:val="00566690"/>
    <w:rsid w:val="005673C1"/>
    <w:rsid w:val="005674D8"/>
    <w:rsid w:val="00567622"/>
    <w:rsid w:val="00567740"/>
    <w:rsid w:val="00567908"/>
    <w:rsid w:val="00567B3B"/>
    <w:rsid w:val="00567CDB"/>
    <w:rsid w:val="00567E24"/>
    <w:rsid w:val="00567F9F"/>
    <w:rsid w:val="00570492"/>
    <w:rsid w:val="00570548"/>
    <w:rsid w:val="00570611"/>
    <w:rsid w:val="00570FB9"/>
    <w:rsid w:val="00570FDB"/>
    <w:rsid w:val="005712F8"/>
    <w:rsid w:val="00571319"/>
    <w:rsid w:val="00571379"/>
    <w:rsid w:val="00571565"/>
    <w:rsid w:val="00571921"/>
    <w:rsid w:val="00571C07"/>
    <w:rsid w:val="00571CBB"/>
    <w:rsid w:val="00572448"/>
    <w:rsid w:val="005725E8"/>
    <w:rsid w:val="005728E4"/>
    <w:rsid w:val="00573417"/>
    <w:rsid w:val="005735A9"/>
    <w:rsid w:val="00573A15"/>
    <w:rsid w:val="005740DE"/>
    <w:rsid w:val="00574302"/>
    <w:rsid w:val="005746FB"/>
    <w:rsid w:val="00574CBB"/>
    <w:rsid w:val="00574FD3"/>
    <w:rsid w:val="0057504C"/>
    <w:rsid w:val="00575136"/>
    <w:rsid w:val="005756B1"/>
    <w:rsid w:val="00575805"/>
    <w:rsid w:val="005759BB"/>
    <w:rsid w:val="00575B10"/>
    <w:rsid w:val="00575DB4"/>
    <w:rsid w:val="00576107"/>
    <w:rsid w:val="005764F2"/>
    <w:rsid w:val="00576722"/>
    <w:rsid w:val="0057682C"/>
    <w:rsid w:val="00576BDC"/>
    <w:rsid w:val="00577135"/>
    <w:rsid w:val="00577277"/>
    <w:rsid w:val="005772E6"/>
    <w:rsid w:val="00577786"/>
    <w:rsid w:val="005777AC"/>
    <w:rsid w:val="00577A9E"/>
    <w:rsid w:val="00577AB7"/>
    <w:rsid w:val="00577CE6"/>
    <w:rsid w:val="00577D06"/>
    <w:rsid w:val="0058054B"/>
    <w:rsid w:val="0058064C"/>
    <w:rsid w:val="0058137E"/>
    <w:rsid w:val="0058166B"/>
    <w:rsid w:val="0058186A"/>
    <w:rsid w:val="00581C82"/>
    <w:rsid w:val="00581F05"/>
    <w:rsid w:val="005820BC"/>
    <w:rsid w:val="00582316"/>
    <w:rsid w:val="005823B0"/>
    <w:rsid w:val="00582684"/>
    <w:rsid w:val="0058273C"/>
    <w:rsid w:val="00582C8C"/>
    <w:rsid w:val="00582E34"/>
    <w:rsid w:val="00583098"/>
    <w:rsid w:val="005830F8"/>
    <w:rsid w:val="00583DC7"/>
    <w:rsid w:val="00584208"/>
    <w:rsid w:val="005843E8"/>
    <w:rsid w:val="005844B6"/>
    <w:rsid w:val="005845C4"/>
    <w:rsid w:val="00584784"/>
    <w:rsid w:val="00584962"/>
    <w:rsid w:val="00584D06"/>
    <w:rsid w:val="00584F36"/>
    <w:rsid w:val="005853F4"/>
    <w:rsid w:val="0058592D"/>
    <w:rsid w:val="00585B19"/>
    <w:rsid w:val="005864FC"/>
    <w:rsid w:val="005865AA"/>
    <w:rsid w:val="00586AA3"/>
    <w:rsid w:val="00586B23"/>
    <w:rsid w:val="00586B65"/>
    <w:rsid w:val="0058753F"/>
    <w:rsid w:val="00587572"/>
    <w:rsid w:val="00587B69"/>
    <w:rsid w:val="005902CC"/>
    <w:rsid w:val="005903F1"/>
    <w:rsid w:val="005905A6"/>
    <w:rsid w:val="00590BC4"/>
    <w:rsid w:val="00591313"/>
    <w:rsid w:val="005915E1"/>
    <w:rsid w:val="00591655"/>
    <w:rsid w:val="00591715"/>
    <w:rsid w:val="00591859"/>
    <w:rsid w:val="0059195F"/>
    <w:rsid w:val="0059198A"/>
    <w:rsid w:val="00591EBF"/>
    <w:rsid w:val="00591F82"/>
    <w:rsid w:val="0059224D"/>
    <w:rsid w:val="00592966"/>
    <w:rsid w:val="00592A10"/>
    <w:rsid w:val="0059301F"/>
    <w:rsid w:val="00593352"/>
    <w:rsid w:val="00593611"/>
    <w:rsid w:val="00594237"/>
    <w:rsid w:val="00594368"/>
    <w:rsid w:val="0059471E"/>
    <w:rsid w:val="0059499D"/>
    <w:rsid w:val="00594A61"/>
    <w:rsid w:val="00594EED"/>
    <w:rsid w:val="00595171"/>
    <w:rsid w:val="00595410"/>
    <w:rsid w:val="00595C7C"/>
    <w:rsid w:val="0059607D"/>
    <w:rsid w:val="0059649C"/>
    <w:rsid w:val="00596A16"/>
    <w:rsid w:val="00596D02"/>
    <w:rsid w:val="00596F79"/>
    <w:rsid w:val="00596FA0"/>
    <w:rsid w:val="0059703A"/>
    <w:rsid w:val="0059712F"/>
    <w:rsid w:val="00597682"/>
    <w:rsid w:val="005977EF"/>
    <w:rsid w:val="00597900"/>
    <w:rsid w:val="00597FC7"/>
    <w:rsid w:val="005A0061"/>
    <w:rsid w:val="005A03D9"/>
    <w:rsid w:val="005A0451"/>
    <w:rsid w:val="005A061E"/>
    <w:rsid w:val="005A0801"/>
    <w:rsid w:val="005A1279"/>
    <w:rsid w:val="005A1331"/>
    <w:rsid w:val="005A1335"/>
    <w:rsid w:val="005A1338"/>
    <w:rsid w:val="005A1663"/>
    <w:rsid w:val="005A177C"/>
    <w:rsid w:val="005A180A"/>
    <w:rsid w:val="005A180E"/>
    <w:rsid w:val="005A1B3B"/>
    <w:rsid w:val="005A1EF8"/>
    <w:rsid w:val="005A205F"/>
    <w:rsid w:val="005A212C"/>
    <w:rsid w:val="005A22DC"/>
    <w:rsid w:val="005A2376"/>
    <w:rsid w:val="005A2863"/>
    <w:rsid w:val="005A289D"/>
    <w:rsid w:val="005A33B8"/>
    <w:rsid w:val="005A3601"/>
    <w:rsid w:val="005A3747"/>
    <w:rsid w:val="005A37C0"/>
    <w:rsid w:val="005A3A1D"/>
    <w:rsid w:val="005A47DE"/>
    <w:rsid w:val="005A4E21"/>
    <w:rsid w:val="005A4F80"/>
    <w:rsid w:val="005A5164"/>
    <w:rsid w:val="005A5B35"/>
    <w:rsid w:val="005A5F0B"/>
    <w:rsid w:val="005A5F32"/>
    <w:rsid w:val="005A62E5"/>
    <w:rsid w:val="005A6496"/>
    <w:rsid w:val="005A653D"/>
    <w:rsid w:val="005A6CE9"/>
    <w:rsid w:val="005A6F1A"/>
    <w:rsid w:val="005A70E1"/>
    <w:rsid w:val="005A71B2"/>
    <w:rsid w:val="005A7389"/>
    <w:rsid w:val="005A7600"/>
    <w:rsid w:val="005A766D"/>
    <w:rsid w:val="005A7B28"/>
    <w:rsid w:val="005B044F"/>
    <w:rsid w:val="005B070E"/>
    <w:rsid w:val="005B09B0"/>
    <w:rsid w:val="005B0A20"/>
    <w:rsid w:val="005B0D70"/>
    <w:rsid w:val="005B182E"/>
    <w:rsid w:val="005B1B3A"/>
    <w:rsid w:val="005B1B6F"/>
    <w:rsid w:val="005B1D41"/>
    <w:rsid w:val="005B1F02"/>
    <w:rsid w:val="005B207B"/>
    <w:rsid w:val="005B20BD"/>
    <w:rsid w:val="005B20CE"/>
    <w:rsid w:val="005B20E8"/>
    <w:rsid w:val="005B2198"/>
    <w:rsid w:val="005B21F2"/>
    <w:rsid w:val="005B2436"/>
    <w:rsid w:val="005B2571"/>
    <w:rsid w:val="005B2691"/>
    <w:rsid w:val="005B26B0"/>
    <w:rsid w:val="005B2A4F"/>
    <w:rsid w:val="005B2AF4"/>
    <w:rsid w:val="005B2B07"/>
    <w:rsid w:val="005B343F"/>
    <w:rsid w:val="005B38E5"/>
    <w:rsid w:val="005B4809"/>
    <w:rsid w:val="005B4AAE"/>
    <w:rsid w:val="005B4B18"/>
    <w:rsid w:val="005B5251"/>
    <w:rsid w:val="005B5363"/>
    <w:rsid w:val="005B5B2D"/>
    <w:rsid w:val="005B64AC"/>
    <w:rsid w:val="005B67A1"/>
    <w:rsid w:val="005B687A"/>
    <w:rsid w:val="005B6DAE"/>
    <w:rsid w:val="005B7189"/>
    <w:rsid w:val="005B72C5"/>
    <w:rsid w:val="005B75DF"/>
    <w:rsid w:val="005B7B11"/>
    <w:rsid w:val="005B7BF2"/>
    <w:rsid w:val="005B7FD9"/>
    <w:rsid w:val="005C022C"/>
    <w:rsid w:val="005C03AF"/>
    <w:rsid w:val="005C0753"/>
    <w:rsid w:val="005C09F1"/>
    <w:rsid w:val="005C0B5D"/>
    <w:rsid w:val="005C0B70"/>
    <w:rsid w:val="005C0ECB"/>
    <w:rsid w:val="005C14A4"/>
    <w:rsid w:val="005C18A7"/>
    <w:rsid w:val="005C1A5E"/>
    <w:rsid w:val="005C1DAC"/>
    <w:rsid w:val="005C1DFC"/>
    <w:rsid w:val="005C2251"/>
    <w:rsid w:val="005C2640"/>
    <w:rsid w:val="005C2988"/>
    <w:rsid w:val="005C2F15"/>
    <w:rsid w:val="005C3521"/>
    <w:rsid w:val="005C3764"/>
    <w:rsid w:val="005C3AC9"/>
    <w:rsid w:val="005C3B20"/>
    <w:rsid w:val="005C4634"/>
    <w:rsid w:val="005C4971"/>
    <w:rsid w:val="005C4A68"/>
    <w:rsid w:val="005C51AD"/>
    <w:rsid w:val="005C5422"/>
    <w:rsid w:val="005C558A"/>
    <w:rsid w:val="005C5CAE"/>
    <w:rsid w:val="005C5DD9"/>
    <w:rsid w:val="005C6221"/>
    <w:rsid w:val="005C678C"/>
    <w:rsid w:val="005C685E"/>
    <w:rsid w:val="005C69BF"/>
    <w:rsid w:val="005C70BB"/>
    <w:rsid w:val="005C73A9"/>
    <w:rsid w:val="005C768E"/>
    <w:rsid w:val="005C7690"/>
    <w:rsid w:val="005C7849"/>
    <w:rsid w:val="005C7B58"/>
    <w:rsid w:val="005C7C6B"/>
    <w:rsid w:val="005C7F18"/>
    <w:rsid w:val="005C7F2F"/>
    <w:rsid w:val="005D006A"/>
    <w:rsid w:val="005D02E8"/>
    <w:rsid w:val="005D0363"/>
    <w:rsid w:val="005D0939"/>
    <w:rsid w:val="005D0970"/>
    <w:rsid w:val="005D0BB8"/>
    <w:rsid w:val="005D0D9E"/>
    <w:rsid w:val="005D0E0B"/>
    <w:rsid w:val="005D10C7"/>
    <w:rsid w:val="005D1194"/>
    <w:rsid w:val="005D14A9"/>
    <w:rsid w:val="005D14EA"/>
    <w:rsid w:val="005D1C30"/>
    <w:rsid w:val="005D21E6"/>
    <w:rsid w:val="005D25DB"/>
    <w:rsid w:val="005D2847"/>
    <w:rsid w:val="005D2AA0"/>
    <w:rsid w:val="005D2E3E"/>
    <w:rsid w:val="005D34F8"/>
    <w:rsid w:val="005D3BA1"/>
    <w:rsid w:val="005D3BAA"/>
    <w:rsid w:val="005D3D5F"/>
    <w:rsid w:val="005D40BE"/>
    <w:rsid w:val="005D41D4"/>
    <w:rsid w:val="005D47E3"/>
    <w:rsid w:val="005D4AC7"/>
    <w:rsid w:val="005D4D23"/>
    <w:rsid w:val="005D4E60"/>
    <w:rsid w:val="005D5034"/>
    <w:rsid w:val="005D5299"/>
    <w:rsid w:val="005D5F49"/>
    <w:rsid w:val="005D6085"/>
    <w:rsid w:val="005D61C1"/>
    <w:rsid w:val="005D64FE"/>
    <w:rsid w:val="005D6A85"/>
    <w:rsid w:val="005D6DA9"/>
    <w:rsid w:val="005D78DF"/>
    <w:rsid w:val="005D79EA"/>
    <w:rsid w:val="005E0024"/>
    <w:rsid w:val="005E03DB"/>
    <w:rsid w:val="005E04E3"/>
    <w:rsid w:val="005E04F9"/>
    <w:rsid w:val="005E0601"/>
    <w:rsid w:val="005E0847"/>
    <w:rsid w:val="005E122F"/>
    <w:rsid w:val="005E12D2"/>
    <w:rsid w:val="005E1414"/>
    <w:rsid w:val="005E1CBC"/>
    <w:rsid w:val="005E209B"/>
    <w:rsid w:val="005E20C9"/>
    <w:rsid w:val="005E272D"/>
    <w:rsid w:val="005E28E3"/>
    <w:rsid w:val="005E28F7"/>
    <w:rsid w:val="005E2B75"/>
    <w:rsid w:val="005E31C6"/>
    <w:rsid w:val="005E33E1"/>
    <w:rsid w:val="005E35A3"/>
    <w:rsid w:val="005E35CF"/>
    <w:rsid w:val="005E37B2"/>
    <w:rsid w:val="005E3D08"/>
    <w:rsid w:val="005E3E97"/>
    <w:rsid w:val="005E3EE7"/>
    <w:rsid w:val="005E4170"/>
    <w:rsid w:val="005E4536"/>
    <w:rsid w:val="005E4628"/>
    <w:rsid w:val="005E4810"/>
    <w:rsid w:val="005E4897"/>
    <w:rsid w:val="005E4DED"/>
    <w:rsid w:val="005E4F18"/>
    <w:rsid w:val="005E520D"/>
    <w:rsid w:val="005E54E4"/>
    <w:rsid w:val="005E5FA8"/>
    <w:rsid w:val="005E636B"/>
    <w:rsid w:val="005E65AB"/>
    <w:rsid w:val="005E661B"/>
    <w:rsid w:val="005E6C5C"/>
    <w:rsid w:val="005E6DFF"/>
    <w:rsid w:val="005E6E4D"/>
    <w:rsid w:val="005E6E74"/>
    <w:rsid w:val="005E7312"/>
    <w:rsid w:val="005E748E"/>
    <w:rsid w:val="005E7493"/>
    <w:rsid w:val="005E784C"/>
    <w:rsid w:val="005E7DC6"/>
    <w:rsid w:val="005F04E8"/>
    <w:rsid w:val="005F0752"/>
    <w:rsid w:val="005F0963"/>
    <w:rsid w:val="005F096B"/>
    <w:rsid w:val="005F0DFE"/>
    <w:rsid w:val="005F0EA4"/>
    <w:rsid w:val="005F0F06"/>
    <w:rsid w:val="005F1522"/>
    <w:rsid w:val="005F1F1C"/>
    <w:rsid w:val="005F201F"/>
    <w:rsid w:val="005F26B9"/>
    <w:rsid w:val="005F29FE"/>
    <w:rsid w:val="005F312A"/>
    <w:rsid w:val="005F320D"/>
    <w:rsid w:val="005F35EE"/>
    <w:rsid w:val="005F387A"/>
    <w:rsid w:val="005F40C4"/>
    <w:rsid w:val="005F40CE"/>
    <w:rsid w:val="005F4225"/>
    <w:rsid w:val="005F443F"/>
    <w:rsid w:val="005F447E"/>
    <w:rsid w:val="005F44C9"/>
    <w:rsid w:val="005F4606"/>
    <w:rsid w:val="005F48DB"/>
    <w:rsid w:val="005F5073"/>
    <w:rsid w:val="005F50B9"/>
    <w:rsid w:val="005F55DF"/>
    <w:rsid w:val="005F5BB0"/>
    <w:rsid w:val="005F5DDB"/>
    <w:rsid w:val="005F5DE8"/>
    <w:rsid w:val="005F6728"/>
    <w:rsid w:val="005F6A56"/>
    <w:rsid w:val="005F6AA9"/>
    <w:rsid w:val="005F6DD3"/>
    <w:rsid w:val="005F6E31"/>
    <w:rsid w:val="005F6E6F"/>
    <w:rsid w:val="005F6FDD"/>
    <w:rsid w:val="005F7C5F"/>
    <w:rsid w:val="005F7D60"/>
    <w:rsid w:val="005F7EE2"/>
    <w:rsid w:val="005F7EEC"/>
    <w:rsid w:val="006002AC"/>
    <w:rsid w:val="0060056C"/>
    <w:rsid w:val="00600903"/>
    <w:rsid w:val="00600ABA"/>
    <w:rsid w:val="00600EE9"/>
    <w:rsid w:val="00600F66"/>
    <w:rsid w:val="00600FEB"/>
    <w:rsid w:val="006016DD"/>
    <w:rsid w:val="00601A5D"/>
    <w:rsid w:val="00601D30"/>
    <w:rsid w:val="00601EC9"/>
    <w:rsid w:val="006020CC"/>
    <w:rsid w:val="0060218A"/>
    <w:rsid w:val="006021FA"/>
    <w:rsid w:val="006023BC"/>
    <w:rsid w:val="006029E0"/>
    <w:rsid w:val="00602BBA"/>
    <w:rsid w:val="00602E1C"/>
    <w:rsid w:val="00602E3A"/>
    <w:rsid w:val="0060327D"/>
    <w:rsid w:val="00603AB7"/>
    <w:rsid w:val="00603CEC"/>
    <w:rsid w:val="00603DD7"/>
    <w:rsid w:val="0060428D"/>
    <w:rsid w:val="006043FE"/>
    <w:rsid w:val="0060489A"/>
    <w:rsid w:val="00604993"/>
    <w:rsid w:val="00604B82"/>
    <w:rsid w:val="00604E65"/>
    <w:rsid w:val="00604E9E"/>
    <w:rsid w:val="00605219"/>
    <w:rsid w:val="0060522F"/>
    <w:rsid w:val="00605531"/>
    <w:rsid w:val="00605708"/>
    <w:rsid w:val="006057D2"/>
    <w:rsid w:val="00605D37"/>
    <w:rsid w:val="00605D44"/>
    <w:rsid w:val="00605EEE"/>
    <w:rsid w:val="00605F34"/>
    <w:rsid w:val="00605F6E"/>
    <w:rsid w:val="0060603C"/>
    <w:rsid w:val="0060649F"/>
    <w:rsid w:val="00606513"/>
    <w:rsid w:val="00606584"/>
    <w:rsid w:val="00606D56"/>
    <w:rsid w:val="00606F8A"/>
    <w:rsid w:val="0060701D"/>
    <w:rsid w:val="0060776B"/>
    <w:rsid w:val="0060790D"/>
    <w:rsid w:val="006079C3"/>
    <w:rsid w:val="00607C81"/>
    <w:rsid w:val="00607CA9"/>
    <w:rsid w:val="00607DBA"/>
    <w:rsid w:val="00607DEB"/>
    <w:rsid w:val="006102B1"/>
    <w:rsid w:val="0061057B"/>
    <w:rsid w:val="0061064F"/>
    <w:rsid w:val="0061075E"/>
    <w:rsid w:val="00610A48"/>
    <w:rsid w:val="00610CFE"/>
    <w:rsid w:val="00611106"/>
    <w:rsid w:val="0061127D"/>
    <w:rsid w:val="00611942"/>
    <w:rsid w:val="00611C45"/>
    <w:rsid w:val="00611ED6"/>
    <w:rsid w:val="006124EC"/>
    <w:rsid w:val="006138CD"/>
    <w:rsid w:val="00613D7C"/>
    <w:rsid w:val="00613E20"/>
    <w:rsid w:val="00614226"/>
    <w:rsid w:val="00614374"/>
    <w:rsid w:val="006143C6"/>
    <w:rsid w:val="00614AA9"/>
    <w:rsid w:val="00614C1D"/>
    <w:rsid w:val="00614C36"/>
    <w:rsid w:val="00615535"/>
    <w:rsid w:val="00615751"/>
    <w:rsid w:val="0061580F"/>
    <w:rsid w:val="0061586E"/>
    <w:rsid w:val="006158F2"/>
    <w:rsid w:val="00615C6C"/>
    <w:rsid w:val="00616173"/>
    <w:rsid w:val="00616224"/>
    <w:rsid w:val="0061634C"/>
    <w:rsid w:val="006163E1"/>
    <w:rsid w:val="0061680B"/>
    <w:rsid w:val="0061704C"/>
    <w:rsid w:val="006171AF"/>
    <w:rsid w:val="006172EB"/>
    <w:rsid w:val="006175AD"/>
    <w:rsid w:val="00617EAD"/>
    <w:rsid w:val="00617F56"/>
    <w:rsid w:val="00617F77"/>
    <w:rsid w:val="006204CF"/>
    <w:rsid w:val="0062092D"/>
    <w:rsid w:val="00620BE6"/>
    <w:rsid w:val="00620ECF"/>
    <w:rsid w:val="006210E0"/>
    <w:rsid w:val="006211E1"/>
    <w:rsid w:val="006215E1"/>
    <w:rsid w:val="00621C4B"/>
    <w:rsid w:val="00621FED"/>
    <w:rsid w:val="006221C7"/>
    <w:rsid w:val="00622364"/>
    <w:rsid w:val="006223FD"/>
    <w:rsid w:val="006228F7"/>
    <w:rsid w:val="00622C14"/>
    <w:rsid w:val="00622CA8"/>
    <w:rsid w:val="00622DEB"/>
    <w:rsid w:val="00623222"/>
    <w:rsid w:val="00623879"/>
    <w:rsid w:val="00623B89"/>
    <w:rsid w:val="0062436C"/>
    <w:rsid w:val="0062455C"/>
    <w:rsid w:val="0062464C"/>
    <w:rsid w:val="00624F33"/>
    <w:rsid w:val="00625663"/>
    <w:rsid w:val="0062597A"/>
    <w:rsid w:val="006259A7"/>
    <w:rsid w:val="00625BBD"/>
    <w:rsid w:val="00625C41"/>
    <w:rsid w:val="00626615"/>
    <w:rsid w:val="006267CD"/>
    <w:rsid w:val="00626838"/>
    <w:rsid w:val="00626B1B"/>
    <w:rsid w:val="00626C3E"/>
    <w:rsid w:val="0062752A"/>
    <w:rsid w:val="0062765D"/>
    <w:rsid w:val="0062774A"/>
    <w:rsid w:val="006279A9"/>
    <w:rsid w:val="006279DC"/>
    <w:rsid w:val="00627FE0"/>
    <w:rsid w:val="0063098B"/>
    <w:rsid w:val="00630C5F"/>
    <w:rsid w:val="00631632"/>
    <w:rsid w:val="006319AE"/>
    <w:rsid w:val="00631D22"/>
    <w:rsid w:val="0063200C"/>
    <w:rsid w:val="006322E8"/>
    <w:rsid w:val="0063273E"/>
    <w:rsid w:val="006328FC"/>
    <w:rsid w:val="0063299E"/>
    <w:rsid w:val="00632EFA"/>
    <w:rsid w:val="00633545"/>
    <w:rsid w:val="00633AF0"/>
    <w:rsid w:val="00633E2B"/>
    <w:rsid w:val="006343D2"/>
    <w:rsid w:val="0063483A"/>
    <w:rsid w:val="006348AC"/>
    <w:rsid w:val="00634E25"/>
    <w:rsid w:val="00635177"/>
    <w:rsid w:val="0063518D"/>
    <w:rsid w:val="00635225"/>
    <w:rsid w:val="006356D9"/>
    <w:rsid w:val="00635969"/>
    <w:rsid w:val="00635BB9"/>
    <w:rsid w:val="00635D53"/>
    <w:rsid w:val="006364F9"/>
    <w:rsid w:val="006366C6"/>
    <w:rsid w:val="00636935"/>
    <w:rsid w:val="00636B70"/>
    <w:rsid w:val="00636E0B"/>
    <w:rsid w:val="00636F1F"/>
    <w:rsid w:val="00637065"/>
    <w:rsid w:val="006375A2"/>
    <w:rsid w:val="00637727"/>
    <w:rsid w:val="00637A2F"/>
    <w:rsid w:val="00637B5F"/>
    <w:rsid w:val="00637C08"/>
    <w:rsid w:val="00637D9F"/>
    <w:rsid w:val="00637DDC"/>
    <w:rsid w:val="006404A1"/>
    <w:rsid w:val="0064071C"/>
    <w:rsid w:val="006407B9"/>
    <w:rsid w:val="006407E6"/>
    <w:rsid w:val="0064093E"/>
    <w:rsid w:val="00640C2C"/>
    <w:rsid w:val="00640C3E"/>
    <w:rsid w:val="006412F7"/>
    <w:rsid w:val="0064148A"/>
    <w:rsid w:val="00641665"/>
    <w:rsid w:val="00641D30"/>
    <w:rsid w:val="00641DED"/>
    <w:rsid w:val="00641E35"/>
    <w:rsid w:val="006420DE"/>
    <w:rsid w:val="0064234C"/>
    <w:rsid w:val="0064234E"/>
    <w:rsid w:val="006423A5"/>
    <w:rsid w:val="00642554"/>
    <w:rsid w:val="00642AA2"/>
    <w:rsid w:val="00642B3A"/>
    <w:rsid w:val="00642B4E"/>
    <w:rsid w:val="00642E66"/>
    <w:rsid w:val="00643189"/>
    <w:rsid w:val="00643D4B"/>
    <w:rsid w:val="00643FD7"/>
    <w:rsid w:val="00644126"/>
    <w:rsid w:val="006447A8"/>
    <w:rsid w:val="00644881"/>
    <w:rsid w:val="006448F0"/>
    <w:rsid w:val="00644971"/>
    <w:rsid w:val="00644AF0"/>
    <w:rsid w:val="00644B3F"/>
    <w:rsid w:val="00644E28"/>
    <w:rsid w:val="00644F46"/>
    <w:rsid w:val="00645449"/>
    <w:rsid w:val="006456B0"/>
    <w:rsid w:val="00645929"/>
    <w:rsid w:val="0064593F"/>
    <w:rsid w:val="00645CD1"/>
    <w:rsid w:val="00646215"/>
    <w:rsid w:val="006465A8"/>
    <w:rsid w:val="00646A11"/>
    <w:rsid w:val="00646ABE"/>
    <w:rsid w:val="00646E88"/>
    <w:rsid w:val="00646EB3"/>
    <w:rsid w:val="00647302"/>
    <w:rsid w:val="00647328"/>
    <w:rsid w:val="00647839"/>
    <w:rsid w:val="00650265"/>
    <w:rsid w:val="0065052B"/>
    <w:rsid w:val="0065057D"/>
    <w:rsid w:val="00650750"/>
    <w:rsid w:val="00650B08"/>
    <w:rsid w:val="00650BF1"/>
    <w:rsid w:val="00650DB3"/>
    <w:rsid w:val="00650DEF"/>
    <w:rsid w:val="00651197"/>
    <w:rsid w:val="0065189B"/>
    <w:rsid w:val="006518AB"/>
    <w:rsid w:val="00651F43"/>
    <w:rsid w:val="00652420"/>
    <w:rsid w:val="00652594"/>
    <w:rsid w:val="00652A08"/>
    <w:rsid w:val="00652ADE"/>
    <w:rsid w:val="00652B13"/>
    <w:rsid w:val="00652BBC"/>
    <w:rsid w:val="00652DFB"/>
    <w:rsid w:val="006531AC"/>
    <w:rsid w:val="00653F50"/>
    <w:rsid w:val="00654304"/>
    <w:rsid w:val="00654DB5"/>
    <w:rsid w:val="00655003"/>
    <w:rsid w:val="0065500A"/>
    <w:rsid w:val="006552DD"/>
    <w:rsid w:val="00655396"/>
    <w:rsid w:val="006558E9"/>
    <w:rsid w:val="00655CBA"/>
    <w:rsid w:val="00655E2D"/>
    <w:rsid w:val="0065634A"/>
    <w:rsid w:val="00656432"/>
    <w:rsid w:val="0065647A"/>
    <w:rsid w:val="00656622"/>
    <w:rsid w:val="006569A0"/>
    <w:rsid w:val="00656AAD"/>
    <w:rsid w:val="00656ED8"/>
    <w:rsid w:val="006577A0"/>
    <w:rsid w:val="006579F9"/>
    <w:rsid w:val="00657D86"/>
    <w:rsid w:val="0066015A"/>
    <w:rsid w:val="006601CB"/>
    <w:rsid w:val="006604DD"/>
    <w:rsid w:val="00660536"/>
    <w:rsid w:val="0066085D"/>
    <w:rsid w:val="0066086F"/>
    <w:rsid w:val="00660A1B"/>
    <w:rsid w:val="00660D24"/>
    <w:rsid w:val="00660EDA"/>
    <w:rsid w:val="006613B5"/>
    <w:rsid w:val="0066199A"/>
    <w:rsid w:val="00661B9D"/>
    <w:rsid w:val="00661E9A"/>
    <w:rsid w:val="006621E8"/>
    <w:rsid w:val="006625B8"/>
    <w:rsid w:val="0066280C"/>
    <w:rsid w:val="006628FF"/>
    <w:rsid w:val="00662979"/>
    <w:rsid w:val="00662F91"/>
    <w:rsid w:val="00663236"/>
    <w:rsid w:val="006632E0"/>
    <w:rsid w:val="00663377"/>
    <w:rsid w:val="006633B9"/>
    <w:rsid w:val="00664273"/>
    <w:rsid w:val="0066431A"/>
    <w:rsid w:val="006649CC"/>
    <w:rsid w:val="00664B14"/>
    <w:rsid w:val="00665088"/>
    <w:rsid w:val="006654EC"/>
    <w:rsid w:val="0066581D"/>
    <w:rsid w:val="00665D51"/>
    <w:rsid w:val="00666112"/>
    <w:rsid w:val="00666258"/>
    <w:rsid w:val="0066650A"/>
    <w:rsid w:val="006665BA"/>
    <w:rsid w:val="006665EC"/>
    <w:rsid w:val="00666752"/>
    <w:rsid w:val="00666CF7"/>
    <w:rsid w:val="00666DA4"/>
    <w:rsid w:val="0066719D"/>
    <w:rsid w:val="006672A0"/>
    <w:rsid w:val="0066747B"/>
    <w:rsid w:val="0066779B"/>
    <w:rsid w:val="006677C5"/>
    <w:rsid w:val="006679A3"/>
    <w:rsid w:val="00667A69"/>
    <w:rsid w:val="00667A6E"/>
    <w:rsid w:val="006702AD"/>
    <w:rsid w:val="006702EF"/>
    <w:rsid w:val="0067080A"/>
    <w:rsid w:val="00670ADE"/>
    <w:rsid w:val="00670DA9"/>
    <w:rsid w:val="006715ED"/>
    <w:rsid w:val="0067165E"/>
    <w:rsid w:val="0067175B"/>
    <w:rsid w:val="006718DE"/>
    <w:rsid w:val="00671B16"/>
    <w:rsid w:val="00671C09"/>
    <w:rsid w:val="00671D81"/>
    <w:rsid w:val="00672125"/>
    <w:rsid w:val="006723CD"/>
    <w:rsid w:val="00672625"/>
    <w:rsid w:val="00672739"/>
    <w:rsid w:val="00673111"/>
    <w:rsid w:val="006737BE"/>
    <w:rsid w:val="00673C62"/>
    <w:rsid w:val="0067403B"/>
    <w:rsid w:val="00674297"/>
    <w:rsid w:val="0067440B"/>
    <w:rsid w:val="006748F9"/>
    <w:rsid w:val="00674FAF"/>
    <w:rsid w:val="006750C8"/>
    <w:rsid w:val="0067521E"/>
    <w:rsid w:val="006755A2"/>
    <w:rsid w:val="006755E5"/>
    <w:rsid w:val="006757C0"/>
    <w:rsid w:val="00675842"/>
    <w:rsid w:val="0067595E"/>
    <w:rsid w:val="00675CFF"/>
    <w:rsid w:val="00675F0A"/>
    <w:rsid w:val="00676053"/>
    <w:rsid w:val="00676527"/>
    <w:rsid w:val="0067671F"/>
    <w:rsid w:val="006767B7"/>
    <w:rsid w:val="00676833"/>
    <w:rsid w:val="00676981"/>
    <w:rsid w:val="00676A17"/>
    <w:rsid w:val="00676DF6"/>
    <w:rsid w:val="00676F81"/>
    <w:rsid w:val="0067704F"/>
    <w:rsid w:val="006770BF"/>
    <w:rsid w:val="006771F7"/>
    <w:rsid w:val="00677246"/>
    <w:rsid w:val="00677639"/>
    <w:rsid w:val="00677728"/>
    <w:rsid w:val="006779B0"/>
    <w:rsid w:val="00677A6E"/>
    <w:rsid w:val="00677ABC"/>
    <w:rsid w:val="006800CC"/>
    <w:rsid w:val="00680343"/>
    <w:rsid w:val="00680519"/>
    <w:rsid w:val="00680A1D"/>
    <w:rsid w:val="00680C1A"/>
    <w:rsid w:val="00680E0E"/>
    <w:rsid w:val="006810B3"/>
    <w:rsid w:val="00681118"/>
    <w:rsid w:val="00681170"/>
    <w:rsid w:val="0068128E"/>
    <w:rsid w:val="00681A9A"/>
    <w:rsid w:val="00681DBE"/>
    <w:rsid w:val="00681FA5"/>
    <w:rsid w:val="0068205D"/>
    <w:rsid w:val="006820FF"/>
    <w:rsid w:val="0068233A"/>
    <w:rsid w:val="00682472"/>
    <w:rsid w:val="006824BD"/>
    <w:rsid w:val="006824DC"/>
    <w:rsid w:val="006828F8"/>
    <w:rsid w:val="006829B5"/>
    <w:rsid w:val="00683097"/>
    <w:rsid w:val="00683327"/>
    <w:rsid w:val="0068373A"/>
    <w:rsid w:val="006838C9"/>
    <w:rsid w:val="00683B6B"/>
    <w:rsid w:val="00683B7B"/>
    <w:rsid w:val="00683C22"/>
    <w:rsid w:val="00683D26"/>
    <w:rsid w:val="00684171"/>
    <w:rsid w:val="00684175"/>
    <w:rsid w:val="006843E6"/>
    <w:rsid w:val="00684CEC"/>
    <w:rsid w:val="00685250"/>
    <w:rsid w:val="00685507"/>
    <w:rsid w:val="00685629"/>
    <w:rsid w:val="0068585B"/>
    <w:rsid w:val="00685B35"/>
    <w:rsid w:val="00685D6C"/>
    <w:rsid w:val="00686739"/>
    <w:rsid w:val="0068692F"/>
    <w:rsid w:val="00686A7C"/>
    <w:rsid w:val="00686CDF"/>
    <w:rsid w:val="00686D8A"/>
    <w:rsid w:val="00686F98"/>
    <w:rsid w:val="0068734F"/>
    <w:rsid w:val="006876E8"/>
    <w:rsid w:val="006877B0"/>
    <w:rsid w:val="006877FF"/>
    <w:rsid w:val="00687CF7"/>
    <w:rsid w:val="00687D5F"/>
    <w:rsid w:val="00687F1E"/>
    <w:rsid w:val="00690557"/>
    <w:rsid w:val="00690829"/>
    <w:rsid w:val="00690ADD"/>
    <w:rsid w:val="00690CFB"/>
    <w:rsid w:val="0069135C"/>
    <w:rsid w:val="00691369"/>
    <w:rsid w:val="006919AC"/>
    <w:rsid w:val="00691E12"/>
    <w:rsid w:val="0069243F"/>
    <w:rsid w:val="00692461"/>
    <w:rsid w:val="006929D0"/>
    <w:rsid w:val="00692A43"/>
    <w:rsid w:val="00692A75"/>
    <w:rsid w:val="00692EAD"/>
    <w:rsid w:val="00692F7C"/>
    <w:rsid w:val="00693058"/>
    <w:rsid w:val="006932BA"/>
    <w:rsid w:val="0069331B"/>
    <w:rsid w:val="006937CB"/>
    <w:rsid w:val="006938F2"/>
    <w:rsid w:val="00693B22"/>
    <w:rsid w:val="00693CF4"/>
    <w:rsid w:val="00693CFF"/>
    <w:rsid w:val="00693D1F"/>
    <w:rsid w:val="00693E0A"/>
    <w:rsid w:val="00693E1C"/>
    <w:rsid w:val="00693E79"/>
    <w:rsid w:val="006942AF"/>
    <w:rsid w:val="006947D3"/>
    <w:rsid w:val="00694C00"/>
    <w:rsid w:val="00694C4D"/>
    <w:rsid w:val="006955CB"/>
    <w:rsid w:val="00695842"/>
    <w:rsid w:val="006959B1"/>
    <w:rsid w:val="00695AA5"/>
    <w:rsid w:val="00695C91"/>
    <w:rsid w:val="00695E04"/>
    <w:rsid w:val="00695E5C"/>
    <w:rsid w:val="00695F2F"/>
    <w:rsid w:val="00695FBF"/>
    <w:rsid w:val="00696736"/>
    <w:rsid w:val="00696A85"/>
    <w:rsid w:val="00696FDE"/>
    <w:rsid w:val="00697366"/>
    <w:rsid w:val="00697429"/>
    <w:rsid w:val="00697776"/>
    <w:rsid w:val="006978CC"/>
    <w:rsid w:val="00697B0C"/>
    <w:rsid w:val="00697BD0"/>
    <w:rsid w:val="00697C97"/>
    <w:rsid w:val="00697EA9"/>
    <w:rsid w:val="006A011B"/>
    <w:rsid w:val="006A031B"/>
    <w:rsid w:val="006A0540"/>
    <w:rsid w:val="006A0811"/>
    <w:rsid w:val="006A08DE"/>
    <w:rsid w:val="006A098F"/>
    <w:rsid w:val="006A0CE8"/>
    <w:rsid w:val="006A1011"/>
    <w:rsid w:val="006A1231"/>
    <w:rsid w:val="006A1462"/>
    <w:rsid w:val="006A1533"/>
    <w:rsid w:val="006A1892"/>
    <w:rsid w:val="006A2252"/>
    <w:rsid w:val="006A2438"/>
    <w:rsid w:val="006A27AB"/>
    <w:rsid w:val="006A2A85"/>
    <w:rsid w:val="006A2DF4"/>
    <w:rsid w:val="006A2F41"/>
    <w:rsid w:val="006A2FE4"/>
    <w:rsid w:val="006A30AE"/>
    <w:rsid w:val="006A3217"/>
    <w:rsid w:val="006A3A92"/>
    <w:rsid w:val="006A40A9"/>
    <w:rsid w:val="006A45CC"/>
    <w:rsid w:val="006A4635"/>
    <w:rsid w:val="006A4834"/>
    <w:rsid w:val="006A485E"/>
    <w:rsid w:val="006A4863"/>
    <w:rsid w:val="006A4E8F"/>
    <w:rsid w:val="006A5381"/>
    <w:rsid w:val="006A57ED"/>
    <w:rsid w:val="006A58A4"/>
    <w:rsid w:val="006A5CCC"/>
    <w:rsid w:val="006A64A2"/>
    <w:rsid w:val="006A65BD"/>
    <w:rsid w:val="006A670B"/>
    <w:rsid w:val="006A68F6"/>
    <w:rsid w:val="006A6994"/>
    <w:rsid w:val="006A6C23"/>
    <w:rsid w:val="006A70A5"/>
    <w:rsid w:val="006A7216"/>
    <w:rsid w:val="006A72DD"/>
    <w:rsid w:val="006A73AD"/>
    <w:rsid w:val="006A784B"/>
    <w:rsid w:val="006A7DE9"/>
    <w:rsid w:val="006A7EAB"/>
    <w:rsid w:val="006A7F44"/>
    <w:rsid w:val="006B01DD"/>
    <w:rsid w:val="006B04AC"/>
    <w:rsid w:val="006B0786"/>
    <w:rsid w:val="006B0B28"/>
    <w:rsid w:val="006B121C"/>
    <w:rsid w:val="006B14A7"/>
    <w:rsid w:val="006B162B"/>
    <w:rsid w:val="006B1648"/>
    <w:rsid w:val="006B17BD"/>
    <w:rsid w:val="006B1A0F"/>
    <w:rsid w:val="006B1DC4"/>
    <w:rsid w:val="006B1FAA"/>
    <w:rsid w:val="006B2592"/>
    <w:rsid w:val="006B270F"/>
    <w:rsid w:val="006B29D5"/>
    <w:rsid w:val="006B2BF6"/>
    <w:rsid w:val="006B2CD6"/>
    <w:rsid w:val="006B2FE4"/>
    <w:rsid w:val="006B31D2"/>
    <w:rsid w:val="006B3445"/>
    <w:rsid w:val="006B381F"/>
    <w:rsid w:val="006B3B56"/>
    <w:rsid w:val="006B42F3"/>
    <w:rsid w:val="006B44E0"/>
    <w:rsid w:val="006B4503"/>
    <w:rsid w:val="006B47CB"/>
    <w:rsid w:val="006B4B0F"/>
    <w:rsid w:val="006B4B63"/>
    <w:rsid w:val="006B4D80"/>
    <w:rsid w:val="006B54FD"/>
    <w:rsid w:val="006B5828"/>
    <w:rsid w:val="006B59FB"/>
    <w:rsid w:val="006B5A86"/>
    <w:rsid w:val="006B6179"/>
    <w:rsid w:val="006B68F3"/>
    <w:rsid w:val="006B7476"/>
    <w:rsid w:val="006B766E"/>
    <w:rsid w:val="006B7AE1"/>
    <w:rsid w:val="006B7E64"/>
    <w:rsid w:val="006B7FD2"/>
    <w:rsid w:val="006C00D2"/>
    <w:rsid w:val="006C0184"/>
    <w:rsid w:val="006C0753"/>
    <w:rsid w:val="006C0B04"/>
    <w:rsid w:val="006C0C78"/>
    <w:rsid w:val="006C0E06"/>
    <w:rsid w:val="006C13D5"/>
    <w:rsid w:val="006C1523"/>
    <w:rsid w:val="006C1CF2"/>
    <w:rsid w:val="006C26D7"/>
    <w:rsid w:val="006C2940"/>
    <w:rsid w:val="006C2BCD"/>
    <w:rsid w:val="006C2E1E"/>
    <w:rsid w:val="006C2F24"/>
    <w:rsid w:val="006C3400"/>
    <w:rsid w:val="006C343A"/>
    <w:rsid w:val="006C3446"/>
    <w:rsid w:val="006C34CB"/>
    <w:rsid w:val="006C352D"/>
    <w:rsid w:val="006C366E"/>
    <w:rsid w:val="006C38DB"/>
    <w:rsid w:val="006C4A21"/>
    <w:rsid w:val="006C4BEA"/>
    <w:rsid w:val="006C4D3C"/>
    <w:rsid w:val="006C4F31"/>
    <w:rsid w:val="006C5034"/>
    <w:rsid w:val="006C5052"/>
    <w:rsid w:val="006C51B0"/>
    <w:rsid w:val="006C54CB"/>
    <w:rsid w:val="006C558A"/>
    <w:rsid w:val="006C55F0"/>
    <w:rsid w:val="006C5815"/>
    <w:rsid w:val="006C5C6C"/>
    <w:rsid w:val="006C621F"/>
    <w:rsid w:val="006C6244"/>
    <w:rsid w:val="006C641D"/>
    <w:rsid w:val="006C65D0"/>
    <w:rsid w:val="006C67F8"/>
    <w:rsid w:val="006C68C6"/>
    <w:rsid w:val="006C69DC"/>
    <w:rsid w:val="006C6B8D"/>
    <w:rsid w:val="006C6C2E"/>
    <w:rsid w:val="006C6D94"/>
    <w:rsid w:val="006C6E16"/>
    <w:rsid w:val="006C70A3"/>
    <w:rsid w:val="006C730E"/>
    <w:rsid w:val="006C741C"/>
    <w:rsid w:val="006C7967"/>
    <w:rsid w:val="006C7CEC"/>
    <w:rsid w:val="006C7EC8"/>
    <w:rsid w:val="006D014E"/>
    <w:rsid w:val="006D0280"/>
    <w:rsid w:val="006D02E1"/>
    <w:rsid w:val="006D03E6"/>
    <w:rsid w:val="006D081A"/>
    <w:rsid w:val="006D0A25"/>
    <w:rsid w:val="006D0BBE"/>
    <w:rsid w:val="006D0DC6"/>
    <w:rsid w:val="006D1341"/>
    <w:rsid w:val="006D1356"/>
    <w:rsid w:val="006D13B1"/>
    <w:rsid w:val="006D142C"/>
    <w:rsid w:val="006D1667"/>
    <w:rsid w:val="006D1C39"/>
    <w:rsid w:val="006D21DD"/>
    <w:rsid w:val="006D22CB"/>
    <w:rsid w:val="006D2771"/>
    <w:rsid w:val="006D2EBB"/>
    <w:rsid w:val="006D3166"/>
    <w:rsid w:val="006D31FD"/>
    <w:rsid w:val="006D3466"/>
    <w:rsid w:val="006D3528"/>
    <w:rsid w:val="006D35D7"/>
    <w:rsid w:val="006D38BD"/>
    <w:rsid w:val="006D3CBA"/>
    <w:rsid w:val="006D405E"/>
    <w:rsid w:val="006D4078"/>
    <w:rsid w:val="006D4237"/>
    <w:rsid w:val="006D429E"/>
    <w:rsid w:val="006D459E"/>
    <w:rsid w:val="006D48F6"/>
    <w:rsid w:val="006D500A"/>
    <w:rsid w:val="006D54D1"/>
    <w:rsid w:val="006D5BDE"/>
    <w:rsid w:val="006D5E13"/>
    <w:rsid w:val="006D611C"/>
    <w:rsid w:val="006D64DA"/>
    <w:rsid w:val="006D64EB"/>
    <w:rsid w:val="006D6A92"/>
    <w:rsid w:val="006D6B9B"/>
    <w:rsid w:val="006D6DA3"/>
    <w:rsid w:val="006D6DBE"/>
    <w:rsid w:val="006D6EAC"/>
    <w:rsid w:val="006D7726"/>
    <w:rsid w:val="006D77B2"/>
    <w:rsid w:val="006D7AE2"/>
    <w:rsid w:val="006D7BD0"/>
    <w:rsid w:val="006D7F7F"/>
    <w:rsid w:val="006E011C"/>
    <w:rsid w:val="006E02B7"/>
    <w:rsid w:val="006E0442"/>
    <w:rsid w:val="006E04C6"/>
    <w:rsid w:val="006E0565"/>
    <w:rsid w:val="006E07F7"/>
    <w:rsid w:val="006E0A3E"/>
    <w:rsid w:val="006E0A89"/>
    <w:rsid w:val="006E1210"/>
    <w:rsid w:val="006E12BB"/>
    <w:rsid w:val="006E134E"/>
    <w:rsid w:val="006E15B4"/>
    <w:rsid w:val="006E1C2A"/>
    <w:rsid w:val="006E1DAC"/>
    <w:rsid w:val="006E1F49"/>
    <w:rsid w:val="006E28F7"/>
    <w:rsid w:val="006E2E75"/>
    <w:rsid w:val="006E31CB"/>
    <w:rsid w:val="006E35A4"/>
    <w:rsid w:val="006E391B"/>
    <w:rsid w:val="006E39A1"/>
    <w:rsid w:val="006E39AB"/>
    <w:rsid w:val="006E3A1D"/>
    <w:rsid w:val="006E3F9B"/>
    <w:rsid w:val="006E3FA2"/>
    <w:rsid w:val="006E414B"/>
    <w:rsid w:val="006E43E0"/>
    <w:rsid w:val="006E4A6F"/>
    <w:rsid w:val="006E51ED"/>
    <w:rsid w:val="006E52F4"/>
    <w:rsid w:val="006E542C"/>
    <w:rsid w:val="006E55BD"/>
    <w:rsid w:val="006E5F5D"/>
    <w:rsid w:val="006E60C0"/>
    <w:rsid w:val="006E6512"/>
    <w:rsid w:val="006E6773"/>
    <w:rsid w:val="006E6B01"/>
    <w:rsid w:val="006E6CF3"/>
    <w:rsid w:val="006E6DF7"/>
    <w:rsid w:val="006E6F2B"/>
    <w:rsid w:val="006E7028"/>
    <w:rsid w:val="006E7115"/>
    <w:rsid w:val="006E73BB"/>
    <w:rsid w:val="006E74C2"/>
    <w:rsid w:val="006E78FD"/>
    <w:rsid w:val="006E7ABC"/>
    <w:rsid w:val="006F068C"/>
    <w:rsid w:val="006F08D3"/>
    <w:rsid w:val="006F0923"/>
    <w:rsid w:val="006F0C1B"/>
    <w:rsid w:val="006F0CC6"/>
    <w:rsid w:val="006F16FB"/>
    <w:rsid w:val="006F17E3"/>
    <w:rsid w:val="006F1D20"/>
    <w:rsid w:val="006F1D4C"/>
    <w:rsid w:val="006F1F12"/>
    <w:rsid w:val="006F2174"/>
    <w:rsid w:val="006F247C"/>
    <w:rsid w:val="006F256F"/>
    <w:rsid w:val="006F2826"/>
    <w:rsid w:val="006F2ABD"/>
    <w:rsid w:val="006F2C80"/>
    <w:rsid w:val="006F2E56"/>
    <w:rsid w:val="006F2E62"/>
    <w:rsid w:val="006F2E69"/>
    <w:rsid w:val="006F3A59"/>
    <w:rsid w:val="006F3E86"/>
    <w:rsid w:val="006F4428"/>
    <w:rsid w:val="006F445B"/>
    <w:rsid w:val="006F45A4"/>
    <w:rsid w:val="006F4617"/>
    <w:rsid w:val="006F4798"/>
    <w:rsid w:val="006F4967"/>
    <w:rsid w:val="006F4C4D"/>
    <w:rsid w:val="006F4C89"/>
    <w:rsid w:val="006F4CD3"/>
    <w:rsid w:val="006F5310"/>
    <w:rsid w:val="006F5646"/>
    <w:rsid w:val="006F5A61"/>
    <w:rsid w:val="006F5AF9"/>
    <w:rsid w:val="006F5C5D"/>
    <w:rsid w:val="006F5DE3"/>
    <w:rsid w:val="006F604B"/>
    <w:rsid w:val="006F6064"/>
    <w:rsid w:val="006F6506"/>
    <w:rsid w:val="006F6BC5"/>
    <w:rsid w:val="006F6C42"/>
    <w:rsid w:val="006F6E11"/>
    <w:rsid w:val="006F71D6"/>
    <w:rsid w:val="006F78FE"/>
    <w:rsid w:val="006F7B33"/>
    <w:rsid w:val="006F7F6B"/>
    <w:rsid w:val="00700081"/>
    <w:rsid w:val="00700103"/>
    <w:rsid w:val="00700587"/>
    <w:rsid w:val="007005C5"/>
    <w:rsid w:val="00700B8F"/>
    <w:rsid w:val="00700F51"/>
    <w:rsid w:val="007011FF"/>
    <w:rsid w:val="0070122D"/>
    <w:rsid w:val="007015E7"/>
    <w:rsid w:val="007017B6"/>
    <w:rsid w:val="00701824"/>
    <w:rsid w:val="0070190C"/>
    <w:rsid w:val="007019AB"/>
    <w:rsid w:val="00701DD8"/>
    <w:rsid w:val="00701E3C"/>
    <w:rsid w:val="007020F2"/>
    <w:rsid w:val="007026CD"/>
    <w:rsid w:val="007029FE"/>
    <w:rsid w:val="00702A1C"/>
    <w:rsid w:val="00702C91"/>
    <w:rsid w:val="00703177"/>
    <w:rsid w:val="0070325F"/>
    <w:rsid w:val="0070388F"/>
    <w:rsid w:val="00703ABD"/>
    <w:rsid w:val="00704121"/>
    <w:rsid w:val="007041D4"/>
    <w:rsid w:val="00704479"/>
    <w:rsid w:val="00704A8F"/>
    <w:rsid w:val="00704C72"/>
    <w:rsid w:val="00704CF3"/>
    <w:rsid w:val="00704F31"/>
    <w:rsid w:val="00705239"/>
    <w:rsid w:val="0070592A"/>
    <w:rsid w:val="0070596F"/>
    <w:rsid w:val="00705A2D"/>
    <w:rsid w:val="00705BB3"/>
    <w:rsid w:val="00705D8F"/>
    <w:rsid w:val="00705EB3"/>
    <w:rsid w:val="00705F7A"/>
    <w:rsid w:val="00706710"/>
    <w:rsid w:val="00706802"/>
    <w:rsid w:val="00706D8E"/>
    <w:rsid w:val="00706F47"/>
    <w:rsid w:val="00707896"/>
    <w:rsid w:val="00707912"/>
    <w:rsid w:val="00707BE7"/>
    <w:rsid w:val="00707CF9"/>
    <w:rsid w:val="00710054"/>
    <w:rsid w:val="0071047D"/>
    <w:rsid w:val="0071058A"/>
    <w:rsid w:val="007106BB"/>
    <w:rsid w:val="0071076B"/>
    <w:rsid w:val="007108FD"/>
    <w:rsid w:val="00710995"/>
    <w:rsid w:val="00710A21"/>
    <w:rsid w:val="00710A6C"/>
    <w:rsid w:val="00710B82"/>
    <w:rsid w:val="00710BCB"/>
    <w:rsid w:val="00710DC0"/>
    <w:rsid w:val="0071139F"/>
    <w:rsid w:val="007117C5"/>
    <w:rsid w:val="00711A82"/>
    <w:rsid w:val="00711C1D"/>
    <w:rsid w:val="0071258B"/>
    <w:rsid w:val="00712897"/>
    <w:rsid w:val="007129A7"/>
    <w:rsid w:val="00712CC2"/>
    <w:rsid w:val="00712D63"/>
    <w:rsid w:val="0071327B"/>
    <w:rsid w:val="0071375E"/>
    <w:rsid w:val="00713E52"/>
    <w:rsid w:val="00713E60"/>
    <w:rsid w:val="00713E87"/>
    <w:rsid w:val="00713EBD"/>
    <w:rsid w:val="00713F00"/>
    <w:rsid w:val="00713FF4"/>
    <w:rsid w:val="007140B0"/>
    <w:rsid w:val="0071439E"/>
    <w:rsid w:val="0071444B"/>
    <w:rsid w:val="0071478C"/>
    <w:rsid w:val="00714823"/>
    <w:rsid w:val="007148DF"/>
    <w:rsid w:val="00714A25"/>
    <w:rsid w:val="00715304"/>
    <w:rsid w:val="0071544D"/>
    <w:rsid w:val="00715700"/>
    <w:rsid w:val="00716094"/>
    <w:rsid w:val="00716294"/>
    <w:rsid w:val="007163D8"/>
    <w:rsid w:val="007166CA"/>
    <w:rsid w:val="00716C47"/>
    <w:rsid w:val="00716F14"/>
    <w:rsid w:val="007174DA"/>
    <w:rsid w:val="007175ED"/>
    <w:rsid w:val="00717CEE"/>
    <w:rsid w:val="00717D75"/>
    <w:rsid w:val="00717EBE"/>
    <w:rsid w:val="0072003D"/>
    <w:rsid w:val="007201FE"/>
    <w:rsid w:val="00720266"/>
    <w:rsid w:val="007206D9"/>
    <w:rsid w:val="00720735"/>
    <w:rsid w:val="00720862"/>
    <w:rsid w:val="007208E3"/>
    <w:rsid w:val="00720AEF"/>
    <w:rsid w:val="00720C90"/>
    <w:rsid w:val="00720D03"/>
    <w:rsid w:val="00720D16"/>
    <w:rsid w:val="00720DD4"/>
    <w:rsid w:val="00720F0A"/>
    <w:rsid w:val="00720F8C"/>
    <w:rsid w:val="007211BA"/>
    <w:rsid w:val="00721287"/>
    <w:rsid w:val="0072147A"/>
    <w:rsid w:val="00721539"/>
    <w:rsid w:val="00721DD1"/>
    <w:rsid w:val="00721E7B"/>
    <w:rsid w:val="00722583"/>
    <w:rsid w:val="007228EA"/>
    <w:rsid w:val="007229CA"/>
    <w:rsid w:val="00722A43"/>
    <w:rsid w:val="0072334F"/>
    <w:rsid w:val="00723DF1"/>
    <w:rsid w:val="00723E66"/>
    <w:rsid w:val="007240A0"/>
    <w:rsid w:val="007243C7"/>
    <w:rsid w:val="0072445C"/>
    <w:rsid w:val="00725017"/>
    <w:rsid w:val="0072550E"/>
    <w:rsid w:val="00725BB4"/>
    <w:rsid w:val="007260D2"/>
    <w:rsid w:val="007261A8"/>
    <w:rsid w:val="00726681"/>
    <w:rsid w:val="00726A49"/>
    <w:rsid w:val="00726ED7"/>
    <w:rsid w:val="0072735B"/>
    <w:rsid w:val="00727C3B"/>
    <w:rsid w:val="00730338"/>
    <w:rsid w:val="00730431"/>
    <w:rsid w:val="00730608"/>
    <w:rsid w:val="007307F5"/>
    <w:rsid w:val="0073095E"/>
    <w:rsid w:val="0073198F"/>
    <w:rsid w:val="00731AA5"/>
    <w:rsid w:val="00731BFB"/>
    <w:rsid w:val="00731DEC"/>
    <w:rsid w:val="00731E02"/>
    <w:rsid w:val="0073215A"/>
    <w:rsid w:val="0073232A"/>
    <w:rsid w:val="00732563"/>
    <w:rsid w:val="00732913"/>
    <w:rsid w:val="00732BC2"/>
    <w:rsid w:val="00733065"/>
    <w:rsid w:val="007332A2"/>
    <w:rsid w:val="007332EF"/>
    <w:rsid w:val="00733AC2"/>
    <w:rsid w:val="00733ACD"/>
    <w:rsid w:val="00733B5C"/>
    <w:rsid w:val="00734320"/>
    <w:rsid w:val="007345F7"/>
    <w:rsid w:val="0073498E"/>
    <w:rsid w:val="00734B7D"/>
    <w:rsid w:val="00734CF6"/>
    <w:rsid w:val="007351EC"/>
    <w:rsid w:val="00735287"/>
    <w:rsid w:val="00736409"/>
    <w:rsid w:val="007365A9"/>
    <w:rsid w:val="0073668F"/>
    <w:rsid w:val="00736915"/>
    <w:rsid w:val="007369F0"/>
    <w:rsid w:val="00736EF2"/>
    <w:rsid w:val="00737389"/>
    <w:rsid w:val="00737647"/>
    <w:rsid w:val="00737740"/>
    <w:rsid w:val="00737EAE"/>
    <w:rsid w:val="00737F4B"/>
    <w:rsid w:val="0074005F"/>
    <w:rsid w:val="00740974"/>
    <w:rsid w:val="00740AAC"/>
    <w:rsid w:val="00740B6F"/>
    <w:rsid w:val="00740DA4"/>
    <w:rsid w:val="00740ED9"/>
    <w:rsid w:val="00740F8C"/>
    <w:rsid w:val="00741138"/>
    <w:rsid w:val="007414D4"/>
    <w:rsid w:val="007415B5"/>
    <w:rsid w:val="007416D9"/>
    <w:rsid w:val="007417D9"/>
    <w:rsid w:val="00741CE3"/>
    <w:rsid w:val="00741DA5"/>
    <w:rsid w:val="0074213E"/>
    <w:rsid w:val="00742789"/>
    <w:rsid w:val="00742B78"/>
    <w:rsid w:val="00742D14"/>
    <w:rsid w:val="00742ECB"/>
    <w:rsid w:val="00742ECC"/>
    <w:rsid w:val="007433C5"/>
    <w:rsid w:val="00743841"/>
    <w:rsid w:val="0074391C"/>
    <w:rsid w:val="007439B1"/>
    <w:rsid w:val="00743C1D"/>
    <w:rsid w:val="00743CE8"/>
    <w:rsid w:val="007448FD"/>
    <w:rsid w:val="00744A18"/>
    <w:rsid w:val="00744F57"/>
    <w:rsid w:val="007456C3"/>
    <w:rsid w:val="00745C2B"/>
    <w:rsid w:val="00745C35"/>
    <w:rsid w:val="00745C40"/>
    <w:rsid w:val="00745F41"/>
    <w:rsid w:val="00745FC4"/>
    <w:rsid w:val="00746299"/>
    <w:rsid w:val="0074629F"/>
    <w:rsid w:val="007462C9"/>
    <w:rsid w:val="00746302"/>
    <w:rsid w:val="007463DD"/>
    <w:rsid w:val="00746403"/>
    <w:rsid w:val="0074642A"/>
    <w:rsid w:val="00746799"/>
    <w:rsid w:val="007468BB"/>
    <w:rsid w:val="007468D0"/>
    <w:rsid w:val="00746F77"/>
    <w:rsid w:val="0074741E"/>
    <w:rsid w:val="0074749E"/>
    <w:rsid w:val="007474D6"/>
    <w:rsid w:val="00747512"/>
    <w:rsid w:val="007478A7"/>
    <w:rsid w:val="00747C03"/>
    <w:rsid w:val="007501E4"/>
    <w:rsid w:val="0075030C"/>
    <w:rsid w:val="0075039D"/>
    <w:rsid w:val="007505B6"/>
    <w:rsid w:val="007505F8"/>
    <w:rsid w:val="00750A66"/>
    <w:rsid w:val="00750C04"/>
    <w:rsid w:val="00750D1C"/>
    <w:rsid w:val="00751003"/>
    <w:rsid w:val="0075106F"/>
    <w:rsid w:val="007514B4"/>
    <w:rsid w:val="00751CC8"/>
    <w:rsid w:val="00751DFC"/>
    <w:rsid w:val="00751F54"/>
    <w:rsid w:val="00752341"/>
    <w:rsid w:val="00752435"/>
    <w:rsid w:val="00752602"/>
    <w:rsid w:val="007526D9"/>
    <w:rsid w:val="00752993"/>
    <w:rsid w:val="00752B04"/>
    <w:rsid w:val="00752E08"/>
    <w:rsid w:val="00753163"/>
    <w:rsid w:val="0075380B"/>
    <w:rsid w:val="0075395A"/>
    <w:rsid w:val="007539CB"/>
    <w:rsid w:val="007539DC"/>
    <w:rsid w:val="00753C3E"/>
    <w:rsid w:val="00753D68"/>
    <w:rsid w:val="00754040"/>
    <w:rsid w:val="007540DD"/>
    <w:rsid w:val="007543DC"/>
    <w:rsid w:val="00754A42"/>
    <w:rsid w:val="00754BEC"/>
    <w:rsid w:val="00754C14"/>
    <w:rsid w:val="00754C72"/>
    <w:rsid w:val="007557BA"/>
    <w:rsid w:val="00755A21"/>
    <w:rsid w:val="00755AC4"/>
    <w:rsid w:val="00755AE3"/>
    <w:rsid w:val="0075605E"/>
    <w:rsid w:val="007560A5"/>
    <w:rsid w:val="00756522"/>
    <w:rsid w:val="0075689A"/>
    <w:rsid w:val="007568E7"/>
    <w:rsid w:val="00756981"/>
    <w:rsid w:val="00756AD0"/>
    <w:rsid w:val="007571B8"/>
    <w:rsid w:val="007575C6"/>
    <w:rsid w:val="00757D0E"/>
    <w:rsid w:val="00760220"/>
    <w:rsid w:val="00760426"/>
    <w:rsid w:val="0076096D"/>
    <w:rsid w:val="00760C69"/>
    <w:rsid w:val="00760C6C"/>
    <w:rsid w:val="00760E20"/>
    <w:rsid w:val="00760FB9"/>
    <w:rsid w:val="0076120E"/>
    <w:rsid w:val="0076150E"/>
    <w:rsid w:val="0076176E"/>
    <w:rsid w:val="0076229F"/>
    <w:rsid w:val="007623E0"/>
    <w:rsid w:val="007625BD"/>
    <w:rsid w:val="007626EC"/>
    <w:rsid w:val="007627E9"/>
    <w:rsid w:val="00762985"/>
    <w:rsid w:val="00763272"/>
    <w:rsid w:val="007638C6"/>
    <w:rsid w:val="00763A95"/>
    <w:rsid w:val="00763F1E"/>
    <w:rsid w:val="0076419E"/>
    <w:rsid w:val="007647EE"/>
    <w:rsid w:val="00764C79"/>
    <w:rsid w:val="00764E3A"/>
    <w:rsid w:val="007650C3"/>
    <w:rsid w:val="007654C8"/>
    <w:rsid w:val="007654D2"/>
    <w:rsid w:val="00765FB6"/>
    <w:rsid w:val="007660E6"/>
    <w:rsid w:val="00766200"/>
    <w:rsid w:val="00766301"/>
    <w:rsid w:val="0076649E"/>
    <w:rsid w:val="007666A8"/>
    <w:rsid w:val="00766EE4"/>
    <w:rsid w:val="00767044"/>
    <w:rsid w:val="007670BB"/>
    <w:rsid w:val="0076714F"/>
    <w:rsid w:val="00767738"/>
    <w:rsid w:val="00767742"/>
    <w:rsid w:val="00767E9C"/>
    <w:rsid w:val="00770A83"/>
    <w:rsid w:val="00770DA3"/>
    <w:rsid w:val="0077106D"/>
    <w:rsid w:val="007714B4"/>
    <w:rsid w:val="0077163C"/>
    <w:rsid w:val="007717C5"/>
    <w:rsid w:val="007717E5"/>
    <w:rsid w:val="007718BF"/>
    <w:rsid w:val="00771911"/>
    <w:rsid w:val="00771A75"/>
    <w:rsid w:val="00771B99"/>
    <w:rsid w:val="00771BF8"/>
    <w:rsid w:val="00772CAE"/>
    <w:rsid w:val="00773952"/>
    <w:rsid w:val="007739F4"/>
    <w:rsid w:val="00773E5B"/>
    <w:rsid w:val="0077498B"/>
    <w:rsid w:val="007749BF"/>
    <w:rsid w:val="00775065"/>
    <w:rsid w:val="007751AA"/>
    <w:rsid w:val="007757D0"/>
    <w:rsid w:val="00775E76"/>
    <w:rsid w:val="00776090"/>
    <w:rsid w:val="00776095"/>
    <w:rsid w:val="007766A2"/>
    <w:rsid w:val="0077694E"/>
    <w:rsid w:val="00776A3C"/>
    <w:rsid w:val="00776A46"/>
    <w:rsid w:val="00776D3B"/>
    <w:rsid w:val="00776F8A"/>
    <w:rsid w:val="00777631"/>
    <w:rsid w:val="007777A9"/>
    <w:rsid w:val="00777C40"/>
    <w:rsid w:val="00777DCD"/>
    <w:rsid w:val="007803A1"/>
    <w:rsid w:val="00780462"/>
    <w:rsid w:val="00780829"/>
    <w:rsid w:val="00780B40"/>
    <w:rsid w:val="00780C71"/>
    <w:rsid w:val="00780F89"/>
    <w:rsid w:val="00780FD0"/>
    <w:rsid w:val="00781089"/>
    <w:rsid w:val="007810D6"/>
    <w:rsid w:val="007811C1"/>
    <w:rsid w:val="007818B7"/>
    <w:rsid w:val="00781C3B"/>
    <w:rsid w:val="00781D2B"/>
    <w:rsid w:val="007822FC"/>
    <w:rsid w:val="00782344"/>
    <w:rsid w:val="00782446"/>
    <w:rsid w:val="00782475"/>
    <w:rsid w:val="00782C05"/>
    <w:rsid w:val="00782C41"/>
    <w:rsid w:val="00782E06"/>
    <w:rsid w:val="0078300A"/>
    <w:rsid w:val="0078328B"/>
    <w:rsid w:val="007832CD"/>
    <w:rsid w:val="007835B6"/>
    <w:rsid w:val="007836CB"/>
    <w:rsid w:val="007838F7"/>
    <w:rsid w:val="007839CA"/>
    <w:rsid w:val="00783E20"/>
    <w:rsid w:val="00783E85"/>
    <w:rsid w:val="007840F3"/>
    <w:rsid w:val="0078433D"/>
    <w:rsid w:val="00784AB4"/>
    <w:rsid w:val="00784D38"/>
    <w:rsid w:val="00784DCA"/>
    <w:rsid w:val="00784EA0"/>
    <w:rsid w:val="0078533C"/>
    <w:rsid w:val="007856DC"/>
    <w:rsid w:val="00785802"/>
    <w:rsid w:val="0078585F"/>
    <w:rsid w:val="00785A5F"/>
    <w:rsid w:val="00785E74"/>
    <w:rsid w:val="00786241"/>
    <w:rsid w:val="007863BB"/>
    <w:rsid w:val="00786470"/>
    <w:rsid w:val="00786855"/>
    <w:rsid w:val="00786A7A"/>
    <w:rsid w:val="00786BB4"/>
    <w:rsid w:val="00787BF9"/>
    <w:rsid w:val="00787D00"/>
    <w:rsid w:val="00790910"/>
    <w:rsid w:val="00790B61"/>
    <w:rsid w:val="00790EE1"/>
    <w:rsid w:val="0079113E"/>
    <w:rsid w:val="007917D4"/>
    <w:rsid w:val="00791CD9"/>
    <w:rsid w:val="007921DB"/>
    <w:rsid w:val="00792510"/>
    <w:rsid w:val="007925E6"/>
    <w:rsid w:val="0079271C"/>
    <w:rsid w:val="00792761"/>
    <w:rsid w:val="0079291B"/>
    <w:rsid w:val="00792D84"/>
    <w:rsid w:val="007930BA"/>
    <w:rsid w:val="00793251"/>
    <w:rsid w:val="0079396B"/>
    <w:rsid w:val="00793CEE"/>
    <w:rsid w:val="00794185"/>
    <w:rsid w:val="00794227"/>
    <w:rsid w:val="00794368"/>
    <w:rsid w:val="00794A97"/>
    <w:rsid w:val="00794D10"/>
    <w:rsid w:val="00795103"/>
    <w:rsid w:val="0079524B"/>
    <w:rsid w:val="00795842"/>
    <w:rsid w:val="00795E9B"/>
    <w:rsid w:val="007963E8"/>
    <w:rsid w:val="00796431"/>
    <w:rsid w:val="00796561"/>
    <w:rsid w:val="0079673E"/>
    <w:rsid w:val="0079683A"/>
    <w:rsid w:val="00796A83"/>
    <w:rsid w:val="00796EBE"/>
    <w:rsid w:val="007971AE"/>
    <w:rsid w:val="00797393"/>
    <w:rsid w:val="007973EB"/>
    <w:rsid w:val="007975A4"/>
    <w:rsid w:val="00797C60"/>
    <w:rsid w:val="007A05F1"/>
    <w:rsid w:val="007A0FFB"/>
    <w:rsid w:val="007A14D2"/>
    <w:rsid w:val="007A1A36"/>
    <w:rsid w:val="007A1A41"/>
    <w:rsid w:val="007A1ACD"/>
    <w:rsid w:val="007A1C61"/>
    <w:rsid w:val="007A1E18"/>
    <w:rsid w:val="007A20E3"/>
    <w:rsid w:val="007A228B"/>
    <w:rsid w:val="007A22BC"/>
    <w:rsid w:val="007A234D"/>
    <w:rsid w:val="007A248A"/>
    <w:rsid w:val="007A2801"/>
    <w:rsid w:val="007A296E"/>
    <w:rsid w:val="007A2D06"/>
    <w:rsid w:val="007A2E33"/>
    <w:rsid w:val="007A2EAD"/>
    <w:rsid w:val="007A338C"/>
    <w:rsid w:val="007A3411"/>
    <w:rsid w:val="007A3AD5"/>
    <w:rsid w:val="007A3D7B"/>
    <w:rsid w:val="007A4077"/>
    <w:rsid w:val="007A4827"/>
    <w:rsid w:val="007A4A89"/>
    <w:rsid w:val="007A4E3A"/>
    <w:rsid w:val="007A5BD1"/>
    <w:rsid w:val="007A5D77"/>
    <w:rsid w:val="007A5ECC"/>
    <w:rsid w:val="007A626C"/>
    <w:rsid w:val="007A63C0"/>
    <w:rsid w:val="007A64E2"/>
    <w:rsid w:val="007A6CF6"/>
    <w:rsid w:val="007A6E13"/>
    <w:rsid w:val="007A72BB"/>
    <w:rsid w:val="007A77AD"/>
    <w:rsid w:val="007B02B6"/>
    <w:rsid w:val="007B1105"/>
    <w:rsid w:val="007B12E0"/>
    <w:rsid w:val="007B1340"/>
    <w:rsid w:val="007B164B"/>
    <w:rsid w:val="007B1703"/>
    <w:rsid w:val="007B18B1"/>
    <w:rsid w:val="007B1A00"/>
    <w:rsid w:val="007B1F61"/>
    <w:rsid w:val="007B296F"/>
    <w:rsid w:val="007B2A8A"/>
    <w:rsid w:val="007B2AFB"/>
    <w:rsid w:val="007B2CF7"/>
    <w:rsid w:val="007B3171"/>
    <w:rsid w:val="007B3925"/>
    <w:rsid w:val="007B3A4E"/>
    <w:rsid w:val="007B3B07"/>
    <w:rsid w:val="007B3C03"/>
    <w:rsid w:val="007B3DDE"/>
    <w:rsid w:val="007B3FA3"/>
    <w:rsid w:val="007B40EC"/>
    <w:rsid w:val="007B4243"/>
    <w:rsid w:val="007B4945"/>
    <w:rsid w:val="007B4975"/>
    <w:rsid w:val="007B4A93"/>
    <w:rsid w:val="007B4F98"/>
    <w:rsid w:val="007B57D6"/>
    <w:rsid w:val="007B585B"/>
    <w:rsid w:val="007B604A"/>
    <w:rsid w:val="007B6226"/>
    <w:rsid w:val="007B623F"/>
    <w:rsid w:val="007B62F2"/>
    <w:rsid w:val="007B6510"/>
    <w:rsid w:val="007B6594"/>
    <w:rsid w:val="007B6608"/>
    <w:rsid w:val="007B671C"/>
    <w:rsid w:val="007B6A68"/>
    <w:rsid w:val="007B6AC0"/>
    <w:rsid w:val="007B6E47"/>
    <w:rsid w:val="007B7145"/>
    <w:rsid w:val="007B7313"/>
    <w:rsid w:val="007B7585"/>
    <w:rsid w:val="007B78F7"/>
    <w:rsid w:val="007B7BC9"/>
    <w:rsid w:val="007B7D01"/>
    <w:rsid w:val="007B7EA3"/>
    <w:rsid w:val="007C0440"/>
    <w:rsid w:val="007C0919"/>
    <w:rsid w:val="007C0B73"/>
    <w:rsid w:val="007C0C51"/>
    <w:rsid w:val="007C0C93"/>
    <w:rsid w:val="007C0D29"/>
    <w:rsid w:val="007C0DD2"/>
    <w:rsid w:val="007C1429"/>
    <w:rsid w:val="007C16D1"/>
    <w:rsid w:val="007C18D4"/>
    <w:rsid w:val="007C1C6F"/>
    <w:rsid w:val="007C2053"/>
    <w:rsid w:val="007C2193"/>
    <w:rsid w:val="007C229A"/>
    <w:rsid w:val="007C2644"/>
    <w:rsid w:val="007C2EAE"/>
    <w:rsid w:val="007C2F92"/>
    <w:rsid w:val="007C3396"/>
    <w:rsid w:val="007C3726"/>
    <w:rsid w:val="007C43DE"/>
    <w:rsid w:val="007C4AFB"/>
    <w:rsid w:val="007C4CCA"/>
    <w:rsid w:val="007C4EF3"/>
    <w:rsid w:val="007C540F"/>
    <w:rsid w:val="007C5AED"/>
    <w:rsid w:val="007C5B56"/>
    <w:rsid w:val="007C5C41"/>
    <w:rsid w:val="007C5F35"/>
    <w:rsid w:val="007C6378"/>
    <w:rsid w:val="007C65ED"/>
    <w:rsid w:val="007C68C5"/>
    <w:rsid w:val="007C6A98"/>
    <w:rsid w:val="007C6AF0"/>
    <w:rsid w:val="007C6C15"/>
    <w:rsid w:val="007C6C49"/>
    <w:rsid w:val="007C6C4C"/>
    <w:rsid w:val="007C6FB3"/>
    <w:rsid w:val="007C71BC"/>
    <w:rsid w:val="007C721A"/>
    <w:rsid w:val="007C7A63"/>
    <w:rsid w:val="007C7BDC"/>
    <w:rsid w:val="007C7C17"/>
    <w:rsid w:val="007C7CFB"/>
    <w:rsid w:val="007C7E68"/>
    <w:rsid w:val="007C7F68"/>
    <w:rsid w:val="007C7FDA"/>
    <w:rsid w:val="007D0232"/>
    <w:rsid w:val="007D058F"/>
    <w:rsid w:val="007D08BB"/>
    <w:rsid w:val="007D0C56"/>
    <w:rsid w:val="007D0F01"/>
    <w:rsid w:val="007D10BE"/>
    <w:rsid w:val="007D170D"/>
    <w:rsid w:val="007D19F0"/>
    <w:rsid w:val="007D24EF"/>
    <w:rsid w:val="007D2595"/>
    <w:rsid w:val="007D2ABB"/>
    <w:rsid w:val="007D2B8C"/>
    <w:rsid w:val="007D2BB9"/>
    <w:rsid w:val="007D2F0A"/>
    <w:rsid w:val="007D2FB3"/>
    <w:rsid w:val="007D33C6"/>
    <w:rsid w:val="007D34D6"/>
    <w:rsid w:val="007D3642"/>
    <w:rsid w:val="007D3A1C"/>
    <w:rsid w:val="007D3C35"/>
    <w:rsid w:val="007D3C56"/>
    <w:rsid w:val="007D3EA7"/>
    <w:rsid w:val="007D41EE"/>
    <w:rsid w:val="007D46E7"/>
    <w:rsid w:val="007D4852"/>
    <w:rsid w:val="007D4C89"/>
    <w:rsid w:val="007D4DB8"/>
    <w:rsid w:val="007D51C0"/>
    <w:rsid w:val="007D53CF"/>
    <w:rsid w:val="007D5700"/>
    <w:rsid w:val="007D5B52"/>
    <w:rsid w:val="007D5C1B"/>
    <w:rsid w:val="007D635B"/>
    <w:rsid w:val="007D6472"/>
    <w:rsid w:val="007D6A99"/>
    <w:rsid w:val="007D6FA5"/>
    <w:rsid w:val="007D700B"/>
    <w:rsid w:val="007D71AD"/>
    <w:rsid w:val="007D7412"/>
    <w:rsid w:val="007D79AE"/>
    <w:rsid w:val="007D7E2D"/>
    <w:rsid w:val="007D7F99"/>
    <w:rsid w:val="007D7FEE"/>
    <w:rsid w:val="007E00F5"/>
    <w:rsid w:val="007E03A3"/>
    <w:rsid w:val="007E05AD"/>
    <w:rsid w:val="007E0A2C"/>
    <w:rsid w:val="007E0F3A"/>
    <w:rsid w:val="007E16DE"/>
    <w:rsid w:val="007E1758"/>
    <w:rsid w:val="007E1A34"/>
    <w:rsid w:val="007E1AE0"/>
    <w:rsid w:val="007E1C17"/>
    <w:rsid w:val="007E1F29"/>
    <w:rsid w:val="007E2224"/>
    <w:rsid w:val="007E2651"/>
    <w:rsid w:val="007E2860"/>
    <w:rsid w:val="007E2FD9"/>
    <w:rsid w:val="007E3630"/>
    <w:rsid w:val="007E36AB"/>
    <w:rsid w:val="007E373F"/>
    <w:rsid w:val="007E3A99"/>
    <w:rsid w:val="007E418C"/>
    <w:rsid w:val="007E44CA"/>
    <w:rsid w:val="007E4751"/>
    <w:rsid w:val="007E4C93"/>
    <w:rsid w:val="007E4D1B"/>
    <w:rsid w:val="007E4DBF"/>
    <w:rsid w:val="007E4F84"/>
    <w:rsid w:val="007E5077"/>
    <w:rsid w:val="007E520E"/>
    <w:rsid w:val="007E52CB"/>
    <w:rsid w:val="007E5622"/>
    <w:rsid w:val="007E5B36"/>
    <w:rsid w:val="007E5B67"/>
    <w:rsid w:val="007E5D6F"/>
    <w:rsid w:val="007E5F0B"/>
    <w:rsid w:val="007E6052"/>
    <w:rsid w:val="007E61D2"/>
    <w:rsid w:val="007E62D2"/>
    <w:rsid w:val="007E63ED"/>
    <w:rsid w:val="007E68D2"/>
    <w:rsid w:val="007E69DC"/>
    <w:rsid w:val="007E6F57"/>
    <w:rsid w:val="007E6F85"/>
    <w:rsid w:val="007E712B"/>
    <w:rsid w:val="007E75D6"/>
    <w:rsid w:val="007E769C"/>
    <w:rsid w:val="007E7ACD"/>
    <w:rsid w:val="007F00FA"/>
    <w:rsid w:val="007F0A24"/>
    <w:rsid w:val="007F0A84"/>
    <w:rsid w:val="007F0B26"/>
    <w:rsid w:val="007F0FF1"/>
    <w:rsid w:val="007F1170"/>
    <w:rsid w:val="007F1427"/>
    <w:rsid w:val="007F1452"/>
    <w:rsid w:val="007F147F"/>
    <w:rsid w:val="007F1C80"/>
    <w:rsid w:val="007F1D46"/>
    <w:rsid w:val="007F1E6D"/>
    <w:rsid w:val="007F1F60"/>
    <w:rsid w:val="007F2079"/>
    <w:rsid w:val="007F2253"/>
    <w:rsid w:val="007F242D"/>
    <w:rsid w:val="007F273B"/>
    <w:rsid w:val="007F334D"/>
    <w:rsid w:val="007F3424"/>
    <w:rsid w:val="007F3A33"/>
    <w:rsid w:val="007F3D14"/>
    <w:rsid w:val="007F3E31"/>
    <w:rsid w:val="007F43AC"/>
    <w:rsid w:val="007F4476"/>
    <w:rsid w:val="007F49A4"/>
    <w:rsid w:val="007F4C7D"/>
    <w:rsid w:val="007F4E13"/>
    <w:rsid w:val="007F51BA"/>
    <w:rsid w:val="007F550A"/>
    <w:rsid w:val="007F553E"/>
    <w:rsid w:val="007F5715"/>
    <w:rsid w:val="007F5B2D"/>
    <w:rsid w:val="007F5B61"/>
    <w:rsid w:val="007F61E0"/>
    <w:rsid w:val="007F62B8"/>
    <w:rsid w:val="007F63F3"/>
    <w:rsid w:val="007F657E"/>
    <w:rsid w:val="007F69CA"/>
    <w:rsid w:val="007F6C5B"/>
    <w:rsid w:val="007F7007"/>
    <w:rsid w:val="007F7037"/>
    <w:rsid w:val="007F7A2A"/>
    <w:rsid w:val="007F7D69"/>
    <w:rsid w:val="007F7F09"/>
    <w:rsid w:val="008001EA"/>
    <w:rsid w:val="0080027B"/>
    <w:rsid w:val="00800304"/>
    <w:rsid w:val="00800337"/>
    <w:rsid w:val="00800EA9"/>
    <w:rsid w:val="0080109C"/>
    <w:rsid w:val="008013ED"/>
    <w:rsid w:val="0080154F"/>
    <w:rsid w:val="00801729"/>
    <w:rsid w:val="0080193E"/>
    <w:rsid w:val="00801E0D"/>
    <w:rsid w:val="0080220D"/>
    <w:rsid w:val="00802374"/>
    <w:rsid w:val="008027F4"/>
    <w:rsid w:val="008028EB"/>
    <w:rsid w:val="008031BA"/>
    <w:rsid w:val="00803233"/>
    <w:rsid w:val="00803483"/>
    <w:rsid w:val="00803A07"/>
    <w:rsid w:val="00803AED"/>
    <w:rsid w:val="00803C4D"/>
    <w:rsid w:val="00804085"/>
    <w:rsid w:val="00804219"/>
    <w:rsid w:val="0080457B"/>
    <w:rsid w:val="00804695"/>
    <w:rsid w:val="00804800"/>
    <w:rsid w:val="00804ADE"/>
    <w:rsid w:val="00804D14"/>
    <w:rsid w:val="008053D1"/>
    <w:rsid w:val="00805461"/>
    <w:rsid w:val="0080576E"/>
    <w:rsid w:val="00805929"/>
    <w:rsid w:val="00805F09"/>
    <w:rsid w:val="00805FC4"/>
    <w:rsid w:val="008064C7"/>
    <w:rsid w:val="008064DB"/>
    <w:rsid w:val="008064E3"/>
    <w:rsid w:val="00806587"/>
    <w:rsid w:val="00806A69"/>
    <w:rsid w:val="00806CDA"/>
    <w:rsid w:val="00806E35"/>
    <w:rsid w:val="00806FF8"/>
    <w:rsid w:val="008074AF"/>
    <w:rsid w:val="008078B9"/>
    <w:rsid w:val="00807976"/>
    <w:rsid w:val="00807CDC"/>
    <w:rsid w:val="00807D56"/>
    <w:rsid w:val="00810A61"/>
    <w:rsid w:val="00810ABA"/>
    <w:rsid w:val="00810C36"/>
    <w:rsid w:val="00810C9A"/>
    <w:rsid w:val="00810D6A"/>
    <w:rsid w:val="00811EDF"/>
    <w:rsid w:val="00812335"/>
    <w:rsid w:val="00812347"/>
    <w:rsid w:val="00812509"/>
    <w:rsid w:val="008126B3"/>
    <w:rsid w:val="008129CD"/>
    <w:rsid w:val="00813322"/>
    <w:rsid w:val="00813401"/>
    <w:rsid w:val="008135E0"/>
    <w:rsid w:val="008136C3"/>
    <w:rsid w:val="00813779"/>
    <w:rsid w:val="0081377B"/>
    <w:rsid w:val="008137B9"/>
    <w:rsid w:val="0081398F"/>
    <w:rsid w:val="00813D48"/>
    <w:rsid w:val="00814137"/>
    <w:rsid w:val="00814299"/>
    <w:rsid w:val="00814494"/>
    <w:rsid w:val="008144F5"/>
    <w:rsid w:val="008146EC"/>
    <w:rsid w:val="00814F90"/>
    <w:rsid w:val="00815087"/>
    <w:rsid w:val="0081546A"/>
    <w:rsid w:val="0081550C"/>
    <w:rsid w:val="008156FD"/>
    <w:rsid w:val="00815837"/>
    <w:rsid w:val="008158B4"/>
    <w:rsid w:val="00815CC8"/>
    <w:rsid w:val="00815E55"/>
    <w:rsid w:val="00815EF4"/>
    <w:rsid w:val="008160EC"/>
    <w:rsid w:val="0081636E"/>
    <w:rsid w:val="008163B6"/>
    <w:rsid w:val="00816514"/>
    <w:rsid w:val="00817039"/>
    <w:rsid w:val="00817240"/>
    <w:rsid w:val="00817379"/>
    <w:rsid w:val="0081780A"/>
    <w:rsid w:val="00817A3C"/>
    <w:rsid w:val="00817A85"/>
    <w:rsid w:val="00817C9B"/>
    <w:rsid w:val="0082068B"/>
    <w:rsid w:val="00820736"/>
    <w:rsid w:val="00820874"/>
    <w:rsid w:val="00820BF2"/>
    <w:rsid w:val="00820DF6"/>
    <w:rsid w:val="00820E34"/>
    <w:rsid w:val="008210F2"/>
    <w:rsid w:val="00821430"/>
    <w:rsid w:val="008217B3"/>
    <w:rsid w:val="00821B5D"/>
    <w:rsid w:val="00821D1C"/>
    <w:rsid w:val="00821F9C"/>
    <w:rsid w:val="0082202F"/>
    <w:rsid w:val="0082206F"/>
    <w:rsid w:val="008221E6"/>
    <w:rsid w:val="008224CA"/>
    <w:rsid w:val="008227C3"/>
    <w:rsid w:val="00822875"/>
    <w:rsid w:val="00822C47"/>
    <w:rsid w:val="00822E83"/>
    <w:rsid w:val="008231BA"/>
    <w:rsid w:val="00823235"/>
    <w:rsid w:val="00823318"/>
    <w:rsid w:val="008235BF"/>
    <w:rsid w:val="008237EA"/>
    <w:rsid w:val="008238F4"/>
    <w:rsid w:val="008238FD"/>
    <w:rsid w:val="00823A62"/>
    <w:rsid w:val="00823C47"/>
    <w:rsid w:val="00823CDA"/>
    <w:rsid w:val="00823CF7"/>
    <w:rsid w:val="00823D80"/>
    <w:rsid w:val="00823E7C"/>
    <w:rsid w:val="008244A8"/>
    <w:rsid w:val="008245D8"/>
    <w:rsid w:val="00824788"/>
    <w:rsid w:val="00824AB8"/>
    <w:rsid w:val="00825618"/>
    <w:rsid w:val="0082570C"/>
    <w:rsid w:val="008259A0"/>
    <w:rsid w:val="008259DB"/>
    <w:rsid w:val="00825BB5"/>
    <w:rsid w:val="00825D6E"/>
    <w:rsid w:val="00826734"/>
    <w:rsid w:val="00826B86"/>
    <w:rsid w:val="0082714F"/>
    <w:rsid w:val="00827631"/>
    <w:rsid w:val="00827918"/>
    <w:rsid w:val="00827AC7"/>
    <w:rsid w:val="00830123"/>
    <w:rsid w:val="008305F6"/>
    <w:rsid w:val="00830BB5"/>
    <w:rsid w:val="00830D63"/>
    <w:rsid w:val="00831943"/>
    <w:rsid w:val="0083194B"/>
    <w:rsid w:val="00831A0D"/>
    <w:rsid w:val="00831D2D"/>
    <w:rsid w:val="008322DB"/>
    <w:rsid w:val="008324C1"/>
    <w:rsid w:val="008328EC"/>
    <w:rsid w:val="00832CEA"/>
    <w:rsid w:val="00832F83"/>
    <w:rsid w:val="00833221"/>
    <w:rsid w:val="008332EC"/>
    <w:rsid w:val="0083337E"/>
    <w:rsid w:val="00833647"/>
    <w:rsid w:val="0083364C"/>
    <w:rsid w:val="008337F2"/>
    <w:rsid w:val="00833803"/>
    <w:rsid w:val="0083389B"/>
    <w:rsid w:val="00834740"/>
    <w:rsid w:val="0083482F"/>
    <w:rsid w:val="00834A15"/>
    <w:rsid w:val="00834B8F"/>
    <w:rsid w:val="00834FB3"/>
    <w:rsid w:val="00835106"/>
    <w:rsid w:val="00835347"/>
    <w:rsid w:val="008353D4"/>
    <w:rsid w:val="0083543D"/>
    <w:rsid w:val="008359C6"/>
    <w:rsid w:val="00835A63"/>
    <w:rsid w:val="00835AA5"/>
    <w:rsid w:val="00835AD9"/>
    <w:rsid w:val="00835B86"/>
    <w:rsid w:val="00835D56"/>
    <w:rsid w:val="00836416"/>
    <w:rsid w:val="00836BCF"/>
    <w:rsid w:val="00836E4C"/>
    <w:rsid w:val="0083709A"/>
    <w:rsid w:val="008373BF"/>
    <w:rsid w:val="00837575"/>
    <w:rsid w:val="00837576"/>
    <w:rsid w:val="00837B39"/>
    <w:rsid w:val="00837C97"/>
    <w:rsid w:val="00837E24"/>
    <w:rsid w:val="00840152"/>
    <w:rsid w:val="00840337"/>
    <w:rsid w:val="0084042B"/>
    <w:rsid w:val="0084052E"/>
    <w:rsid w:val="008406D3"/>
    <w:rsid w:val="00840B0B"/>
    <w:rsid w:val="00840E53"/>
    <w:rsid w:val="00840EA7"/>
    <w:rsid w:val="008411D8"/>
    <w:rsid w:val="00841457"/>
    <w:rsid w:val="0084173F"/>
    <w:rsid w:val="008417C2"/>
    <w:rsid w:val="0084194A"/>
    <w:rsid w:val="00841959"/>
    <w:rsid w:val="0084195C"/>
    <w:rsid w:val="00841977"/>
    <w:rsid w:val="00841A7E"/>
    <w:rsid w:val="00841F48"/>
    <w:rsid w:val="008420FE"/>
    <w:rsid w:val="008422FB"/>
    <w:rsid w:val="008425C1"/>
    <w:rsid w:val="00843659"/>
    <w:rsid w:val="00843BED"/>
    <w:rsid w:val="008444F2"/>
    <w:rsid w:val="00844553"/>
    <w:rsid w:val="008445F9"/>
    <w:rsid w:val="00844610"/>
    <w:rsid w:val="008447FA"/>
    <w:rsid w:val="0084487E"/>
    <w:rsid w:val="008449D4"/>
    <w:rsid w:val="00844E7A"/>
    <w:rsid w:val="008450AC"/>
    <w:rsid w:val="0084515B"/>
    <w:rsid w:val="008451F5"/>
    <w:rsid w:val="00845530"/>
    <w:rsid w:val="00845C9C"/>
    <w:rsid w:val="00845E43"/>
    <w:rsid w:val="00845EE6"/>
    <w:rsid w:val="008462E6"/>
    <w:rsid w:val="008465E6"/>
    <w:rsid w:val="00846938"/>
    <w:rsid w:val="00846D55"/>
    <w:rsid w:val="00846E97"/>
    <w:rsid w:val="00847030"/>
    <w:rsid w:val="0085078E"/>
    <w:rsid w:val="00850B21"/>
    <w:rsid w:val="00850BC2"/>
    <w:rsid w:val="008513ED"/>
    <w:rsid w:val="00851621"/>
    <w:rsid w:val="00851B49"/>
    <w:rsid w:val="00851E73"/>
    <w:rsid w:val="0085242D"/>
    <w:rsid w:val="008525A1"/>
    <w:rsid w:val="008525A6"/>
    <w:rsid w:val="008526FB"/>
    <w:rsid w:val="00852EC8"/>
    <w:rsid w:val="00852ED0"/>
    <w:rsid w:val="00852F5B"/>
    <w:rsid w:val="0085351F"/>
    <w:rsid w:val="00853611"/>
    <w:rsid w:val="0085399A"/>
    <w:rsid w:val="00853AE4"/>
    <w:rsid w:val="00853C5C"/>
    <w:rsid w:val="00854017"/>
    <w:rsid w:val="00854501"/>
    <w:rsid w:val="008545EF"/>
    <w:rsid w:val="00854744"/>
    <w:rsid w:val="00854A5C"/>
    <w:rsid w:val="00854BDA"/>
    <w:rsid w:val="0085509A"/>
    <w:rsid w:val="0085535E"/>
    <w:rsid w:val="00855443"/>
    <w:rsid w:val="008557B9"/>
    <w:rsid w:val="008561B2"/>
    <w:rsid w:val="00856269"/>
    <w:rsid w:val="008562EA"/>
    <w:rsid w:val="00856364"/>
    <w:rsid w:val="008564C0"/>
    <w:rsid w:val="008565FA"/>
    <w:rsid w:val="00856977"/>
    <w:rsid w:val="00856EB2"/>
    <w:rsid w:val="00856F47"/>
    <w:rsid w:val="00856FBE"/>
    <w:rsid w:val="00857A0E"/>
    <w:rsid w:val="00857B76"/>
    <w:rsid w:val="0086033C"/>
    <w:rsid w:val="00860349"/>
    <w:rsid w:val="0086084A"/>
    <w:rsid w:val="0086088D"/>
    <w:rsid w:val="00861026"/>
    <w:rsid w:val="00861042"/>
    <w:rsid w:val="00861197"/>
    <w:rsid w:val="008611EB"/>
    <w:rsid w:val="008613A6"/>
    <w:rsid w:val="00861613"/>
    <w:rsid w:val="00861A47"/>
    <w:rsid w:val="00861B56"/>
    <w:rsid w:val="00861CED"/>
    <w:rsid w:val="00861D14"/>
    <w:rsid w:val="00861E62"/>
    <w:rsid w:val="0086230A"/>
    <w:rsid w:val="008623DF"/>
    <w:rsid w:val="00862DD1"/>
    <w:rsid w:val="0086337E"/>
    <w:rsid w:val="00863FBE"/>
    <w:rsid w:val="008641DE"/>
    <w:rsid w:val="0086495E"/>
    <w:rsid w:val="008650A3"/>
    <w:rsid w:val="00865297"/>
    <w:rsid w:val="008653FA"/>
    <w:rsid w:val="008659DD"/>
    <w:rsid w:val="008659E9"/>
    <w:rsid w:val="00865D5A"/>
    <w:rsid w:val="00865FE3"/>
    <w:rsid w:val="0086602F"/>
    <w:rsid w:val="00866365"/>
    <w:rsid w:val="0086658B"/>
    <w:rsid w:val="008666C3"/>
    <w:rsid w:val="00866890"/>
    <w:rsid w:val="00866B75"/>
    <w:rsid w:val="00866BAC"/>
    <w:rsid w:val="00866D92"/>
    <w:rsid w:val="0086759B"/>
    <w:rsid w:val="008677D3"/>
    <w:rsid w:val="00867AD1"/>
    <w:rsid w:val="00867D00"/>
    <w:rsid w:val="00867E16"/>
    <w:rsid w:val="0087004C"/>
    <w:rsid w:val="0087024B"/>
    <w:rsid w:val="0087028A"/>
    <w:rsid w:val="008704C2"/>
    <w:rsid w:val="00870615"/>
    <w:rsid w:val="00870845"/>
    <w:rsid w:val="00870954"/>
    <w:rsid w:val="00870AC8"/>
    <w:rsid w:val="00871494"/>
    <w:rsid w:val="008714AA"/>
    <w:rsid w:val="00871B9B"/>
    <w:rsid w:val="00872359"/>
    <w:rsid w:val="00872AD2"/>
    <w:rsid w:val="00872B13"/>
    <w:rsid w:val="00872C8A"/>
    <w:rsid w:val="00872E0F"/>
    <w:rsid w:val="008730FE"/>
    <w:rsid w:val="00873614"/>
    <w:rsid w:val="00873960"/>
    <w:rsid w:val="008739A2"/>
    <w:rsid w:val="00873E18"/>
    <w:rsid w:val="00873ED6"/>
    <w:rsid w:val="008741D0"/>
    <w:rsid w:val="00874628"/>
    <w:rsid w:val="008746D2"/>
    <w:rsid w:val="008746DC"/>
    <w:rsid w:val="0087479D"/>
    <w:rsid w:val="00874C3D"/>
    <w:rsid w:val="00874CDC"/>
    <w:rsid w:val="00874F88"/>
    <w:rsid w:val="008753F3"/>
    <w:rsid w:val="00875699"/>
    <w:rsid w:val="00875730"/>
    <w:rsid w:val="008757C6"/>
    <w:rsid w:val="00875AB7"/>
    <w:rsid w:val="00875BA3"/>
    <w:rsid w:val="00875C24"/>
    <w:rsid w:val="00875C5D"/>
    <w:rsid w:val="00875C6F"/>
    <w:rsid w:val="00875DA4"/>
    <w:rsid w:val="008762FD"/>
    <w:rsid w:val="00876563"/>
    <w:rsid w:val="00876760"/>
    <w:rsid w:val="00876E16"/>
    <w:rsid w:val="00876EBA"/>
    <w:rsid w:val="0087704D"/>
    <w:rsid w:val="008771D6"/>
    <w:rsid w:val="008771DD"/>
    <w:rsid w:val="00877A4E"/>
    <w:rsid w:val="00877B70"/>
    <w:rsid w:val="00877E73"/>
    <w:rsid w:val="008800DB"/>
    <w:rsid w:val="008801A2"/>
    <w:rsid w:val="0088086A"/>
    <w:rsid w:val="00880B06"/>
    <w:rsid w:val="00881728"/>
    <w:rsid w:val="00881824"/>
    <w:rsid w:val="00881CD3"/>
    <w:rsid w:val="00881F31"/>
    <w:rsid w:val="00881F7B"/>
    <w:rsid w:val="00882245"/>
    <w:rsid w:val="00882FA3"/>
    <w:rsid w:val="00883005"/>
    <w:rsid w:val="00883C55"/>
    <w:rsid w:val="00883CAE"/>
    <w:rsid w:val="008844DC"/>
    <w:rsid w:val="0088472B"/>
    <w:rsid w:val="008847FA"/>
    <w:rsid w:val="00884B65"/>
    <w:rsid w:val="00884C89"/>
    <w:rsid w:val="00884FC2"/>
    <w:rsid w:val="0088508E"/>
    <w:rsid w:val="00885365"/>
    <w:rsid w:val="0088541B"/>
    <w:rsid w:val="00885517"/>
    <w:rsid w:val="0088557C"/>
    <w:rsid w:val="008856D8"/>
    <w:rsid w:val="0088575B"/>
    <w:rsid w:val="00885C0E"/>
    <w:rsid w:val="00885C89"/>
    <w:rsid w:val="00886868"/>
    <w:rsid w:val="00886DCF"/>
    <w:rsid w:val="00887300"/>
    <w:rsid w:val="00887399"/>
    <w:rsid w:val="008873DA"/>
    <w:rsid w:val="008875D3"/>
    <w:rsid w:val="00887769"/>
    <w:rsid w:val="00887C93"/>
    <w:rsid w:val="00887FB5"/>
    <w:rsid w:val="00887FD2"/>
    <w:rsid w:val="0089034A"/>
    <w:rsid w:val="008908F1"/>
    <w:rsid w:val="00890FD4"/>
    <w:rsid w:val="00891259"/>
    <w:rsid w:val="008913E9"/>
    <w:rsid w:val="00891444"/>
    <w:rsid w:val="00891F2F"/>
    <w:rsid w:val="00892676"/>
    <w:rsid w:val="0089292F"/>
    <w:rsid w:val="00892AE3"/>
    <w:rsid w:val="00892F93"/>
    <w:rsid w:val="0089315E"/>
    <w:rsid w:val="00893163"/>
    <w:rsid w:val="008938BA"/>
    <w:rsid w:val="00893CCE"/>
    <w:rsid w:val="00893DDD"/>
    <w:rsid w:val="00894271"/>
    <w:rsid w:val="0089460D"/>
    <w:rsid w:val="00894C2F"/>
    <w:rsid w:val="00894FB2"/>
    <w:rsid w:val="0089508F"/>
    <w:rsid w:val="00895617"/>
    <w:rsid w:val="00895AA9"/>
    <w:rsid w:val="00895F16"/>
    <w:rsid w:val="0089600F"/>
    <w:rsid w:val="0089609A"/>
    <w:rsid w:val="00896BE3"/>
    <w:rsid w:val="0089708D"/>
    <w:rsid w:val="008972E4"/>
    <w:rsid w:val="00897316"/>
    <w:rsid w:val="008A0621"/>
    <w:rsid w:val="008A0B49"/>
    <w:rsid w:val="008A0DB0"/>
    <w:rsid w:val="008A10A6"/>
    <w:rsid w:val="008A14D6"/>
    <w:rsid w:val="008A16AE"/>
    <w:rsid w:val="008A192B"/>
    <w:rsid w:val="008A1961"/>
    <w:rsid w:val="008A19B8"/>
    <w:rsid w:val="008A1A58"/>
    <w:rsid w:val="008A1C09"/>
    <w:rsid w:val="008A2270"/>
    <w:rsid w:val="008A2307"/>
    <w:rsid w:val="008A231D"/>
    <w:rsid w:val="008A23D9"/>
    <w:rsid w:val="008A2691"/>
    <w:rsid w:val="008A2910"/>
    <w:rsid w:val="008A2C16"/>
    <w:rsid w:val="008A3067"/>
    <w:rsid w:val="008A3376"/>
    <w:rsid w:val="008A3BF2"/>
    <w:rsid w:val="008A3C2E"/>
    <w:rsid w:val="008A4307"/>
    <w:rsid w:val="008A4611"/>
    <w:rsid w:val="008A4717"/>
    <w:rsid w:val="008A4B67"/>
    <w:rsid w:val="008A51DE"/>
    <w:rsid w:val="008A53A8"/>
    <w:rsid w:val="008A5B4F"/>
    <w:rsid w:val="008A5BD4"/>
    <w:rsid w:val="008A5DD6"/>
    <w:rsid w:val="008A5E0C"/>
    <w:rsid w:val="008A5EE5"/>
    <w:rsid w:val="008A62AB"/>
    <w:rsid w:val="008A696A"/>
    <w:rsid w:val="008A6FED"/>
    <w:rsid w:val="008A7243"/>
    <w:rsid w:val="008A72D6"/>
    <w:rsid w:val="008A7582"/>
    <w:rsid w:val="008B0500"/>
    <w:rsid w:val="008B09E2"/>
    <w:rsid w:val="008B0A8A"/>
    <w:rsid w:val="008B0E7B"/>
    <w:rsid w:val="008B102F"/>
    <w:rsid w:val="008B1110"/>
    <w:rsid w:val="008B12A3"/>
    <w:rsid w:val="008B19E7"/>
    <w:rsid w:val="008B1E73"/>
    <w:rsid w:val="008B1F54"/>
    <w:rsid w:val="008B214A"/>
    <w:rsid w:val="008B22AF"/>
    <w:rsid w:val="008B239E"/>
    <w:rsid w:val="008B24B4"/>
    <w:rsid w:val="008B25B6"/>
    <w:rsid w:val="008B2D71"/>
    <w:rsid w:val="008B2FB6"/>
    <w:rsid w:val="008B3326"/>
    <w:rsid w:val="008B36B2"/>
    <w:rsid w:val="008B3BA2"/>
    <w:rsid w:val="008B4E33"/>
    <w:rsid w:val="008B4F55"/>
    <w:rsid w:val="008B5046"/>
    <w:rsid w:val="008B5B8D"/>
    <w:rsid w:val="008B5C62"/>
    <w:rsid w:val="008B5ECC"/>
    <w:rsid w:val="008B5FA1"/>
    <w:rsid w:val="008B639A"/>
    <w:rsid w:val="008B65C2"/>
    <w:rsid w:val="008B6A50"/>
    <w:rsid w:val="008B6BF0"/>
    <w:rsid w:val="008B6C2D"/>
    <w:rsid w:val="008B6E37"/>
    <w:rsid w:val="008B7427"/>
    <w:rsid w:val="008B76C8"/>
    <w:rsid w:val="008C04F1"/>
    <w:rsid w:val="008C0A21"/>
    <w:rsid w:val="008C15A3"/>
    <w:rsid w:val="008C16C7"/>
    <w:rsid w:val="008C1926"/>
    <w:rsid w:val="008C1A00"/>
    <w:rsid w:val="008C1D63"/>
    <w:rsid w:val="008C1EED"/>
    <w:rsid w:val="008C21E4"/>
    <w:rsid w:val="008C24C6"/>
    <w:rsid w:val="008C28F3"/>
    <w:rsid w:val="008C298E"/>
    <w:rsid w:val="008C2A44"/>
    <w:rsid w:val="008C2AC6"/>
    <w:rsid w:val="008C2C59"/>
    <w:rsid w:val="008C2F02"/>
    <w:rsid w:val="008C383B"/>
    <w:rsid w:val="008C3B09"/>
    <w:rsid w:val="008C46D9"/>
    <w:rsid w:val="008C4C53"/>
    <w:rsid w:val="008C4D4A"/>
    <w:rsid w:val="008C4F50"/>
    <w:rsid w:val="008C50A6"/>
    <w:rsid w:val="008C57DA"/>
    <w:rsid w:val="008C5B0C"/>
    <w:rsid w:val="008C5BC2"/>
    <w:rsid w:val="008C5BE6"/>
    <w:rsid w:val="008C60F5"/>
    <w:rsid w:val="008C62B1"/>
    <w:rsid w:val="008C76EB"/>
    <w:rsid w:val="008C7A94"/>
    <w:rsid w:val="008D098F"/>
    <w:rsid w:val="008D0FA4"/>
    <w:rsid w:val="008D1179"/>
    <w:rsid w:val="008D1601"/>
    <w:rsid w:val="008D1837"/>
    <w:rsid w:val="008D18A9"/>
    <w:rsid w:val="008D18ED"/>
    <w:rsid w:val="008D19FB"/>
    <w:rsid w:val="008D1AF4"/>
    <w:rsid w:val="008D1B86"/>
    <w:rsid w:val="008D27E5"/>
    <w:rsid w:val="008D29E4"/>
    <w:rsid w:val="008D2A26"/>
    <w:rsid w:val="008D2BCE"/>
    <w:rsid w:val="008D31C8"/>
    <w:rsid w:val="008D32A9"/>
    <w:rsid w:val="008D34C7"/>
    <w:rsid w:val="008D3532"/>
    <w:rsid w:val="008D36B5"/>
    <w:rsid w:val="008D3B6A"/>
    <w:rsid w:val="008D3C72"/>
    <w:rsid w:val="008D4175"/>
    <w:rsid w:val="008D4339"/>
    <w:rsid w:val="008D4D7E"/>
    <w:rsid w:val="008D5074"/>
    <w:rsid w:val="008D50F5"/>
    <w:rsid w:val="008D5159"/>
    <w:rsid w:val="008D550E"/>
    <w:rsid w:val="008D56D4"/>
    <w:rsid w:val="008D579E"/>
    <w:rsid w:val="008D57B5"/>
    <w:rsid w:val="008D5DC5"/>
    <w:rsid w:val="008D5E56"/>
    <w:rsid w:val="008D61F7"/>
    <w:rsid w:val="008D6509"/>
    <w:rsid w:val="008D685D"/>
    <w:rsid w:val="008D6D27"/>
    <w:rsid w:val="008D6FD2"/>
    <w:rsid w:val="008D7604"/>
    <w:rsid w:val="008D7BC3"/>
    <w:rsid w:val="008D7E0B"/>
    <w:rsid w:val="008E04F2"/>
    <w:rsid w:val="008E07AE"/>
    <w:rsid w:val="008E08A5"/>
    <w:rsid w:val="008E0A49"/>
    <w:rsid w:val="008E0FEC"/>
    <w:rsid w:val="008E1082"/>
    <w:rsid w:val="008E1141"/>
    <w:rsid w:val="008E1761"/>
    <w:rsid w:val="008E17A3"/>
    <w:rsid w:val="008E197D"/>
    <w:rsid w:val="008E19BE"/>
    <w:rsid w:val="008E2267"/>
    <w:rsid w:val="008E229E"/>
    <w:rsid w:val="008E24C3"/>
    <w:rsid w:val="008E2520"/>
    <w:rsid w:val="008E2804"/>
    <w:rsid w:val="008E2CD8"/>
    <w:rsid w:val="008E3564"/>
    <w:rsid w:val="008E3585"/>
    <w:rsid w:val="008E3679"/>
    <w:rsid w:val="008E3AF9"/>
    <w:rsid w:val="008E3DEC"/>
    <w:rsid w:val="008E3F82"/>
    <w:rsid w:val="008E40FF"/>
    <w:rsid w:val="008E42C9"/>
    <w:rsid w:val="008E451A"/>
    <w:rsid w:val="008E5772"/>
    <w:rsid w:val="008E64DE"/>
    <w:rsid w:val="008E6976"/>
    <w:rsid w:val="008E727F"/>
    <w:rsid w:val="008E7BFA"/>
    <w:rsid w:val="008F0142"/>
    <w:rsid w:val="008F015E"/>
    <w:rsid w:val="008F0293"/>
    <w:rsid w:val="008F06A2"/>
    <w:rsid w:val="008F07C0"/>
    <w:rsid w:val="008F0AC0"/>
    <w:rsid w:val="008F0DC7"/>
    <w:rsid w:val="008F0FB8"/>
    <w:rsid w:val="008F129D"/>
    <w:rsid w:val="008F12BB"/>
    <w:rsid w:val="008F1ABA"/>
    <w:rsid w:val="008F1AC2"/>
    <w:rsid w:val="008F1C64"/>
    <w:rsid w:val="008F1D01"/>
    <w:rsid w:val="008F25C2"/>
    <w:rsid w:val="008F28F7"/>
    <w:rsid w:val="008F2CA8"/>
    <w:rsid w:val="008F2E56"/>
    <w:rsid w:val="008F3205"/>
    <w:rsid w:val="008F3341"/>
    <w:rsid w:val="008F35F8"/>
    <w:rsid w:val="008F3E4A"/>
    <w:rsid w:val="008F4030"/>
    <w:rsid w:val="008F4630"/>
    <w:rsid w:val="008F4A3F"/>
    <w:rsid w:val="008F4A81"/>
    <w:rsid w:val="008F522F"/>
    <w:rsid w:val="008F5ABA"/>
    <w:rsid w:val="008F5C9A"/>
    <w:rsid w:val="008F60BB"/>
    <w:rsid w:val="008F649C"/>
    <w:rsid w:val="008F6865"/>
    <w:rsid w:val="008F6B7B"/>
    <w:rsid w:val="008F6DFC"/>
    <w:rsid w:val="008F7609"/>
    <w:rsid w:val="008F7C7A"/>
    <w:rsid w:val="008F7CDE"/>
    <w:rsid w:val="008F7F44"/>
    <w:rsid w:val="0090021A"/>
    <w:rsid w:val="009003DB"/>
    <w:rsid w:val="00900669"/>
    <w:rsid w:val="009006B6"/>
    <w:rsid w:val="00900929"/>
    <w:rsid w:val="00900C48"/>
    <w:rsid w:val="00900E0C"/>
    <w:rsid w:val="00901118"/>
    <w:rsid w:val="00901167"/>
    <w:rsid w:val="009011DE"/>
    <w:rsid w:val="00901541"/>
    <w:rsid w:val="009015DD"/>
    <w:rsid w:val="00901C7E"/>
    <w:rsid w:val="00901CA9"/>
    <w:rsid w:val="0090230B"/>
    <w:rsid w:val="0090233D"/>
    <w:rsid w:val="009025AD"/>
    <w:rsid w:val="009025C9"/>
    <w:rsid w:val="00902815"/>
    <w:rsid w:val="0090326C"/>
    <w:rsid w:val="009035A9"/>
    <w:rsid w:val="009040AC"/>
    <w:rsid w:val="009042AC"/>
    <w:rsid w:val="0090441A"/>
    <w:rsid w:val="00904A66"/>
    <w:rsid w:val="00904A6B"/>
    <w:rsid w:val="00904B67"/>
    <w:rsid w:val="009052A1"/>
    <w:rsid w:val="00905532"/>
    <w:rsid w:val="009056A8"/>
    <w:rsid w:val="009056E7"/>
    <w:rsid w:val="009056F8"/>
    <w:rsid w:val="0090592B"/>
    <w:rsid w:val="009060EE"/>
    <w:rsid w:val="00906CC2"/>
    <w:rsid w:val="00906E20"/>
    <w:rsid w:val="00906E70"/>
    <w:rsid w:val="00906FAF"/>
    <w:rsid w:val="0090735A"/>
    <w:rsid w:val="00907477"/>
    <w:rsid w:val="009074C7"/>
    <w:rsid w:val="0090792B"/>
    <w:rsid w:val="00907B10"/>
    <w:rsid w:val="00907C3D"/>
    <w:rsid w:val="00907F7C"/>
    <w:rsid w:val="00910131"/>
    <w:rsid w:val="009102B8"/>
    <w:rsid w:val="0091070F"/>
    <w:rsid w:val="00910805"/>
    <w:rsid w:val="00910FDC"/>
    <w:rsid w:val="009111FB"/>
    <w:rsid w:val="00911C32"/>
    <w:rsid w:val="00911ED7"/>
    <w:rsid w:val="009122EE"/>
    <w:rsid w:val="00912A7D"/>
    <w:rsid w:val="00912B4C"/>
    <w:rsid w:val="0091318B"/>
    <w:rsid w:val="009132CC"/>
    <w:rsid w:val="009137FF"/>
    <w:rsid w:val="00913937"/>
    <w:rsid w:val="00913E7F"/>
    <w:rsid w:val="00913EB9"/>
    <w:rsid w:val="00913EDA"/>
    <w:rsid w:val="0091433D"/>
    <w:rsid w:val="0091446C"/>
    <w:rsid w:val="009145A4"/>
    <w:rsid w:val="00914ADD"/>
    <w:rsid w:val="00914D02"/>
    <w:rsid w:val="00914EE2"/>
    <w:rsid w:val="009150E9"/>
    <w:rsid w:val="00915240"/>
    <w:rsid w:val="009153D1"/>
    <w:rsid w:val="009155A5"/>
    <w:rsid w:val="009156EA"/>
    <w:rsid w:val="00915DB8"/>
    <w:rsid w:val="00915E90"/>
    <w:rsid w:val="00915FA1"/>
    <w:rsid w:val="00915FFF"/>
    <w:rsid w:val="00916095"/>
    <w:rsid w:val="00916173"/>
    <w:rsid w:val="00917089"/>
    <w:rsid w:val="0091727F"/>
    <w:rsid w:val="009176AC"/>
    <w:rsid w:val="00917853"/>
    <w:rsid w:val="0091792F"/>
    <w:rsid w:val="009203CD"/>
    <w:rsid w:val="00920479"/>
    <w:rsid w:val="0092055D"/>
    <w:rsid w:val="00920633"/>
    <w:rsid w:val="009209E7"/>
    <w:rsid w:val="00920CD2"/>
    <w:rsid w:val="00920D46"/>
    <w:rsid w:val="00920E8D"/>
    <w:rsid w:val="009213FB"/>
    <w:rsid w:val="00921548"/>
    <w:rsid w:val="00921606"/>
    <w:rsid w:val="00922134"/>
    <w:rsid w:val="009227AB"/>
    <w:rsid w:val="00922960"/>
    <w:rsid w:val="00922BE8"/>
    <w:rsid w:val="00922F1C"/>
    <w:rsid w:val="00923365"/>
    <w:rsid w:val="009234A8"/>
    <w:rsid w:val="00923A35"/>
    <w:rsid w:val="00923F74"/>
    <w:rsid w:val="00924197"/>
    <w:rsid w:val="00924310"/>
    <w:rsid w:val="00924975"/>
    <w:rsid w:val="00924994"/>
    <w:rsid w:val="00924D59"/>
    <w:rsid w:val="00924ECF"/>
    <w:rsid w:val="00924FE2"/>
    <w:rsid w:val="0092551D"/>
    <w:rsid w:val="00925A63"/>
    <w:rsid w:val="00926C96"/>
    <w:rsid w:val="00926DEA"/>
    <w:rsid w:val="00926EC1"/>
    <w:rsid w:val="009274DF"/>
    <w:rsid w:val="00927AA1"/>
    <w:rsid w:val="00927F08"/>
    <w:rsid w:val="009300D8"/>
    <w:rsid w:val="00930400"/>
    <w:rsid w:val="00930594"/>
    <w:rsid w:val="00930A1E"/>
    <w:rsid w:val="00930E06"/>
    <w:rsid w:val="009311B3"/>
    <w:rsid w:val="00931257"/>
    <w:rsid w:val="0093147D"/>
    <w:rsid w:val="009316CA"/>
    <w:rsid w:val="00931714"/>
    <w:rsid w:val="00931AD0"/>
    <w:rsid w:val="00931E73"/>
    <w:rsid w:val="00931E9E"/>
    <w:rsid w:val="00931F1E"/>
    <w:rsid w:val="00932279"/>
    <w:rsid w:val="0093287E"/>
    <w:rsid w:val="00932D3B"/>
    <w:rsid w:val="00932EE0"/>
    <w:rsid w:val="00932F92"/>
    <w:rsid w:val="00933379"/>
    <w:rsid w:val="0093346C"/>
    <w:rsid w:val="00933531"/>
    <w:rsid w:val="00933E41"/>
    <w:rsid w:val="0093422F"/>
    <w:rsid w:val="009343F8"/>
    <w:rsid w:val="0093458A"/>
    <w:rsid w:val="00934BD0"/>
    <w:rsid w:val="00934BD1"/>
    <w:rsid w:val="00934EC2"/>
    <w:rsid w:val="009350D5"/>
    <w:rsid w:val="009352F3"/>
    <w:rsid w:val="00935A2E"/>
    <w:rsid w:val="00935BCC"/>
    <w:rsid w:val="00935CF9"/>
    <w:rsid w:val="00935D04"/>
    <w:rsid w:val="009362D6"/>
    <w:rsid w:val="009364D2"/>
    <w:rsid w:val="00936BB4"/>
    <w:rsid w:val="009375D3"/>
    <w:rsid w:val="0093778D"/>
    <w:rsid w:val="00937B5A"/>
    <w:rsid w:val="00937D0F"/>
    <w:rsid w:val="0094004B"/>
    <w:rsid w:val="00940185"/>
    <w:rsid w:val="00940654"/>
    <w:rsid w:val="00940716"/>
    <w:rsid w:val="00940B63"/>
    <w:rsid w:val="00940E7C"/>
    <w:rsid w:val="00940EA3"/>
    <w:rsid w:val="00941601"/>
    <w:rsid w:val="00941B3C"/>
    <w:rsid w:val="00941D80"/>
    <w:rsid w:val="0094207C"/>
    <w:rsid w:val="00942305"/>
    <w:rsid w:val="009423D0"/>
    <w:rsid w:val="009423FB"/>
    <w:rsid w:val="00942564"/>
    <w:rsid w:val="009425B3"/>
    <w:rsid w:val="0094262C"/>
    <w:rsid w:val="00942C41"/>
    <w:rsid w:val="00942E70"/>
    <w:rsid w:val="009439C0"/>
    <w:rsid w:val="00943A06"/>
    <w:rsid w:val="00944635"/>
    <w:rsid w:val="00944BF5"/>
    <w:rsid w:val="00944EA1"/>
    <w:rsid w:val="00944F37"/>
    <w:rsid w:val="00944FB3"/>
    <w:rsid w:val="00945BB8"/>
    <w:rsid w:val="00945BCF"/>
    <w:rsid w:val="00945D85"/>
    <w:rsid w:val="00945ED7"/>
    <w:rsid w:val="00946470"/>
    <w:rsid w:val="00946763"/>
    <w:rsid w:val="00946DF7"/>
    <w:rsid w:val="009471ED"/>
    <w:rsid w:val="00947428"/>
    <w:rsid w:val="00947578"/>
    <w:rsid w:val="00947F02"/>
    <w:rsid w:val="00947F8D"/>
    <w:rsid w:val="00947FFA"/>
    <w:rsid w:val="009500EC"/>
    <w:rsid w:val="009501BC"/>
    <w:rsid w:val="0095044D"/>
    <w:rsid w:val="009505D5"/>
    <w:rsid w:val="00950A58"/>
    <w:rsid w:val="00950FF1"/>
    <w:rsid w:val="00951B2E"/>
    <w:rsid w:val="00952796"/>
    <w:rsid w:val="00952907"/>
    <w:rsid w:val="00952A0D"/>
    <w:rsid w:val="009530A8"/>
    <w:rsid w:val="009532A8"/>
    <w:rsid w:val="009537D1"/>
    <w:rsid w:val="009538B3"/>
    <w:rsid w:val="009539FD"/>
    <w:rsid w:val="00954C3A"/>
    <w:rsid w:val="00954F5C"/>
    <w:rsid w:val="00955249"/>
    <w:rsid w:val="0095525C"/>
    <w:rsid w:val="0095586D"/>
    <w:rsid w:val="00955BDA"/>
    <w:rsid w:val="00955C5E"/>
    <w:rsid w:val="0095601F"/>
    <w:rsid w:val="00956162"/>
    <w:rsid w:val="00956603"/>
    <w:rsid w:val="009568CD"/>
    <w:rsid w:val="00956B08"/>
    <w:rsid w:val="00956C27"/>
    <w:rsid w:val="00956D36"/>
    <w:rsid w:val="00956FD7"/>
    <w:rsid w:val="00956FE0"/>
    <w:rsid w:val="009573B3"/>
    <w:rsid w:val="009574F9"/>
    <w:rsid w:val="00957643"/>
    <w:rsid w:val="00957712"/>
    <w:rsid w:val="009577C6"/>
    <w:rsid w:val="009577E0"/>
    <w:rsid w:val="00957EF6"/>
    <w:rsid w:val="00960256"/>
    <w:rsid w:val="00960807"/>
    <w:rsid w:val="00960954"/>
    <w:rsid w:val="00960989"/>
    <w:rsid w:val="009609CB"/>
    <w:rsid w:val="00960ABF"/>
    <w:rsid w:val="00960BFB"/>
    <w:rsid w:val="00960F42"/>
    <w:rsid w:val="009610DF"/>
    <w:rsid w:val="0096115E"/>
    <w:rsid w:val="00961558"/>
    <w:rsid w:val="00961683"/>
    <w:rsid w:val="0096184C"/>
    <w:rsid w:val="00961AF8"/>
    <w:rsid w:val="00961D52"/>
    <w:rsid w:val="00961EB2"/>
    <w:rsid w:val="00962135"/>
    <w:rsid w:val="0096241E"/>
    <w:rsid w:val="0096256C"/>
    <w:rsid w:val="00962614"/>
    <w:rsid w:val="00962639"/>
    <w:rsid w:val="009627E0"/>
    <w:rsid w:val="00962A8E"/>
    <w:rsid w:val="00962B6A"/>
    <w:rsid w:val="00962D7D"/>
    <w:rsid w:val="00963028"/>
    <w:rsid w:val="00963676"/>
    <w:rsid w:val="00963964"/>
    <w:rsid w:val="00963E4E"/>
    <w:rsid w:val="00964006"/>
    <w:rsid w:val="0096426E"/>
    <w:rsid w:val="0096483F"/>
    <w:rsid w:val="00964873"/>
    <w:rsid w:val="00964A2E"/>
    <w:rsid w:val="009652F1"/>
    <w:rsid w:val="00965330"/>
    <w:rsid w:val="009657FC"/>
    <w:rsid w:val="00965DEF"/>
    <w:rsid w:val="00965E55"/>
    <w:rsid w:val="00965F80"/>
    <w:rsid w:val="00965FBE"/>
    <w:rsid w:val="0096614B"/>
    <w:rsid w:val="00966522"/>
    <w:rsid w:val="00966716"/>
    <w:rsid w:val="0096688C"/>
    <w:rsid w:val="00966946"/>
    <w:rsid w:val="00966A78"/>
    <w:rsid w:val="00966E43"/>
    <w:rsid w:val="00967103"/>
    <w:rsid w:val="009673B6"/>
    <w:rsid w:val="0096770B"/>
    <w:rsid w:val="009677D0"/>
    <w:rsid w:val="00967C04"/>
    <w:rsid w:val="00967CAB"/>
    <w:rsid w:val="00970172"/>
    <w:rsid w:val="00970477"/>
    <w:rsid w:val="009705E9"/>
    <w:rsid w:val="00970928"/>
    <w:rsid w:val="0097132E"/>
    <w:rsid w:val="009714D9"/>
    <w:rsid w:val="009717BE"/>
    <w:rsid w:val="00971980"/>
    <w:rsid w:val="00971A55"/>
    <w:rsid w:val="00971DB0"/>
    <w:rsid w:val="00971E34"/>
    <w:rsid w:val="00972196"/>
    <w:rsid w:val="00972775"/>
    <w:rsid w:val="00972B34"/>
    <w:rsid w:val="00972BF7"/>
    <w:rsid w:val="00972D1F"/>
    <w:rsid w:val="00972D3A"/>
    <w:rsid w:val="0097310A"/>
    <w:rsid w:val="009734A0"/>
    <w:rsid w:val="0097358E"/>
    <w:rsid w:val="00973D2F"/>
    <w:rsid w:val="00973D6F"/>
    <w:rsid w:val="00973F05"/>
    <w:rsid w:val="0097421D"/>
    <w:rsid w:val="00974282"/>
    <w:rsid w:val="009744CC"/>
    <w:rsid w:val="00974578"/>
    <w:rsid w:val="00974760"/>
    <w:rsid w:val="00974A04"/>
    <w:rsid w:val="00974FFC"/>
    <w:rsid w:val="00975436"/>
    <w:rsid w:val="00975E58"/>
    <w:rsid w:val="009762FC"/>
    <w:rsid w:val="00976462"/>
    <w:rsid w:val="00976A96"/>
    <w:rsid w:val="00977044"/>
    <w:rsid w:val="009772C5"/>
    <w:rsid w:val="00977385"/>
    <w:rsid w:val="0097748E"/>
    <w:rsid w:val="00977BDA"/>
    <w:rsid w:val="009800B4"/>
    <w:rsid w:val="009803D7"/>
    <w:rsid w:val="0098060E"/>
    <w:rsid w:val="00980D20"/>
    <w:rsid w:val="009815D5"/>
    <w:rsid w:val="00982BB1"/>
    <w:rsid w:val="00982DC7"/>
    <w:rsid w:val="00982E4E"/>
    <w:rsid w:val="009831E0"/>
    <w:rsid w:val="009835A8"/>
    <w:rsid w:val="0098378F"/>
    <w:rsid w:val="009839C8"/>
    <w:rsid w:val="00983CD1"/>
    <w:rsid w:val="00984056"/>
    <w:rsid w:val="0098435A"/>
    <w:rsid w:val="0098467F"/>
    <w:rsid w:val="00984ABB"/>
    <w:rsid w:val="00984CCC"/>
    <w:rsid w:val="00984EB3"/>
    <w:rsid w:val="00984F80"/>
    <w:rsid w:val="00985C48"/>
    <w:rsid w:val="00985DC1"/>
    <w:rsid w:val="00985EE0"/>
    <w:rsid w:val="009864AA"/>
    <w:rsid w:val="00986AB4"/>
    <w:rsid w:val="00986E7D"/>
    <w:rsid w:val="00986EEB"/>
    <w:rsid w:val="009875F8"/>
    <w:rsid w:val="00987D16"/>
    <w:rsid w:val="00987D22"/>
    <w:rsid w:val="00990350"/>
    <w:rsid w:val="00990775"/>
    <w:rsid w:val="00990C76"/>
    <w:rsid w:val="00990F8D"/>
    <w:rsid w:val="0099188E"/>
    <w:rsid w:val="00991AE5"/>
    <w:rsid w:val="00991B79"/>
    <w:rsid w:val="00991E3F"/>
    <w:rsid w:val="00991EE8"/>
    <w:rsid w:val="009924C5"/>
    <w:rsid w:val="009929E8"/>
    <w:rsid w:val="00992DD4"/>
    <w:rsid w:val="00992E82"/>
    <w:rsid w:val="00993608"/>
    <w:rsid w:val="00993806"/>
    <w:rsid w:val="00993BFA"/>
    <w:rsid w:val="00993D0F"/>
    <w:rsid w:val="00993FE8"/>
    <w:rsid w:val="0099429C"/>
    <w:rsid w:val="00994AF6"/>
    <w:rsid w:val="0099514F"/>
    <w:rsid w:val="009951F1"/>
    <w:rsid w:val="009952E9"/>
    <w:rsid w:val="009953F3"/>
    <w:rsid w:val="00995A28"/>
    <w:rsid w:val="00995FB2"/>
    <w:rsid w:val="0099619B"/>
    <w:rsid w:val="00996242"/>
    <w:rsid w:val="00996AAF"/>
    <w:rsid w:val="00997097"/>
    <w:rsid w:val="0099709D"/>
    <w:rsid w:val="00997194"/>
    <w:rsid w:val="009973A0"/>
    <w:rsid w:val="009973F9"/>
    <w:rsid w:val="009974F1"/>
    <w:rsid w:val="0099766C"/>
    <w:rsid w:val="00997B60"/>
    <w:rsid w:val="00997EE6"/>
    <w:rsid w:val="009A02E7"/>
    <w:rsid w:val="009A037B"/>
    <w:rsid w:val="009A0479"/>
    <w:rsid w:val="009A06F9"/>
    <w:rsid w:val="009A07D9"/>
    <w:rsid w:val="009A0B6A"/>
    <w:rsid w:val="009A0E5F"/>
    <w:rsid w:val="009A1126"/>
    <w:rsid w:val="009A128C"/>
    <w:rsid w:val="009A1359"/>
    <w:rsid w:val="009A1893"/>
    <w:rsid w:val="009A18E9"/>
    <w:rsid w:val="009A1A7D"/>
    <w:rsid w:val="009A1FB4"/>
    <w:rsid w:val="009A21E4"/>
    <w:rsid w:val="009A21FC"/>
    <w:rsid w:val="009A26AC"/>
    <w:rsid w:val="009A2759"/>
    <w:rsid w:val="009A28A2"/>
    <w:rsid w:val="009A2A21"/>
    <w:rsid w:val="009A2D49"/>
    <w:rsid w:val="009A2F12"/>
    <w:rsid w:val="009A31D1"/>
    <w:rsid w:val="009A32BA"/>
    <w:rsid w:val="009A34AE"/>
    <w:rsid w:val="009A3B25"/>
    <w:rsid w:val="009A3F65"/>
    <w:rsid w:val="009A3F77"/>
    <w:rsid w:val="009A400D"/>
    <w:rsid w:val="009A4223"/>
    <w:rsid w:val="009A4225"/>
    <w:rsid w:val="009A466C"/>
    <w:rsid w:val="009A49D9"/>
    <w:rsid w:val="009A4A0B"/>
    <w:rsid w:val="009A4E09"/>
    <w:rsid w:val="009A510B"/>
    <w:rsid w:val="009A5208"/>
    <w:rsid w:val="009A5A72"/>
    <w:rsid w:val="009A5A9E"/>
    <w:rsid w:val="009A5F1F"/>
    <w:rsid w:val="009A6422"/>
    <w:rsid w:val="009A66B5"/>
    <w:rsid w:val="009A69F2"/>
    <w:rsid w:val="009A6A7B"/>
    <w:rsid w:val="009A6E9F"/>
    <w:rsid w:val="009A6F03"/>
    <w:rsid w:val="009A7197"/>
    <w:rsid w:val="009A72BB"/>
    <w:rsid w:val="009A7592"/>
    <w:rsid w:val="009A777F"/>
    <w:rsid w:val="009A7863"/>
    <w:rsid w:val="009A7993"/>
    <w:rsid w:val="009A7AD0"/>
    <w:rsid w:val="009A7C27"/>
    <w:rsid w:val="009A7CCC"/>
    <w:rsid w:val="009A7D7F"/>
    <w:rsid w:val="009B07F2"/>
    <w:rsid w:val="009B080D"/>
    <w:rsid w:val="009B084F"/>
    <w:rsid w:val="009B0CE4"/>
    <w:rsid w:val="009B0DB0"/>
    <w:rsid w:val="009B0F66"/>
    <w:rsid w:val="009B10BB"/>
    <w:rsid w:val="009B1101"/>
    <w:rsid w:val="009B18C4"/>
    <w:rsid w:val="009B1B32"/>
    <w:rsid w:val="009B1BCC"/>
    <w:rsid w:val="009B2337"/>
    <w:rsid w:val="009B245D"/>
    <w:rsid w:val="009B24FE"/>
    <w:rsid w:val="009B3166"/>
    <w:rsid w:val="009B3A5E"/>
    <w:rsid w:val="009B3A69"/>
    <w:rsid w:val="009B3D97"/>
    <w:rsid w:val="009B401F"/>
    <w:rsid w:val="009B4054"/>
    <w:rsid w:val="009B45D4"/>
    <w:rsid w:val="009B4AC9"/>
    <w:rsid w:val="009B4E62"/>
    <w:rsid w:val="009B5A46"/>
    <w:rsid w:val="009B5C9F"/>
    <w:rsid w:val="009B6345"/>
    <w:rsid w:val="009B6411"/>
    <w:rsid w:val="009B65A3"/>
    <w:rsid w:val="009B6E36"/>
    <w:rsid w:val="009B6F3B"/>
    <w:rsid w:val="009B76E2"/>
    <w:rsid w:val="009B7940"/>
    <w:rsid w:val="009B79F6"/>
    <w:rsid w:val="009B7AA7"/>
    <w:rsid w:val="009C00C9"/>
    <w:rsid w:val="009C0253"/>
    <w:rsid w:val="009C056D"/>
    <w:rsid w:val="009C0B05"/>
    <w:rsid w:val="009C0CFA"/>
    <w:rsid w:val="009C1115"/>
    <w:rsid w:val="009C1136"/>
    <w:rsid w:val="009C1874"/>
    <w:rsid w:val="009C191D"/>
    <w:rsid w:val="009C298F"/>
    <w:rsid w:val="009C2A1E"/>
    <w:rsid w:val="009C2FE7"/>
    <w:rsid w:val="009C3048"/>
    <w:rsid w:val="009C308F"/>
    <w:rsid w:val="009C31F6"/>
    <w:rsid w:val="009C328E"/>
    <w:rsid w:val="009C393E"/>
    <w:rsid w:val="009C3C50"/>
    <w:rsid w:val="009C4456"/>
    <w:rsid w:val="009C46CE"/>
    <w:rsid w:val="009C4E39"/>
    <w:rsid w:val="009C508B"/>
    <w:rsid w:val="009C51BD"/>
    <w:rsid w:val="009C51C1"/>
    <w:rsid w:val="009C5662"/>
    <w:rsid w:val="009C56D8"/>
    <w:rsid w:val="009C5802"/>
    <w:rsid w:val="009C5CE0"/>
    <w:rsid w:val="009C5DB8"/>
    <w:rsid w:val="009C632C"/>
    <w:rsid w:val="009C6790"/>
    <w:rsid w:val="009C69D7"/>
    <w:rsid w:val="009C69EF"/>
    <w:rsid w:val="009C6C7A"/>
    <w:rsid w:val="009C6F5A"/>
    <w:rsid w:val="009C7072"/>
    <w:rsid w:val="009C72DA"/>
    <w:rsid w:val="009C74E0"/>
    <w:rsid w:val="009C7F3E"/>
    <w:rsid w:val="009D0343"/>
    <w:rsid w:val="009D05ED"/>
    <w:rsid w:val="009D0739"/>
    <w:rsid w:val="009D095F"/>
    <w:rsid w:val="009D1380"/>
    <w:rsid w:val="009D13B9"/>
    <w:rsid w:val="009D13F1"/>
    <w:rsid w:val="009D1524"/>
    <w:rsid w:val="009D1751"/>
    <w:rsid w:val="009D17A5"/>
    <w:rsid w:val="009D17E9"/>
    <w:rsid w:val="009D1811"/>
    <w:rsid w:val="009D1E6E"/>
    <w:rsid w:val="009D1F2B"/>
    <w:rsid w:val="009D1F4D"/>
    <w:rsid w:val="009D2059"/>
    <w:rsid w:val="009D211E"/>
    <w:rsid w:val="009D2190"/>
    <w:rsid w:val="009D224A"/>
    <w:rsid w:val="009D24DD"/>
    <w:rsid w:val="009D258D"/>
    <w:rsid w:val="009D27C4"/>
    <w:rsid w:val="009D3176"/>
    <w:rsid w:val="009D36DF"/>
    <w:rsid w:val="009D399A"/>
    <w:rsid w:val="009D4061"/>
    <w:rsid w:val="009D4242"/>
    <w:rsid w:val="009D424A"/>
    <w:rsid w:val="009D45CA"/>
    <w:rsid w:val="009D49FE"/>
    <w:rsid w:val="009D4EC5"/>
    <w:rsid w:val="009D5096"/>
    <w:rsid w:val="009D50FA"/>
    <w:rsid w:val="009D51E2"/>
    <w:rsid w:val="009D5640"/>
    <w:rsid w:val="009D5663"/>
    <w:rsid w:val="009D5A2B"/>
    <w:rsid w:val="009D5C76"/>
    <w:rsid w:val="009D6067"/>
    <w:rsid w:val="009D648C"/>
    <w:rsid w:val="009D66CB"/>
    <w:rsid w:val="009D6945"/>
    <w:rsid w:val="009D69E5"/>
    <w:rsid w:val="009D7248"/>
    <w:rsid w:val="009D7414"/>
    <w:rsid w:val="009D74C4"/>
    <w:rsid w:val="009D7600"/>
    <w:rsid w:val="009D76F9"/>
    <w:rsid w:val="009D77A9"/>
    <w:rsid w:val="009D7838"/>
    <w:rsid w:val="009E0082"/>
    <w:rsid w:val="009E043A"/>
    <w:rsid w:val="009E0508"/>
    <w:rsid w:val="009E0589"/>
    <w:rsid w:val="009E08C8"/>
    <w:rsid w:val="009E0A4F"/>
    <w:rsid w:val="009E139C"/>
    <w:rsid w:val="009E147A"/>
    <w:rsid w:val="009E18AB"/>
    <w:rsid w:val="009E2890"/>
    <w:rsid w:val="009E2C59"/>
    <w:rsid w:val="009E3534"/>
    <w:rsid w:val="009E3A1C"/>
    <w:rsid w:val="009E3B5E"/>
    <w:rsid w:val="009E3B86"/>
    <w:rsid w:val="009E3BD5"/>
    <w:rsid w:val="009E3CC8"/>
    <w:rsid w:val="009E3F44"/>
    <w:rsid w:val="009E4276"/>
    <w:rsid w:val="009E43C4"/>
    <w:rsid w:val="009E43D9"/>
    <w:rsid w:val="009E4C12"/>
    <w:rsid w:val="009E52A9"/>
    <w:rsid w:val="009E5473"/>
    <w:rsid w:val="009E54FB"/>
    <w:rsid w:val="009E582D"/>
    <w:rsid w:val="009E5A85"/>
    <w:rsid w:val="009E5ABE"/>
    <w:rsid w:val="009E5EB7"/>
    <w:rsid w:val="009E638D"/>
    <w:rsid w:val="009E64F6"/>
    <w:rsid w:val="009E678B"/>
    <w:rsid w:val="009E69DA"/>
    <w:rsid w:val="009E6F54"/>
    <w:rsid w:val="009E726A"/>
    <w:rsid w:val="009E76E4"/>
    <w:rsid w:val="009E798C"/>
    <w:rsid w:val="009F06C8"/>
    <w:rsid w:val="009F08C0"/>
    <w:rsid w:val="009F0C21"/>
    <w:rsid w:val="009F0E99"/>
    <w:rsid w:val="009F13F3"/>
    <w:rsid w:val="009F1F3E"/>
    <w:rsid w:val="009F2255"/>
    <w:rsid w:val="009F255C"/>
    <w:rsid w:val="009F277A"/>
    <w:rsid w:val="009F278A"/>
    <w:rsid w:val="009F2E2D"/>
    <w:rsid w:val="009F301A"/>
    <w:rsid w:val="009F33D4"/>
    <w:rsid w:val="009F3439"/>
    <w:rsid w:val="009F3DDB"/>
    <w:rsid w:val="009F3E7E"/>
    <w:rsid w:val="009F43F6"/>
    <w:rsid w:val="009F4629"/>
    <w:rsid w:val="009F4CF6"/>
    <w:rsid w:val="009F512D"/>
    <w:rsid w:val="009F575F"/>
    <w:rsid w:val="009F57F7"/>
    <w:rsid w:val="009F61A6"/>
    <w:rsid w:val="009F6292"/>
    <w:rsid w:val="009F6493"/>
    <w:rsid w:val="009F6733"/>
    <w:rsid w:val="009F6A57"/>
    <w:rsid w:val="009F6BC0"/>
    <w:rsid w:val="009F7094"/>
    <w:rsid w:val="009F7389"/>
    <w:rsid w:val="009F77A7"/>
    <w:rsid w:val="009F794A"/>
    <w:rsid w:val="00A00278"/>
    <w:rsid w:val="00A0050A"/>
    <w:rsid w:val="00A005BA"/>
    <w:rsid w:val="00A00B17"/>
    <w:rsid w:val="00A00B2F"/>
    <w:rsid w:val="00A00E4C"/>
    <w:rsid w:val="00A010FB"/>
    <w:rsid w:val="00A01318"/>
    <w:rsid w:val="00A01992"/>
    <w:rsid w:val="00A01B02"/>
    <w:rsid w:val="00A01DCA"/>
    <w:rsid w:val="00A01DCE"/>
    <w:rsid w:val="00A0234C"/>
    <w:rsid w:val="00A02407"/>
    <w:rsid w:val="00A02444"/>
    <w:rsid w:val="00A026DB"/>
    <w:rsid w:val="00A028C8"/>
    <w:rsid w:val="00A028DA"/>
    <w:rsid w:val="00A02ACE"/>
    <w:rsid w:val="00A02C15"/>
    <w:rsid w:val="00A02CDA"/>
    <w:rsid w:val="00A02D99"/>
    <w:rsid w:val="00A02DC0"/>
    <w:rsid w:val="00A033D8"/>
    <w:rsid w:val="00A0383D"/>
    <w:rsid w:val="00A0388F"/>
    <w:rsid w:val="00A03A27"/>
    <w:rsid w:val="00A03B01"/>
    <w:rsid w:val="00A03B6B"/>
    <w:rsid w:val="00A04081"/>
    <w:rsid w:val="00A04172"/>
    <w:rsid w:val="00A04279"/>
    <w:rsid w:val="00A04478"/>
    <w:rsid w:val="00A04D29"/>
    <w:rsid w:val="00A04D5B"/>
    <w:rsid w:val="00A0551B"/>
    <w:rsid w:val="00A055A3"/>
    <w:rsid w:val="00A056D5"/>
    <w:rsid w:val="00A05A6E"/>
    <w:rsid w:val="00A05A8A"/>
    <w:rsid w:val="00A05DDE"/>
    <w:rsid w:val="00A06647"/>
    <w:rsid w:val="00A066F8"/>
    <w:rsid w:val="00A06C47"/>
    <w:rsid w:val="00A06D0B"/>
    <w:rsid w:val="00A073D3"/>
    <w:rsid w:val="00A074CA"/>
    <w:rsid w:val="00A07658"/>
    <w:rsid w:val="00A07A7B"/>
    <w:rsid w:val="00A07F04"/>
    <w:rsid w:val="00A104F5"/>
    <w:rsid w:val="00A10600"/>
    <w:rsid w:val="00A10635"/>
    <w:rsid w:val="00A10813"/>
    <w:rsid w:val="00A10836"/>
    <w:rsid w:val="00A10BA6"/>
    <w:rsid w:val="00A10CE5"/>
    <w:rsid w:val="00A10EF6"/>
    <w:rsid w:val="00A11675"/>
    <w:rsid w:val="00A118A1"/>
    <w:rsid w:val="00A11960"/>
    <w:rsid w:val="00A11AAD"/>
    <w:rsid w:val="00A11E28"/>
    <w:rsid w:val="00A12012"/>
    <w:rsid w:val="00A124F7"/>
    <w:rsid w:val="00A1251C"/>
    <w:rsid w:val="00A125D1"/>
    <w:rsid w:val="00A127A1"/>
    <w:rsid w:val="00A128C5"/>
    <w:rsid w:val="00A12A4D"/>
    <w:rsid w:val="00A12D49"/>
    <w:rsid w:val="00A130A9"/>
    <w:rsid w:val="00A13260"/>
    <w:rsid w:val="00A13A9E"/>
    <w:rsid w:val="00A13B4A"/>
    <w:rsid w:val="00A14A1B"/>
    <w:rsid w:val="00A14A6D"/>
    <w:rsid w:val="00A14A79"/>
    <w:rsid w:val="00A14D11"/>
    <w:rsid w:val="00A14E1C"/>
    <w:rsid w:val="00A15456"/>
    <w:rsid w:val="00A16B35"/>
    <w:rsid w:val="00A16B50"/>
    <w:rsid w:val="00A17013"/>
    <w:rsid w:val="00A175FE"/>
    <w:rsid w:val="00A17817"/>
    <w:rsid w:val="00A17840"/>
    <w:rsid w:val="00A17B14"/>
    <w:rsid w:val="00A200F8"/>
    <w:rsid w:val="00A200FB"/>
    <w:rsid w:val="00A20456"/>
    <w:rsid w:val="00A205C6"/>
    <w:rsid w:val="00A20AAC"/>
    <w:rsid w:val="00A20CCA"/>
    <w:rsid w:val="00A20F39"/>
    <w:rsid w:val="00A2120E"/>
    <w:rsid w:val="00A21326"/>
    <w:rsid w:val="00A216E6"/>
    <w:rsid w:val="00A21798"/>
    <w:rsid w:val="00A21AD3"/>
    <w:rsid w:val="00A2217C"/>
    <w:rsid w:val="00A221E6"/>
    <w:rsid w:val="00A22660"/>
    <w:rsid w:val="00A22946"/>
    <w:rsid w:val="00A22C07"/>
    <w:rsid w:val="00A22D15"/>
    <w:rsid w:val="00A22DB6"/>
    <w:rsid w:val="00A22E89"/>
    <w:rsid w:val="00A23159"/>
    <w:rsid w:val="00A2317B"/>
    <w:rsid w:val="00A2333D"/>
    <w:rsid w:val="00A23423"/>
    <w:rsid w:val="00A23AE5"/>
    <w:rsid w:val="00A2444A"/>
    <w:rsid w:val="00A24869"/>
    <w:rsid w:val="00A2493B"/>
    <w:rsid w:val="00A24DF0"/>
    <w:rsid w:val="00A25833"/>
    <w:rsid w:val="00A25F65"/>
    <w:rsid w:val="00A2616C"/>
    <w:rsid w:val="00A26709"/>
    <w:rsid w:val="00A26A98"/>
    <w:rsid w:val="00A2710D"/>
    <w:rsid w:val="00A271D2"/>
    <w:rsid w:val="00A2789B"/>
    <w:rsid w:val="00A30082"/>
    <w:rsid w:val="00A301DF"/>
    <w:rsid w:val="00A3046A"/>
    <w:rsid w:val="00A3061F"/>
    <w:rsid w:val="00A30EAA"/>
    <w:rsid w:val="00A30F04"/>
    <w:rsid w:val="00A3140E"/>
    <w:rsid w:val="00A31928"/>
    <w:rsid w:val="00A31A2E"/>
    <w:rsid w:val="00A31B23"/>
    <w:rsid w:val="00A31D38"/>
    <w:rsid w:val="00A32157"/>
    <w:rsid w:val="00A322AA"/>
    <w:rsid w:val="00A32475"/>
    <w:rsid w:val="00A33872"/>
    <w:rsid w:val="00A338CE"/>
    <w:rsid w:val="00A33F1E"/>
    <w:rsid w:val="00A33FF5"/>
    <w:rsid w:val="00A34029"/>
    <w:rsid w:val="00A340F0"/>
    <w:rsid w:val="00A34152"/>
    <w:rsid w:val="00A344CA"/>
    <w:rsid w:val="00A34CA4"/>
    <w:rsid w:val="00A34CE8"/>
    <w:rsid w:val="00A34DC4"/>
    <w:rsid w:val="00A351D6"/>
    <w:rsid w:val="00A35639"/>
    <w:rsid w:val="00A35798"/>
    <w:rsid w:val="00A357AA"/>
    <w:rsid w:val="00A358BD"/>
    <w:rsid w:val="00A35A41"/>
    <w:rsid w:val="00A35EEF"/>
    <w:rsid w:val="00A36038"/>
    <w:rsid w:val="00A3615C"/>
    <w:rsid w:val="00A36777"/>
    <w:rsid w:val="00A36893"/>
    <w:rsid w:val="00A36A4A"/>
    <w:rsid w:val="00A3774C"/>
    <w:rsid w:val="00A377E8"/>
    <w:rsid w:val="00A37B13"/>
    <w:rsid w:val="00A4052A"/>
    <w:rsid w:val="00A40AE6"/>
    <w:rsid w:val="00A41016"/>
    <w:rsid w:val="00A4127B"/>
    <w:rsid w:val="00A416D9"/>
    <w:rsid w:val="00A4195D"/>
    <w:rsid w:val="00A41970"/>
    <w:rsid w:val="00A41F90"/>
    <w:rsid w:val="00A41FA0"/>
    <w:rsid w:val="00A41FA6"/>
    <w:rsid w:val="00A42345"/>
    <w:rsid w:val="00A424A5"/>
    <w:rsid w:val="00A425EA"/>
    <w:rsid w:val="00A427AB"/>
    <w:rsid w:val="00A42929"/>
    <w:rsid w:val="00A42BAB"/>
    <w:rsid w:val="00A42F7F"/>
    <w:rsid w:val="00A42F9C"/>
    <w:rsid w:val="00A4306D"/>
    <w:rsid w:val="00A43387"/>
    <w:rsid w:val="00A436B9"/>
    <w:rsid w:val="00A439E0"/>
    <w:rsid w:val="00A43C38"/>
    <w:rsid w:val="00A4418D"/>
    <w:rsid w:val="00A4475C"/>
    <w:rsid w:val="00A4499B"/>
    <w:rsid w:val="00A449D6"/>
    <w:rsid w:val="00A44E7D"/>
    <w:rsid w:val="00A44FC8"/>
    <w:rsid w:val="00A45494"/>
    <w:rsid w:val="00A45622"/>
    <w:rsid w:val="00A4590D"/>
    <w:rsid w:val="00A45E93"/>
    <w:rsid w:val="00A4615F"/>
    <w:rsid w:val="00A46347"/>
    <w:rsid w:val="00A46477"/>
    <w:rsid w:val="00A46612"/>
    <w:rsid w:val="00A468CC"/>
    <w:rsid w:val="00A46C1B"/>
    <w:rsid w:val="00A46E2C"/>
    <w:rsid w:val="00A46E5A"/>
    <w:rsid w:val="00A46E8F"/>
    <w:rsid w:val="00A47555"/>
    <w:rsid w:val="00A47901"/>
    <w:rsid w:val="00A47CB7"/>
    <w:rsid w:val="00A50254"/>
    <w:rsid w:val="00A502B9"/>
    <w:rsid w:val="00A5058F"/>
    <w:rsid w:val="00A50B96"/>
    <w:rsid w:val="00A50F6A"/>
    <w:rsid w:val="00A51273"/>
    <w:rsid w:val="00A5138F"/>
    <w:rsid w:val="00A5177F"/>
    <w:rsid w:val="00A51DDD"/>
    <w:rsid w:val="00A51F88"/>
    <w:rsid w:val="00A520B1"/>
    <w:rsid w:val="00A521CD"/>
    <w:rsid w:val="00A52299"/>
    <w:rsid w:val="00A52359"/>
    <w:rsid w:val="00A523D7"/>
    <w:rsid w:val="00A524DF"/>
    <w:rsid w:val="00A525DE"/>
    <w:rsid w:val="00A5267D"/>
    <w:rsid w:val="00A52812"/>
    <w:rsid w:val="00A52980"/>
    <w:rsid w:val="00A52E5D"/>
    <w:rsid w:val="00A52E91"/>
    <w:rsid w:val="00A52EF3"/>
    <w:rsid w:val="00A53074"/>
    <w:rsid w:val="00A530F0"/>
    <w:rsid w:val="00A531BE"/>
    <w:rsid w:val="00A53774"/>
    <w:rsid w:val="00A53D48"/>
    <w:rsid w:val="00A53E75"/>
    <w:rsid w:val="00A53F39"/>
    <w:rsid w:val="00A5458A"/>
    <w:rsid w:val="00A545F6"/>
    <w:rsid w:val="00A548E5"/>
    <w:rsid w:val="00A54FFF"/>
    <w:rsid w:val="00A55046"/>
    <w:rsid w:val="00A5508C"/>
    <w:rsid w:val="00A551F8"/>
    <w:rsid w:val="00A55254"/>
    <w:rsid w:val="00A55956"/>
    <w:rsid w:val="00A55C9E"/>
    <w:rsid w:val="00A56B0A"/>
    <w:rsid w:val="00A56CB6"/>
    <w:rsid w:val="00A56CCB"/>
    <w:rsid w:val="00A56ECB"/>
    <w:rsid w:val="00A57327"/>
    <w:rsid w:val="00A57361"/>
    <w:rsid w:val="00A5743B"/>
    <w:rsid w:val="00A575AC"/>
    <w:rsid w:val="00A57AE2"/>
    <w:rsid w:val="00A57BCD"/>
    <w:rsid w:val="00A57C6D"/>
    <w:rsid w:val="00A57EBA"/>
    <w:rsid w:val="00A57FB9"/>
    <w:rsid w:val="00A600B7"/>
    <w:rsid w:val="00A600D6"/>
    <w:rsid w:val="00A6056C"/>
    <w:rsid w:val="00A6068A"/>
    <w:rsid w:val="00A60BF9"/>
    <w:rsid w:val="00A61096"/>
    <w:rsid w:val="00A612EC"/>
    <w:rsid w:val="00A617CB"/>
    <w:rsid w:val="00A61D08"/>
    <w:rsid w:val="00A61E3E"/>
    <w:rsid w:val="00A61F38"/>
    <w:rsid w:val="00A621CF"/>
    <w:rsid w:val="00A6220E"/>
    <w:rsid w:val="00A62493"/>
    <w:rsid w:val="00A62661"/>
    <w:rsid w:val="00A62677"/>
    <w:rsid w:val="00A62767"/>
    <w:rsid w:val="00A62963"/>
    <w:rsid w:val="00A629D4"/>
    <w:rsid w:val="00A62C51"/>
    <w:rsid w:val="00A62CF4"/>
    <w:rsid w:val="00A636D1"/>
    <w:rsid w:val="00A636DA"/>
    <w:rsid w:val="00A63ACE"/>
    <w:rsid w:val="00A64465"/>
    <w:rsid w:val="00A64A80"/>
    <w:rsid w:val="00A64CE6"/>
    <w:rsid w:val="00A6504C"/>
    <w:rsid w:val="00A654E5"/>
    <w:rsid w:val="00A65BC3"/>
    <w:rsid w:val="00A65F60"/>
    <w:rsid w:val="00A66501"/>
    <w:rsid w:val="00A66730"/>
    <w:rsid w:val="00A6676B"/>
    <w:rsid w:val="00A6681E"/>
    <w:rsid w:val="00A678E7"/>
    <w:rsid w:val="00A67B34"/>
    <w:rsid w:val="00A67BCB"/>
    <w:rsid w:val="00A67E10"/>
    <w:rsid w:val="00A70508"/>
    <w:rsid w:val="00A70726"/>
    <w:rsid w:val="00A70823"/>
    <w:rsid w:val="00A70A0C"/>
    <w:rsid w:val="00A71727"/>
    <w:rsid w:val="00A72051"/>
    <w:rsid w:val="00A7230F"/>
    <w:rsid w:val="00A727EC"/>
    <w:rsid w:val="00A728BF"/>
    <w:rsid w:val="00A7296D"/>
    <w:rsid w:val="00A72A76"/>
    <w:rsid w:val="00A72B93"/>
    <w:rsid w:val="00A735DB"/>
    <w:rsid w:val="00A73A12"/>
    <w:rsid w:val="00A73A2E"/>
    <w:rsid w:val="00A73B23"/>
    <w:rsid w:val="00A73C9B"/>
    <w:rsid w:val="00A74063"/>
    <w:rsid w:val="00A7439A"/>
    <w:rsid w:val="00A7440B"/>
    <w:rsid w:val="00A74B59"/>
    <w:rsid w:val="00A754CD"/>
    <w:rsid w:val="00A755D5"/>
    <w:rsid w:val="00A75A87"/>
    <w:rsid w:val="00A75B7D"/>
    <w:rsid w:val="00A76732"/>
    <w:rsid w:val="00A7697C"/>
    <w:rsid w:val="00A76ABA"/>
    <w:rsid w:val="00A76B22"/>
    <w:rsid w:val="00A76DE5"/>
    <w:rsid w:val="00A76FA9"/>
    <w:rsid w:val="00A771C8"/>
    <w:rsid w:val="00A7720E"/>
    <w:rsid w:val="00A777C5"/>
    <w:rsid w:val="00A77D3E"/>
    <w:rsid w:val="00A77DCD"/>
    <w:rsid w:val="00A806DD"/>
    <w:rsid w:val="00A808FB"/>
    <w:rsid w:val="00A80A84"/>
    <w:rsid w:val="00A81362"/>
    <w:rsid w:val="00A81480"/>
    <w:rsid w:val="00A816B2"/>
    <w:rsid w:val="00A819E4"/>
    <w:rsid w:val="00A81DE0"/>
    <w:rsid w:val="00A822B5"/>
    <w:rsid w:val="00A82475"/>
    <w:rsid w:val="00A82770"/>
    <w:rsid w:val="00A827FC"/>
    <w:rsid w:val="00A82B75"/>
    <w:rsid w:val="00A82FF0"/>
    <w:rsid w:val="00A82FF6"/>
    <w:rsid w:val="00A831F0"/>
    <w:rsid w:val="00A8346F"/>
    <w:rsid w:val="00A836B9"/>
    <w:rsid w:val="00A837D1"/>
    <w:rsid w:val="00A83A2E"/>
    <w:rsid w:val="00A83ABD"/>
    <w:rsid w:val="00A83D3A"/>
    <w:rsid w:val="00A84474"/>
    <w:rsid w:val="00A845B3"/>
    <w:rsid w:val="00A845CC"/>
    <w:rsid w:val="00A845FA"/>
    <w:rsid w:val="00A8497A"/>
    <w:rsid w:val="00A84B42"/>
    <w:rsid w:val="00A84BD2"/>
    <w:rsid w:val="00A8529A"/>
    <w:rsid w:val="00A85449"/>
    <w:rsid w:val="00A8587B"/>
    <w:rsid w:val="00A85A87"/>
    <w:rsid w:val="00A85F72"/>
    <w:rsid w:val="00A862E6"/>
    <w:rsid w:val="00A86BB6"/>
    <w:rsid w:val="00A86F31"/>
    <w:rsid w:val="00A86F84"/>
    <w:rsid w:val="00A876D5"/>
    <w:rsid w:val="00A8797E"/>
    <w:rsid w:val="00A87BB7"/>
    <w:rsid w:val="00A87CCB"/>
    <w:rsid w:val="00A9003F"/>
    <w:rsid w:val="00A90063"/>
    <w:rsid w:val="00A90295"/>
    <w:rsid w:val="00A903F8"/>
    <w:rsid w:val="00A90410"/>
    <w:rsid w:val="00A90536"/>
    <w:rsid w:val="00A9059F"/>
    <w:rsid w:val="00A9062E"/>
    <w:rsid w:val="00A907D4"/>
    <w:rsid w:val="00A90CC9"/>
    <w:rsid w:val="00A911F0"/>
    <w:rsid w:val="00A91777"/>
    <w:rsid w:val="00A91A85"/>
    <w:rsid w:val="00A91BFA"/>
    <w:rsid w:val="00A91CE6"/>
    <w:rsid w:val="00A92014"/>
    <w:rsid w:val="00A92078"/>
    <w:rsid w:val="00A93118"/>
    <w:rsid w:val="00A931A7"/>
    <w:rsid w:val="00A9337E"/>
    <w:rsid w:val="00A936F9"/>
    <w:rsid w:val="00A9370E"/>
    <w:rsid w:val="00A937C9"/>
    <w:rsid w:val="00A93ECF"/>
    <w:rsid w:val="00A946C9"/>
    <w:rsid w:val="00A947A0"/>
    <w:rsid w:val="00A947B8"/>
    <w:rsid w:val="00A94AE2"/>
    <w:rsid w:val="00A95122"/>
    <w:rsid w:val="00A954C2"/>
    <w:rsid w:val="00A95A90"/>
    <w:rsid w:val="00A95B91"/>
    <w:rsid w:val="00A96657"/>
    <w:rsid w:val="00A9680F"/>
    <w:rsid w:val="00A9697F"/>
    <w:rsid w:val="00A96A15"/>
    <w:rsid w:val="00A96B05"/>
    <w:rsid w:val="00A96B6D"/>
    <w:rsid w:val="00A9778A"/>
    <w:rsid w:val="00A97855"/>
    <w:rsid w:val="00A97886"/>
    <w:rsid w:val="00A97F89"/>
    <w:rsid w:val="00AA008D"/>
    <w:rsid w:val="00AA00C6"/>
    <w:rsid w:val="00AA04E9"/>
    <w:rsid w:val="00AA0A43"/>
    <w:rsid w:val="00AA1382"/>
    <w:rsid w:val="00AA1AA2"/>
    <w:rsid w:val="00AA1DF8"/>
    <w:rsid w:val="00AA221E"/>
    <w:rsid w:val="00AA250D"/>
    <w:rsid w:val="00AA2965"/>
    <w:rsid w:val="00AA2A85"/>
    <w:rsid w:val="00AA304E"/>
    <w:rsid w:val="00AA31E5"/>
    <w:rsid w:val="00AA31E8"/>
    <w:rsid w:val="00AA341E"/>
    <w:rsid w:val="00AA37C9"/>
    <w:rsid w:val="00AA39DC"/>
    <w:rsid w:val="00AA4123"/>
    <w:rsid w:val="00AA4683"/>
    <w:rsid w:val="00AA485D"/>
    <w:rsid w:val="00AA4E38"/>
    <w:rsid w:val="00AA54DD"/>
    <w:rsid w:val="00AA5D0E"/>
    <w:rsid w:val="00AA5F85"/>
    <w:rsid w:val="00AA62D0"/>
    <w:rsid w:val="00AA63F5"/>
    <w:rsid w:val="00AA6530"/>
    <w:rsid w:val="00AA6782"/>
    <w:rsid w:val="00AA684C"/>
    <w:rsid w:val="00AA6D84"/>
    <w:rsid w:val="00AA6F3C"/>
    <w:rsid w:val="00AA7370"/>
    <w:rsid w:val="00AA79C3"/>
    <w:rsid w:val="00AA7C97"/>
    <w:rsid w:val="00AA7D1D"/>
    <w:rsid w:val="00AB0034"/>
    <w:rsid w:val="00AB04A9"/>
    <w:rsid w:val="00AB0777"/>
    <w:rsid w:val="00AB0A6A"/>
    <w:rsid w:val="00AB0C3E"/>
    <w:rsid w:val="00AB1472"/>
    <w:rsid w:val="00AB171F"/>
    <w:rsid w:val="00AB1FDA"/>
    <w:rsid w:val="00AB2183"/>
    <w:rsid w:val="00AB227C"/>
    <w:rsid w:val="00AB23D1"/>
    <w:rsid w:val="00AB272D"/>
    <w:rsid w:val="00AB2732"/>
    <w:rsid w:val="00AB2964"/>
    <w:rsid w:val="00AB300B"/>
    <w:rsid w:val="00AB3182"/>
    <w:rsid w:val="00AB35C2"/>
    <w:rsid w:val="00AB3712"/>
    <w:rsid w:val="00AB3D98"/>
    <w:rsid w:val="00AB48B2"/>
    <w:rsid w:val="00AB4FEC"/>
    <w:rsid w:val="00AB6052"/>
    <w:rsid w:val="00AB637A"/>
    <w:rsid w:val="00AB638B"/>
    <w:rsid w:val="00AB65D7"/>
    <w:rsid w:val="00AB6712"/>
    <w:rsid w:val="00AB6BC9"/>
    <w:rsid w:val="00AB7779"/>
    <w:rsid w:val="00AB7A76"/>
    <w:rsid w:val="00AB7C7E"/>
    <w:rsid w:val="00AC0238"/>
    <w:rsid w:val="00AC0338"/>
    <w:rsid w:val="00AC0492"/>
    <w:rsid w:val="00AC04C8"/>
    <w:rsid w:val="00AC0825"/>
    <w:rsid w:val="00AC0AB9"/>
    <w:rsid w:val="00AC10D5"/>
    <w:rsid w:val="00AC11FC"/>
    <w:rsid w:val="00AC132B"/>
    <w:rsid w:val="00AC1386"/>
    <w:rsid w:val="00AC1580"/>
    <w:rsid w:val="00AC1900"/>
    <w:rsid w:val="00AC1D4B"/>
    <w:rsid w:val="00AC21A2"/>
    <w:rsid w:val="00AC22C5"/>
    <w:rsid w:val="00AC2573"/>
    <w:rsid w:val="00AC2697"/>
    <w:rsid w:val="00AC2702"/>
    <w:rsid w:val="00AC2BAB"/>
    <w:rsid w:val="00AC30E1"/>
    <w:rsid w:val="00AC3202"/>
    <w:rsid w:val="00AC3BA8"/>
    <w:rsid w:val="00AC400D"/>
    <w:rsid w:val="00AC4010"/>
    <w:rsid w:val="00AC454C"/>
    <w:rsid w:val="00AC4919"/>
    <w:rsid w:val="00AC4EE5"/>
    <w:rsid w:val="00AC5091"/>
    <w:rsid w:val="00AC52E5"/>
    <w:rsid w:val="00AC5316"/>
    <w:rsid w:val="00AC53C3"/>
    <w:rsid w:val="00AC553F"/>
    <w:rsid w:val="00AC557F"/>
    <w:rsid w:val="00AC5C51"/>
    <w:rsid w:val="00AC5F6A"/>
    <w:rsid w:val="00AC5F8E"/>
    <w:rsid w:val="00AC6723"/>
    <w:rsid w:val="00AC6A39"/>
    <w:rsid w:val="00AC6C06"/>
    <w:rsid w:val="00AC6CFB"/>
    <w:rsid w:val="00AC6DB4"/>
    <w:rsid w:val="00AC71E5"/>
    <w:rsid w:val="00AC7603"/>
    <w:rsid w:val="00AC77F3"/>
    <w:rsid w:val="00AC7AC9"/>
    <w:rsid w:val="00AC7C8E"/>
    <w:rsid w:val="00AD037F"/>
    <w:rsid w:val="00AD0460"/>
    <w:rsid w:val="00AD05F0"/>
    <w:rsid w:val="00AD0882"/>
    <w:rsid w:val="00AD09FF"/>
    <w:rsid w:val="00AD0A8E"/>
    <w:rsid w:val="00AD0BC6"/>
    <w:rsid w:val="00AD0D1B"/>
    <w:rsid w:val="00AD0D78"/>
    <w:rsid w:val="00AD1346"/>
    <w:rsid w:val="00AD1409"/>
    <w:rsid w:val="00AD15C4"/>
    <w:rsid w:val="00AD181E"/>
    <w:rsid w:val="00AD1C34"/>
    <w:rsid w:val="00AD28A5"/>
    <w:rsid w:val="00AD2947"/>
    <w:rsid w:val="00AD29B9"/>
    <w:rsid w:val="00AD2D8B"/>
    <w:rsid w:val="00AD2DDB"/>
    <w:rsid w:val="00AD2E83"/>
    <w:rsid w:val="00AD37A7"/>
    <w:rsid w:val="00AD3957"/>
    <w:rsid w:val="00AD396B"/>
    <w:rsid w:val="00AD39EC"/>
    <w:rsid w:val="00AD3E68"/>
    <w:rsid w:val="00AD415B"/>
    <w:rsid w:val="00AD442F"/>
    <w:rsid w:val="00AD45F6"/>
    <w:rsid w:val="00AD4A74"/>
    <w:rsid w:val="00AD4B59"/>
    <w:rsid w:val="00AD4B97"/>
    <w:rsid w:val="00AD4E6A"/>
    <w:rsid w:val="00AD5747"/>
    <w:rsid w:val="00AD5C32"/>
    <w:rsid w:val="00AD5DBA"/>
    <w:rsid w:val="00AD5F2A"/>
    <w:rsid w:val="00AD6367"/>
    <w:rsid w:val="00AD64A7"/>
    <w:rsid w:val="00AD6F65"/>
    <w:rsid w:val="00AD711F"/>
    <w:rsid w:val="00AE00F3"/>
    <w:rsid w:val="00AE0152"/>
    <w:rsid w:val="00AE0851"/>
    <w:rsid w:val="00AE0A0E"/>
    <w:rsid w:val="00AE0AA9"/>
    <w:rsid w:val="00AE0FF7"/>
    <w:rsid w:val="00AE115F"/>
    <w:rsid w:val="00AE142F"/>
    <w:rsid w:val="00AE1487"/>
    <w:rsid w:val="00AE1982"/>
    <w:rsid w:val="00AE1A0E"/>
    <w:rsid w:val="00AE1C4B"/>
    <w:rsid w:val="00AE1E8E"/>
    <w:rsid w:val="00AE2025"/>
    <w:rsid w:val="00AE205C"/>
    <w:rsid w:val="00AE21D7"/>
    <w:rsid w:val="00AE22DB"/>
    <w:rsid w:val="00AE27FB"/>
    <w:rsid w:val="00AE30A3"/>
    <w:rsid w:val="00AE31FE"/>
    <w:rsid w:val="00AE3669"/>
    <w:rsid w:val="00AE383A"/>
    <w:rsid w:val="00AE3B2F"/>
    <w:rsid w:val="00AE3CB9"/>
    <w:rsid w:val="00AE4218"/>
    <w:rsid w:val="00AE4732"/>
    <w:rsid w:val="00AE55CA"/>
    <w:rsid w:val="00AE55F9"/>
    <w:rsid w:val="00AE5CF4"/>
    <w:rsid w:val="00AE5D87"/>
    <w:rsid w:val="00AE5DDB"/>
    <w:rsid w:val="00AE5E49"/>
    <w:rsid w:val="00AE61D1"/>
    <w:rsid w:val="00AE639A"/>
    <w:rsid w:val="00AE6609"/>
    <w:rsid w:val="00AE69E3"/>
    <w:rsid w:val="00AE6AA3"/>
    <w:rsid w:val="00AE6BB7"/>
    <w:rsid w:val="00AE6FF5"/>
    <w:rsid w:val="00AE70D1"/>
    <w:rsid w:val="00AE7147"/>
    <w:rsid w:val="00AE7236"/>
    <w:rsid w:val="00AE72F2"/>
    <w:rsid w:val="00AE76D3"/>
    <w:rsid w:val="00AE78FE"/>
    <w:rsid w:val="00AE7C8E"/>
    <w:rsid w:val="00AF01E0"/>
    <w:rsid w:val="00AF01EB"/>
    <w:rsid w:val="00AF06B4"/>
    <w:rsid w:val="00AF0BFD"/>
    <w:rsid w:val="00AF0EBE"/>
    <w:rsid w:val="00AF0F29"/>
    <w:rsid w:val="00AF1365"/>
    <w:rsid w:val="00AF1610"/>
    <w:rsid w:val="00AF17D6"/>
    <w:rsid w:val="00AF1CB0"/>
    <w:rsid w:val="00AF1E6D"/>
    <w:rsid w:val="00AF1F20"/>
    <w:rsid w:val="00AF22AC"/>
    <w:rsid w:val="00AF22EB"/>
    <w:rsid w:val="00AF2451"/>
    <w:rsid w:val="00AF2763"/>
    <w:rsid w:val="00AF27E9"/>
    <w:rsid w:val="00AF31C1"/>
    <w:rsid w:val="00AF3691"/>
    <w:rsid w:val="00AF378B"/>
    <w:rsid w:val="00AF3DB3"/>
    <w:rsid w:val="00AF3EAF"/>
    <w:rsid w:val="00AF4378"/>
    <w:rsid w:val="00AF471C"/>
    <w:rsid w:val="00AF4D0F"/>
    <w:rsid w:val="00AF5027"/>
    <w:rsid w:val="00AF50F6"/>
    <w:rsid w:val="00AF525D"/>
    <w:rsid w:val="00AF5433"/>
    <w:rsid w:val="00AF557E"/>
    <w:rsid w:val="00AF5765"/>
    <w:rsid w:val="00AF5F16"/>
    <w:rsid w:val="00AF6A5B"/>
    <w:rsid w:val="00AF6A9D"/>
    <w:rsid w:val="00AF6D81"/>
    <w:rsid w:val="00AF6DB9"/>
    <w:rsid w:val="00AF75E8"/>
    <w:rsid w:val="00AF78D7"/>
    <w:rsid w:val="00AF7C1C"/>
    <w:rsid w:val="00AF7FA0"/>
    <w:rsid w:val="00B004AF"/>
    <w:rsid w:val="00B00598"/>
    <w:rsid w:val="00B00751"/>
    <w:rsid w:val="00B00A3C"/>
    <w:rsid w:val="00B00E87"/>
    <w:rsid w:val="00B012C6"/>
    <w:rsid w:val="00B018DA"/>
    <w:rsid w:val="00B019F5"/>
    <w:rsid w:val="00B01D13"/>
    <w:rsid w:val="00B01E83"/>
    <w:rsid w:val="00B02010"/>
    <w:rsid w:val="00B020DD"/>
    <w:rsid w:val="00B02135"/>
    <w:rsid w:val="00B02305"/>
    <w:rsid w:val="00B026B7"/>
    <w:rsid w:val="00B0270B"/>
    <w:rsid w:val="00B02DB6"/>
    <w:rsid w:val="00B02F56"/>
    <w:rsid w:val="00B02FA3"/>
    <w:rsid w:val="00B03428"/>
    <w:rsid w:val="00B03971"/>
    <w:rsid w:val="00B03C29"/>
    <w:rsid w:val="00B0411A"/>
    <w:rsid w:val="00B0458F"/>
    <w:rsid w:val="00B046B3"/>
    <w:rsid w:val="00B04868"/>
    <w:rsid w:val="00B04B38"/>
    <w:rsid w:val="00B04BC3"/>
    <w:rsid w:val="00B04E63"/>
    <w:rsid w:val="00B051AE"/>
    <w:rsid w:val="00B051EB"/>
    <w:rsid w:val="00B05380"/>
    <w:rsid w:val="00B0538B"/>
    <w:rsid w:val="00B0561B"/>
    <w:rsid w:val="00B056F0"/>
    <w:rsid w:val="00B05BB8"/>
    <w:rsid w:val="00B05CB3"/>
    <w:rsid w:val="00B05F00"/>
    <w:rsid w:val="00B06089"/>
    <w:rsid w:val="00B062D6"/>
    <w:rsid w:val="00B063E5"/>
    <w:rsid w:val="00B0643B"/>
    <w:rsid w:val="00B06478"/>
    <w:rsid w:val="00B06CC2"/>
    <w:rsid w:val="00B06E89"/>
    <w:rsid w:val="00B07009"/>
    <w:rsid w:val="00B07811"/>
    <w:rsid w:val="00B07877"/>
    <w:rsid w:val="00B07888"/>
    <w:rsid w:val="00B079B3"/>
    <w:rsid w:val="00B07B19"/>
    <w:rsid w:val="00B07E0E"/>
    <w:rsid w:val="00B07EBC"/>
    <w:rsid w:val="00B1017A"/>
    <w:rsid w:val="00B1023D"/>
    <w:rsid w:val="00B1024F"/>
    <w:rsid w:val="00B10279"/>
    <w:rsid w:val="00B104D0"/>
    <w:rsid w:val="00B10D8D"/>
    <w:rsid w:val="00B10F2F"/>
    <w:rsid w:val="00B11172"/>
    <w:rsid w:val="00B114C3"/>
    <w:rsid w:val="00B114E9"/>
    <w:rsid w:val="00B11739"/>
    <w:rsid w:val="00B11763"/>
    <w:rsid w:val="00B11D50"/>
    <w:rsid w:val="00B120E3"/>
    <w:rsid w:val="00B12144"/>
    <w:rsid w:val="00B12167"/>
    <w:rsid w:val="00B123CE"/>
    <w:rsid w:val="00B1247C"/>
    <w:rsid w:val="00B12481"/>
    <w:rsid w:val="00B12518"/>
    <w:rsid w:val="00B1259C"/>
    <w:rsid w:val="00B12A3C"/>
    <w:rsid w:val="00B12DF7"/>
    <w:rsid w:val="00B130DE"/>
    <w:rsid w:val="00B132FB"/>
    <w:rsid w:val="00B13473"/>
    <w:rsid w:val="00B135DA"/>
    <w:rsid w:val="00B13919"/>
    <w:rsid w:val="00B13AE1"/>
    <w:rsid w:val="00B13C86"/>
    <w:rsid w:val="00B13D8D"/>
    <w:rsid w:val="00B1422B"/>
    <w:rsid w:val="00B14718"/>
    <w:rsid w:val="00B147C4"/>
    <w:rsid w:val="00B14ACC"/>
    <w:rsid w:val="00B14B4F"/>
    <w:rsid w:val="00B153F4"/>
    <w:rsid w:val="00B158EC"/>
    <w:rsid w:val="00B165F2"/>
    <w:rsid w:val="00B16647"/>
    <w:rsid w:val="00B16A49"/>
    <w:rsid w:val="00B16CFC"/>
    <w:rsid w:val="00B16DCF"/>
    <w:rsid w:val="00B16E8B"/>
    <w:rsid w:val="00B16FB2"/>
    <w:rsid w:val="00B17724"/>
    <w:rsid w:val="00B17734"/>
    <w:rsid w:val="00B1792C"/>
    <w:rsid w:val="00B1798F"/>
    <w:rsid w:val="00B17CCE"/>
    <w:rsid w:val="00B17E17"/>
    <w:rsid w:val="00B17F31"/>
    <w:rsid w:val="00B20CD7"/>
    <w:rsid w:val="00B212D0"/>
    <w:rsid w:val="00B218C1"/>
    <w:rsid w:val="00B21A38"/>
    <w:rsid w:val="00B21D0A"/>
    <w:rsid w:val="00B21D5E"/>
    <w:rsid w:val="00B21EF8"/>
    <w:rsid w:val="00B228E9"/>
    <w:rsid w:val="00B22A37"/>
    <w:rsid w:val="00B22A7E"/>
    <w:rsid w:val="00B22B2E"/>
    <w:rsid w:val="00B22E67"/>
    <w:rsid w:val="00B2307E"/>
    <w:rsid w:val="00B235D1"/>
    <w:rsid w:val="00B236B3"/>
    <w:rsid w:val="00B23A14"/>
    <w:rsid w:val="00B23BDD"/>
    <w:rsid w:val="00B23E8D"/>
    <w:rsid w:val="00B244F0"/>
    <w:rsid w:val="00B2468F"/>
    <w:rsid w:val="00B24ADB"/>
    <w:rsid w:val="00B24D04"/>
    <w:rsid w:val="00B24D95"/>
    <w:rsid w:val="00B250B6"/>
    <w:rsid w:val="00B253DE"/>
    <w:rsid w:val="00B2555C"/>
    <w:rsid w:val="00B25573"/>
    <w:rsid w:val="00B2563D"/>
    <w:rsid w:val="00B25B46"/>
    <w:rsid w:val="00B25F2F"/>
    <w:rsid w:val="00B25F47"/>
    <w:rsid w:val="00B260CD"/>
    <w:rsid w:val="00B262EC"/>
    <w:rsid w:val="00B26966"/>
    <w:rsid w:val="00B26A51"/>
    <w:rsid w:val="00B26B91"/>
    <w:rsid w:val="00B26CA5"/>
    <w:rsid w:val="00B26D66"/>
    <w:rsid w:val="00B27004"/>
    <w:rsid w:val="00B27043"/>
    <w:rsid w:val="00B2731F"/>
    <w:rsid w:val="00B27BBF"/>
    <w:rsid w:val="00B27C77"/>
    <w:rsid w:val="00B27D49"/>
    <w:rsid w:val="00B27F76"/>
    <w:rsid w:val="00B30032"/>
    <w:rsid w:val="00B3006D"/>
    <w:rsid w:val="00B303B0"/>
    <w:rsid w:val="00B305E3"/>
    <w:rsid w:val="00B30994"/>
    <w:rsid w:val="00B30B88"/>
    <w:rsid w:val="00B30BB6"/>
    <w:rsid w:val="00B30D5D"/>
    <w:rsid w:val="00B30D8D"/>
    <w:rsid w:val="00B311BF"/>
    <w:rsid w:val="00B31420"/>
    <w:rsid w:val="00B314BC"/>
    <w:rsid w:val="00B3164B"/>
    <w:rsid w:val="00B31E7D"/>
    <w:rsid w:val="00B3202F"/>
    <w:rsid w:val="00B32105"/>
    <w:rsid w:val="00B3267B"/>
    <w:rsid w:val="00B328CC"/>
    <w:rsid w:val="00B32A84"/>
    <w:rsid w:val="00B32CAF"/>
    <w:rsid w:val="00B32F38"/>
    <w:rsid w:val="00B32FF1"/>
    <w:rsid w:val="00B335A0"/>
    <w:rsid w:val="00B3367D"/>
    <w:rsid w:val="00B339C4"/>
    <w:rsid w:val="00B33A93"/>
    <w:rsid w:val="00B33EAD"/>
    <w:rsid w:val="00B3404A"/>
    <w:rsid w:val="00B34533"/>
    <w:rsid w:val="00B346B1"/>
    <w:rsid w:val="00B3474E"/>
    <w:rsid w:val="00B34852"/>
    <w:rsid w:val="00B348C7"/>
    <w:rsid w:val="00B34AAD"/>
    <w:rsid w:val="00B34C15"/>
    <w:rsid w:val="00B34CEE"/>
    <w:rsid w:val="00B34D70"/>
    <w:rsid w:val="00B34DCD"/>
    <w:rsid w:val="00B34EAC"/>
    <w:rsid w:val="00B34ED0"/>
    <w:rsid w:val="00B3506F"/>
    <w:rsid w:val="00B35144"/>
    <w:rsid w:val="00B351B2"/>
    <w:rsid w:val="00B35304"/>
    <w:rsid w:val="00B356AD"/>
    <w:rsid w:val="00B356F2"/>
    <w:rsid w:val="00B35837"/>
    <w:rsid w:val="00B35A22"/>
    <w:rsid w:val="00B35B73"/>
    <w:rsid w:val="00B364B9"/>
    <w:rsid w:val="00B366D6"/>
    <w:rsid w:val="00B36A1C"/>
    <w:rsid w:val="00B36A66"/>
    <w:rsid w:val="00B36BCE"/>
    <w:rsid w:val="00B36FF2"/>
    <w:rsid w:val="00B37998"/>
    <w:rsid w:val="00B37A4D"/>
    <w:rsid w:val="00B37ED8"/>
    <w:rsid w:val="00B409C8"/>
    <w:rsid w:val="00B40C78"/>
    <w:rsid w:val="00B412F5"/>
    <w:rsid w:val="00B418FF"/>
    <w:rsid w:val="00B41C39"/>
    <w:rsid w:val="00B41D39"/>
    <w:rsid w:val="00B41E7F"/>
    <w:rsid w:val="00B42A37"/>
    <w:rsid w:val="00B433B0"/>
    <w:rsid w:val="00B43596"/>
    <w:rsid w:val="00B43F46"/>
    <w:rsid w:val="00B43F95"/>
    <w:rsid w:val="00B446D2"/>
    <w:rsid w:val="00B44BF2"/>
    <w:rsid w:val="00B44C98"/>
    <w:rsid w:val="00B450F0"/>
    <w:rsid w:val="00B457DE"/>
    <w:rsid w:val="00B4591A"/>
    <w:rsid w:val="00B45939"/>
    <w:rsid w:val="00B459B3"/>
    <w:rsid w:val="00B461EA"/>
    <w:rsid w:val="00B46742"/>
    <w:rsid w:val="00B469EE"/>
    <w:rsid w:val="00B46AE7"/>
    <w:rsid w:val="00B46F43"/>
    <w:rsid w:val="00B46F5A"/>
    <w:rsid w:val="00B4703C"/>
    <w:rsid w:val="00B47058"/>
    <w:rsid w:val="00B47168"/>
    <w:rsid w:val="00B473DB"/>
    <w:rsid w:val="00B47776"/>
    <w:rsid w:val="00B478EB"/>
    <w:rsid w:val="00B47C5B"/>
    <w:rsid w:val="00B5002F"/>
    <w:rsid w:val="00B50190"/>
    <w:rsid w:val="00B501E8"/>
    <w:rsid w:val="00B502E9"/>
    <w:rsid w:val="00B5031A"/>
    <w:rsid w:val="00B5036B"/>
    <w:rsid w:val="00B50580"/>
    <w:rsid w:val="00B508DC"/>
    <w:rsid w:val="00B50970"/>
    <w:rsid w:val="00B50AB8"/>
    <w:rsid w:val="00B50C5A"/>
    <w:rsid w:val="00B50DB1"/>
    <w:rsid w:val="00B50FF4"/>
    <w:rsid w:val="00B51065"/>
    <w:rsid w:val="00B5151C"/>
    <w:rsid w:val="00B5151E"/>
    <w:rsid w:val="00B51976"/>
    <w:rsid w:val="00B51A82"/>
    <w:rsid w:val="00B51D3B"/>
    <w:rsid w:val="00B51E84"/>
    <w:rsid w:val="00B5229C"/>
    <w:rsid w:val="00B524F8"/>
    <w:rsid w:val="00B52667"/>
    <w:rsid w:val="00B526C0"/>
    <w:rsid w:val="00B527D8"/>
    <w:rsid w:val="00B527E1"/>
    <w:rsid w:val="00B52DF7"/>
    <w:rsid w:val="00B52DFC"/>
    <w:rsid w:val="00B537EB"/>
    <w:rsid w:val="00B53A13"/>
    <w:rsid w:val="00B53BA1"/>
    <w:rsid w:val="00B53C7B"/>
    <w:rsid w:val="00B54311"/>
    <w:rsid w:val="00B5456C"/>
    <w:rsid w:val="00B546B0"/>
    <w:rsid w:val="00B54D65"/>
    <w:rsid w:val="00B55328"/>
    <w:rsid w:val="00B5532B"/>
    <w:rsid w:val="00B555F3"/>
    <w:rsid w:val="00B55D3C"/>
    <w:rsid w:val="00B56279"/>
    <w:rsid w:val="00B563DE"/>
    <w:rsid w:val="00B566DC"/>
    <w:rsid w:val="00B567A2"/>
    <w:rsid w:val="00B5687D"/>
    <w:rsid w:val="00B56A21"/>
    <w:rsid w:val="00B5707F"/>
    <w:rsid w:val="00B5713F"/>
    <w:rsid w:val="00B57251"/>
    <w:rsid w:val="00B575B1"/>
    <w:rsid w:val="00B576CC"/>
    <w:rsid w:val="00B579A3"/>
    <w:rsid w:val="00B601BD"/>
    <w:rsid w:val="00B601E2"/>
    <w:rsid w:val="00B60F75"/>
    <w:rsid w:val="00B61731"/>
    <w:rsid w:val="00B61886"/>
    <w:rsid w:val="00B6198F"/>
    <w:rsid w:val="00B61EC7"/>
    <w:rsid w:val="00B6236B"/>
    <w:rsid w:val="00B62537"/>
    <w:rsid w:val="00B62A8D"/>
    <w:rsid w:val="00B62B57"/>
    <w:rsid w:val="00B62BED"/>
    <w:rsid w:val="00B62C6C"/>
    <w:rsid w:val="00B63237"/>
    <w:rsid w:val="00B63509"/>
    <w:rsid w:val="00B63553"/>
    <w:rsid w:val="00B636AB"/>
    <w:rsid w:val="00B636EA"/>
    <w:rsid w:val="00B6371A"/>
    <w:rsid w:val="00B63B29"/>
    <w:rsid w:val="00B63B81"/>
    <w:rsid w:val="00B63D85"/>
    <w:rsid w:val="00B646D5"/>
    <w:rsid w:val="00B64744"/>
    <w:rsid w:val="00B648F4"/>
    <w:rsid w:val="00B64BD9"/>
    <w:rsid w:val="00B6562B"/>
    <w:rsid w:val="00B658F9"/>
    <w:rsid w:val="00B65C2C"/>
    <w:rsid w:val="00B66012"/>
    <w:rsid w:val="00B661BE"/>
    <w:rsid w:val="00B66309"/>
    <w:rsid w:val="00B6633B"/>
    <w:rsid w:val="00B66933"/>
    <w:rsid w:val="00B6694E"/>
    <w:rsid w:val="00B66C09"/>
    <w:rsid w:val="00B66DB9"/>
    <w:rsid w:val="00B66E45"/>
    <w:rsid w:val="00B6729C"/>
    <w:rsid w:val="00B6778F"/>
    <w:rsid w:val="00B67D4E"/>
    <w:rsid w:val="00B701EB"/>
    <w:rsid w:val="00B70309"/>
    <w:rsid w:val="00B703C9"/>
    <w:rsid w:val="00B70456"/>
    <w:rsid w:val="00B7070F"/>
    <w:rsid w:val="00B70938"/>
    <w:rsid w:val="00B70959"/>
    <w:rsid w:val="00B709C3"/>
    <w:rsid w:val="00B71140"/>
    <w:rsid w:val="00B71774"/>
    <w:rsid w:val="00B71CE9"/>
    <w:rsid w:val="00B71F65"/>
    <w:rsid w:val="00B72124"/>
    <w:rsid w:val="00B723D9"/>
    <w:rsid w:val="00B729DD"/>
    <w:rsid w:val="00B729ED"/>
    <w:rsid w:val="00B72AC7"/>
    <w:rsid w:val="00B72DF4"/>
    <w:rsid w:val="00B72FE0"/>
    <w:rsid w:val="00B73299"/>
    <w:rsid w:val="00B73722"/>
    <w:rsid w:val="00B7390E"/>
    <w:rsid w:val="00B740D7"/>
    <w:rsid w:val="00B74299"/>
    <w:rsid w:val="00B74920"/>
    <w:rsid w:val="00B74E88"/>
    <w:rsid w:val="00B75022"/>
    <w:rsid w:val="00B7565E"/>
    <w:rsid w:val="00B758BE"/>
    <w:rsid w:val="00B75BC8"/>
    <w:rsid w:val="00B7602F"/>
    <w:rsid w:val="00B763AD"/>
    <w:rsid w:val="00B76918"/>
    <w:rsid w:val="00B76A58"/>
    <w:rsid w:val="00B76C3E"/>
    <w:rsid w:val="00B77224"/>
    <w:rsid w:val="00B7769D"/>
    <w:rsid w:val="00B77809"/>
    <w:rsid w:val="00B77845"/>
    <w:rsid w:val="00B77BC2"/>
    <w:rsid w:val="00B77D24"/>
    <w:rsid w:val="00B77D2F"/>
    <w:rsid w:val="00B801C1"/>
    <w:rsid w:val="00B80E12"/>
    <w:rsid w:val="00B80FD0"/>
    <w:rsid w:val="00B817C8"/>
    <w:rsid w:val="00B81964"/>
    <w:rsid w:val="00B81A17"/>
    <w:rsid w:val="00B81BBB"/>
    <w:rsid w:val="00B81E50"/>
    <w:rsid w:val="00B82157"/>
    <w:rsid w:val="00B82308"/>
    <w:rsid w:val="00B82472"/>
    <w:rsid w:val="00B826A0"/>
    <w:rsid w:val="00B829FC"/>
    <w:rsid w:val="00B82AE9"/>
    <w:rsid w:val="00B82D2C"/>
    <w:rsid w:val="00B83352"/>
    <w:rsid w:val="00B83742"/>
    <w:rsid w:val="00B83C6F"/>
    <w:rsid w:val="00B83E71"/>
    <w:rsid w:val="00B842BA"/>
    <w:rsid w:val="00B84358"/>
    <w:rsid w:val="00B84A96"/>
    <w:rsid w:val="00B84B00"/>
    <w:rsid w:val="00B84C53"/>
    <w:rsid w:val="00B84E23"/>
    <w:rsid w:val="00B850A9"/>
    <w:rsid w:val="00B85189"/>
    <w:rsid w:val="00B8522C"/>
    <w:rsid w:val="00B85350"/>
    <w:rsid w:val="00B8596D"/>
    <w:rsid w:val="00B85998"/>
    <w:rsid w:val="00B859CE"/>
    <w:rsid w:val="00B85A9D"/>
    <w:rsid w:val="00B85B55"/>
    <w:rsid w:val="00B86014"/>
    <w:rsid w:val="00B86465"/>
    <w:rsid w:val="00B86BCB"/>
    <w:rsid w:val="00B875BF"/>
    <w:rsid w:val="00B87770"/>
    <w:rsid w:val="00B87778"/>
    <w:rsid w:val="00B87B49"/>
    <w:rsid w:val="00B87CFF"/>
    <w:rsid w:val="00B87D71"/>
    <w:rsid w:val="00B87F5D"/>
    <w:rsid w:val="00B90245"/>
    <w:rsid w:val="00B90682"/>
    <w:rsid w:val="00B90EA8"/>
    <w:rsid w:val="00B912DD"/>
    <w:rsid w:val="00B91439"/>
    <w:rsid w:val="00B914ED"/>
    <w:rsid w:val="00B91664"/>
    <w:rsid w:val="00B91809"/>
    <w:rsid w:val="00B918DF"/>
    <w:rsid w:val="00B91B9D"/>
    <w:rsid w:val="00B91CA3"/>
    <w:rsid w:val="00B9267B"/>
    <w:rsid w:val="00B9270C"/>
    <w:rsid w:val="00B92947"/>
    <w:rsid w:val="00B92C04"/>
    <w:rsid w:val="00B93508"/>
    <w:rsid w:val="00B93999"/>
    <w:rsid w:val="00B93A3D"/>
    <w:rsid w:val="00B93C7D"/>
    <w:rsid w:val="00B9446F"/>
    <w:rsid w:val="00B947A8"/>
    <w:rsid w:val="00B94923"/>
    <w:rsid w:val="00B94989"/>
    <w:rsid w:val="00B94DC1"/>
    <w:rsid w:val="00B95222"/>
    <w:rsid w:val="00B952EA"/>
    <w:rsid w:val="00B956AE"/>
    <w:rsid w:val="00B95F6F"/>
    <w:rsid w:val="00B96466"/>
    <w:rsid w:val="00B96732"/>
    <w:rsid w:val="00B96A0B"/>
    <w:rsid w:val="00B96B54"/>
    <w:rsid w:val="00B96DDB"/>
    <w:rsid w:val="00B970CF"/>
    <w:rsid w:val="00B973E9"/>
    <w:rsid w:val="00B974CC"/>
    <w:rsid w:val="00B97625"/>
    <w:rsid w:val="00B97633"/>
    <w:rsid w:val="00B976B4"/>
    <w:rsid w:val="00B97719"/>
    <w:rsid w:val="00B97AA9"/>
    <w:rsid w:val="00B97AF0"/>
    <w:rsid w:val="00B97B11"/>
    <w:rsid w:val="00B97D30"/>
    <w:rsid w:val="00BA01BA"/>
    <w:rsid w:val="00BA0CAC"/>
    <w:rsid w:val="00BA19FC"/>
    <w:rsid w:val="00BA224B"/>
    <w:rsid w:val="00BA2454"/>
    <w:rsid w:val="00BA275B"/>
    <w:rsid w:val="00BA2874"/>
    <w:rsid w:val="00BA29E0"/>
    <w:rsid w:val="00BA2A7E"/>
    <w:rsid w:val="00BA2AE0"/>
    <w:rsid w:val="00BA2E80"/>
    <w:rsid w:val="00BA3029"/>
    <w:rsid w:val="00BA3383"/>
    <w:rsid w:val="00BA3449"/>
    <w:rsid w:val="00BA348D"/>
    <w:rsid w:val="00BA349B"/>
    <w:rsid w:val="00BA34CA"/>
    <w:rsid w:val="00BA3A80"/>
    <w:rsid w:val="00BA3AA0"/>
    <w:rsid w:val="00BA3F7D"/>
    <w:rsid w:val="00BA40D7"/>
    <w:rsid w:val="00BA416D"/>
    <w:rsid w:val="00BA4574"/>
    <w:rsid w:val="00BA4B58"/>
    <w:rsid w:val="00BA4B5F"/>
    <w:rsid w:val="00BA5193"/>
    <w:rsid w:val="00BA53BB"/>
    <w:rsid w:val="00BA57EE"/>
    <w:rsid w:val="00BA580B"/>
    <w:rsid w:val="00BA5931"/>
    <w:rsid w:val="00BA5AFF"/>
    <w:rsid w:val="00BA5FA0"/>
    <w:rsid w:val="00BA6027"/>
    <w:rsid w:val="00BA657E"/>
    <w:rsid w:val="00BA6585"/>
    <w:rsid w:val="00BA6621"/>
    <w:rsid w:val="00BA6759"/>
    <w:rsid w:val="00BA6928"/>
    <w:rsid w:val="00BA6EF2"/>
    <w:rsid w:val="00BA6F73"/>
    <w:rsid w:val="00BA7157"/>
    <w:rsid w:val="00BA7264"/>
    <w:rsid w:val="00BA72A0"/>
    <w:rsid w:val="00BA7639"/>
    <w:rsid w:val="00BA7C41"/>
    <w:rsid w:val="00BB02D5"/>
    <w:rsid w:val="00BB092F"/>
    <w:rsid w:val="00BB0A92"/>
    <w:rsid w:val="00BB0D90"/>
    <w:rsid w:val="00BB1502"/>
    <w:rsid w:val="00BB17DD"/>
    <w:rsid w:val="00BB18A9"/>
    <w:rsid w:val="00BB19B9"/>
    <w:rsid w:val="00BB1E2E"/>
    <w:rsid w:val="00BB1FFD"/>
    <w:rsid w:val="00BB20AA"/>
    <w:rsid w:val="00BB23DC"/>
    <w:rsid w:val="00BB29E5"/>
    <w:rsid w:val="00BB2AE2"/>
    <w:rsid w:val="00BB3036"/>
    <w:rsid w:val="00BB3084"/>
    <w:rsid w:val="00BB3296"/>
    <w:rsid w:val="00BB33E2"/>
    <w:rsid w:val="00BB3475"/>
    <w:rsid w:val="00BB3545"/>
    <w:rsid w:val="00BB366F"/>
    <w:rsid w:val="00BB389D"/>
    <w:rsid w:val="00BB3C74"/>
    <w:rsid w:val="00BB4143"/>
    <w:rsid w:val="00BB45EB"/>
    <w:rsid w:val="00BB46D2"/>
    <w:rsid w:val="00BB46DF"/>
    <w:rsid w:val="00BB4733"/>
    <w:rsid w:val="00BB4B04"/>
    <w:rsid w:val="00BB4C45"/>
    <w:rsid w:val="00BB4FF3"/>
    <w:rsid w:val="00BB546D"/>
    <w:rsid w:val="00BB56E8"/>
    <w:rsid w:val="00BB5A57"/>
    <w:rsid w:val="00BB5D45"/>
    <w:rsid w:val="00BB5F5A"/>
    <w:rsid w:val="00BB6218"/>
    <w:rsid w:val="00BB64A1"/>
    <w:rsid w:val="00BB6AC8"/>
    <w:rsid w:val="00BB6B37"/>
    <w:rsid w:val="00BB6CAD"/>
    <w:rsid w:val="00BB7223"/>
    <w:rsid w:val="00BB7284"/>
    <w:rsid w:val="00BB7360"/>
    <w:rsid w:val="00BB76BA"/>
    <w:rsid w:val="00BB777B"/>
    <w:rsid w:val="00BB78C5"/>
    <w:rsid w:val="00BC00CF"/>
    <w:rsid w:val="00BC0164"/>
    <w:rsid w:val="00BC040D"/>
    <w:rsid w:val="00BC0485"/>
    <w:rsid w:val="00BC04FD"/>
    <w:rsid w:val="00BC0AD3"/>
    <w:rsid w:val="00BC182C"/>
    <w:rsid w:val="00BC1878"/>
    <w:rsid w:val="00BC19BA"/>
    <w:rsid w:val="00BC19E3"/>
    <w:rsid w:val="00BC1EB7"/>
    <w:rsid w:val="00BC1F24"/>
    <w:rsid w:val="00BC2368"/>
    <w:rsid w:val="00BC25BB"/>
    <w:rsid w:val="00BC2782"/>
    <w:rsid w:val="00BC2802"/>
    <w:rsid w:val="00BC28A3"/>
    <w:rsid w:val="00BC28F5"/>
    <w:rsid w:val="00BC2A6A"/>
    <w:rsid w:val="00BC2E13"/>
    <w:rsid w:val="00BC2E4F"/>
    <w:rsid w:val="00BC31B4"/>
    <w:rsid w:val="00BC3667"/>
    <w:rsid w:val="00BC37B7"/>
    <w:rsid w:val="00BC3898"/>
    <w:rsid w:val="00BC3A33"/>
    <w:rsid w:val="00BC402A"/>
    <w:rsid w:val="00BC4126"/>
    <w:rsid w:val="00BC4A60"/>
    <w:rsid w:val="00BC4A83"/>
    <w:rsid w:val="00BC4BBC"/>
    <w:rsid w:val="00BC4DF4"/>
    <w:rsid w:val="00BC4EB3"/>
    <w:rsid w:val="00BC5032"/>
    <w:rsid w:val="00BC5A4B"/>
    <w:rsid w:val="00BC5A50"/>
    <w:rsid w:val="00BC608B"/>
    <w:rsid w:val="00BC65B0"/>
    <w:rsid w:val="00BC6855"/>
    <w:rsid w:val="00BC6BFA"/>
    <w:rsid w:val="00BC77F6"/>
    <w:rsid w:val="00BC7CC2"/>
    <w:rsid w:val="00BC7FA7"/>
    <w:rsid w:val="00BC7FFB"/>
    <w:rsid w:val="00BD02A3"/>
    <w:rsid w:val="00BD0487"/>
    <w:rsid w:val="00BD0801"/>
    <w:rsid w:val="00BD0806"/>
    <w:rsid w:val="00BD0A13"/>
    <w:rsid w:val="00BD0F37"/>
    <w:rsid w:val="00BD0F61"/>
    <w:rsid w:val="00BD10B6"/>
    <w:rsid w:val="00BD14D5"/>
    <w:rsid w:val="00BD15BC"/>
    <w:rsid w:val="00BD18E3"/>
    <w:rsid w:val="00BD1E61"/>
    <w:rsid w:val="00BD2180"/>
    <w:rsid w:val="00BD2BA2"/>
    <w:rsid w:val="00BD2E2A"/>
    <w:rsid w:val="00BD3185"/>
    <w:rsid w:val="00BD322A"/>
    <w:rsid w:val="00BD3245"/>
    <w:rsid w:val="00BD34F8"/>
    <w:rsid w:val="00BD350A"/>
    <w:rsid w:val="00BD36BD"/>
    <w:rsid w:val="00BD36FA"/>
    <w:rsid w:val="00BD379A"/>
    <w:rsid w:val="00BD389F"/>
    <w:rsid w:val="00BD394A"/>
    <w:rsid w:val="00BD3998"/>
    <w:rsid w:val="00BD3A1B"/>
    <w:rsid w:val="00BD3AB1"/>
    <w:rsid w:val="00BD45B7"/>
    <w:rsid w:val="00BD4A77"/>
    <w:rsid w:val="00BD4E94"/>
    <w:rsid w:val="00BD5082"/>
    <w:rsid w:val="00BD54EB"/>
    <w:rsid w:val="00BD550C"/>
    <w:rsid w:val="00BD5601"/>
    <w:rsid w:val="00BD569C"/>
    <w:rsid w:val="00BD56C0"/>
    <w:rsid w:val="00BD5746"/>
    <w:rsid w:val="00BD6310"/>
    <w:rsid w:val="00BD682E"/>
    <w:rsid w:val="00BD6964"/>
    <w:rsid w:val="00BD69A1"/>
    <w:rsid w:val="00BD6ADD"/>
    <w:rsid w:val="00BD6D59"/>
    <w:rsid w:val="00BD6E9F"/>
    <w:rsid w:val="00BD763C"/>
    <w:rsid w:val="00BD7AFD"/>
    <w:rsid w:val="00BD7E14"/>
    <w:rsid w:val="00BE013C"/>
    <w:rsid w:val="00BE0454"/>
    <w:rsid w:val="00BE063D"/>
    <w:rsid w:val="00BE080E"/>
    <w:rsid w:val="00BE083C"/>
    <w:rsid w:val="00BE0BF5"/>
    <w:rsid w:val="00BE133A"/>
    <w:rsid w:val="00BE172F"/>
    <w:rsid w:val="00BE1833"/>
    <w:rsid w:val="00BE1A4F"/>
    <w:rsid w:val="00BE1D25"/>
    <w:rsid w:val="00BE1FE0"/>
    <w:rsid w:val="00BE21A6"/>
    <w:rsid w:val="00BE226B"/>
    <w:rsid w:val="00BE23E8"/>
    <w:rsid w:val="00BE2887"/>
    <w:rsid w:val="00BE2973"/>
    <w:rsid w:val="00BE2DF8"/>
    <w:rsid w:val="00BE303F"/>
    <w:rsid w:val="00BE31FA"/>
    <w:rsid w:val="00BE3219"/>
    <w:rsid w:val="00BE399D"/>
    <w:rsid w:val="00BE3AE1"/>
    <w:rsid w:val="00BE3BC7"/>
    <w:rsid w:val="00BE4024"/>
    <w:rsid w:val="00BE420D"/>
    <w:rsid w:val="00BE4236"/>
    <w:rsid w:val="00BE4386"/>
    <w:rsid w:val="00BE45B2"/>
    <w:rsid w:val="00BE488E"/>
    <w:rsid w:val="00BE49E4"/>
    <w:rsid w:val="00BE4AD4"/>
    <w:rsid w:val="00BE4FF1"/>
    <w:rsid w:val="00BE532C"/>
    <w:rsid w:val="00BE54C2"/>
    <w:rsid w:val="00BE5621"/>
    <w:rsid w:val="00BE580A"/>
    <w:rsid w:val="00BE5E36"/>
    <w:rsid w:val="00BE6077"/>
    <w:rsid w:val="00BE6183"/>
    <w:rsid w:val="00BE6186"/>
    <w:rsid w:val="00BE6479"/>
    <w:rsid w:val="00BE6641"/>
    <w:rsid w:val="00BE6DD2"/>
    <w:rsid w:val="00BE6F29"/>
    <w:rsid w:val="00BE7E92"/>
    <w:rsid w:val="00BF0178"/>
    <w:rsid w:val="00BF03EF"/>
    <w:rsid w:val="00BF08AA"/>
    <w:rsid w:val="00BF1246"/>
    <w:rsid w:val="00BF128A"/>
    <w:rsid w:val="00BF1666"/>
    <w:rsid w:val="00BF26E7"/>
    <w:rsid w:val="00BF28F6"/>
    <w:rsid w:val="00BF2EA5"/>
    <w:rsid w:val="00BF31C8"/>
    <w:rsid w:val="00BF336A"/>
    <w:rsid w:val="00BF35DA"/>
    <w:rsid w:val="00BF363E"/>
    <w:rsid w:val="00BF3BF0"/>
    <w:rsid w:val="00BF3CE1"/>
    <w:rsid w:val="00BF3D02"/>
    <w:rsid w:val="00BF4233"/>
    <w:rsid w:val="00BF474E"/>
    <w:rsid w:val="00BF4CFE"/>
    <w:rsid w:val="00BF4F27"/>
    <w:rsid w:val="00BF4F69"/>
    <w:rsid w:val="00BF4FAE"/>
    <w:rsid w:val="00BF509E"/>
    <w:rsid w:val="00BF581B"/>
    <w:rsid w:val="00BF58F6"/>
    <w:rsid w:val="00BF5C42"/>
    <w:rsid w:val="00BF5E61"/>
    <w:rsid w:val="00BF60E3"/>
    <w:rsid w:val="00BF6239"/>
    <w:rsid w:val="00BF6368"/>
    <w:rsid w:val="00BF64B5"/>
    <w:rsid w:val="00BF6591"/>
    <w:rsid w:val="00BF78FF"/>
    <w:rsid w:val="00BF7E3B"/>
    <w:rsid w:val="00BF7F1B"/>
    <w:rsid w:val="00C00493"/>
    <w:rsid w:val="00C00594"/>
    <w:rsid w:val="00C00775"/>
    <w:rsid w:val="00C00816"/>
    <w:rsid w:val="00C00A4C"/>
    <w:rsid w:val="00C00A62"/>
    <w:rsid w:val="00C02041"/>
    <w:rsid w:val="00C02357"/>
    <w:rsid w:val="00C024BB"/>
    <w:rsid w:val="00C025D0"/>
    <w:rsid w:val="00C02C05"/>
    <w:rsid w:val="00C02D5D"/>
    <w:rsid w:val="00C02E46"/>
    <w:rsid w:val="00C02E92"/>
    <w:rsid w:val="00C031E3"/>
    <w:rsid w:val="00C034DD"/>
    <w:rsid w:val="00C03843"/>
    <w:rsid w:val="00C0389C"/>
    <w:rsid w:val="00C03E2B"/>
    <w:rsid w:val="00C03F6B"/>
    <w:rsid w:val="00C048B1"/>
    <w:rsid w:val="00C04A9B"/>
    <w:rsid w:val="00C04E43"/>
    <w:rsid w:val="00C04E4E"/>
    <w:rsid w:val="00C04FAE"/>
    <w:rsid w:val="00C05124"/>
    <w:rsid w:val="00C055FE"/>
    <w:rsid w:val="00C05783"/>
    <w:rsid w:val="00C057A1"/>
    <w:rsid w:val="00C05899"/>
    <w:rsid w:val="00C05A3A"/>
    <w:rsid w:val="00C05BAB"/>
    <w:rsid w:val="00C05CE4"/>
    <w:rsid w:val="00C06319"/>
    <w:rsid w:val="00C06C68"/>
    <w:rsid w:val="00C06EC7"/>
    <w:rsid w:val="00C071C8"/>
    <w:rsid w:val="00C07310"/>
    <w:rsid w:val="00C07B7F"/>
    <w:rsid w:val="00C07D81"/>
    <w:rsid w:val="00C10466"/>
    <w:rsid w:val="00C104E6"/>
    <w:rsid w:val="00C10759"/>
    <w:rsid w:val="00C1078B"/>
    <w:rsid w:val="00C10F08"/>
    <w:rsid w:val="00C10F8C"/>
    <w:rsid w:val="00C11034"/>
    <w:rsid w:val="00C1141D"/>
    <w:rsid w:val="00C1196A"/>
    <w:rsid w:val="00C11A2E"/>
    <w:rsid w:val="00C1202C"/>
    <w:rsid w:val="00C1202D"/>
    <w:rsid w:val="00C12079"/>
    <w:rsid w:val="00C12088"/>
    <w:rsid w:val="00C12B7D"/>
    <w:rsid w:val="00C134A8"/>
    <w:rsid w:val="00C13A51"/>
    <w:rsid w:val="00C13DF5"/>
    <w:rsid w:val="00C141A9"/>
    <w:rsid w:val="00C141C9"/>
    <w:rsid w:val="00C14443"/>
    <w:rsid w:val="00C14942"/>
    <w:rsid w:val="00C14D6F"/>
    <w:rsid w:val="00C150BB"/>
    <w:rsid w:val="00C154E3"/>
    <w:rsid w:val="00C15792"/>
    <w:rsid w:val="00C1613F"/>
    <w:rsid w:val="00C16210"/>
    <w:rsid w:val="00C1634F"/>
    <w:rsid w:val="00C16FB2"/>
    <w:rsid w:val="00C17072"/>
    <w:rsid w:val="00C1709C"/>
    <w:rsid w:val="00C171B6"/>
    <w:rsid w:val="00C1720C"/>
    <w:rsid w:val="00C17375"/>
    <w:rsid w:val="00C17AD2"/>
    <w:rsid w:val="00C17B78"/>
    <w:rsid w:val="00C17D5F"/>
    <w:rsid w:val="00C17E36"/>
    <w:rsid w:val="00C201DD"/>
    <w:rsid w:val="00C20515"/>
    <w:rsid w:val="00C206C7"/>
    <w:rsid w:val="00C20856"/>
    <w:rsid w:val="00C20C7E"/>
    <w:rsid w:val="00C20EAC"/>
    <w:rsid w:val="00C20F91"/>
    <w:rsid w:val="00C21207"/>
    <w:rsid w:val="00C213F5"/>
    <w:rsid w:val="00C21435"/>
    <w:rsid w:val="00C21442"/>
    <w:rsid w:val="00C21579"/>
    <w:rsid w:val="00C2195F"/>
    <w:rsid w:val="00C219E8"/>
    <w:rsid w:val="00C21A77"/>
    <w:rsid w:val="00C21A86"/>
    <w:rsid w:val="00C21B68"/>
    <w:rsid w:val="00C21D2B"/>
    <w:rsid w:val="00C21D41"/>
    <w:rsid w:val="00C21E91"/>
    <w:rsid w:val="00C22407"/>
    <w:rsid w:val="00C228C7"/>
    <w:rsid w:val="00C2296A"/>
    <w:rsid w:val="00C22A5C"/>
    <w:rsid w:val="00C22C57"/>
    <w:rsid w:val="00C22D32"/>
    <w:rsid w:val="00C2338A"/>
    <w:rsid w:val="00C23569"/>
    <w:rsid w:val="00C235D9"/>
    <w:rsid w:val="00C23798"/>
    <w:rsid w:val="00C239A4"/>
    <w:rsid w:val="00C23D40"/>
    <w:rsid w:val="00C23DEC"/>
    <w:rsid w:val="00C23FB1"/>
    <w:rsid w:val="00C24843"/>
    <w:rsid w:val="00C249B3"/>
    <w:rsid w:val="00C259DE"/>
    <w:rsid w:val="00C25B78"/>
    <w:rsid w:val="00C26894"/>
    <w:rsid w:val="00C2691D"/>
    <w:rsid w:val="00C2694D"/>
    <w:rsid w:val="00C26D91"/>
    <w:rsid w:val="00C26D9C"/>
    <w:rsid w:val="00C26F74"/>
    <w:rsid w:val="00C2727E"/>
    <w:rsid w:val="00C27328"/>
    <w:rsid w:val="00C27D59"/>
    <w:rsid w:val="00C27F15"/>
    <w:rsid w:val="00C30585"/>
    <w:rsid w:val="00C3063F"/>
    <w:rsid w:val="00C30DD1"/>
    <w:rsid w:val="00C3155F"/>
    <w:rsid w:val="00C3166D"/>
    <w:rsid w:val="00C317E7"/>
    <w:rsid w:val="00C318DE"/>
    <w:rsid w:val="00C318E0"/>
    <w:rsid w:val="00C31CC4"/>
    <w:rsid w:val="00C31E4A"/>
    <w:rsid w:val="00C32378"/>
    <w:rsid w:val="00C326CB"/>
    <w:rsid w:val="00C3280F"/>
    <w:rsid w:val="00C32863"/>
    <w:rsid w:val="00C33058"/>
    <w:rsid w:val="00C333D9"/>
    <w:rsid w:val="00C339E0"/>
    <w:rsid w:val="00C33AAD"/>
    <w:rsid w:val="00C33BB7"/>
    <w:rsid w:val="00C33D47"/>
    <w:rsid w:val="00C33DD1"/>
    <w:rsid w:val="00C33EF4"/>
    <w:rsid w:val="00C34375"/>
    <w:rsid w:val="00C34AAF"/>
    <w:rsid w:val="00C34B28"/>
    <w:rsid w:val="00C34BA8"/>
    <w:rsid w:val="00C3542A"/>
    <w:rsid w:val="00C35439"/>
    <w:rsid w:val="00C35608"/>
    <w:rsid w:val="00C35B46"/>
    <w:rsid w:val="00C35E0F"/>
    <w:rsid w:val="00C360CF"/>
    <w:rsid w:val="00C36383"/>
    <w:rsid w:val="00C36478"/>
    <w:rsid w:val="00C366BC"/>
    <w:rsid w:val="00C3686A"/>
    <w:rsid w:val="00C36B6F"/>
    <w:rsid w:val="00C36BCD"/>
    <w:rsid w:val="00C36CCA"/>
    <w:rsid w:val="00C37027"/>
    <w:rsid w:val="00C3725C"/>
    <w:rsid w:val="00C372A1"/>
    <w:rsid w:val="00C37A8A"/>
    <w:rsid w:val="00C37B20"/>
    <w:rsid w:val="00C40201"/>
    <w:rsid w:val="00C40598"/>
    <w:rsid w:val="00C4065C"/>
    <w:rsid w:val="00C409A9"/>
    <w:rsid w:val="00C4171F"/>
    <w:rsid w:val="00C417E0"/>
    <w:rsid w:val="00C41B05"/>
    <w:rsid w:val="00C41C32"/>
    <w:rsid w:val="00C420CD"/>
    <w:rsid w:val="00C42519"/>
    <w:rsid w:val="00C4255E"/>
    <w:rsid w:val="00C4298F"/>
    <w:rsid w:val="00C42CED"/>
    <w:rsid w:val="00C42EF4"/>
    <w:rsid w:val="00C43475"/>
    <w:rsid w:val="00C434C1"/>
    <w:rsid w:val="00C43627"/>
    <w:rsid w:val="00C437BA"/>
    <w:rsid w:val="00C4394A"/>
    <w:rsid w:val="00C43A00"/>
    <w:rsid w:val="00C43A17"/>
    <w:rsid w:val="00C4408C"/>
    <w:rsid w:val="00C445B4"/>
    <w:rsid w:val="00C44655"/>
    <w:rsid w:val="00C44957"/>
    <w:rsid w:val="00C44FE7"/>
    <w:rsid w:val="00C45452"/>
    <w:rsid w:val="00C4550E"/>
    <w:rsid w:val="00C45788"/>
    <w:rsid w:val="00C458F0"/>
    <w:rsid w:val="00C45ABA"/>
    <w:rsid w:val="00C46226"/>
    <w:rsid w:val="00C4624C"/>
    <w:rsid w:val="00C4651D"/>
    <w:rsid w:val="00C46AE9"/>
    <w:rsid w:val="00C46E5A"/>
    <w:rsid w:val="00C46EE3"/>
    <w:rsid w:val="00C470A7"/>
    <w:rsid w:val="00C475EF"/>
    <w:rsid w:val="00C4783F"/>
    <w:rsid w:val="00C4788E"/>
    <w:rsid w:val="00C47B0A"/>
    <w:rsid w:val="00C47BD7"/>
    <w:rsid w:val="00C47D83"/>
    <w:rsid w:val="00C47D9F"/>
    <w:rsid w:val="00C5007C"/>
    <w:rsid w:val="00C5047D"/>
    <w:rsid w:val="00C50CAE"/>
    <w:rsid w:val="00C50E0B"/>
    <w:rsid w:val="00C50F15"/>
    <w:rsid w:val="00C50F78"/>
    <w:rsid w:val="00C51441"/>
    <w:rsid w:val="00C51507"/>
    <w:rsid w:val="00C517A7"/>
    <w:rsid w:val="00C517EF"/>
    <w:rsid w:val="00C5182B"/>
    <w:rsid w:val="00C51B3E"/>
    <w:rsid w:val="00C52060"/>
    <w:rsid w:val="00C52309"/>
    <w:rsid w:val="00C5285E"/>
    <w:rsid w:val="00C5291F"/>
    <w:rsid w:val="00C534B7"/>
    <w:rsid w:val="00C53AC3"/>
    <w:rsid w:val="00C5431C"/>
    <w:rsid w:val="00C5466E"/>
    <w:rsid w:val="00C55039"/>
    <w:rsid w:val="00C55296"/>
    <w:rsid w:val="00C5559A"/>
    <w:rsid w:val="00C55669"/>
    <w:rsid w:val="00C55E97"/>
    <w:rsid w:val="00C55FBE"/>
    <w:rsid w:val="00C56163"/>
    <w:rsid w:val="00C56557"/>
    <w:rsid w:val="00C566AD"/>
    <w:rsid w:val="00C566D9"/>
    <w:rsid w:val="00C568C6"/>
    <w:rsid w:val="00C56BBB"/>
    <w:rsid w:val="00C56CBD"/>
    <w:rsid w:val="00C56FA4"/>
    <w:rsid w:val="00C570B6"/>
    <w:rsid w:val="00C57B16"/>
    <w:rsid w:val="00C57BB5"/>
    <w:rsid w:val="00C57DA2"/>
    <w:rsid w:val="00C604CF"/>
    <w:rsid w:val="00C608D8"/>
    <w:rsid w:val="00C608F7"/>
    <w:rsid w:val="00C61253"/>
    <w:rsid w:val="00C61841"/>
    <w:rsid w:val="00C61B23"/>
    <w:rsid w:val="00C61C9B"/>
    <w:rsid w:val="00C61CA6"/>
    <w:rsid w:val="00C6249E"/>
    <w:rsid w:val="00C625AE"/>
    <w:rsid w:val="00C62821"/>
    <w:rsid w:val="00C629B2"/>
    <w:rsid w:val="00C62B24"/>
    <w:rsid w:val="00C62C17"/>
    <w:rsid w:val="00C63046"/>
    <w:rsid w:val="00C63361"/>
    <w:rsid w:val="00C6341E"/>
    <w:rsid w:val="00C63697"/>
    <w:rsid w:val="00C637DC"/>
    <w:rsid w:val="00C63BB9"/>
    <w:rsid w:val="00C63FDA"/>
    <w:rsid w:val="00C640A2"/>
    <w:rsid w:val="00C64168"/>
    <w:rsid w:val="00C648D7"/>
    <w:rsid w:val="00C64935"/>
    <w:rsid w:val="00C64FC7"/>
    <w:rsid w:val="00C655E6"/>
    <w:rsid w:val="00C6587E"/>
    <w:rsid w:val="00C660A4"/>
    <w:rsid w:val="00C6626E"/>
    <w:rsid w:val="00C66679"/>
    <w:rsid w:val="00C6669B"/>
    <w:rsid w:val="00C66AE2"/>
    <w:rsid w:val="00C66B3B"/>
    <w:rsid w:val="00C66CB3"/>
    <w:rsid w:val="00C6713D"/>
    <w:rsid w:val="00C67354"/>
    <w:rsid w:val="00C674F5"/>
    <w:rsid w:val="00C6750C"/>
    <w:rsid w:val="00C6752D"/>
    <w:rsid w:val="00C675FC"/>
    <w:rsid w:val="00C676DA"/>
    <w:rsid w:val="00C67866"/>
    <w:rsid w:val="00C67941"/>
    <w:rsid w:val="00C67E6B"/>
    <w:rsid w:val="00C70272"/>
    <w:rsid w:val="00C7040E"/>
    <w:rsid w:val="00C70671"/>
    <w:rsid w:val="00C708DD"/>
    <w:rsid w:val="00C70B9F"/>
    <w:rsid w:val="00C70C46"/>
    <w:rsid w:val="00C70C96"/>
    <w:rsid w:val="00C70FC7"/>
    <w:rsid w:val="00C710F4"/>
    <w:rsid w:val="00C712BA"/>
    <w:rsid w:val="00C7133D"/>
    <w:rsid w:val="00C716AD"/>
    <w:rsid w:val="00C71C22"/>
    <w:rsid w:val="00C71C8F"/>
    <w:rsid w:val="00C71E8F"/>
    <w:rsid w:val="00C71F66"/>
    <w:rsid w:val="00C720BD"/>
    <w:rsid w:val="00C7216E"/>
    <w:rsid w:val="00C7223A"/>
    <w:rsid w:val="00C727A0"/>
    <w:rsid w:val="00C729AE"/>
    <w:rsid w:val="00C72D6C"/>
    <w:rsid w:val="00C7304A"/>
    <w:rsid w:val="00C731F7"/>
    <w:rsid w:val="00C73224"/>
    <w:rsid w:val="00C73254"/>
    <w:rsid w:val="00C7341F"/>
    <w:rsid w:val="00C738C2"/>
    <w:rsid w:val="00C739B4"/>
    <w:rsid w:val="00C7422C"/>
    <w:rsid w:val="00C74246"/>
    <w:rsid w:val="00C7426D"/>
    <w:rsid w:val="00C746B8"/>
    <w:rsid w:val="00C748C6"/>
    <w:rsid w:val="00C74E89"/>
    <w:rsid w:val="00C754FE"/>
    <w:rsid w:val="00C75C0E"/>
    <w:rsid w:val="00C75C80"/>
    <w:rsid w:val="00C75CC4"/>
    <w:rsid w:val="00C76273"/>
    <w:rsid w:val="00C764B0"/>
    <w:rsid w:val="00C764C9"/>
    <w:rsid w:val="00C76536"/>
    <w:rsid w:val="00C76875"/>
    <w:rsid w:val="00C768F1"/>
    <w:rsid w:val="00C76AF7"/>
    <w:rsid w:val="00C76EDD"/>
    <w:rsid w:val="00C773AE"/>
    <w:rsid w:val="00C77517"/>
    <w:rsid w:val="00C77862"/>
    <w:rsid w:val="00C77BB5"/>
    <w:rsid w:val="00C77C4E"/>
    <w:rsid w:val="00C802FD"/>
    <w:rsid w:val="00C80736"/>
    <w:rsid w:val="00C80D41"/>
    <w:rsid w:val="00C80F46"/>
    <w:rsid w:val="00C80F61"/>
    <w:rsid w:val="00C81247"/>
    <w:rsid w:val="00C819EC"/>
    <w:rsid w:val="00C81D63"/>
    <w:rsid w:val="00C81EE0"/>
    <w:rsid w:val="00C820E6"/>
    <w:rsid w:val="00C82626"/>
    <w:rsid w:val="00C8297B"/>
    <w:rsid w:val="00C829C2"/>
    <w:rsid w:val="00C82B26"/>
    <w:rsid w:val="00C82F88"/>
    <w:rsid w:val="00C83435"/>
    <w:rsid w:val="00C84334"/>
    <w:rsid w:val="00C84625"/>
    <w:rsid w:val="00C84767"/>
    <w:rsid w:val="00C848E1"/>
    <w:rsid w:val="00C84923"/>
    <w:rsid w:val="00C8499A"/>
    <w:rsid w:val="00C849AB"/>
    <w:rsid w:val="00C84C14"/>
    <w:rsid w:val="00C84CED"/>
    <w:rsid w:val="00C84EF9"/>
    <w:rsid w:val="00C8522C"/>
    <w:rsid w:val="00C85348"/>
    <w:rsid w:val="00C8578D"/>
    <w:rsid w:val="00C85823"/>
    <w:rsid w:val="00C859D1"/>
    <w:rsid w:val="00C859D3"/>
    <w:rsid w:val="00C85A03"/>
    <w:rsid w:val="00C85DF9"/>
    <w:rsid w:val="00C8636B"/>
    <w:rsid w:val="00C86560"/>
    <w:rsid w:val="00C86972"/>
    <w:rsid w:val="00C87414"/>
    <w:rsid w:val="00C8793F"/>
    <w:rsid w:val="00C87A22"/>
    <w:rsid w:val="00C87A63"/>
    <w:rsid w:val="00C87BEB"/>
    <w:rsid w:val="00C87C10"/>
    <w:rsid w:val="00C87DC2"/>
    <w:rsid w:val="00C90077"/>
    <w:rsid w:val="00C90288"/>
    <w:rsid w:val="00C903C6"/>
    <w:rsid w:val="00C905EC"/>
    <w:rsid w:val="00C90AC6"/>
    <w:rsid w:val="00C90E4F"/>
    <w:rsid w:val="00C90E85"/>
    <w:rsid w:val="00C91097"/>
    <w:rsid w:val="00C91218"/>
    <w:rsid w:val="00C912F2"/>
    <w:rsid w:val="00C9134B"/>
    <w:rsid w:val="00C91435"/>
    <w:rsid w:val="00C918F6"/>
    <w:rsid w:val="00C9193E"/>
    <w:rsid w:val="00C91ABB"/>
    <w:rsid w:val="00C91C35"/>
    <w:rsid w:val="00C91DE4"/>
    <w:rsid w:val="00C91FB2"/>
    <w:rsid w:val="00C9201B"/>
    <w:rsid w:val="00C920B8"/>
    <w:rsid w:val="00C923B5"/>
    <w:rsid w:val="00C923F2"/>
    <w:rsid w:val="00C92E5C"/>
    <w:rsid w:val="00C9336A"/>
    <w:rsid w:val="00C935A9"/>
    <w:rsid w:val="00C9371C"/>
    <w:rsid w:val="00C9381C"/>
    <w:rsid w:val="00C938AB"/>
    <w:rsid w:val="00C93B59"/>
    <w:rsid w:val="00C93EE7"/>
    <w:rsid w:val="00C94817"/>
    <w:rsid w:val="00C948F8"/>
    <w:rsid w:val="00C94B78"/>
    <w:rsid w:val="00C94C4B"/>
    <w:rsid w:val="00C9511E"/>
    <w:rsid w:val="00C95A02"/>
    <w:rsid w:val="00C9663A"/>
    <w:rsid w:val="00C96C87"/>
    <w:rsid w:val="00C96F0D"/>
    <w:rsid w:val="00C96F0E"/>
    <w:rsid w:val="00C970DA"/>
    <w:rsid w:val="00C9717E"/>
    <w:rsid w:val="00C9728C"/>
    <w:rsid w:val="00C974D4"/>
    <w:rsid w:val="00C9752E"/>
    <w:rsid w:val="00C976BF"/>
    <w:rsid w:val="00C976D4"/>
    <w:rsid w:val="00C9774C"/>
    <w:rsid w:val="00C97D1E"/>
    <w:rsid w:val="00C97D65"/>
    <w:rsid w:val="00C97D9C"/>
    <w:rsid w:val="00C97EE9"/>
    <w:rsid w:val="00CA0066"/>
    <w:rsid w:val="00CA03ED"/>
    <w:rsid w:val="00CA05E9"/>
    <w:rsid w:val="00CA05F9"/>
    <w:rsid w:val="00CA0A1A"/>
    <w:rsid w:val="00CA0D5D"/>
    <w:rsid w:val="00CA10BA"/>
    <w:rsid w:val="00CA1176"/>
    <w:rsid w:val="00CA1894"/>
    <w:rsid w:val="00CA1B27"/>
    <w:rsid w:val="00CA1B78"/>
    <w:rsid w:val="00CA21DD"/>
    <w:rsid w:val="00CA2247"/>
    <w:rsid w:val="00CA22F4"/>
    <w:rsid w:val="00CA2B42"/>
    <w:rsid w:val="00CA2BFA"/>
    <w:rsid w:val="00CA2E86"/>
    <w:rsid w:val="00CA2F91"/>
    <w:rsid w:val="00CA2FEC"/>
    <w:rsid w:val="00CA3303"/>
    <w:rsid w:val="00CA34B2"/>
    <w:rsid w:val="00CA35DB"/>
    <w:rsid w:val="00CA382E"/>
    <w:rsid w:val="00CA3B0A"/>
    <w:rsid w:val="00CA4263"/>
    <w:rsid w:val="00CA4577"/>
    <w:rsid w:val="00CA4793"/>
    <w:rsid w:val="00CA4868"/>
    <w:rsid w:val="00CA49D8"/>
    <w:rsid w:val="00CA4A58"/>
    <w:rsid w:val="00CA4E45"/>
    <w:rsid w:val="00CA4F6A"/>
    <w:rsid w:val="00CA51E8"/>
    <w:rsid w:val="00CA55D4"/>
    <w:rsid w:val="00CA5655"/>
    <w:rsid w:val="00CA5AD6"/>
    <w:rsid w:val="00CA5BC0"/>
    <w:rsid w:val="00CA5BEA"/>
    <w:rsid w:val="00CA5C6E"/>
    <w:rsid w:val="00CA6017"/>
    <w:rsid w:val="00CA62CB"/>
    <w:rsid w:val="00CA6434"/>
    <w:rsid w:val="00CA679A"/>
    <w:rsid w:val="00CA6A21"/>
    <w:rsid w:val="00CA6A5B"/>
    <w:rsid w:val="00CA6DDD"/>
    <w:rsid w:val="00CA75B2"/>
    <w:rsid w:val="00CA7C02"/>
    <w:rsid w:val="00CA7D88"/>
    <w:rsid w:val="00CA7EF0"/>
    <w:rsid w:val="00CB0872"/>
    <w:rsid w:val="00CB0873"/>
    <w:rsid w:val="00CB0A0B"/>
    <w:rsid w:val="00CB0CEB"/>
    <w:rsid w:val="00CB14D6"/>
    <w:rsid w:val="00CB1667"/>
    <w:rsid w:val="00CB19F9"/>
    <w:rsid w:val="00CB1A77"/>
    <w:rsid w:val="00CB1B1E"/>
    <w:rsid w:val="00CB1D4F"/>
    <w:rsid w:val="00CB1FE2"/>
    <w:rsid w:val="00CB20BA"/>
    <w:rsid w:val="00CB231C"/>
    <w:rsid w:val="00CB2392"/>
    <w:rsid w:val="00CB2460"/>
    <w:rsid w:val="00CB2585"/>
    <w:rsid w:val="00CB2B58"/>
    <w:rsid w:val="00CB30E2"/>
    <w:rsid w:val="00CB36A2"/>
    <w:rsid w:val="00CB3AC9"/>
    <w:rsid w:val="00CB42AB"/>
    <w:rsid w:val="00CB438B"/>
    <w:rsid w:val="00CB43FC"/>
    <w:rsid w:val="00CB4AFE"/>
    <w:rsid w:val="00CB4C9C"/>
    <w:rsid w:val="00CB4DC1"/>
    <w:rsid w:val="00CB5557"/>
    <w:rsid w:val="00CB58B9"/>
    <w:rsid w:val="00CB5C68"/>
    <w:rsid w:val="00CB5DD2"/>
    <w:rsid w:val="00CB5EB4"/>
    <w:rsid w:val="00CB5EF2"/>
    <w:rsid w:val="00CB628D"/>
    <w:rsid w:val="00CB631B"/>
    <w:rsid w:val="00CB647E"/>
    <w:rsid w:val="00CB653A"/>
    <w:rsid w:val="00CB6A5D"/>
    <w:rsid w:val="00CB6B1A"/>
    <w:rsid w:val="00CB6F00"/>
    <w:rsid w:val="00CB718C"/>
    <w:rsid w:val="00CB719C"/>
    <w:rsid w:val="00CB770F"/>
    <w:rsid w:val="00CB7CB2"/>
    <w:rsid w:val="00CB7E5B"/>
    <w:rsid w:val="00CB7EF7"/>
    <w:rsid w:val="00CC0548"/>
    <w:rsid w:val="00CC0B87"/>
    <w:rsid w:val="00CC0C59"/>
    <w:rsid w:val="00CC146C"/>
    <w:rsid w:val="00CC16A5"/>
    <w:rsid w:val="00CC170D"/>
    <w:rsid w:val="00CC17D9"/>
    <w:rsid w:val="00CC19C3"/>
    <w:rsid w:val="00CC1B3E"/>
    <w:rsid w:val="00CC23DB"/>
    <w:rsid w:val="00CC26F5"/>
    <w:rsid w:val="00CC27FD"/>
    <w:rsid w:val="00CC2B29"/>
    <w:rsid w:val="00CC2C1E"/>
    <w:rsid w:val="00CC2CF3"/>
    <w:rsid w:val="00CC2E4E"/>
    <w:rsid w:val="00CC3773"/>
    <w:rsid w:val="00CC3CF5"/>
    <w:rsid w:val="00CC4011"/>
    <w:rsid w:val="00CC4044"/>
    <w:rsid w:val="00CC40BB"/>
    <w:rsid w:val="00CC4212"/>
    <w:rsid w:val="00CC4357"/>
    <w:rsid w:val="00CC4F36"/>
    <w:rsid w:val="00CC5067"/>
    <w:rsid w:val="00CC5276"/>
    <w:rsid w:val="00CC5373"/>
    <w:rsid w:val="00CC5445"/>
    <w:rsid w:val="00CC55A8"/>
    <w:rsid w:val="00CC5B81"/>
    <w:rsid w:val="00CC5DA6"/>
    <w:rsid w:val="00CC602D"/>
    <w:rsid w:val="00CC6036"/>
    <w:rsid w:val="00CC68A0"/>
    <w:rsid w:val="00CC6B21"/>
    <w:rsid w:val="00CC71DD"/>
    <w:rsid w:val="00CC7346"/>
    <w:rsid w:val="00CC76D8"/>
    <w:rsid w:val="00CC7A35"/>
    <w:rsid w:val="00CC7CA2"/>
    <w:rsid w:val="00CC7D4C"/>
    <w:rsid w:val="00CC7F73"/>
    <w:rsid w:val="00CD0044"/>
    <w:rsid w:val="00CD03DC"/>
    <w:rsid w:val="00CD043D"/>
    <w:rsid w:val="00CD0A03"/>
    <w:rsid w:val="00CD0AEC"/>
    <w:rsid w:val="00CD0F71"/>
    <w:rsid w:val="00CD0FE4"/>
    <w:rsid w:val="00CD1001"/>
    <w:rsid w:val="00CD1281"/>
    <w:rsid w:val="00CD1750"/>
    <w:rsid w:val="00CD17BC"/>
    <w:rsid w:val="00CD1A53"/>
    <w:rsid w:val="00CD1BF2"/>
    <w:rsid w:val="00CD1CFE"/>
    <w:rsid w:val="00CD1D4A"/>
    <w:rsid w:val="00CD1E11"/>
    <w:rsid w:val="00CD2155"/>
    <w:rsid w:val="00CD21ED"/>
    <w:rsid w:val="00CD270F"/>
    <w:rsid w:val="00CD2962"/>
    <w:rsid w:val="00CD2C6E"/>
    <w:rsid w:val="00CD2C75"/>
    <w:rsid w:val="00CD2C85"/>
    <w:rsid w:val="00CD2EEB"/>
    <w:rsid w:val="00CD2F92"/>
    <w:rsid w:val="00CD334C"/>
    <w:rsid w:val="00CD3740"/>
    <w:rsid w:val="00CD3BB0"/>
    <w:rsid w:val="00CD4086"/>
    <w:rsid w:val="00CD4215"/>
    <w:rsid w:val="00CD4258"/>
    <w:rsid w:val="00CD455B"/>
    <w:rsid w:val="00CD4620"/>
    <w:rsid w:val="00CD4D3D"/>
    <w:rsid w:val="00CD4FFE"/>
    <w:rsid w:val="00CD56A1"/>
    <w:rsid w:val="00CD583B"/>
    <w:rsid w:val="00CD59F3"/>
    <w:rsid w:val="00CD5C31"/>
    <w:rsid w:val="00CD5C9F"/>
    <w:rsid w:val="00CD638D"/>
    <w:rsid w:val="00CD64A0"/>
    <w:rsid w:val="00CD6B73"/>
    <w:rsid w:val="00CD6C2F"/>
    <w:rsid w:val="00CD6E4D"/>
    <w:rsid w:val="00CD715B"/>
    <w:rsid w:val="00CD7578"/>
    <w:rsid w:val="00CD779B"/>
    <w:rsid w:val="00CD7931"/>
    <w:rsid w:val="00CD799D"/>
    <w:rsid w:val="00CD7E3E"/>
    <w:rsid w:val="00CE0E06"/>
    <w:rsid w:val="00CE11E6"/>
    <w:rsid w:val="00CE13C6"/>
    <w:rsid w:val="00CE1520"/>
    <w:rsid w:val="00CE1957"/>
    <w:rsid w:val="00CE1A6D"/>
    <w:rsid w:val="00CE1DF9"/>
    <w:rsid w:val="00CE1F60"/>
    <w:rsid w:val="00CE2336"/>
    <w:rsid w:val="00CE25F8"/>
    <w:rsid w:val="00CE2E27"/>
    <w:rsid w:val="00CE31AD"/>
    <w:rsid w:val="00CE329A"/>
    <w:rsid w:val="00CE3AA0"/>
    <w:rsid w:val="00CE3E5A"/>
    <w:rsid w:val="00CE47DD"/>
    <w:rsid w:val="00CE4935"/>
    <w:rsid w:val="00CE49DD"/>
    <w:rsid w:val="00CE4C6F"/>
    <w:rsid w:val="00CE4D5A"/>
    <w:rsid w:val="00CE5175"/>
    <w:rsid w:val="00CE51CC"/>
    <w:rsid w:val="00CE534F"/>
    <w:rsid w:val="00CE5416"/>
    <w:rsid w:val="00CE5721"/>
    <w:rsid w:val="00CE58FD"/>
    <w:rsid w:val="00CE59DA"/>
    <w:rsid w:val="00CE5F64"/>
    <w:rsid w:val="00CE71F9"/>
    <w:rsid w:val="00CE7361"/>
    <w:rsid w:val="00CE75F2"/>
    <w:rsid w:val="00CE7915"/>
    <w:rsid w:val="00CE7A06"/>
    <w:rsid w:val="00CE7AF5"/>
    <w:rsid w:val="00CE7E11"/>
    <w:rsid w:val="00CE7E72"/>
    <w:rsid w:val="00CE7FF1"/>
    <w:rsid w:val="00CF0919"/>
    <w:rsid w:val="00CF0ABB"/>
    <w:rsid w:val="00CF1633"/>
    <w:rsid w:val="00CF17FB"/>
    <w:rsid w:val="00CF1ECE"/>
    <w:rsid w:val="00CF1F99"/>
    <w:rsid w:val="00CF221F"/>
    <w:rsid w:val="00CF2277"/>
    <w:rsid w:val="00CF24EF"/>
    <w:rsid w:val="00CF2E7E"/>
    <w:rsid w:val="00CF3F79"/>
    <w:rsid w:val="00CF49D2"/>
    <w:rsid w:val="00CF5137"/>
    <w:rsid w:val="00CF513A"/>
    <w:rsid w:val="00CF5466"/>
    <w:rsid w:val="00CF584F"/>
    <w:rsid w:val="00CF58F1"/>
    <w:rsid w:val="00CF5D11"/>
    <w:rsid w:val="00CF5EC2"/>
    <w:rsid w:val="00CF5EFB"/>
    <w:rsid w:val="00CF6E2A"/>
    <w:rsid w:val="00CF7436"/>
    <w:rsid w:val="00CF793A"/>
    <w:rsid w:val="00CF79CB"/>
    <w:rsid w:val="00CF7A25"/>
    <w:rsid w:val="00CF7AC6"/>
    <w:rsid w:val="00CF7B2A"/>
    <w:rsid w:val="00CF7DB5"/>
    <w:rsid w:val="00CF7F64"/>
    <w:rsid w:val="00D00019"/>
    <w:rsid w:val="00D0045F"/>
    <w:rsid w:val="00D00AF5"/>
    <w:rsid w:val="00D00BFD"/>
    <w:rsid w:val="00D00D73"/>
    <w:rsid w:val="00D0186F"/>
    <w:rsid w:val="00D01981"/>
    <w:rsid w:val="00D01AAB"/>
    <w:rsid w:val="00D01B10"/>
    <w:rsid w:val="00D02CED"/>
    <w:rsid w:val="00D02D9F"/>
    <w:rsid w:val="00D0302B"/>
    <w:rsid w:val="00D0305C"/>
    <w:rsid w:val="00D030D2"/>
    <w:rsid w:val="00D031ED"/>
    <w:rsid w:val="00D03410"/>
    <w:rsid w:val="00D035BB"/>
    <w:rsid w:val="00D0385A"/>
    <w:rsid w:val="00D04298"/>
    <w:rsid w:val="00D04827"/>
    <w:rsid w:val="00D04BCA"/>
    <w:rsid w:val="00D04FA2"/>
    <w:rsid w:val="00D0501F"/>
    <w:rsid w:val="00D051C1"/>
    <w:rsid w:val="00D05411"/>
    <w:rsid w:val="00D05572"/>
    <w:rsid w:val="00D056EB"/>
    <w:rsid w:val="00D056EE"/>
    <w:rsid w:val="00D05B26"/>
    <w:rsid w:val="00D05DC2"/>
    <w:rsid w:val="00D05F66"/>
    <w:rsid w:val="00D06226"/>
    <w:rsid w:val="00D06913"/>
    <w:rsid w:val="00D07141"/>
    <w:rsid w:val="00D07623"/>
    <w:rsid w:val="00D07CB4"/>
    <w:rsid w:val="00D07DF9"/>
    <w:rsid w:val="00D07F75"/>
    <w:rsid w:val="00D10C8D"/>
    <w:rsid w:val="00D11C25"/>
    <w:rsid w:val="00D11DAC"/>
    <w:rsid w:val="00D121FA"/>
    <w:rsid w:val="00D126B9"/>
    <w:rsid w:val="00D127AB"/>
    <w:rsid w:val="00D12919"/>
    <w:rsid w:val="00D12A9F"/>
    <w:rsid w:val="00D12AD2"/>
    <w:rsid w:val="00D13864"/>
    <w:rsid w:val="00D13CBE"/>
    <w:rsid w:val="00D14127"/>
    <w:rsid w:val="00D1431F"/>
    <w:rsid w:val="00D143EB"/>
    <w:rsid w:val="00D14556"/>
    <w:rsid w:val="00D148D2"/>
    <w:rsid w:val="00D149FD"/>
    <w:rsid w:val="00D14A1D"/>
    <w:rsid w:val="00D14B30"/>
    <w:rsid w:val="00D14EB6"/>
    <w:rsid w:val="00D14F9C"/>
    <w:rsid w:val="00D15649"/>
    <w:rsid w:val="00D1569E"/>
    <w:rsid w:val="00D15874"/>
    <w:rsid w:val="00D15BA9"/>
    <w:rsid w:val="00D15E87"/>
    <w:rsid w:val="00D16298"/>
    <w:rsid w:val="00D163D0"/>
    <w:rsid w:val="00D16642"/>
    <w:rsid w:val="00D166F7"/>
    <w:rsid w:val="00D1671B"/>
    <w:rsid w:val="00D17648"/>
    <w:rsid w:val="00D17712"/>
    <w:rsid w:val="00D1797C"/>
    <w:rsid w:val="00D20532"/>
    <w:rsid w:val="00D2067C"/>
    <w:rsid w:val="00D206DF"/>
    <w:rsid w:val="00D20751"/>
    <w:rsid w:val="00D20A8F"/>
    <w:rsid w:val="00D20ADB"/>
    <w:rsid w:val="00D20E5D"/>
    <w:rsid w:val="00D20FF2"/>
    <w:rsid w:val="00D21518"/>
    <w:rsid w:val="00D21675"/>
    <w:rsid w:val="00D217C4"/>
    <w:rsid w:val="00D218B2"/>
    <w:rsid w:val="00D21A33"/>
    <w:rsid w:val="00D2217B"/>
    <w:rsid w:val="00D22427"/>
    <w:rsid w:val="00D2247C"/>
    <w:rsid w:val="00D2296E"/>
    <w:rsid w:val="00D22D8A"/>
    <w:rsid w:val="00D22E09"/>
    <w:rsid w:val="00D236CB"/>
    <w:rsid w:val="00D237FF"/>
    <w:rsid w:val="00D23881"/>
    <w:rsid w:val="00D239C2"/>
    <w:rsid w:val="00D23AC5"/>
    <w:rsid w:val="00D23ED7"/>
    <w:rsid w:val="00D24C00"/>
    <w:rsid w:val="00D24D86"/>
    <w:rsid w:val="00D24E47"/>
    <w:rsid w:val="00D25347"/>
    <w:rsid w:val="00D2540E"/>
    <w:rsid w:val="00D255B3"/>
    <w:rsid w:val="00D255E5"/>
    <w:rsid w:val="00D25921"/>
    <w:rsid w:val="00D25A24"/>
    <w:rsid w:val="00D25A6F"/>
    <w:rsid w:val="00D26353"/>
    <w:rsid w:val="00D264A1"/>
    <w:rsid w:val="00D264AC"/>
    <w:rsid w:val="00D264C7"/>
    <w:rsid w:val="00D267D2"/>
    <w:rsid w:val="00D269B9"/>
    <w:rsid w:val="00D26AD7"/>
    <w:rsid w:val="00D26D60"/>
    <w:rsid w:val="00D27308"/>
    <w:rsid w:val="00D273DB"/>
    <w:rsid w:val="00D27455"/>
    <w:rsid w:val="00D274E6"/>
    <w:rsid w:val="00D279B6"/>
    <w:rsid w:val="00D27B65"/>
    <w:rsid w:val="00D30BB5"/>
    <w:rsid w:val="00D31096"/>
    <w:rsid w:val="00D310E5"/>
    <w:rsid w:val="00D31113"/>
    <w:rsid w:val="00D31144"/>
    <w:rsid w:val="00D31906"/>
    <w:rsid w:val="00D31B7C"/>
    <w:rsid w:val="00D31CAD"/>
    <w:rsid w:val="00D31E90"/>
    <w:rsid w:val="00D31EDC"/>
    <w:rsid w:val="00D324CB"/>
    <w:rsid w:val="00D32543"/>
    <w:rsid w:val="00D325A9"/>
    <w:rsid w:val="00D33762"/>
    <w:rsid w:val="00D33A20"/>
    <w:rsid w:val="00D33D90"/>
    <w:rsid w:val="00D33EDC"/>
    <w:rsid w:val="00D340D8"/>
    <w:rsid w:val="00D3419F"/>
    <w:rsid w:val="00D34865"/>
    <w:rsid w:val="00D35334"/>
    <w:rsid w:val="00D35754"/>
    <w:rsid w:val="00D3578E"/>
    <w:rsid w:val="00D3599D"/>
    <w:rsid w:val="00D35E92"/>
    <w:rsid w:val="00D35F8A"/>
    <w:rsid w:val="00D361E1"/>
    <w:rsid w:val="00D3623C"/>
    <w:rsid w:val="00D3671B"/>
    <w:rsid w:val="00D36760"/>
    <w:rsid w:val="00D368E6"/>
    <w:rsid w:val="00D36A34"/>
    <w:rsid w:val="00D36F0F"/>
    <w:rsid w:val="00D37035"/>
    <w:rsid w:val="00D370A1"/>
    <w:rsid w:val="00D374A4"/>
    <w:rsid w:val="00D37804"/>
    <w:rsid w:val="00D40363"/>
    <w:rsid w:val="00D40424"/>
    <w:rsid w:val="00D4042F"/>
    <w:rsid w:val="00D4058C"/>
    <w:rsid w:val="00D4065F"/>
    <w:rsid w:val="00D40B68"/>
    <w:rsid w:val="00D40C08"/>
    <w:rsid w:val="00D40F13"/>
    <w:rsid w:val="00D4152A"/>
    <w:rsid w:val="00D418C3"/>
    <w:rsid w:val="00D419DF"/>
    <w:rsid w:val="00D41E5A"/>
    <w:rsid w:val="00D42148"/>
    <w:rsid w:val="00D4216F"/>
    <w:rsid w:val="00D42278"/>
    <w:rsid w:val="00D42CD4"/>
    <w:rsid w:val="00D42D42"/>
    <w:rsid w:val="00D42EF1"/>
    <w:rsid w:val="00D43752"/>
    <w:rsid w:val="00D4377E"/>
    <w:rsid w:val="00D43B2F"/>
    <w:rsid w:val="00D43B88"/>
    <w:rsid w:val="00D43BFA"/>
    <w:rsid w:val="00D43D16"/>
    <w:rsid w:val="00D44033"/>
    <w:rsid w:val="00D440BC"/>
    <w:rsid w:val="00D4442B"/>
    <w:rsid w:val="00D444C8"/>
    <w:rsid w:val="00D44A82"/>
    <w:rsid w:val="00D44C2A"/>
    <w:rsid w:val="00D450F4"/>
    <w:rsid w:val="00D4535B"/>
    <w:rsid w:val="00D455EB"/>
    <w:rsid w:val="00D4570E"/>
    <w:rsid w:val="00D45710"/>
    <w:rsid w:val="00D458D6"/>
    <w:rsid w:val="00D45FEF"/>
    <w:rsid w:val="00D4616D"/>
    <w:rsid w:val="00D4686B"/>
    <w:rsid w:val="00D46B33"/>
    <w:rsid w:val="00D46B70"/>
    <w:rsid w:val="00D46EC7"/>
    <w:rsid w:val="00D46FDB"/>
    <w:rsid w:val="00D4703B"/>
    <w:rsid w:val="00D475AA"/>
    <w:rsid w:val="00D47A4E"/>
    <w:rsid w:val="00D47B0F"/>
    <w:rsid w:val="00D47EB5"/>
    <w:rsid w:val="00D50B7F"/>
    <w:rsid w:val="00D50FC9"/>
    <w:rsid w:val="00D5106A"/>
    <w:rsid w:val="00D510BF"/>
    <w:rsid w:val="00D51231"/>
    <w:rsid w:val="00D515B2"/>
    <w:rsid w:val="00D51609"/>
    <w:rsid w:val="00D516DF"/>
    <w:rsid w:val="00D518BC"/>
    <w:rsid w:val="00D52158"/>
    <w:rsid w:val="00D52195"/>
    <w:rsid w:val="00D52442"/>
    <w:rsid w:val="00D52457"/>
    <w:rsid w:val="00D52518"/>
    <w:rsid w:val="00D525F2"/>
    <w:rsid w:val="00D52A45"/>
    <w:rsid w:val="00D52BB6"/>
    <w:rsid w:val="00D52C4B"/>
    <w:rsid w:val="00D52F11"/>
    <w:rsid w:val="00D52F68"/>
    <w:rsid w:val="00D5315D"/>
    <w:rsid w:val="00D53313"/>
    <w:rsid w:val="00D53510"/>
    <w:rsid w:val="00D53582"/>
    <w:rsid w:val="00D5388A"/>
    <w:rsid w:val="00D53CF3"/>
    <w:rsid w:val="00D53D85"/>
    <w:rsid w:val="00D53E21"/>
    <w:rsid w:val="00D54570"/>
    <w:rsid w:val="00D54616"/>
    <w:rsid w:val="00D5463C"/>
    <w:rsid w:val="00D54F85"/>
    <w:rsid w:val="00D55012"/>
    <w:rsid w:val="00D5515E"/>
    <w:rsid w:val="00D555B5"/>
    <w:rsid w:val="00D55BB6"/>
    <w:rsid w:val="00D55D86"/>
    <w:rsid w:val="00D560C0"/>
    <w:rsid w:val="00D56276"/>
    <w:rsid w:val="00D566E2"/>
    <w:rsid w:val="00D569BA"/>
    <w:rsid w:val="00D569E5"/>
    <w:rsid w:val="00D57134"/>
    <w:rsid w:val="00D572ED"/>
    <w:rsid w:val="00D57E53"/>
    <w:rsid w:val="00D601BF"/>
    <w:rsid w:val="00D603BC"/>
    <w:rsid w:val="00D60829"/>
    <w:rsid w:val="00D609F7"/>
    <w:rsid w:val="00D60DB9"/>
    <w:rsid w:val="00D61155"/>
    <w:rsid w:val="00D6118E"/>
    <w:rsid w:val="00D61956"/>
    <w:rsid w:val="00D61B22"/>
    <w:rsid w:val="00D61CD7"/>
    <w:rsid w:val="00D62134"/>
    <w:rsid w:val="00D6213E"/>
    <w:rsid w:val="00D6237E"/>
    <w:rsid w:val="00D6256D"/>
    <w:rsid w:val="00D62C3F"/>
    <w:rsid w:val="00D62CBB"/>
    <w:rsid w:val="00D62E23"/>
    <w:rsid w:val="00D62F40"/>
    <w:rsid w:val="00D63590"/>
    <w:rsid w:val="00D63DA2"/>
    <w:rsid w:val="00D642E0"/>
    <w:rsid w:val="00D644B0"/>
    <w:rsid w:val="00D64C94"/>
    <w:rsid w:val="00D6592B"/>
    <w:rsid w:val="00D65D67"/>
    <w:rsid w:val="00D66C33"/>
    <w:rsid w:val="00D6704A"/>
    <w:rsid w:val="00D67493"/>
    <w:rsid w:val="00D67DB7"/>
    <w:rsid w:val="00D7050A"/>
    <w:rsid w:val="00D70754"/>
    <w:rsid w:val="00D70983"/>
    <w:rsid w:val="00D709AD"/>
    <w:rsid w:val="00D70AEC"/>
    <w:rsid w:val="00D70B86"/>
    <w:rsid w:val="00D70B9E"/>
    <w:rsid w:val="00D71305"/>
    <w:rsid w:val="00D7135B"/>
    <w:rsid w:val="00D71579"/>
    <w:rsid w:val="00D71C98"/>
    <w:rsid w:val="00D71CEA"/>
    <w:rsid w:val="00D71E92"/>
    <w:rsid w:val="00D724AE"/>
    <w:rsid w:val="00D7288B"/>
    <w:rsid w:val="00D72D03"/>
    <w:rsid w:val="00D72F56"/>
    <w:rsid w:val="00D72FFD"/>
    <w:rsid w:val="00D7360E"/>
    <w:rsid w:val="00D73989"/>
    <w:rsid w:val="00D73AC4"/>
    <w:rsid w:val="00D73C85"/>
    <w:rsid w:val="00D73CA5"/>
    <w:rsid w:val="00D73E24"/>
    <w:rsid w:val="00D74049"/>
    <w:rsid w:val="00D74160"/>
    <w:rsid w:val="00D741A6"/>
    <w:rsid w:val="00D74718"/>
    <w:rsid w:val="00D74C37"/>
    <w:rsid w:val="00D7536C"/>
    <w:rsid w:val="00D753A9"/>
    <w:rsid w:val="00D754F9"/>
    <w:rsid w:val="00D75694"/>
    <w:rsid w:val="00D759A8"/>
    <w:rsid w:val="00D76062"/>
    <w:rsid w:val="00D76E1A"/>
    <w:rsid w:val="00D772A6"/>
    <w:rsid w:val="00D777A7"/>
    <w:rsid w:val="00D777D0"/>
    <w:rsid w:val="00D77A7F"/>
    <w:rsid w:val="00D77E20"/>
    <w:rsid w:val="00D80087"/>
    <w:rsid w:val="00D80179"/>
    <w:rsid w:val="00D8040F"/>
    <w:rsid w:val="00D80411"/>
    <w:rsid w:val="00D80567"/>
    <w:rsid w:val="00D8092B"/>
    <w:rsid w:val="00D80981"/>
    <w:rsid w:val="00D80A28"/>
    <w:rsid w:val="00D80CDC"/>
    <w:rsid w:val="00D8104F"/>
    <w:rsid w:val="00D8125E"/>
    <w:rsid w:val="00D813FB"/>
    <w:rsid w:val="00D81861"/>
    <w:rsid w:val="00D82070"/>
    <w:rsid w:val="00D82146"/>
    <w:rsid w:val="00D82470"/>
    <w:rsid w:val="00D824ED"/>
    <w:rsid w:val="00D82508"/>
    <w:rsid w:val="00D82615"/>
    <w:rsid w:val="00D8266B"/>
    <w:rsid w:val="00D827F0"/>
    <w:rsid w:val="00D829F9"/>
    <w:rsid w:val="00D82A21"/>
    <w:rsid w:val="00D83106"/>
    <w:rsid w:val="00D83483"/>
    <w:rsid w:val="00D836A3"/>
    <w:rsid w:val="00D836F3"/>
    <w:rsid w:val="00D83A39"/>
    <w:rsid w:val="00D83D48"/>
    <w:rsid w:val="00D840D3"/>
    <w:rsid w:val="00D84275"/>
    <w:rsid w:val="00D84833"/>
    <w:rsid w:val="00D84A8B"/>
    <w:rsid w:val="00D84C66"/>
    <w:rsid w:val="00D84D46"/>
    <w:rsid w:val="00D84EC1"/>
    <w:rsid w:val="00D85137"/>
    <w:rsid w:val="00D8559D"/>
    <w:rsid w:val="00D85681"/>
    <w:rsid w:val="00D85F1C"/>
    <w:rsid w:val="00D864E7"/>
    <w:rsid w:val="00D866CB"/>
    <w:rsid w:val="00D867BB"/>
    <w:rsid w:val="00D869CA"/>
    <w:rsid w:val="00D86B6E"/>
    <w:rsid w:val="00D86CAD"/>
    <w:rsid w:val="00D86FD1"/>
    <w:rsid w:val="00D87154"/>
    <w:rsid w:val="00D873D4"/>
    <w:rsid w:val="00D8770B"/>
    <w:rsid w:val="00D87806"/>
    <w:rsid w:val="00D87ABA"/>
    <w:rsid w:val="00D87D83"/>
    <w:rsid w:val="00D90352"/>
    <w:rsid w:val="00D9066F"/>
    <w:rsid w:val="00D90788"/>
    <w:rsid w:val="00D907C4"/>
    <w:rsid w:val="00D90A4A"/>
    <w:rsid w:val="00D90B3F"/>
    <w:rsid w:val="00D91069"/>
    <w:rsid w:val="00D916D1"/>
    <w:rsid w:val="00D91B0E"/>
    <w:rsid w:val="00D9296C"/>
    <w:rsid w:val="00D92A16"/>
    <w:rsid w:val="00D92A6C"/>
    <w:rsid w:val="00D92B52"/>
    <w:rsid w:val="00D92C10"/>
    <w:rsid w:val="00D92E18"/>
    <w:rsid w:val="00D92F03"/>
    <w:rsid w:val="00D93183"/>
    <w:rsid w:val="00D939BE"/>
    <w:rsid w:val="00D93B66"/>
    <w:rsid w:val="00D93BBA"/>
    <w:rsid w:val="00D93D91"/>
    <w:rsid w:val="00D94017"/>
    <w:rsid w:val="00D9422B"/>
    <w:rsid w:val="00D94C65"/>
    <w:rsid w:val="00D94CD3"/>
    <w:rsid w:val="00D954BB"/>
    <w:rsid w:val="00D95996"/>
    <w:rsid w:val="00D95CA3"/>
    <w:rsid w:val="00D95D12"/>
    <w:rsid w:val="00D95F02"/>
    <w:rsid w:val="00D96D44"/>
    <w:rsid w:val="00D97207"/>
    <w:rsid w:val="00D97856"/>
    <w:rsid w:val="00D979F7"/>
    <w:rsid w:val="00D97E42"/>
    <w:rsid w:val="00DA0151"/>
    <w:rsid w:val="00DA03B7"/>
    <w:rsid w:val="00DA1273"/>
    <w:rsid w:val="00DA1394"/>
    <w:rsid w:val="00DA13FC"/>
    <w:rsid w:val="00DA141C"/>
    <w:rsid w:val="00DA159C"/>
    <w:rsid w:val="00DA1697"/>
    <w:rsid w:val="00DA16B1"/>
    <w:rsid w:val="00DA16B3"/>
    <w:rsid w:val="00DA174B"/>
    <w:rsid w:val="00DA2108"/>
    <w:rsid w:val="00DA2146"/>
    <w:rsid w:val="00DA2307"/>
    <w:rsid w:val="00DA264F"/>
    <w:rsid w:val="00DA29DE"/>
    <w:rsid w:val="00DA2D10"/>
    <w:rsid w:val="00DA2E43"/>
    <w:rsid w:val="00DA3083"/>
    <w:rsid w:val="00DA3145"/>
    <w:rsid w:val="00DA334B"/>
    <w:rsid w:val="00DA349A"/>
    <w:rsid w:val="00DA353A"/>
    <w:rsid w:val="00DA3EA7"/>
    <w:rsid w:val="00DA4615"/>
    <w:rsid w:val="00DA4788"/>
    <w:rsid w:val="00DA546E"/>
    <w:rsid w:val="00DA5AD9"/>
    <w:rsid w:val="00DA5D72"/>
    <w:rsid w:val="00DA5F52"/>
    <w:rsid w:val="00DA60D2"/>
    <w:rsid w:val="00DA6285"/>
    <w:rsid w:val="00DA63BB"/>
    <w:rsid w:val="00DA6B36"/>
    <w:rsid w:val="00DA6ED6"/>
    <w:rsid w:val="00DA7193"/>
    <w:rsid w:val="00DA71A7"/>
    <w:rsid w:val="00DA7204"/>
    <w:rsid w:val="00DA74F8"/>
    <w:rsid w:val="00DA7A8B"/>
    <w:rsid w:val="00DA7E8B"/>
    <w:rsid w:val="00DA7EB2"/>
    <w:rsid w:val="00DB02DA"/>
    <w:rsid w:val="00DB0446"/>
    <w:rsid w:val="00DB05EB"/>
    <w:rsid w:val="00DB094E"/>
    <w:rsid w:val="00DB09DF"/>
    <w:rsid w:val="00DB0C1D"/>
    <w:rsid w:val="00DB13AD"/>
    <w:rsid w:val="00DB1534"/>
    <w:rsid w:val="00DB1784"/>
    <w:rsid w:val="00DB17E4"/>
    <w:rsid w:val="00DB18E9"/>
    <w:rsid w:val="00DB1ABD"/>
    <w:rsid w:val="00DB1D63"/>
    <w:rsid w:val="00DB1DF2"/>
    <w:rsid w:val="00DB2058"/>
    <w:rsid w:val="00DB21B7"/>
    <w:rsid w:val="00DB2663"/>
    <w:rsid w:val="00DB27CF"/>
    <w:rsid w:val="00DB2AA1"/>
    <w:rsid w:val="00DB2B37"/>
    <w:rsid w:val="00DB2D6F"/>
    <w:rsid w:val="00DB2F97"/>
    <w:rsid w:val="00DB32A4"/>
    <w:rsid w:val="00DB336D"/>
    <w:rsid w:val="00DB3ECC"/>
    <w:rsid w:val="00DB4198"/>
    <w:rsid w:val="00DB44DD"/>
    <w:rsid w:val="00DB4FC3"/>
    <w:rsid w:val="00DB560D"/>
    <w:rsid w:val="00DB5EC6"/>
    <w:rsid w:val="00DB604D"/>
    <w:rsid w:val="00DB63EB"/>
    <w:rsid w:val="00DB685A"/>
    <w:rsid w:val="00DB6C92"/>
    <w:rsid w:val="00DB7082"/>
    <w:rsid w:val="00DB7198"/>
    <w:rsid w:val="00DB75D7"/>
    <w:rsid w:val="00DB77DD"/>
    <w:rsid w:val="00DB7B2F"/>
    <w:rsid w:val="00DB7D48"/>
    <w:rsid w:val="00DC01BE"/>
    <w:rsid w:val="00DC1101"/>
    <w:rsid w:val="00DC1158"/>
    <w:rsid w:val="00DC1236"/>
    <w:rsid w:val="00DC17FE"/>
    <w:rsid w:val="00DC1871"/>
    <w:rsid w:val="00DC193E"/>
    <w:rsid w:val="00DC19DB"/>
    <w:rsid w:val="00DC1A2F"/>
    <w:rsid w:val="00DC1A41"/>
    <w:rsid w:val="00DC1CDF"/>
    <w:rsid w:val="00DC1EAD"/>
    <w:rsid w:val="00DC20CF"/>
    <w:rsid w:val="00DC253D"/>
    <w:rsid w:val="00DC2649"/>
    <w:rsid w:val="00DC2E17"/>
    <w:rsid w:val="00DC2FBB"/>
    <w:rsid w:val="00DC3084"/>
    <w:rsid w:val="00DC3170"/>
    <w:rsid w:val="00DC32FE"/>
    <w:rsid w:val="00DC34BD"/>
    <w:rsid w:val="00DC36B2"/>
    <w:rsid w:val="00DC370C"/>
    <w:rsid w:val="00DC3767"/>
    <w:rsid w:val="00DC47DF"/>
    <w:rsid w:val="00DC481E"/>
    <w:rsid w:val="00DC4BB6"/>
    <w:rsid w:val="00DC4E3F"/>
    <w:rsid w:val="00DC522B"/>
    <w:rsid w:val="00DC53DA"/>
    <w:rsid w:val="00DC57D5"/>
    <w:rsid w:val="00DC5808"/>
    <w:rsid w:val="00DC5B4B"/>
    <w:rsid w:val="00DC5E83"/>
    <w:rsid w:val="00DC5FC8"/>
    <w:rsid w:val="00DC5FD2"/>
    <w:rsid w:val="00DC6224"/>
    <w:rsid w:val="00DC6281"/>
    <w:rsid w:val="00DC6344"/>
    <w:rsid w:val="00DC6614"/>
    <w:rsid w:val="00DC6622"/>
    <w:rsid w:val="00DC6A4D"/>
    <w:rsid w:val="00DC6D93"/>
    <w:rsid w:val="00DC7833"/>
    <w:rsid w:val="00DD0C34"/>
    <w:rsid w:val="00DD129B"/>
    <w:rsid w:val="00DD13EE"/>
    <w:rsid w:val="00DD1539"/>
    <w:rsid w:val="00DD16CD"/>
    <w:rsid w:val="00DD1BC3"/>
    <w:rsid w:val="00DD1F31"/>
    <w:rsid w:val="00DD202C"/>
    <w:rsid w:val="00DD24BB"/>
    <w:rsid w:val="00DD2665"/>
    <w:rsid w:val="00DD2979"/>
    <w:rsid w:val="00DD29B7"/>
    <w:rsid w:val="00DD2A76"/>
    <w:rsid w:val="00DD30E7"/>
    <w:rsid w:val="00DD3162"/>
    <w:rsid w:val="00DD35D9"/>
    <w:rsid w:val="00DD3E40"/>
    <w:rsid w:val="00DD3E4E"/>
    <w:rsid w:val="00DD3E61"/>
    <w:rsid w:val="00DD40F1"/>
    <w:rsid w:val="00DD4452"/>
    <w:rsid w:val="00DD44E3"/>
    <w:rsid w:val="00DD45E0"/>
    <w:rsid w:val="00DD46E5"/>
    <w:rsid w:val="00DD479A"/>
    <w:rsid w:val="00DD48AB"/>
    <w:rsid w:val="00DD4CAE"/>
    <w:rsid w:val="00DD4CF2"/>
    <w:rsid w:val="00DD5341"/>
    <w:rsid w:val="00DD5480"/>
    <w:rsid w:val="00DD54B1"/>
    <w:rsid w:val="00DD5811"/>
    <w:rsid w:val="00DD5C29"/>
    <w:rsid w:val="00DD5CC0"/>
    <w:rsid w:val="00DD5DFE"/>
    <w:rsid w:val="00DD5F2D"/>
    <w:rsid w:val="00DD5F33"/>
    <w:rsid w:val="00DD6078"/>
    <w:rsid w:val="00DD60FF"/>
    <w:rsid w:val="00DD6640"/>
    <w:rsid w:val="00DD766C"/>
    <w:rsid w:val="00DD787A"/>
    <w:rsid w:val="00DD7A87"/>
    <w:rsid w:val="00DD7AF7"/>
    <w:rsid w:val="00DD7CD6"/>
    <w:rsid w:val="00DD7F4C"/>
    <w:rsid w:val="00DE0092"/>
    <w:rsid w:val="00DE00A6"/>
    <w:rsid w:val="00DE030B"/>
    <w:rsid w:val="00DE0917"/>
    <w:rsid w:val="00DE09AB"/>
    <w:rsid w:val="00DE0A4B"/>
    <w:rsid w:val="00DE0AD2"/>
    <w:rsid w:val="00DE0AFB"/>
    <w:rsid w:val="00DE1199"/>
    <w:rsid w:val="00DE11C5"/>
    <w:rsid w:val="00DE1287"/>
    <w:rsid w:val="00DE157A"/>
    <w:rsid w:val="00DE1882"/>
    <w:rsid w:val="00DE1DA5"/>
    <w:rsid w:val="00DE2AE2"/>
    <w:rsid w:val="00DE2D50"/>
    <w:rsid w:val="00DE34AD"/>
    <w:rsid w:val="00DE36CE"/>
    <w:rsid w:val="00DE3D74"/>
    <w:rsid w:val="00DE42C0"/>
    <w:rsid w:val="00DE431B"/>
    <w:rsid w:val="00DE4702"/>
    <w:rsid w:val="00DE5D27"/>
    <w:rsid w:val="00DE6098"/>
    <w:rsid w:val="00DE621F"/>
    <w:rsid w:val="00DE6224"/>
    <w:rsid w:val="00DE6577"/>
    <w:rsid w:val="00DE672F"/>
    <w:rsid w:val="00DE6B6A"/>
    <w:rsid w:val="00DE7661"/>
    <w:rsid w:val="00DE7675"/>
    <w:rsid w:val="00DE76D2"/>
    <w:rsid w:val="00DE772D"/>
    <w:rsid w:val="00DE7930"/>
    <w:rsid w:val="00DE7934"/>
    <w:rsid w:val="00DE7B63"/>
    <w:rsid w:val="00DF051C"/>
    <w:rsid w:val="00DF09B5"/>
    <w:rsid w:val="00DF0BDC"/>
    <w:rsid w:val="00DF0DF0"/>
    <w:rsid w:val="00DF0E21"/>
    <w:rsid w:val="00DF1235"/>
    <w:rsid w:val="00DF1759"/>
    <w:rsid w:val="00DF1953"/>
    <w:rsid w:val="00DF1AC2"/>
    <w:rsid w:val="00DF1FAA"/>
    <w:rsid w:val="00DF20D6"/>
    <w:rsid w:val="00DF2174"/>
    <w:rsid w:val="00DF2267"/>
    <w:rsid w:val="00DF2405"/>
    <w:rsid w:val="00DF2691"/>
    <w:rsid w:val="00DF28EB"/>
    <w:rsid w:val="00DF2936"/>
    <w:rsid w:val="00DF2BD4"/>
    <w:rsid w:val="00DF2F09"/>
    <w:rsid w:val="00DF3445"/>
    <w:rsid w:val="00DF3589"/>
    <w:rsid w:val="00DF388D"/>
    <w:rsid w:val="00DF3980"/>
    <w:rsid w:val="00DF3A31"/>
    <w:rsid w:val="00DF3B81"/>
    <w:rsid w:val="00DF3DEE"/>
    <w:rsid w:val="00DF404E"/>
    <w:rsid w:val="00DF43F1"/>
    <w:rsid w:val="00DF450F"/>
    <w:rsid w:val="00DF45EF"/>
    <w:rsid w:val="00DF49C4"/>
    <w:rsid w:val="00DF50A2"/>
    <w:rsid w:val="00DF51FB"/>
    <w:rsid w:val="00DF53A9"/>
    <w:rsid w:val="00DF5B18"/>
    <w:rsid w:val="00DF5CBD"/>
    <w:rsid w:val="00DF624C"/>
    <w:rsid w:val="00DF649E"/>
    <w:rsid w:val="00DF6641"/>
    <w:rsid w:val="00DF68A4"/>
    <w:rsid w:val="00DF6B5F"/>
    <w:rsid w:val="00DF6D45"/>
    <w:rsid w:val="00DF71F1"/>
    <w:rsid w:val="00DF7DE8"/>
    <w:rsid w:val="00DF7EE4"/>
    <w:rsid w:val="00E00125"/>
    <w:rsid w:val="00E00185"/>
    <w:rsid w:val="00E0030D"/>
    <w:rsid w:val="00E0075B"/>
    <w:rsid w:val="00E0079B"/>
    <w:rsid w:val="00E007D5"/>
    <w:rsid w:val="00E00800"/>
    <w:rsid w:val="00E00C10"/>
    <w:rsid w:val="00E00D12"/>
    <w:rsid w:val="00E00D21"/>
    <w:rsid w:val="00E00ED5"/>
    <w:rsid w:val="00E01005"/>
    <w:rsid w:val="00E0122B"/>
    <w:rsid w:val="00E0124D"/>
    <w:rsid w:val="00E012C5"/>
    <w:rsid w:val="00E01307"/>
    <w:rsid w:val="00E0130F"/>
    <w:rsid w:val="00E01416"/>
    <w:rsid w:val="00E01460"/>
    <w:rsid w:val="00E0219E"/>
    <w:rsid w:val="00E021C4"/>
    <w:rsid w:val="00E028ED"/>
    <w:rsid w:val="00E02A14"/>
    <w:rsid w:val="00E02AA9"/>
    <w:rsid w:val="00E02CDA"/>
    <w:rsid w:val="00E02D2B"/>
    <w:rsid w:val="00E02FAB"/>
    <w:rsid w:val="00E0305E"/>
    <w:rsid w:val="00E03467"/>
    <w:rsid w:val="00E036D8"/>
    <w:rsid w:val="00E039E2"/>
    <w:rsid w:val="00E03D95"/>
    <w:rsid w:val="00E03DAF"/>
    <w:rsid w:val="00E045A9"/>
    <w:rsid w:val="00E05095"/>
    <w:rsid w:val="00E050C4"/>
    <w:rsid w:val="00E05335"/>
    <w:rsid w:val="00E0565E"/>
    <w:rsid w:val="00E05661"/>
    <w:rsid w:val="00E0593A"/>
    <w:rsid w:val="00E059EF"/>
    <w:rsid w:val="00E05A6D"/>
    <w:rsid w:val="00E06329"/>
    <w:rsid w:val="00E0699C"/>
    <w:rsid w:val="00E06F9D"/>
    <w:rsid w:val="00E070B1"/>
    <w:rsid w:val="00E073C1"/>
    <w:rsid w:val="00E07664"/>
    <w:rsid w:val="00E076B6"/>
    <w:rsid w:val="00E07847"/>
    <w:rsid w:val="00E079F5"/>
    <w:rsid w:val="00E10504"/>
    <w:rsid w:val="00E1082D"/>
    <w:rsid w:val="00E10C68"/>
    <w:rsid w:val="00E10CDD"/>
    <w:rsid w:val="00E10D01"/>
    <w:rsid w:val="00E1100D"/>
    <w:rsid w:val="00E1148E"/>
    <w:rsid w:val="00E116DB"/>
    <w:rsid w:val="00E11E61"/>
    <w:rsid w:val="00E11F9C"/>
    <w:rsid w:val="00E12C5F"/>
    <w:rsid w:val="00E12E13"/>
    <w:rsid w:val="00E12F5F"/>
    <w:rsid w:val="00E13287"/>
    <w:rsid w:val="00E136EC"/>
    <w:rsid w:val="00E13D69"/>
    <w:rsid w:val="00E1403C"/>
    <w:rsid w:val="00E141B0"/>
    <w:rsid w:val="00E1431A"/>
    <w:rsid w:val="00E14539"/>
    <w:rsid w:val="00E146B0"/>
    <w:rsid w:val="00E147FC"/>
    <w:rsid w:val="00E14D20"/>
    <w:rsid w:val="00E14ECD"/>
    <w:rsid w:val="00E15338"/>
    <w:rsid w:val="00E153F3"/>
    <w:rsid w:val="00E15485"/>
    <w:rsid w:val="00E155FF"/>
    <w:rsid w:val="00E157A6"/>
    <w:rsid w:val="00E15E74"/>
    <w:rsid w:val="00E164AB"/>
    <w:rsid w:val="00E16C27"/>
    <w:rsid w:val="00E16E9C"/>
    <w:rsid w:val="00E16F4B"/>
    <w:rsid w:val="00E17011"/>
    <w:rsid w:val="00E17754"/>
    <w:rsid w:val="00E1777C"/>
    <w:rsid w:val="00E17794"/>
    <w:rsid w:val="00E1781F"/>
    <w:rsid w:val="00E17BF6"/>
    <w:rsid w:val="00E20119"/>
    <w:rsid w:val="00E205F6"/>
    <w:rsid w:val="00E20615"/>
    <w:rsid w:val="00E20B34"/>
    <w:rsid w:val="00E20C1B"/>
    <w:rsid w:val="00E20C1C"/>
    <w:rsid w:val="00E20D38"/>
    <w:rsid w:val="00E20E2F"/>
    <w:rsid w:val="00E20F8B"/>
    <w:rsid w:val="00E2151B"/>
    <w:rsid w:val="00E215CA"/>
    <w:rsid w:val="00E2168C"/>
    <w:rsid w:val="00E21AD1"/>
    <w:rsid w:val="00E21C45"/>
    <w:rsid w:val="00E21F59"/>
    <w:rsid w:val="00E226AE"/>
    <w:rsid w:val="00E23306"/>
    <w:rsid w:val="00E23C09"/>
    <w:rsid w:val="00E23C49"/>
    <w:rsid w:val="00E243D2"/>
    <w:rsid w:val="00E2463B"/>
    <w:rsid w:val="00E2468B"/>
    <w:rsid w:val="00E24A4B"/>
    <w:rsid w:val="00E24ECF"/>
    <w:rsid w:val="00E250DA"/>
    <w:rsid w:val="00E250DB"/>
    <w:rsid w:val="00E2513E"/>
    <w:rsid w:val="00E2530B"/>
    <w:rsid w:val="00E25373"/>
    <w:rsid w:val="00E255F0"/>
    <w:rsid w:val="00E25C8A"/>
    <w:rsid w:val="00E267C1"/>
    <w:rsid w:val="00E2697F"/>
    <w:rsid w:val="00E26C3B"/>
    <w:rsid w:val="00E26DBC"/>
    <w:rsid w:val="00E271BD"/>
    <w:rsid w:val="00E2751D"/>
    <w:rsid w:val="00E276DC"/>
    <w:rsid w:val="00E279BD"/>
    <w:rsid w:val="00E27ACA"/>
    <w:rsid w:val="00E27B18"/>
    <w:rsid w:val="00E27FA3"/>
    <w:rsid w:val="00E3022F"/>
    <w:rsid w:val="00E3025C"/>
    <w:rsid w:val="00E30A9B"/>
    <w:rsid w:val="00E30C99"/>
    <w:rsid w:val="00E30EB1"/>
    <w:rsid w:val="00E31581"/>
    <w:rsid w:val="00E3161C"/>
    <w:rsid w:val="00E31BF3"/>
    <w:rsid w:val="00E31C51"/>
    <w:rsid w:val="00E31D47"/>
    <w:rsid w:val="00E32285"/>
    <w:rsid w:val="00E32452"/>
    <w:rsid w:val="00E32D6A"/>
    <w:rsid w:val="00E33060"/>
    <w:rsid w:val="00E3353B"/>
    <w:rsid w:val="00E33741"/>
    <w:rsid w:val="00E33949"/>
    <w:rsid w:val="00E33CBB"/>
    <w:rsid w:val="00E340E3"/>
    <w:rsid w:val="00E34420"/>
    <w:rsid w:val="00E34BE7"/>
    <w:rsid w:val="00E351AA"/>
    <w:rsid w:val="00E3525C"/>
    <w:rsid w:val="00E35487"/>
    <w:rsid w:val="00E356E1"/>
    <w:rsid w:val="00E35C05"/>
    <w:rsid w:val="00E35E0D"/>
    <w:rsid w:val="00E35F7F"/>
    <w:rsid w:val="00E3601C"/>
    <w:rsid w:val="00E36586"/>
    <w:rsid w:val="00E368F2"/>
    <w:rsid w:val="00E36A00"/>
    <w:rsid w:val="00E36CBF"/>
    <w:rsid w:val="00E36E6F"/>
    <w:rsid w:val="00E37210"/>
    <w:rsid w:val="00E372B2"/>
    <w:rsid w:val="00E37346"/>
    <w:rsid w:val="00E374F9"/>
    <w:rsid w:val="00E375E7"/>
    <w:rsid w:val="00E3767B"/>
    <w:rsid w:val="00E3769B"/>
    <w:rsid w:val="00E37EDC"/>
    <w:rsid w:val="00E37F20"/>
    <w:rsid w:val="00E37F3A"/>
    <w:rsid w:val="00E4004C"/>
    <w:rsid w:val="00E402EA"/>
    <w:rsid w:val="00E403F1"/>
    <w:rsid w:val="00E40ABB"/>
    <w:rsid w:val="00E40C6C"/>
    <w:rsid w:val="00E40E8B"/>
    <w:rsid w:val="00E412A4"/>
    <w:rsid w:val="00E41727"/>
    <w:rsid w:val="00E41755"/>
    <w:rsid w:val="00E417AE"/>
    <w:rsid w:val="00E41FAF"/>
    <w:rsid w:val="00E42842"/>
    <w:rsid w:val="00E42D88"/>
    <w:rsid w:val="00E42FA6"/>
    <w:rsid w:val="00E4317E"/>
    <w:rsid w:val="00E4319E"/>
    <w:rsid w:val="00E43A7A"/>
    <w:rsid w:val="00E43BF1"/>
    <w:rsid w:val="00E43E84"/>
    <w:rsid w:val="00E43EDA"/>
    <w:rsid w:val="00E43FEB"/>
    <w:rsid w:val="00E44B7B"/>
    <w:rsid w:val="00E451BE"/>
    <w:rsid w:val="00E451E0"/>
    <w:rsid w:val="00E45224"/>
    <w:rsid w:val="00E45274"/>
    <w:rsid w:val="00E45851"/>
    <w:rsid w:val="00E4595A"/>
    <w:rsid w:val="00E45A0E"/>
    <w:rsid w:val="00E45DB1"/>
    <w:rsid w:val="00E45F44"/>
    <w:rsid w:val="00E465E1"/>
    <w:rsid w:val="00E466EB"/>
    <w:rsid w:val="00E477EA"/>
    <w:rsid w:val="00E479A5"/>
    <w:rsid w:val="00E47A38"/>
    <w:rsid w:val="00E47D55"/>
    <w:rsid w:val="00E47D5B"/>
    <w:rsid w:val="00E47E80"/>
    <w:rsid w:val="00E47EA4"/>
    <w:rsid w:val="00E50118"/>
    <w:rsid w:val="00E50566"/>
    <w:rsid w:val="00E50739"/>
    <w:rsid w:val="00E50B70"/>
    <w:rsid w:val="00E50CE7"/>
    <w:rsid w:val="00E50F4E"/>
    <w:rsid w:val="00E510AF"/>
    <w:rsid w:val="00E5122A"/>
    <w:rsid w:val="00E51804"/>
    <w:rsid w:val="00E5199F"/>
    <w:rsid w:val="00E51B26"/>
    <w:rsid w:val="00E5207A"/>
    <w:rsid w:val="00E5214A"/>
    <w:rsid w:val="00E52178"/>
    <w:rsid w:val="00E5246B"/>
    <w:rsid w:val="00E527C7"/>
    <w:rsid w:val="00E527F4"/>
    <w:rsid w:val="00E52C94"/>
    <w:rsid w:val="00E5380F"/>
    <w:rsid w:val="00E539D8"/>
    <w:rsid w:val="00E53B74"/>
    <w:rsid w:val="00E53CB8"/>
    <w:rsid w:val="00E53E6B"/>
    <w:rsid w:val="00E54131"/>
    <w:rsid w:val="00E54686"/>
    <w:rsid w:val="00E5483B"/>
    <w:rsid w:val="00E54EC0"/>
    <w:rsid w:val="00E54ED2"/>
    <w:rsid w:val="00E54F0D"/>
    <w:rsid w:val="00E55523"/>
    <w:rsid w:val="00E5561C"/>
    <w:rsid w:val="00E557F3"/>
    <w:rsid w:val="00E55C30"/>
    <w:rsid w:val="00E55F32"/>
    <w:rsid w:val="00E560B5"/>
    <w:rsid w:val="00E5655B"/>
    <w:rsid w:val="00E565DD"/>
    <w:rsid w:val="00E56728"/>
    <w:rsid w:val="00E56ACB"/>
    <w:rsid w:val="00E56D13"/>
    <w:rsid w:val="00E56ECE"/>
    <w:rsid w:val="00E56FEF"/>
    <w:rsid w:val="00E57541"/>
    <w:rsid w:val="00E57E01"/>
    <w:rsid w:val="00E603E0"/>
    <w:rsid w:val="00E6043D"/>
    <w:rsid w:val="00E60C6F"/>
    <w:rsid w:val="00E60E4E"/>
    <w:rsid w:val="00E61517"/>
    <w:rsid w:val="00E615D9"/>
    <w:rsid w:val="00E616B0"/>
    <w:rsid w:val="00E616E8"/>
    <w:rsid w:val="00E61823"/>
    <w:rsid w:val="00E6196C"/>
    <w:rsid w:val="00E61B1C"/>
    <w:rsid w:val="00E61C92"/>
    <w:rsid w:val="00E61D07"/>
    <w:rsid w:val="00E61D7E"/>
    <w:rsid w:val="00E62137"/>
    <w:rsid w:val="00E6213D"/>
    <w:rsid w:val="00E6229B"/>
    <w:rsid w:val="00E623CF"/>
    <w:rsid w:val="00E6255E"/>
    <w:rsid w:val="00E62668"/>
    <w:rsid w:val="00E6274F"/>
    <w:rsid w:val="00E62C43"/>
    <w:rsid w:val="00E63011"/>
    <w:rsid w:val="00E6342E"/>
    <w:rsid w:val="00E63582"/>
    <w:rsid w:val="00E63605"/>
    <w:rsid w:val="00E639B6"/>
    <w:rsid w:val="00E63A37"/>
    <w:rsid w:val="00E63BCB"/>
    <w:rsid w:val="00E63E40"/>
    <w:rsid w:val="00E64A49"/>
    <w:rsid w:val="00E64CE3"/>
    <w:rsid w:val="00E64DE3"/>
    <w:rsid w:val="00E64FAB"/>
    <w:rsid w:val="00E65363"/>
    <w:rsid w:val="00E65BFE"/>
    <w:rsid w:val="00E65F71"/>
    <w:rsid w:val="00E662DA"/>
    <w:rsid w:val="00E66303"/>
    <w:rsid w:val="00E667A1"/>
    <w:rsid w:val="00E66952"/>
    <w:rsid w:val="00E66A97"/>
    <w:rsid w:val="00E66C03"/>
    <w:rsid w:val="00E66FE4"/>
    <w:rsid w:val="00E67027"/>
    <w:rsid w:val="00E6705B"/>
    <w:rsid w:val="00E67434"/>
    <w:rsid w:val="00E67481"/>
    <w:rsid w:val="00E67545"/>
    <w:rsid w:val="00E676EB"/>
    <w:rsid w:val="00E67D88"/>
    <w:rsid w:val="00E70303"/>
    <w:rsid w:val="00E704F0"/>
    <w:rsid w:val="00E70504"/>
    <w:rsid w:val="00E705AE"/>
    <w:rsid w:val="00E70828"/>
    <w:rsid w:val="00E709AC"/>
    <w:rsid w:val="00E70C87"/>
    <w:rsid w:val="00E70D13"/>
    <w:rsid w:val="00E71195"/>
    <w:rsid w:val="00E713ED"/>
    <w:rsid w:val="00E7168F"/>
    <w:rsid w:val="00E71924"/>
    <w:rsid w:val="00E7198E"/>
    <w:rsid w:val="00E71D2E"/>
    <w:rsid w:val="00E71D31"/>
    <w:rsid w:val="00E726E0"/>
    <w:rsid w:val="00E7273B"/>
    <w:rsid w:val="00E72789"/>
    <w:rsid w:val="00E72BCD"/>
    <w:rsid w:val="00E72C17"/>
    <w:rsid w:val="00E72C31"/>
    <w:rsid w:val="00E72E53"/>
    <w:rsid w:val="00E72F9A"/>
    <w:rsid w:val="00E735CF"/>
    <w:rsid w:val="00E736A8"/>
    <w:rsid w:val="00E73736"/>
    <w:rsid w:val="00E73843"/>
    <w:rsid w:val="00E73A39"/>
    <w:rsid w:val="00E744C4"/>
    <w:rsid w:val="00E74B27"/>
    <w:rsid w:val="00E74E34"/>
    <w:rsid w:val="00E751A3"/>
    <w:rsid w:val="00E75326"/>
    <w:rsid w:val="00E753EE"/>
    <w:rsid w:val="00E759AF"/>
    <w:rsid w:val="00E75C03"/>
    <w:rsid w:val="00E75D1F"/>
    <w:rsid w:val="00E7619F"/>
    <w:rsid w:val="00E76346"/>
    <w:rsid w:val="00E770A4"/>
    <w:rsid w:val="00E77515"/>
    <w:rsid w:val="00E77788"/>
    <w:rsid w:val="00E7779E"/>
    <w:rsid w:val="00E7782B"/>
    <w:rsid w:val="00E779D9"/>
    <w:rsid w:val="00E77B9D"/>
    <w:rsid w:val="00E77C1C"/>
    <w:rsid w:val="00E77DC8"/>
    <w:rsid w:val="00E77EEE"/>
    <w:rsid w:val="00E77FA4"/>
    <w:rsid w:val="00E80935"/>
    <w:rsid w:val="00E80F0F"/>
    <w:rsid w:val="00E80F97"/>
    <w:rsid w:val="00E811D8"/>
    <w:rsid w:val="00E813B0"/>
    <w:rsid w:val="00E813DD"/>
    <w:rsid w:val="00E81742"/>
    <w:rsid w:val="00E81A63"/>
    <w:rsid w:val="00E81BD9"/>
    <w:rsid w:val="00E81D5F"/>
    <w:rsid w:val="00E82004"/>
    <w:rsid w:val="00E825A4"/>
    <w:rsid w:val="00E825D5"/>
    <w:rsid w:val="00E82754"/>
    <w:rsid w:val="00E82DCB"/>
    <w:rsid w:val="00E839E9"/>
    <w:rsid w:val="00E83BAB"/>
    <w:rsid w:val="00E8404B"/>
    <w:rsid w:val="00E840D4"/>
    <w:rsid w:val="00E8429A"/>
    <w:rsid w:val="00E8430F"/>
    <w:rsid w:val="00E8446D"/>
    <w:rsid w:val="00E84CC1"/>
    <w:rsid w:val="00E84EAC"/>
    <w:rsid w:val="00E85121"/>
    <w:rsid w:val="00E8515F"/>
    <w:rsid w:val="00E85538"/>
    <w:rsid w:val="00E855CD"/>
    <w:rsid w:val="00E856F0"/>
    <w:rsid w:val="00E85711"/>
    <w:rsid w:val="00E85DEB"/>
    <w:rsid w:val="00E85E3E"/>
    <w:rsid w:val="00E8682E"/>
    <w:rsid w:val="00E86D80"/>
    <w:rsid w:val="00E86FD6"/>
    <w:rsid w:val="00E86FF2"/>
    <w:rsid w:val="00E9021C"/>
    <w:rsid w:val="00E902F6"/>
    <w:rsid w:val="00E90AEE"/>
    <w:rsid w:val="00E90B01"/>
    <w:rsid w:val="00E90E54"/>
    <w:rsid w:val="00E90F3C"/>
    <w:rsid w:val="00E91034"/>
    <w:rsid w:val="00E911AC"/>
    <w:rsid w:val="00E911DC"/>
    <w:rsid w:val="00E912BB"/>
    <w:rsid w:val="00E916C5"/>
    <w:rsid w:val="00E9175F"/>
    <w:rsid w:val="00E91B72"/>
    <w:rsid w:val="00E92228"/>
    <w:rsid w:val="00E92E6E"/>
    <w:rsid w:val="00E92FBD"/>
    <w:rsid w:val="00E9328A"/>
    <w:rsid w:val="00E932E4"/>
    <w:rsid w:val="00E9348F"/>
    <w:rsid w:val="00E935DD"/>
    <w:rsid w:val="00E9365D"/>
    <w:rsid w:val="00E93B2D"/>
    <w:rsid w:val="00E93C7E"/>
    <w:rsid w:val="00E93D70"/>
    <w:rsid w:val="00E93DFB"/>
    <w:rsid w:val="00E949AD"/>
    <w:rsid w:val="00E94B78"/>
    <w:rsid w:val="00E94ECE"/>
    <w:rsid w:val="00E94EF7"/>
    <w:rsid w:val="00E94F69"/>
    <w:rsid w:val="00E94F6F"/>
    <w:rsid w:val="00E958F4"/>
    <w:rsid w:val="00E96448"/>
    <w:rsid w:val="00E964BC"/>
    <w:rsid w:val="00E964CA"/>
    <w:rsid w:val="00E96665"/>
    <w:rsid w:val="00E9673D"/>
    <w:rsid w:val="00E9676C"/>
    <w:rsid w:val="00E96FFC"/>
    <w:rsid w:val="00E975EA"/>
    <w:rsid w:val="00E976C5"/>
    <w:rsid w:val="00E977FD"/>
    <w:rsid w:val="00E978E2"/>
    <w:rsid w:val="00E9796D"/>
    <w:rsid w:val="00EA052B"/>
    <w:rsid w:val="00EA0DED"/>
    <w:rsid w:val="00EA1086"/>
    <w:rsid w:val="00EA1271"/>
    <w:rsid w:val="00EA15C7"/>
    <w:rsid w:val="00EA1704"/>
    <w:rsid w:val="00EA1984"/>
    <w:rsid w:val="00EA1F53"/>
    <w:rsid w:val="00EA2026"/>
    <w:rsid w:val="00EA213F"/>
    <w:rsid w:val="00EA2621"/>
    <w:rsid w:val="00EA2FDE"/>
    <w:rsid w:val="00EA3009"/>
    <w:rsid w:val="00EA333D"/>
    <w:rsid w:val="00EA33D8"/>
    <w:rsid w:val="00EA3458"/>
    <w:rsid w:val="00EA3514"/>
    <w:rsid w:val="00EA3694"/>
    <w:rsid w:val="00EA386F"/>
    <w:rsid w:val="00EA3ABC"/>
    <w:rsid w:val="00EA3C29"/>
    <w:rsid w:val="00EA3C33"/>
    <w:rsid w:val="00EA3E82"/>
    <w:rsid w:val="00EA455F"/>
    <w:rsid w:val="00EA47ED"/>
    <w:rsid w:val="00EA4989"/>
    <w:rsid w:val="00EA4DCB"/>
    <w:rsid w:val="00EA4F12"/>
    <w:rsid w:val="00EA4FB5"/>
    <w:rsid w:val="00EA519C"/>
    <w:rsid w:val="00EA543F"/>
    <w:rsid w:val="00EA5648"/>
    <w:rsid w:val="00EA579C"/>
    <w:rsid w:val="00EA5D66"/>
    <w:rsid w:val="00EA5D86"/>
    <w:rsid w:val="00EA60E9"/>
    <w:rsid w:val="00EA6274"/>
    <w:rsid w:val="00EA62C8"/>
    <w:rsid w:val="00EA644D"/>
    <w:rsid w:val="00EA64D3"/>
    <w:rsid w:val="00EA66B6"/>
    <w:rsid w:val="00EA6B38"/>
    <w:rsid w:val="00EA6DDD"/>
    <w:rsid w:val="00EA6E0D"/>
    <w:rsid w:val="00EA6E62"/>
    <w:rsid w:val="00EA7249"/>
    <w:rsid w:val="00EA7302"/>
    <w:rsid w:val="00EA7324"/>
    <w:rsid w:val="00EA7360"/>
    <w:rsid w:val="00EA75AD"/>
    <w:rsid w:val="00EA7CBD"/>
    <w:rsid w:val="00EB0139"/>
    <w:rsid w:val="00EB0170"/>
    <w:rsid w:val="00EB0B3F"/>
    <w:rsid w:val="00EB13A8"/>
    <w:rsid w:val="00EB1704"/>
    <w:rsid w:val="00EB18CB"/>
    <w:rsid w:val="00EB1B70"/>
    <w:rsid w:val="00EB1ECF"/>
    <w:rsid w:val="00EB20A0"/>
    <w:rsid w:val="00EB2176"/>
    <w:rsid w:val="00EB2704"/>
    <w:rsid w:val="00EB286E"/>
    <w:rsid w:val="00EB28DF"/>
    <w:rsid w:val="00EB33B5"/>
    <w:rsid w:val="00EB3538"/>
    <w:rsid w:val="00EB39E7"/>
    <w:rsid w:val="00EB3F34"/>
    <w:rsid w:val="00EB400E"/>
    <w:rsid w:val="00EB4149"/>
    <w:rsid w:val="00EB4554"/>
    <w:rsid w:val="00EB5769"/>
    <w:rsid w:val="00EB5B37"/>
    <w:rsid w:val="00EB64C6"/>
    <w:rsid w:val="00EB682E"/>
    <w:rsid w:val="00EB6E37"/>
    <w:rsid w:val="00EB6E89"/>
    <w:rsid w:val="00EB6EE7"/>
    <w:rsid w:val="00EB70E9"/>
    <w:rsid w:val="00EB73A5"/>
    <w:rsid w:val="00EB7A5C"/>
    <w:rsid w:val="00EB7B03"/>
    <w:rsid w:val="00EC0501"/>
    <w:rsid w:val="00EC07EB"/>
    <w:rsid w:val="00EC081F"/>
    <w:rsid w:val="00EC0A9E"/>
    <w:rsid w:val="00EC14D2"/>
    <w:rsid w:val="00EC17BF"/>
    <w:rsid w:val="00EC1D15"/>
    <w:rsid w:val="00EC1D2B"/>
    <w:rsid w:val="00EC26A6"/>
    <w:rsid w:val="00EC2E74"/>
    <w:rsid w:val="00EC33B8"/>
    <w:rsid w:val="00EC350A"/>
    <w:rsid w:val="00EC3641"/>
    <w:rsid w:val="00EC36F9"/>
    <w:rsid w:val="00EC3C0D"/>
    <w:rsid w:val="00EC3C8C"/>
    <w:rsid w:val="00EC3E01"/>
    <w:rsid w:val="00EC3E5A"/>
    <w:rsid w:val="00EC3E5E"/>
    <w:rsid w:val="00EC3EEA"/>
    <w:rsid w:val="00EC4014"/>
    <w:rsid w:val="00EC4576"/>
    <w:rsid w:val="00EC45F5"/>
    <w:rsid w:val="00EC470A"/>
    <w:rsid w:val="00EC4A3A"/>
    <w:rsid w:val="00EC5555"/>
    <w:rsid w:val="00EC57BF"/>
    <w:rsid w:val="00EC590A"/>
    <w:rsid w:val="00EC617F"/>
    <w:rsid w:val="00EC62E5"/>
    <w:rsid w:val="00EC6C17"/>
    <w:rsid w:val="00EC6EA3"/>
    <w:rsid w:val="00EC6EB7"/>
    <w:rsid w:val="00EC6F2E"/>
    <w:rsid w:val="00EC6FEE"/>
    <w:rsid w:val="00EC74FA"/>
    <w:rsid w:val="00EC7AFF"/>
    <w:rsid w:val="00ED0097"/>
    <w:rsid w:val="00ED00C8"/>
    <w:rsid w:val="00ED06CD"/>
    <w:rsid w:val="00ED0C19"/>
    <w:rsid w:val="00ED0C67"/>
    <w:rsid w:val="00ED0D55"/>
    <w:rsid w:val="00ED1176"/>
    <w:rsid w:val="00ED13A7"/>
    <w:rsid w:val="00ED14B0"/>
    <w:rsid w:val="00ED171C"/>
    <w:rsid w:val="00ED1AC9"/>
    <w:rsid w:val="00ED1AD6"/>
    <w:rsid w:val="00ED1DE8"/>
    <w:rsid w:val="00ED2341"/>
    <w:rsid w:val="00ED288A"/>
    <w:rsid w:val="00ED2AC8"/>
    <w:rsid w:val="00ED2D0E"/>
    <w:rsid w:val="00ED2D23"/>
    <w:rsid w:val="00ED3775"/>
    <w:rsid w:val="00ED3799"/>
    <w:rsid w:val="00ED398B"/>
    <w:rsid w:val="00ED39A3"/>
    <w:rsid w:val="00ED3B8D"/>
    <w:rsid w:val="00ED3D81"/>
    <w:rsid w:val="00ED3EF1"/>
    <w:rsid w:val="00ED4280"/>
    <w:rsid w:val="00ED482E"/>
    <w:rsid w:val="00ED4AAB"/>
    <w:rsid w:val="00ED4C60"/>
    <w:rsid w:val="00ED4C8F"/>
    <w:rsid w:val="00ED52AB"/>
    <w:rsid w:val="00ED5B78"/>
    <w:rsid w:val="00ED6735"/>
    <w:rsid w:val="00ED67FF"/>
    <w:rsid w:val="00ED6FC0"/>
    <w:rsid w:val="00ED7204"/>
    <w:rsid w:val="00EE015D"/>
    <w:rsid w:val="00EE068B"/>
    <w:rsid w:val="00EE0910"/>
    <w:rsid w:val="00EE0BDE"/>
    <w:rsid w:val="00EE0F15"/>
    <w:rsid w:val="00EE1062"/>
    <w:rsid w:val="00EE1295"/>
    <w:rsid w:val="00EE178D"/>
    <w:rsid w:val="00EE1A95"/>
    <w:rsid w:val="00EE1B72"/>
    <w:rsid w:val="00EE1C25"/>
    <w:rsid w:val="00EE1CE5"/>
    <w:rsid w:val="00EE24AE"/>
    <w:rsid w:val="00EE250B"/>
    <w:rsid w:val="00EE293C"/>
    <w:rsid w:val="00EE2A61"/>
    <w:rsid w:val="00EE2D28"/>
    <w:rsid w:val="00EE304C"/>
    <w:rsid w:val="00EE335D"/>
    <w:rsid w:val="00EE368F"/>
    <w:rsid w:val="00EE371E"/>
    <w:rsid w:val="00EE40A1"/>
    <w:rsid w:val="00EE41D6"/>
    <w:rsid w:val="00EE4A4C"/>
    <w:rsid w:val="00EE4DE2"/>
    <w:rsid w:val="00EE53F5"/>
    <w:rsid w:val="00EE56B7"/>
    <w:rsid w:val="00EE5872"/>
    <w:rsid w:val="00EE58B4"/>
    <w:rsid w:val="00EE5B2F"/>
    <w:rsid w:val="00EE5F71"/>
    <w:rsid w:val="00EE64D5"/>
    <w:rsid w:val="00EE65AB"/>
    <w:rsid w:val="00EE6758"/>
    <w:rsid w:val="00EE702D"/>
    <w:rsid w:val="00EE72AB"/>
    <w:rsid w:val="00EE73AC"/>
    <w:rsid w:val="00EE7620"/>
    <w:rsid w:val="00EE78A6"/>
    <w:rsid w:val="00EF0216"/>
    <w:rsid w:val="00EF035A"/>
    <w:rsid w:val="00EF06F2"/>
    <w:rsid w:val="00EF0EA8"/>
    <w:rsid w:val="00EF0EC3"/>
    <w:rsid w:val="00EF1105"/>
    <w:rsid w:val="00EF117B"/>
    <w:rsid w:val="00EF1243"/>
    <w:rsid w:val="00EF12D5"/>
    <w:rsid w:val="00EF134E"/>
    <w:rsid w:val="00EF137B"/>
    <w:rsid w:val="00EF13CA"/>
    <w:rsid w:val="00EF15B5"/>
    <w:rsid w:val="00EF1932"/>
    <w:rsid w:val="00EF1A36"/>
    <w:rsid w:val="00EF237D"/>
    <w:rsid w:val="00EF253E"/>
    <w:rsid w:val="00EF271B"/>
    <w:rsid w:val="00EF27B2"/>
    <w:rsid w:val="00EF2D0D"/>
    <w:rsid w:val="00EF2DC0"/>
    <w:rsid w:val="00EF2E52"/>
    <w:rsid w:val="00EF3201"/>
    <w:rsid w:val="00EF33B4"/>
    <w:rsid w:val="00EF34BA"/>
    <w:rsid w:val="00EF3B3F"/>
    <w:rsid w:val="00EF3DF1"/>
    <w:rsid w:val="00EF47FE"/>
    <w:rsid w:val="00EF4C96"/>
    <w:rsid w:val="00EF4D5F"/>
    <w:rsid w:val="00EF4D60"/>
    <w:rsid w:val="00EF55CB"/>
    <w:rsid w:val="00EF6501"/>
    <w:rsid w:val="00EF65AC"/>
    <w:rsid w:val="00EF6920"/>
    <w:rsid w:val="00EF6B6D"/>
    <w:rsid w:val="00EF6EF8"/>
    <w:rsid w:val="00EF7105"/>
    <w:rsid w:val="00EF713C"/>
    <w:rsid w:val="00EF714E"/>
    <w:rsid w:val="00EF7241"/>
    <w:rsid w:val="00EF7298"/>
    <w:rsid w:val="00EF7606"/>
    <w:rsid w:val="00EF798B"/>
    <w:rsid w:val="00EF7C7B"/>
    <w:rsid w:val="00F00021"/>
    <w:rsid w:val="00F001D7"/>
    <w:rsid w:val="00F006E8"/>
    <w:rsid w:val="00F0072F"/>
    <w:rsid w:val="00F00892"/>
    <w:rsid w:val="00F00969"/>
    <w:rsid w:val="00F00AA4"/>
    <w:rsid w:val="00F00B06"/>
    <w:rsid w:val="00F00B91"/>
    <w:rsid w:val="00F00C29"/>
    <w:rsid w:val="00F00ECA"/>
    <w:rsid w:val="00F01978"/>
    <w:rsid w:val="00F01AD5"/>
    <w:rsid w:val="00F01FA3"/>
    <w:rsid w:val="00F0249A"/>
    <w:rsid w:val="00F0257D"/>
    <w:rsid w:val="00F02FF3"/>
    <w:rsid w:val="00F03626"/>
    <w:rsid w:val="00F03639"/>
    <w:rsid w:val="00F036B7"/>
    <w:rsid w:val="00F0374E"/>
    <w:rsid w:val="00F03A8B"/>
    <w:rsid w:val="00F03BEF"/>
    <w:rsid w:val="00F03C33"/>
    <w:rsid w:val="00F03FAA"/>
    <w:rsid w:val="00F044C3"/>
    <w:rsid w:val="00F0451E"/>
    <w:rsid w:val="00F045DA"/>
    <w:rsid w:val="00F04ABC"/>
    <w:rsid w:val="00F04B3E"/>
    <w:rsid w:val="00F04BCA"/>
    <w:rsid w:val="00F04FC2"/>
    <w:rsid w:val="00F051A3"/>
    <w:rsid w:val="00F05284"/>
    <w:rsid w:val="00F05366"/>
    <w:rsid w:val="00F054D5"/>
    <w:rsid w:val="00F057BD"/>
    <w:rsid w:val="00F05B34"/>
    <w:rsid w:val="00F06267"/>
    <w:rsid w:val="00F06285"/>
    <w:rsid w:val="00F06900"/>
    <w:rsid w:val="00F06ABF"/>
    <w:rsid w:val="00F073C8"/>
    <w:rsid w:val="00F075E4"/>
    <w:rsid w:val="00F07613"/>
    <w:rsid w:val="00F076F0"/>
    <w:rsid w:val="00F07702"/>
    <w:rsid w:val="00F07783"/>
    <w:rsid w:val="00F077BD"/>
    <w:rsid w:val="00F07969"/>
    <w:rsid w:val="00F07A3F"/>
    <w:rsid w:val="00F07C50"/>
    <w:rsid w:val="00F07C9D"/>
    <w:rsid w:val="00F07CA1"/>
    <w:rsid w:val="00F100B7"/>
    <w:rsid w:val="00F100F5"/>
    <w:rsid w:val="00F10162"/>
    <w:rsid w:val="00F1030C"/>
    <w:rsid w:val="00F10351"/>
    <w:rsid w:val="00F103D4"/>
    <w:rsid w:val="00F105DF"/>
    <w:rsid w:val="00F1096C"/>
    <w:rsid w:val="00F10C4A"/>
    <w:rsid w:val="00F10D3D"/>
    <w:rsid w:val="00F10DC1"/>
    <w:rsid w:val="00F11093"/>
    <w:rsid w:val="00F11364"/>
    <w:rsid w:val="00F115D4"/>
    <w:rsid w:val="00F116B3"/>
    <w:rsid w:val="00F117D0"/>
    <w:rsid w:val="00F11A05"/>
    <w:rsid w:val="00F11D4A"/>
    <w:rsid w:val="00F11E83"/>
    <w:rsid w:val="00F11E90"/>
    <w:rsid w:val="00F11EA4"/>
    <w:rsid w:val="00F12283"/>
    <w:rsid w:val="00F1232B"/>
    <w:rsid w:val="00F1237D"/>
    <w:rsid w:val="00F1263A"/>
    <w:rsid w:val="00F129B5"/>
    <w:rsid w:val="00F12A9A"/>
    <w:rsid w:val="00F12B6D"/>
    <w:rsid w:val="00F1304C"/>
    <w:rsid w:val="00F130C5"/>
    <w:rsid w:val="00F1395A"/>
    <w:rsid w:val="00F13DB8"/>
    <w:rsid w:val="00F13F73"/>
    <w:rsid w:val="00F1412D"/>
    <w:rsid w:val="00F14142"/>
    <w:rsid w:val="00F14195"/>
    <w:rsid w:val="00F1440B"/>
    <w:rsid w:val="00F14721"/>
    <w:rsid w:val="00F14C7F"/>
    <w:rsid w:val="00F151B5"/>
    <w:rsid w:val="00F153FA"/>
    <w:rsid w:val="00F1562F"/>
    <w:rsid w:val="00F157E9"/>
    <w:rsid w:val="00F15A13"/>
    <w:rsid w:val="00F15F06"/>
    <w:rsid w:val="00F16527"/>
    <w:rsid w:val="00F1664B"/>
    <w:rsid w:val="00F16715"/>
    <w:rsid w:val="00F1698D"/>
    <w:rsid w:val="00F178BB"/>
    <w:rsid w:val="00F17BE1"/>
    <w:rsid w:val="00F17C63"/>
    <w:rsid w:val="00F20D94"/>
    <w:rsid w:val="00F20DC2"/>
    <w:rsid w:val="00F21086"/>
    <w:rsid w:val="00F210E3"/>
    <w:rsid w:val="00F21737"/>
    <w:rsid w:val="00F220F4"/>
    <w:rsid w:val="00F2220A"/>
    <w:rsid w:val="00F222C3"/>
    <w:rsid w:val="00F22893"/>
    <w:rsid w:val="00F228A6"/>
    <w:rsid w:val="00F22D94"/>
    <w:rsid w:val="00F23227"/>
    <w:rsid w:val="00F23319"/>
    <w:rsid w:val="00F234EE"/>
    <w:rsid w:val="00F23580"/>
    <w:rsid w:val="00F23603"/>
    <w:rsid w:val="00F23B8E"/>
    <w:rsid w:val="00F23DF6"/>
    <w:rsid w:val="00F2400F"/>
    <w:rsid w:val="00F24309"/>
    <w:rsid w:val="00F244E8"/>
    <w:rsid w:val="00F2478C"/>
    <w:rsid w:val="00F249FC"/>
    <w:rsid w:val="00F24A11"/>
    <w:rsid w:val="00F24BD3"/>
    <w:rsid w:val="00F259A9"/>
    <w:rsid w:val="00F25B5B"/>
    <w:rsid w:val="00F26281"/>
    <w:rsid w:val="00F264A9"/>
    <w:rsid w:val="00F265BD"/>
    <w:rsid w:val="00F26AD4"/>
    <w:rsid w:val="00F271E3"/>
    <w:rsid w:val="00F27228"/>
    <w:rsid w:val="00F27433"/>
    <w:rsid w:val="00F2750C"/>
    <w:rsid w:val="00F2778F"/>
    <w:rsid w:val="00F27CCB"/>
    <w:rsid w:val="00F30086"/>
    <w:rsid w:val="00F301DA"/>
    <w:rsid w:val="00F303E3"/>
    <w:rsid w:val="00F30483"/>
    <w:rsid w:val="00F3071E"/>
    <w:rsid w:val="00F30C56"/>
    <w:rsid w:val="00F30D45"/>
    <w:rsid w:val="00F3136F"/>
    <w:rsid w:val="00F31840"/>
    <w:rsid w:val="00F3195E"/>
    <w:rsid w:val="00F31E65"/>
    <w:rsid w:val="00F31EB8"/>
    <w:rsid w:val="00F3214D"/>
    <w:rsid w:val="00F325FC"/>
    <w:rsid w:val="00F330E0"/>
    <w:rsid w:val="00F3331D"/>
    <w:rsid w:val="00F335F1"/>
    <w:rsid w:val="00F336B8"/>
    <w:rsid w:val="00F3370E"/>
    <w:rsid w:val="00F33786"/>
    <w:rsid w:val="00F33921"/>
    <w:rsid w:val="00F33BD0"/>
    <w:rsid w:val="00F33F38"/>
    <w:rsid w:val="00F34360"/>
    <w:rsid w:val="00F34FFD"/>
    <w:rsid w:val="00F35081"/>
    <w:rsid w:val="00F3511F"/>
    <w:rsid w:val="00F3518F"/>
    <w:rsid w:val="00F353E0"/>
    <w:rsid w:val="00F35658"/>
    <w:rsid w:val="00F358A2"/>
    <w:rsid w:val="00F359DB"/>
    <w:rsid w:val="00F35CFE"/>
    <w:rsid w:val="00F35FCA"/>
    <w:rsid w:val="00F36016"/>
    <w:rsid w:val="00F36101"/>
    <w:rsid w:val="00F361E5"/>
    <w:rsid w:val="00F365A3"/>
    <w:rsid w:val="00F36F75"/>
    <w:rsid w:val="00F36FEC"/>
    <w:rsid w:val="00F370D0"/>
    <w:rsid w:val="00F371E8"/>
    <w:rsid w:val="00F372CA"/>
    <w:rsid w:val="00F375D0"/>
    <w:rsid w:val="00F376D5"/>
    <w:rsid w:val="00F379B5"/>
    <w:rsid w:val="00F37A3C"/>
    <w:rsid w:val="00F37BF4"/>
    <w:rsid w:val="00F4075D"/>
    <w:rsid w:val="00F40867"/>
    <w:rsid w:val="00F40B80"/>
    <w:rsid w:val="00F40D45"/>
    <w:rsid w:val="00F40F30"/>
    <w:rsid w:val="00F4123A"/>
    <w:rsid w:val="00F418C2"/>
    <w:rsid w:val="00F419C5"/>
    <w:rsid w:val="00F419E6"/>
    <w:rsid w:val="00F41F2D"/>
    <w:rsid w:val="00F421D2"/>
    <w:rsid w:val="00F42218"/>
    <w:rsid w:val="00F4228A"/>
    <w:rsid w:val="00F4249F"/>
    <w:rsid w:val="00F4256F"/>
    <w:rsid w:val="00F42FFF"/>
    <w:rsid w:val="00F43523"/>
    <w:rsid w:val="00F43657"/>
    <w:rsid w:val="00F437E2"/>
    <w:rsid w:val="00F438BD"/>
    <w:rsid w:val="00F43A89"/>
    <w:rsid w:val="00F4406E"/>
    <w:rsid w:val="00F44188"/>
    <w:rsid w:val="00F44610"/>
    <w:rsid w:val="00F448C6"/>
    <w:rsid w:val="00F44B9B"/>
    <w:rsid w:val="00F44D49"/>
    <w:rsid w:val="00F45079"/>
    <w:rsid w:val="00F45246"/>
    <w:rsid w:val="00F459F0"/>
    <w:rsid w:val="00F45A7E"/>
    <w:rsid w:val="00F4607A"/>
    <w:rsid w:val="00F46493"/>
    <w:rsid w:val="00F468D1"/>
    <w:rsid w:val="00F46BC9"/>
    <w:rsid w:val="00F46DCE"/>
    <w:rsid w:val="00F4726D"/>
    <w:rsid w:val="00F4728E"/>
    <w:rsid w:val="00F4786A"/>
    <w:rsid w:val="00F478CB"/>
    <w:rsid w:val="00F47FD6"/>
    <w:rsid w:val="00F501A1"/>
    <w:rsid w:val="00F50248"/>
    <w:rsid w:val="00F5034F"/>
    <w:rsid w:val="00F503A0"/>
    <w:rsid w:val="00F50402"/>
    <w:rsid w:val="00F50644"/>
    <w:rsid w:val="00F50840"/>
    <w:rsid w:val="00F50A01"/>
    <w:rsid w:val="00F50B17"/>
    <w:rsid w:val="00F51167"/>
    <w:rsid w:val="00F512CE"/>
    <w:rsid w:val="00F519D2"/>
    <w:rsid w:val="00F51A80"/>
    <w:rsid w:val="00F51D21"/>
    <w:rsid w:val="00F51E9E"/>
    <w:rsid w:val="00F52182"/>
    <w:rsid w:val="00F522D6"/>
    <w:rsid w:val="00F5233D"/>
    <w:rsid w:val="00F52375"/>
    <w:rsid w:val="00F52A88"/>
    <w:rsid w:val="00F52FBF"/>
    <w:rsid w:val="00F532CB"/>
    <w:rsid w:val="00F53327"/>
    <w:rsid w:val="00F53794"/>
    <w:rsid w:val="00F53BE1"/>
    <w:rsid w:val="00F53D2B"/>
    <w:rsid w:val="00F53D96"/>
    <w:rsid w:val="00F54007"/>
    <w:rsid w:val="00F540AF"/>
    <w:rsid w:val="00F54377"/>
    <w:rsid w:val="00F54436"/>
    <w:rsid w:val="00F55179"/>
    <w:rsid w:val="00F5542A"/>
    <w:rsid w:val="00F5617D"/>
    <w:rsid w:val="00F562AF"/>
    <w:rsid w:val="00F56311"/>
    <w:rsid w:val="00F568F8"/>
    <w:rsid w:val="00F56AB6"/>
    <w:rsid w:val="00F56B00"/>
    <w:rsid w:val="00F56DE6"/>
    <w:rsid w:val="00F574C2"/>
    <w:rsid w:val="00F57604"/>
    <w:rsid w:val="00F579F2"/>
    <w:rsid w:val="00F57EC0"/>
    <w:rsid w:val="00F6020D"/>
    <w:rsid w:val="00F602A0"/>
    <w:rsid w:val="00F6075F"/>
    <w:rsid w:val="00F60C70"/>
    <w:rsid w:val="00F610CF"/>
    <w:rsid w:val="00F610DE"/>
    <w:rsid w:val="00F6127F"/>
    <w:rsid w:val="00F612E6"/>
    <w:rsid w:val="00F61398"/>
    <w:rsid w:val="00F61509"/>
    <w:rsid w:val="00F61708"/>
    <w:rsid w:val="00F618D8"/>
    <w:rsid w:val="00F61BD9"/>
    <w:rsid w:val="00F61EF5"/>
    <w:rsid w:val="00F62055"/>
    <w:rsid w:val="00F62357"/>
    <w:rsid w:val="00F6241B"/>
    <w:rsid w:val="00F62521"/>
    <w:rsid w:val="00F627AE"/>
    <w:rsid w:val="00F6293B"/>
    <w:rsid w:val="00F62BAB"/>
    <w:rsid w:val="00F62ED7"/>
    <w:rsid w:val="00F6320D"/>
    <w:rsid w:val="00F639AF"/>
    <w:rsid w:val="00F63B87"/>
    <w:rsid w:val="00F63D57"/>
    <w:rsid w:val="00F63E73"/>
    <w:rsid w:val="00F643AA"/>
    <w:rsid w:val="00F648A6"/>
    <w:rsid w:val="00F649FB"/>
    <w:rsid w:val="00F64D6B"/>
    <w:rsid w:val="00F653BC"/>
    <w:rsid w:val="00F65AC2"/>
    <w:rsid w:val="00F65B85"/>
    <w:rsid w:val="00F65C80"/>
    <w:rsid w:val="00F65F98"/>
    <w:rsid w:val="00F665A5"/>
    <w:rsid w:val="00F6687F"/>
    <w:rsid w:val="00F668F0"/>
    <w:rsid w:val="00F66CE0"/>
    <w:rsid w:val="00F66EEC"/>
    <w:rsid w:val="00F674C1"/>
    <w:rsid w:val="00F677AB"/>
    <w:rsid w:val="00F67A11"/>
    <w:rsid w:val="00F67BE9"/>
    <w:rsid w:val="00F67CA9"/>
    <w:rsid w:val="00F67DD3"/>
    <w:rsid w:val="00F70144"/>
    <w:rsid w:val="00F70265"/>
    <w:rsid w:val="00F70297"/>
    <w:rsid w:val="00F702E7"/>
    <w:rsid w:val="00F706C7"/>
    <w:rsid w:val="00F7099D"/>
    <w:rsid w:val="00F70A7E"/>
    <w:rsid w:val="00F70BD6"/>
    <w:rsid w:val="00F70C5E"/>
    <w:rsid w:val="00F70D67"/>
    <w:rsid w:val="00F70DAD"/>
    <w:rsid w:val="00F71174"/>
    <w:rsid w:val="00F711E0"/>
    <w:rsid w:val="00F71B45"/>
    <w:rsid w:val="00F71BD8"/>
    <w:rsid w:val="00F71CC9"/>
    <w:rsid w:val="00F72174"/>
    <w:rsid w:val="00F7229A"/>
    <w:rsid w:val="00F724F0"/>
    <w:rsid w:val="00F7259E"/>
    <w:rsid w:val="00F72B3A"/>
    <w:rsid w:val="00F72B62"/>
    <w:rsid w:val="00F7302C"/>
    <w:rsid w:val="00F73088"/>
    <w:rsid w:val="00F7369F"/>
    <w:rsid w:val="00F73930"/>
    <w:rsid w:val="00F7401C"/>
    <w:rsid w:val="00F74196"/>
    <w:rsid w:val="00F741DE"/>
    <w:rsid w:val="00F7458E"/>
    <w:rsid w:val="00F74782"/>
    <w:rsid w:val="00F747B8"/>
    <w:rsid w:val="00F74BBE"/>
    <w:rsid w:val="00F75289"/>
    <w:rsid w:val="00F75842"/>
    <w:rsid w:val="00F75858"/>
    <w:rsid w:val="00F758D0"/>
    <w:rsid w:val="00F764A5"/>
    <w:rsid w:val="00F7675A"/>
    <w:rsid w:val="00F76933"/>
    <w:rsid w:val="00F769D1"/>
    <w:rsid w:val="00F76D46"/>
    <w:rsid w:val="00F7715E"/>
    <w:rsid w:val="00F7750C"/>
    <w:rsid w:val="00F77885"/>
    <w:rsid w:val="00F779FB"/>
    <w:rsid w:val="00F77BCA"/>
    <w:rsid w:val="00F8003F"/>
    <w:rsid w:val="00F80555"/>
    <w:rsid w:val="00F805B3"/>
    <w:rsid w:val="00F8091B"/>
    <w:rsid w:val="00F80C0F"/>
    <w:rsid w:val="00F81050"/>
    <w:rsid w:val="00F8136B"/>
    <w:rsid w:val="00F8171D"/>
    <w:rsid w:val="00F81780"/>
    <w:rsid w:val="00F8195E"/>
    <w:rsid w:val="00F81B34"/>
    <w:rsid w:val="00F82089"/>
    <w:rsid w:val="00F82168"/>
    <w:rsid w:val="00F824DE"/>
    <w:rsid w:val="00F828EF"/>
    <w:rsid w:val="00F83052"/>
    <w:rsid w:val="00F83181"/>
    <w:rsid w:val="00F8340D"/>
    <w:rsid w:val="00F838E8"/>
    <w:rsid w:val="00F83A4E"/>
    <w:rsid w:val="00F83A56"/>
    <w:rsid w:val="00F83AE9"/>
    <w:rsid w:val="00F83C0E"/>
    <w:rsid w:val="00F83ECD"/>
    <w:rsid w:val="00F83F7A"/>
    <w:rsid w:val="00F84003"/>
    <w:rsid w:val="00F84005"/>
    <w:rsid w:val="00F8404C"/>
    <w:rsid w:val="00F843C4"/>
    <w:rsid w:val="00F843E9"/>
    <w:rsid w:val="00F8485D"/>
    <w:rsid w:val="00F848F0"/>
    <w:rsid w:val="00F851AE"/>
    <w:rsid w:val="00F85413"/>
    <w:rsid w:val="00F85434"/>
    <w:rsid w:val="00F854A1"/>
    <w:rsid w:val="00F8585D"/>
    <w:rsid w:val="00F85E53"/>
    <w:rsid w:val="00F85F22"/>
    <w:rsid w:val="00F86289"/>
    <w:rsid w:val="00F864BE"/>
    <w:rsid w:val="00F86DFF"/>
    <w:rsid w:val="00F86EB9"/>
    <w:rsid w:val="00F87033"/>
    <w:rsid w:val="00F870EE"/>
    <w:rsid w:val="00F87B14"/>
    <w:rsid w:val="00F9043B"/>
    <w:rsid w:val="00F919A1"/>
    <w:rsid w:val="00F919F4"/>
    <w:rsid w:val="00F91C9F"/>
    <w:rsid w:val="00F91D27"/>
    <w:rsid w:val="00F926B2"/>
    <w:rsid w:val="00F92AAE"/>
    <w:rsid w:val="00F92BA8"/>
    <w:rsid w:val="00F92D69"/>
    <w:rsid w:val="00F9358A"/>
    <w:rsid w:val="00F938CC"/>
    <w:rsid w:val="00F93BD7"/>
    <w:rsid w:val="00F94170"/>
    <w:rsid w:val="00F948E3"/>
    <w:rsid w:val="00F949E2"/>
    <w:rsid w:val="00F94AAC"/>
    <w:rsid w:val="00F94F60"/>
    <w:rsid w:val="00F9563B"/>
    <w:rsid w:val="00F95694"/>
    <w:rsid w:val="00F95E51"/>
    <w:rsid w:val="00F9604D"/>
    <w:rsid w:val="00F96077"/>
    <w:rsid w:val="00F96689"/>
    <w:rsid w:val="00F968E8"/>
    <w:rsid w:val="00F96C24"/>
    <w:rsid w:val="00F96D64"/>
    <w:rsid w:val="00F96F12"/>
    <w:rsid w:val="00F96F89"/>
    <w:rsid w:val="00F96FCB"/>
    <w:rsid w:val="00F976A9"/>
    <w:rsid w:val="00F9780B"/>
    <w:rsid w:val="00F97AE7"/>
    <w:rsid w:val="00FA012D"/>
    <w:rsid w:val="00FA032E"/>
    <w:rsid w:val="00FA058A"/>
    <w:rsid w:val="00FA0803"/>
    <w:rsid w:val="00FA0A34"/>
    <w:rsid w:val="00FA0BCE"/>
    <w:rsid w:val="00FA108A"/>
    <w:rsid w:val="00FA1C80"/>
    <w:rsid w:val="00FA1C92"/>
    <w:rsid w:val="00FA1DCC"/>
    <w:rsid w:val="00FA1DE4"/>
    <w:rsid w:val="00FA2250"/>
    <w:rsid w:val="00FA24B3"/>
    <w:rsid w:val="00FA252B"/>
    <w:rsid w:val="00FA2803"/>
    <w:rsid w:val="00FA2E4A"/>
    <w:rsid w:val="00FA2F31"/>
    <w:rsid w:val="00FA33B3"/>
    <w:rsid w:val="00FA34A7"/>
    <w:rsid w:val="00FA3958"/>
    <w:rsid w:val="00FA3BD7"/>
    <w:rsid w:val="00FA43E2"/>
    <w:rsid w:val="00FA47A8"/>
    <w:rsid w:val="00FA48B1"/>
    <w:rsid w:val="00FA4AB3"/>
    <w:rsid w:val="00FA4C03"/>
    <w:rsid w:val="00FA54F5"/>
    <w:rsid w:val="00FA5523"/>
    <w:rsid w:val="00FA5AE9"/>
    <w:rsid w:val="00FA5C79"/>
    <w:rsid w:val="00FA5F22"/>
    <w:rsid w:val="00FA5FF0"/>
    <w:rsid w:val="00FA6005"/>
    <w:rsid w:val="00FA61B0"/>
    <w:rsid w:val="00FA62B1"/>
    <w:rsid w:val="00FA641D"/>
    <w:rsid w:val="00FA6603"/>
    <w:rsid w:val="00FA6670"/>
    <w:rsid w:val="00FA7042"/>
    <w:rsid w:val="00FA70BD"/>
    <w:rsid w:val="00FA71BB"/>
    <w:rsid w:val="00FA7372"/>
    <w:rsid w:val="00FA73A6"/>
    <w:rsid w:val="00FA73EC"/>
    <w:rsid w:val="00FA7752"/>
    <w:rsid w:val="00FA786A"/>
    <w:rsid w:val="00FB009D"/>
    <w:rsid w:val="00FB031F"/>
    <w:rsid w:val="00FB0433"/>
    <w:rsid w:val="00FB0477"/>
    <w:rsid w:val="00FB05CF"/>
    <w:rsid w:val="00FB0673"/>
    <w:rsid w:val="00FB0693"/>
    <w:rsid w:val="00FB07C3"/>
    <w:rsid w:val="00FB0843"/>
    <w:rsid w:val="00FB0C50"/>
    <w:rsid w:val="00FB0DAD"/>
    <w:rsid w:val="00FB0FEE"/>
    <w:rsid w:val="00FB1213"/>
    <w:rsid w:val="00FB1A9D"/>
    <w:rsid w:val="00FB1ABF"/>
    <w:rsid w:val="00FB2040"/>
    <w:rsid w:val="00FB224C"/>
    <w:rsid w:val="00FB241C"/>
    <w:rsid w:val="00FB2BE3"/>
    <w:rsid w:val="00FB330B"/>
    <w:rsid w:val="00FB3B16"/>
    <w:rsid w:val="00FB3CE6"/>
    <w:rsid w:val="00FB42CD"/>
    <w:rsid w:val="00FB4429"/>
    <w:rsid w:val="00FB44EC"/>
    <w:rsid w:val="00FB4507"/>
    <w:rsid w:val="00FB4B84"/>
    <w:rsid w:val="00FB4FC9"/>
    <w:rsid w:val="00FB5420"/>
    <w:rsid w:val="00FB55AE"/>
    <w:rsid w:val="00FB5A78"/>
    <w:rsid w:val="00FB5E29"/>
    <w:rsid w:val="00FB6103"/>
    <w:rsid w:val="00FB61B2"/>
    <w:rsid w:val="00FB6516"/>
    <w:rsid w:val="00FB6670"/>
    <w:rsid w:val="00FB6E97"/>
    <w:rsid w:val="00FB6FA8"/>
    <w:rsid w:val="00FB6FDC"/>
    <w:rsid w:val="00FB70C7"/>
    <w:rsid w:val="00FB75B4"/>
    <w:rsid w:val="00FB77BC"/>
    <w:rsid w:val="00FB7813"/>
    <w:rsid w:val="00FB7922"/>
    <w:rsid w:val="00FB79A9"/>
    <w:rsid w:val="00FB7A61"/>
    <w:rsid w:val="00FB7D7B"/>
    <w:rsid w:val="00FC04C1"/>
    <w:rsid w:val="00FC05F9"/>
    <w:rsid w:val="00FC0780"/>
    <w:rsid w:val="00FC0A21"/>
    <w:rsid w:val="00FC0B8B"/>
    <w:rsid w:val="00FC0BEC"/>
    <w:rsid w:val="00FC120B"/>
    <w:rsid w:val="00FC14C4"/>
    <w:rsid w:val="00FC1521"/>
    <w:rsid w:val="00FC170B"/>
    <w:rsid w:val="00FC1A03"/>
    <w:rsid w:val="00FC1CC5"/>
    <w:rsid w:val="00FC1CCB"/>
    <w:rsid w:val="00FC2E67"/>
    <w:rsid w:val="00FC31E0"/>
    <w:rsid w:val="00FC327E"/>
    <w:rsid w:val="00FC38FB"/>
    <w:rsid w:val="00FC3CE0"/>
    <w:rsid w:val="00FC3F97"/>
    <w:rsid w:val="00FC40FB"/>
    <w:rsid w:val="00FC46BA"/>
    <w:rsid w:val="00FC4C8A"/>
    <w:rsid w:val="00FC4D23"/>
    <w:rsid w:val="00FC4FEF"/>
    <w:rsid w:val="00FC52A9"/>
    <w:rsid w:val="00FC5635"/>
    <w:rsid w:val="00FC57E7"/>
    <w:rsid w:val="00FC5996"/>
    <w:rsid w:val="00FC5C23"/>
    <w:rsid w:val="00FC63C9"/>
    <w:rsid w:val="00FC6A75"/>
    <w:rsid w:val="00FC6C3F"/>
    <w:rsid w:val="00FC6FAB"/>
    <w:rsid w:val="00FC7127"/>
    <w:rsid w:val="00FC7229"/>
    <w:rsid w:val="00FC75DF"/>
    <w:rsid w:val="00FC767D"/>
    <w:rsid w:val="00FC7805"/>
    <w:rsid w:val="00FC797E"/>
    <w:rsid w:val="00FC7A81"/>
    <w:rsid w:val="00FC7B06"/>
    <w:rsid w:val="00FC7B36"/>
    <w:rsid w:val="00FC7FAE"/>
    <w:rsid w:val="00FD0050"/>
    <w:rsid w:val="00FD00D5"/>
    <w:rsid w:val="00FD050A"/>
    <w:rsid w:val="00FD0525"/>
    <w:rsid w:val="00FD0A64"/>
    <w:rsid w:val="00FD10DD"/>
    <w:rsid w:val="00FD1426"/>
    <w:rsid w:val="00FD14B8"/>
    <w:rsid w:val="00FD1D1E"/>
    <w:rsid w:val="00FD2153"/>
    <w:rsid w:val="00FD2169"/>
    <w:rsid w:val="00FD2B4E"/>
    <w:rsid w:val="00FD2EE8"/>
    <w:rsid w:val="00FD2F70"/>
    <w:rsid w:val="00FD31F9"/>
    <w:rsid w:val="00FD364F"/>
    <w:rsid w:val="00FD3786"/>
    <w:rsid w:val="00FD3DA6"/>
    <w:rsid w:val="00FD417A"/>
    <w:rsid w:val="00FD4354"/>
    <w:rsid w:val="00FD45B8"/>
    <w:rsid w:val="00FD49E1"/>
    <w:rsid w:val="00FD501F"/>
    <w:rsid w:val="00FD54D5"/>
    <w:rsid w:val="00FD56D2"/>
    <w:rsid w:val="00FD5778"/>
    <w:rsid w:val="00FD6158"/>
    <w:rsid w:val="00FD64F6"/>
    <w:rsid w:val="00FD67EB"/>
    <w:rsid w:val="00FD6AF3"/>
    <w:rsid w:val="00FD6B9E"/>
    <w:rsid w:val="00FD6D48"/>
    <w:rsid w:val="00FD6F69"/>
    <w:rsid w:val="00FD6F92"/>
    <w:rsid w:val="00FD6FC3"/>
    <w:rsid w:val="00FD7323"/>
    <w:rsid w:val="00FD7623"/>
    <w:rsid w:val="00FE06E5"/>
    <w:rsid w:val="00FE0ACD"/>
    <w:rsid w:val="00FE10DD"/>
    <w:rsid w:val="00FE123D"/>
    <w:rsid w:val="00FE136A"/>
    <w:rsid w:val="00FE1CD0"/>
    <w:rsid w:val="00FE1E05"/>
    <w:rsid w:val="00FE1E70"/>
    <w:rsid w:val="00FE1FFA"/>
    <w:rsid w:val="00FE210E"/>
    <w:rsid w:val="00FE2239"/>
    <w:rsid w:val="00FE2868"/>
    <w:rsid w:val="00FE2C3A"/>
    <w:rsid w:val="00FE2D9B"/>
    <w:rsid w:val="00FE2F64"/>
    <w:rsid w:val="00FE3061"/>
    <w:rsid w:val="00FE3094"/>
    <w:rsid w:val="00FE328D"/>
    <w:rsid w:val="00FE35E0"/>
    <w:rsid w:val="00FE3620"/>
    <w:rsid w:val="00FE36B6"/>
    <w:rsid w:val="00FE3735"/>
    <w:rsid w:val="00FE3AC3"/>
    <w:rsid w:val="00FE3FE4"/>
    <w:rsid w:val="00FE4143"/>
    <w:rsid w:val="00FE52BC"/>
    <w:rsid w:val="00FE58DB"/>
    <w:rsid w:val="00FE59D2"/>
    <w:rsid w:val="00FE5ECD"/>
    <w:rsid w:val="00FE6096"/>
    <w:rsid w:val="00FE6184"/>
    <w:rsid w:val="00FE6224"/>
    <w:rsid w:val="00FE624A"/>
    <w:rsid w:val="00FE6344"/>
    <w:rsid w:val="00FE681C"/>
    <w:rsid w:val="00FE69BF"/>
    <w:rsid w:val="00FE6FCE"/>
    <w:rsid w:val="00FE77D0"/>
    <w:rsid w:val="00FE78CC"/>
    <w:rsid w:val="00FE78F5"/>
    <w:rsid w:val="00FE7B35"/>
    <w:rsid w:val="00FE7BF1"/>
    <w:rsid w:val="00FF06C2"/>
    <w:rsid w:val="00FF072B"/>
    <w:rsid w:val="00FF0FF4"/>
    <w:rsid w:val="00FF1573"/>
    <w:rsid w:val="00FF16E4"/>
    <w:rsid w:val="00FF17E2"/>
    <w:rsid w:val="00FF1E1B"/>
    <w:rsid w:val="00FF1E73"/>
    <w:rsid w:val="00FF2F28"/>
    <w:rsid w:val="00FF32E0"/>
    <w:rsid w:val="00FF3FE7"/>
    <w:rsid w:val="00FF3FEF"/>
    <w:rsid w:val="00FF48D9"/>
    <w:rsid w:val="00FF49A5"/>
    <w:rsid w:val="00FF4A54"/>
    <w:rsid w:val="00FF534A"/>
    <w:rsid w:val="00FF5B3F"/>
    <w:rsid w:val="00FF5B5F"/>
    <w:rsid w:val="00FF609D"/>
    <w:rsid w:val="00FF65A8"/>
    <w:rsid w:val="00FF65F1"/>
    <w:rsid w:val="00FF666D"/>
    <w:rsid w:val="00FF6896"/>
    <w:rsid w:val="00FF68E3"/>
    <w:rsid w:val="00FF6BD2"/>
    <w:rsid w:val="00FF6E0A"/>
    <w:rsid w:val="00FF6EA8"/>
    <w:rsid w:val="00FF705D"/>
    <w:rsid w:val="00FF7372"/>
    <w:rsid w:val="00FF7B4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FE48E1"/>
  <w15:chartTrackingRefBased/>
  <w15:docId w15:val="{5457B416-2B24-4BBB-993F-966B45CA5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2"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qFormat="1"/>
    <w:lsdException w:name="index heading" w:locked="0" w:semiHidden="1" w:unhideWhenUsed="1"/>
    <w:lsdException w:name="caption" w:locked="0" w:semiHidden="1" w:uiPriority="0"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qFormat="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lsdException w:name="Closing" w:semiHidden="1" w:unhideWhenUsed="1"/>
    <w:lsdException w:name="Signature" w:locked="0"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lsdException w:name="Salutation" w:locked="0" w:semiHidden="1" w:unhideWhenUsed="1"/>
    <w:lsdException w:name="Date" w:locked="0" w:semiHidden="1" w:unhideWhenUsed="1"/>
    <w:lsdException w:name="Body Text First Indent"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lsdException w:name="Emphasis" w:uiPriority="20"/>
    <w:lsdException w:name="Document Map" w:locked="0"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0"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locked="0" w:semiHidden="1" w:unhideWhenUsed="1"/>
    <w:lsdException w:name="Placeholder Text" w:locked="0"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locked="0"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970477"/>
    <w:pPr>
      <w:spacing w:after="240" w:line="320" w:lineRule="atLeast"/>
    </w:pPr>
    <w:rPr>
      <w:rFonts w:ascii="Arial" w:hAnsi="Arial"/>
      <w:sz w:val="24"/>
    </w:rPr>
  </w:style>
  <w:style w:type="paragraph" w:styleId="Heading1">
    <w:name w:val="heading 1"/>
    <w:aliases w:val="IOD Heading 1"/>
    <w:basedOn w:val="Normal"/>
    <w:next w:val="Normal"/>
    <w:link w:val="Heading1Char"/>
    <w:uiPriority w:val="2"/>
    <w:qFormat/>
    <w:rsid w:val="00582C8C"/>
    <w:pPr>
      <w:keepNext/>
      <w:keepLines/>
      <w:spacing w:after="480"/>
      <w:outlineLvl w:val="0"/>
    </w:pPr>
    <w:rPr>
      <w:rFonts w:eastAsiaTheme="majorEastAsia" w:cstheme="majorBidi"/>
      <w:color w:val="041E42"/>
      <w:sz w:val="52"/>
      <w:szCs w:val="32"/>
    </w:rPr>
  </w:style>
  <w:style w:type="paragraph" w:styleId="Heading2">
    <w:name w:val="heading 2"/>
    <w:basedOn w:val="Normal"/>
    <w:next w:val="Normal"/>
    <w:link w:val="Heading2Char"/>
    <w:uiPriority w:val="9"/>
    <w:unhideWhenUsed/>
    <w:qFormat/>
    <w:rsid w:val="00F105DF"/>
    <w:pPr>
      <w:keepNext/>
      <w:keepLines/>
      <w:spacing w:before="480" w:after="320"/>
      <w:outlineLvl w:val="1"/>
    </w:pPr>
    <w:rPr>
      <w:rFonts w:eastAsiaTheme="majorEastAsia" w:cstheme="majorBidi"/>
      <w:color w:val="041E42"/>
      <w:sz w:val="36"/>
      <w:szCs w:val="26"/>
    </w:rPr>
  </w:style>
  <w:style w:type="paragraph" w:styleId="Heading3">
    <w:name w:val="heading 3"/>
    <w:basedOn w:val="Normal"/>
    <w:next w:val="Normal"/>
    <w:link w:val="Heading3Char"/>
    <w:uiPriority w:val="9"/>
    <w:unhideWhenUsed/>
    <w:qFormat/>
    <w:rsid w:val="00F105DF"/>
    <w:pPr>
      <w:keepNext/>
      <w:keepLines/>
      <w:outlineLvl w:val="2"/>
    </w:pPr>
    <w:rPr>
      <w:rFonts w:eastAsiaTheme="majorEastAsia" w:cstheme="majorBidi"/>
      <w:color w:val="041E42"/>
      <w:sz w:val="28"/>
      <w:szCs w:val="24"/>
    </w:rPr>
  </w:style>
  <w:style w:type="paragraph" w:styleId="Heading4">
    <w:name w:val="heading 4"/>
    <w:basedOn w:val="Normal"/>
    <w:next w:val="Normal"/>
    <w:link w:val="Heading4Char"/>
    <w:uiPriority w:val="9"/>
    <w:unhideWhenUsed/>
    <w:qFormat/>
    <w:rsid w:val="00582C8C"/>
    <w:pPr>
      <w:keepNext/>
      <w:keepLines/>
      <w:spacing w:after="120"/>
      <w:outlineLvl w:val="3"/>
    </w:pPr>
    <w:rPr>
      <w:rFonts w:eastAsiaTheme="majorEastAsia" w:cstheme="majorBidi"/>
      <w:b/>
      <w:iCs/>
      <w:sz w:val="26"/>
    </w:rPr>
  </w:style>
  <w:style w:type="paragraph" w:styleId="Heading5">
    <w:name w:val="heading 5"/>
    <w:basedOn w:val="Normal"/>
    <w:next w:val="Normal"/>
    <w:link w:val="Heading5Char"/>
    <w:uiPriority w:val="9"/>
    <w:unhideWhenUsed/>
    <w:rsid w:val="00207FE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SNZTitle">
    <w:name w:val="DESNZ Title"/>
    <w:basedOn w:val="Normal"/>
    <w:next w:val="DESNZSub-title"/>
    <w:rsid w:val="00FB0673"/>
    <w:rPr>
      <w:color w:val="041E42"/>
      <w:sz w:val="76"/>
    </w:rPr>
  </w:style>
  <w:style w:type="paragraph" w:customStyle="1" w:styleId="DESNZSub-title">
    <w:name w:val="DESNZ Sub-title"/>
    <w:basedOn w:val="Normal"/>
    <w:next w:val="DESNZDate"/>
    <w:rsid w:val="00E9676C"/>
    <w:pPr>
      <w:spacing w:after="480"/>
    </w:pPr>
    <w:rPr>
      <w:color w:val="868686"/>
      <w:sz w:val="48"/>
    </w:rPr>
  </w:style>
  <w:style w:type="paragraph" w:styleId="Header">
    <w:name w:val="header"/>
    <w:basedOn w:val="Normal"/>
    <w:link w:val="HeaderChar"/>
    <w:uiPriority w:val="99"/>
    <w:unhideWhenUsed/>
    <w:rsid w:val="00490BD3"/>
    <w:pPr>
      <w:tabs>
        <w:tab w:val="center" w:pos="4513"/>
        <w:tab w:val="right" w:pos="9026"/>
      </w:tabs>
      <w:spacing w:after="0"/>
    </w:pPr>
  </w:style>
  <w:style w:type="character" w:customStyle="1" w:styleId="HeaderChar">
    <w:name w:val="Header Char"/>
    <w:basedOn w:val="DefaultParagraphFont"/>
    <w:link w:val="Header"/>
    <w:uiPriority w:val="99"/>
    <w:rsid w:val="00490BD3"/>
  </w:style>
  <w:style w:type="paragraph" w:styleId="Footer">
    <w:name w:val="footer"/>
    <w:aliases w:val="IOD Footer"/>
    <w:basedOn w:val="Normal"/>
    <w:link w:val="FooterChar"/>
    <w:uiPriority w:val="99"/>
    <w:unhideWhenUsed/>
    <w:qFormat/>
    <w:rsid w:val="00490BD3"/>
    <w:pPr>
      <w:tabs>
        <w:tab w:val="center" w:pos="4513"/>
        <w:tab w:val="right" w:pos="9026"/>
      </w:tabs>
      <w:spacing w:after="0"/>
    </w:pPr>
  </w:style>
  <w:style w:type="character" w:customStyle="1" w:styleId="FooterChar">
    <w:name w:val="Footer Char"/>
    <w:aliases w:val="IOD Footer Char"/>
    <w:basedOn w:val="DefaultParagraphFont"/>
    <w:link w:val="Footer"/>
    <w:uiPriority w:val="99"/>
    <w:rsid w:val="00490BD3"/>
  </w:style>
  <w:style w:type="paragraph" w:customStyle="1" w:styleId="DESNZDate">
    <w:name w:val="DESNZ Date"/>
    <w:basedOn w:val="Normal"/>
    <w:rsid w:val="00FC1A03"/>
    <w:pPr>
      <w:spacing w:after="0"/>
    </w:pPr>
    <w:rPr>
      <w:color w:val="868686"/>
      <w:sz w:val="28"/>
    </w:rPr>
  </w:style>
  <w:style w:type="paragraph" w:customStyle="1" w:styleId="Copyrightstatement">
    <w:name w:val="Copyright statement"/>
    <w:basedOn w:val="Normal"/>
    <w:rsid w:val="009B7940"/>
    <w:pPr>
      <w:spacing w:after="200" w:line="240" w:lineRule="auto"/>
    </w:pPr>
    <w:rPr>
      <w:sz w:val="20"/>
    </w:rPr>
  </w:style>
  <w:style w:type="character" w:styleId="Hyperlink">
    <w:name w:val="Hyperlink"/>
    <w:basedOn w:val="DefaultParagraphFont"/>
    <w:uiPriority w:val="99"/>
    <w:unhideWhenUsed/>
    <w:rsid w:val="008C2C59"/>
    <w:rPr>
      <w:color w:val="0000FF"/>
      <w:u w:val="single"/>
    </w:rPr>
  </w:style>
  <w:style w:type="character" w:styleId="UnresolvedMention">
    <w:name w:val="Unresolved Mention"/>
    <w:basedOn w:val="DefaultParagraphFont"/>
    <w:uiPriority w:val="99"/>
    <w:semiHidden/>
    <w:unhideWhenUsed/>
    <w:rsid w:val="009C56D8"/>
    <w:rPr>
      <w:color w:val="808080"/>
      <w:shd w:val="clear" w:color="auto" w:fill="E6E6E6"/>
    </w:rPr>
  </w:style>
  <w:style w:type="character" w:customStyle="1" w:styleId="Heading1Char">
    <w:name w:val="Heading 1 Char"/>
    <w:aliases w:val="IOD Heading 1 Char"/>
    <w:basedOn w:val="DefaultParagraphFont"/>
    <w:link w:val="Heading1"/>
    <w:uiPriority w:val="2"/>
    <w:rsid w:val="00582C8C"/>
    <w:rPr>
      <w:rFonts w:ascii="Arial" w:eastAsiaTheme="majorEastAsia" w:hAnsi="Arial" w:cstheme="majorBidi"/>
      <w:color w:val="041E42"/>
      <w:sz w:val="52"/>
      <w:szCs w:val="32"/>
    </w:rPr>
  </w:style>
  <w:style w:type="paragraph" w:customStyle="1" w:styleId="Contents">
    <w:name w:val="Contents"/>
    <w:basedOn w:val="Heading1"/>
    <w:next w:val="Normal"/>
    <w:rsid w:val="004C1B6A"/>
  </w:style>
  <w:style w:type="character" w:customStyle="1" w:styleId="Heading2Char">
    <w:name w:val="Heading 2 Char"/>
    <w:basedOn w:val="DefaultParagraphFont"/>
    <w:link w:val="Heading2"/>
    <w:uiPriority w:val="9"/>
    <w:rsid w:val="00F105DF"/>
    <w:rPr>
      <w:rFonts w:ascii="Arial" w:eastAsiaTheme="majorEastAsia" w:hAnsi="Arial" w:cstheme="majorBidi"/>
      <w:color w:val="041E42"/>
      <w:sz w:val="36"/>
      <w:szCs w:val="26"/>
    </w:rPr>
  </w:style>
  <w:style w:type="character" w:customStyle="1" w:styleId="Heading3Char">
    <w:name w:val="Heading 3 Char"/>
    <w:basedOn w:val="DefaultParagraphFont"/>
    <w:link w:val="Heading3"/>
    <w:uiPriority w:val="9"/>
    <w:rsid w:val="00F105DF"/>
    <w:rPr>
      <w:rFonts w:ascii="Arial" w:eastAsiaTheme="majorEastAsia" w:hAnsi="Arial" w:cstheme="majorBidi"/>
      <w:color w:val="041E42"/>
      <w:sz w:val="28"/>
      <w:szCs w:val="24"/>
    </w:rPr>
  </w:style>
  <w:style w:type="character" w:customStyle="1" w:styleId="Heading4Char">
    <w:name w:val="Heading 4 Char"/>
    <w:basedOn w:val="DefaultParagraphFont"/>
    <w:link w:val="Heading4"/>
    <w:uiPriority w:val="9"/>
    <w:rsid w:val="00582C8C"/>
    <w:rPr>
      <w:rFonts w:ascii="Arial" w:eastAsiaTheme="majorEastAsia" w:hAnsi="Arial" w:cstheme="majorBidi"/>
      <w:b/>
      <w:iCs/>
      <w:sz w:val="26"/>
    </w:rPr>
  </w:style>
  <w:style w:type="character" w:customStyle="1" w:styleId="Boldtext">
    <w:name w:val="Bold text"/>
    <w:basedOn w:val="DefaultParagraphFont"/>
    <w:uiPriority w:val="1"/>
    <w:qFormat/>
    <w:rsid w:val="00582C8C"/>
    <w:rPr>
      <w:b/>
      <w:color w:val="auto"/>
    </w:rPr>
  </w:style>
  <w:style w:type="paragraph" w:styleId="NoSpacing">
    <w:name w:val="No Spacing"/>
    <w:uiPriority w:val="1"/>
    <w:locked/>
    <w:rsid w:val="000E2D24"/>
    <w:pPr>
      <w:spacing w:after="0" w:line="240" w:lineRule="auto"/>
    </w:pPr>
    <w:rPr>
      <w:rFonts w:ascii="Arial" w:hAnsi="Arial"/>
      <w:sz w:val="24"/>
    </w:rPr>
  </w:style>
  <w:style w:type="paragraph" w:customStyle="1" w:styleId="Introparagraph">
    <w:name w:val="Intro paragraph"/>
    <w:basedOn w:val="Normal"/>
    <w:next w:val="Normal"/>
    <w:uiPriority w:val="2"/>
    <w:qFormat/>
    <w:rsid w:val="000E2D24"/>
    <w:pPr>
      <w:spacing w:line="280" w:lineRule="atLeast"/>
    </w:pPr>
    <w:rPr>
      <w:i/>
      <w:color w:val="041E42"/>
      <w:sz w:val="26"/>
    </w:rPr>
  </w:style>
  <w:style w:type="paragraph" w:styleId="FootnoteText">
    <w:name w:val="footnote text"/>
    <w:aliases w:val="single space,FOOTNOTES,fn,footnote text,ADB,WB-Fußnotentext,Footnote,Fußnote,FIAS Rpt Footnote,ALTS FOOTNOTE,ft,Footnote Text Char Char,Footnote Text Char1,Footnote Text Char2 Char,Footnote Text Char1 Char Char,DSE note,tex,footnote,f,Car"/>
    <w:basedOn w:val="Normal"/>
    <w:link w:val="FootnoteTextChar"/>
    <w:uiPriority w:val="99"/>
    <w:unhideWhenUsed/>
    <w:rsid w:val="009B7940"/>
    <w:pPr>
      <w:spacing w:after="0" w:line="240" w:lineRule="auto"/>
    </w:pPr>
    <w:rPr>
      <w:sz w:val="20"/>
      <w:szCs w:val="20"/>
    </w:rPr>
  </w:style>
  <w:style w:type="character" w:customStyle="1" w:styleId="FootnoteTextChar">
    <w:name w:val="Footnote Text Char"/>
    <w:aliases w:val="single space Char,FOOTNOTES Char,fn Char,footnote text Char,ADB Char,WB-Fußnotentext Char,Footnote Char,Fußnote Char,FIAS Rpt Footnote Char,ALTS FOOTNOTE Char,ft Char,Footnote Text Char Char Char,Footnote Text Char1 Char,DSE note Char"/>
    <w:basedOn w:val="DefaultParagraphFont"/>
    <w:link w:val="FootnoteText"/>
    <w:uiPriority w:val="99"/>
    <w:rsid w:val="009B7940"/>
    <w:rPr>
      <w:rFonts w:ascii="Arial" w:hAnsi="Arial"/>
      <w:sz w:val="20"/>
      <w:szCs w:val="20"/>
    </w:rPr>
  </w:style>
  <w:style w:type="character" w:styleId="FootnoteReference">
    <w:name w:val="footnote reference"/>
    <w:aliases w:val="16 Point,Superscript 6 Point"/>
    <w:basedOn w:val="DefaultParagraphFont"/>
    <w:uiPriority w:val="99"/>
    <w:semiHidden/>
    <w:unhideWhenUsed/>
    <w:rsid w:val="00B00598"/>
    <w:rPr>
      <w:vertAlign w:val="superscript"/>
    </w:rPr>
  </w:style>
  <w:style w:type="paragraph" w:customStyle="1" w:styleId="Numberedlist">
    <w:name w:val="Numbered list"/>
    <w:basedOn w:val="Normal"/>
    <w:rsid w:val="00D23ED7"/>
    <w:pPr>
      <w:numPr>
        <w:numId w:val="29"/>
      </w:numPr>
      <w:spacing w:after="200"/>
    </w:pPr>
  </w:style>
  <w:style w:type="paragraph" w:customStyle="1" w:styleId="Tintbox">
    <w:name w:val="Tint box"/>
    <w:basedOn w:val="Normal"/>
    <w:rsid w:val="00323213"/>
    <w:pPr>
      <w:pBdr>
        <w:top w:val="single" w:sz="48" w:space="1" w:color="DFE2EB"/>
        <w:left w:val="single" w:sz="48" w:space="4" w:color="DFE2EB"/>
        <w:bottom w:val="single" w:sz="48" w:space="1" w:color="DFE2EB"/>
        <w:right w:val="single" w:sz="48" w:space="4" w:color="DFE2EB"/>
      </w:pBdr>
      <w:shd w:val="clear" w:color="auto" w:fill="DFE2EB"/>
      <w:ind w:left="284" w:right="284"/>
    </w:pPr>
  </w:style>
  <w:style w:type="paragraph" w:styleId="TOCHeading">
    <w:name w:val="TOC Heading"/>
    <w:basedOn w:val="Heading1"/>
    <w:next w:val="Normal"/>
    <w:uiPriority w:val="39"/>
    <w:unhideWhenUsed/>
    <w:locked/>
    <w:rsid w:val="00E45851"/>
    <w:pPr>
      <w:spacing w:before="240" w:after="0" w:line="259" w:lineRule="auto"/>
      <w:outlineLvl w:val="9"/>
    </w:pPr>
    <w:rPr>
      <w:rFonts w:asciiTheme="majorHAnsi" w:hAnsiTheme="majorHAnsi"/>
      <w:color w:val="2F5496" w:themeColor="accent1" w:themeShade="BF"/>
      <w:sz w:val="32"/>
      <w:lang w:val="en-US"/>
    </w:rPr>
  </w:style>
  <w:style w:type="paragraph" w:customStyle="1" w:styleId="Notes">
    <w:name w:val="Notes"/>
    <w:basedOn w:val="Normal"/>
    <w:next w:val="Normal"/>
    <w:rsid w:val="002C3101"/>
    <w:pPr>
      <w:spacing w:line="240" w:lineRule="auto"/>
    </w:pPr>
    <w:rPr>
      <w:sz w:val="20"/>
    </w:rPr>
  </w:style>
  <w:style w:type="paragraph" w:customStyle="1" w:styleId="Textbox">
    <w:name w:val="Text box"/>
    <w:basedOn w:val="Normal"/>
    <w:rsid w:val="008C2C59"/>
    <w:pPr>
      <w:pBdr>
        <w:top w:val="single" w:sz="4" w:space="6" w:color="2B7EE2"/>
        <w:left w:val="single" w:sz="4" w:space="8" w:color="2B7EE2"/>
        <w:bottom w:val="single" w:sz="4" w:space="6" w:color="2B7EE2"/>
        <w:right w:val="single" w:sz="4" w:space="8" w:color="2B7EE2"/>
      </w:pBdr>
      <w:ind w:left="284" w:right="284"/>
    </w:pPr>
  </w:style>
  <w:style w:type="character" w:customStyle="1" w:styleId="Italic">
    <w:name w:val="Italic"/>
    <w:basedOn w:val="DefaultParagraphFont"/>
    <w:uiPriority w:val="1"/>
    <w:qFormat/>
    <w:rsid w:val="00BE6077"/>
    <w:rPr>
      <w:i/>
    </w:rPr>
  </w:style>
  <w:style w:type="paragraph" w:customStyle="1" w:styleId="NumberedparagraphSimple">
    <w:name w:val="Numbered paragraph (Simple)"/>
    <w:basedOn w:val="Normal"/>
    <w:link w:val="NumberedparagraphSimpleChar"/>
    <w:autoRedefine/>
    <w:uiPriority w:val="99"/>
    <w:rsid w:val="00BC00CF"/>
    <w:pPr>
      <w:numPr>
        <w:numId w:val="3"/>
      </w:numPr>
      <w:tabs>
        <w:tab w:val="left" w:pos="709"/>
      </w:tabs>
    </w:pPr>
    <w:rPr>
      <w:rFonts w:eastAsia="Times New Roman" w:cs="Times New Roman"/>
      <w:szCs w:val="24"/>
    </w:rPr>
  </w:style>
  <w:style w:type="numbering" w:customStyle="1" w:styleId="Numberlist">
    <w:name w:val="Number list"/>
    <w:rsid w:val="004949DB"/>
    <w:pPr>
      <w:numPr>
        <w:numId w:val="2"/>
      </w:numPr>
    </w:pPr>
  </w:style>
  <w:style w:type="character" w:customStyle="1" w:styleId="NumberedparagraphSimpleChar">
    <w:name w:val="Numbered paragraph (Simple) Char"/>
    <w:basedOn w:val="DefaultParagraphFont"/>
    <w:link w:val="NumberedparagraphSimple"/>
    <w:uiPriority w:val="99"/>
    <w:rsid w:val="00BC00CF"/>
    <w:rPr>
      <w:rFonts w:ascii="Arial" w:eastAsia="Times New Roman" w:hAnsi="Arial" w:cs="Times New Roman"/>
      <w:sz w:val="24"/>
      <w:szCs w:val="24"/>
    </w:rPr>
  </w:style>
  <w:style w:type="paragraph" w:styleId="Quote">
    <w:name w:val="Quote"/>
    <w:basedOn w:val="Normal"/>
    <w:next w:val="Normal"/>
    <w:link w:val="QuoteChar"/>
    <w:uiPriority w:val="29"/>
    <w:rsid w:val="00676833"/>
    <w:pPr>
      <w:ind w:left="709" w:right="709"/>
    </w:pPr>
    <w:rPr>
      <w:i/>
      <w:iCs/>
    </w:rPr>
  </w:style>
  <w:style w:type="character" w:customStyle="1" w:styleId="QuoteChar">
    <w:name w:val="Quote Char"/>
    <w:basedOn w:val="DefaultParagraphFont"/>
    <w:link w:val="Quote"/>
    <w:uiPriority w:val="29"/>
    <w:rsid w:val="00676833"/>
    <w:rPr>
      <w:rFonts w:ascii="Arial" w:hAnsi="Arial"/>
      <w:i/>
      <w:iCs/>
      <w:sz w:val="24"/>
    </w:rPr>
  </w:style>
  <w:style w:type="paragraph" w:customStyle="1" w:styleId="DESNZbulletedlist">
    <w:name w:val="DESNZ bulleted list"/>
    <w:basedOn w:val="Normal"/>
    <w:uiPriority w:val="2"/>
    <w:qFormat/>
    <w:rsid w:val="009B7940"/>
    <w:pPr>
      <w:numPr>
        <w:numId w:val="4"/>
      </w:numPr>
      <w:spacing w:after="120"/>
    </w:pPr>
  </w:style>
  <w:style w:type="paragraph" w:styleId="Caption">
    <w:name w:val="caption"/>
    <w:basedOn w:val="Normal"/>
    <w:next w:val="Normal"/>
    <w:qFormat/>
    <w:rsid w:val="008A4611"/>
    <w:pPr>
      <w:spacing w:after="120"/>
    </w:pPr>
    <w:rPr>
      <w:rFonts w:eastAsia="Times New Roman" w:cs="Times New Roman"/>
      <w:b/>
      <w:sz w:val="23"/>
      <w:szCs w:val="24"/>
    </w:rPr>
  </w:style>
  <w:style w:type="table" w:customStyle="1" w:styleId="Table-Darkblue">
    <w:name w:val="Table - Dark blue"/>
    <w:basedOn w:val="TableNormal"/>
    <w:uiPriority w:val="99"/>
    <w:rsid w:val="00F301DA"/>
    <w:pPr>
      <w:spacing w:after="0" w:line="240" w:lineRule="auto"/>
    </w:pPr>
    <w:rPr>
      <w:rFonts w:ascii="Arial" w:eastAsia="Times New Roman" w:hAnsi="Arial" w:cs="Times New Roman"/>
      <w:lang w:eastAsia="en-GB"/>
    </w:rPr>
    <w:tblPr>
      <w:tblBorders>
        <w:top w:val="single" w:sz="4" w:space="0" w:color="041E42"/>
        <w:left w:val="single" w:sz="4" w:space="0" w:color="041E42"/>
        <w:bottom w:val="single" w:sz="4" w:space="0" w:color="041E42"/>
        <w:right w:val="single" w:sz="4" w:space="0" w:color="041E42"/>
        <w:insideH w:val="single" w:sz="4" w:space="0" w:color="041E42"/>
        <w:insideV w:val="single" w:sz="4" w:space="0" w:color="041E42"/>
      </w:tblBorders>
      <w:tblCellMar>
        <w:top w:w="85" w:type="dxa"/>
        <w:bottom w:w="85" w:type="dxa"/>
      </w:tblCellMar>
    </w:tblPr>
    <w:trPr>
      <w:cantSplit/>
    </w:trPr>
    <w:tcPr>
      <w:shd w:val="clear" w:color="auto" w:fill="auto"/>
    </w:tcPr>
    <w:tblStylePr w:type="firstRow">
      <w:pPr>
        <w:wordWrap/>
        <w:spacing w:beforeLines="0" w:before="0" w:beforeAutospacing="0" w:afterLines="0" w:after="0" w:afterAutospacing="0" w:line="240" w:lineRule="auto"/>
        <w:jc w:val="left"/>
      </w:pPr>
      <w:rPr>
        <w:rFonts w:ascii="Arial" w:hAnsi="Arial"/>
        <w:b/>
        <w:color w:val="FFFFFF" w:themeColor="background1"/>
        <w:sz w:val="22"/>
      </w:rPr>
      <w:tblPr/>
      <w:tcPr>
        <w:shd w:val="clear" w:color="auto" w:fill="041E42"/>
        <w:vAlign w:val="center"/>
      </w:tcPr>
    </w:tblStylePr>
  </w:style>
  <w:style w:type="table" w:customStyle="1" w:styleId="Table-Lightblue">
    <w:name w:val="Table - Light blue"/>
    <w:basedOn w:val="TableNormal"/>
    <w:uiPriority w:val="99"/>
    <w:rsid w:val="00F301DA"/>
    <w:pPr>
      <w:spacing w:after="0" w:line="240" w:lineRule="auto"/>
    </w:pPr>
    <w:rPr>
      <w:rFonts w:ascii="Arial" w:eastAsia="Times New Roman" w:hAnsi="Arial" w:cs="Times New Roman"/>
      <w:lang w:eastAsia="en-GB"/>
    </w:rPr>
    <w:tblPr>
      <w:tblBorders>
        <w:top w:val="single" w:sz="4" w:space="0" w:color="2B7EE2"/>
        <w:left w:val="single" w:sz="4" w:space="0" w:color="2B7EE2"/>
        <w:bottom w:val="single" w:sz="4" w:space="0" w:color="2B7EE2"/>
        <w:right w:val="single" w:sz="4" w:space="0" w:color="2B7EE2"/>
        <w:insideH w:val="single" w:sz="4" w:space="0" w:color="2B7EE2"/>
        <w:insideV w:val="single" w:sz="4" w:space="0" w:color="2B7EE2"/>
      </w:tblBorders>
      <w:tblCellMar>
        <w:top w:w="85" w:type="dxa"/>
        <w:bottom w:w="85" w:type="dxa"/>
      </w:tblCellMar>
    </w:tblPr>
    <w:trPr>
      <w:cantSplit/>
    </w:trPr>
    <w:tcPr>
      <w:shd w:val="clear" w:color="auto" w:fill="auto"/>
    </w:tcPr>
    <w:tblStylePr w:type="firstRow">
      <w:tblPr/>
      <w:tcPr>
        <w:shd w:val="clear" w:color="auto" w:fill="62C3F4"/>
      </w:tcPr>
    </w:tblStylePr>
  </w:style>
  <w:style w:type="paragraph" w:styleId="TOC1">
    <w:name w:val="toc 1"/>
    <w:basedOn w:val="Normal"/>
    <w:next w:val="Normal"/>
    <w:autoRedefine/>
    <w:uiPriority w:val="39"/>
    <w:unhideWhenUsed/>
    <w:rsid w:val="00E45851"/>
    <w:pPr>
      <w:tabs>
        <w:tab w:val="right" w:leader="underscore" w:pos="10082"/>
      </w:tabs>
      <w:spacing w:before="120" w:after="120"/>
    </w:pPr>
    <w:rPr>
      <w:color w:val="041E42"/>
    </w:rPr>
  </w:style>
  <w:style w:type="paragraph" w:styleId="TOC2">
    <w:name w:val="toc 2"/>
    <w:basedOn w:val="Normal"/>
    <w:next w:val="Normal"/>
    <w:autoRedefine/>
    <w:uiPriority w:val="39"/>
    <w:unhideWhenUsed/>
    <w:rsid w:val="00E45851"/>
    <w:pPr>
      <w:tabs>
        <w:tab w:val="right" w:leader="underscore" w:pos="10082"/>
      </w:tabs>
      <w:spacing w:before="120" w:after="120"/>
      <w:ind w:left="238"/>
    </w:pPr>
    <w:rPr>
      <w:color w:val="041E42"/>
    </w:rPr>
  </w:style>
  <w:style w:type="paragraph" w:styleId="TOC3">
    <w:name w:val="toc 3"/>
    <w:basedOn w:val="Normal"/>
    <w:next w:val="Normal"/>
    <w:autoRedefine/>
    <w:uiPriority w:val="39"/>
    <w:unhideWhenUsed/>
    <w:rsid w:val="00E45851"/>
    <w:pPr>
      <w:spacing w:after="120"/>
      <w:ind w:left="482"/>
    </w:pPr>
    <w:rPr>
      <w:color w:val="041E42"/>
    </w:rPr>
  </w:style>
  <w:style w:type="table" w:styleId="TableGrid">
    <w:name w:val="Table Grid"/>
    <w:basedOn w:val="TableNormal"/>
    <w:uiPriority w:val="39"/>
    <w:rsid w:val="00F301DA"/>
    <w:pPr>
      <w:spacing w:after="0" w:line="240" w:lineRule="auto"/>
    </w:pPr>
    <w:tblPr/>
  </w:style>
  <w:style w:type="paragraph" w:customStyle="1" w:styleId="Tableheading-NormalWhite">
    <w:name w:val="Table heading - Normal (White)"/>
    <w:basedOn w:val="Normal"/>
    <w:next w:val="Normal"/>
    <w:rsid w:val="00483BA0"/>
    <w:pPr>
      <w:spacing w:before="60" w:after="60"/>
      <w:ind w:left="113" w:right="113"/>
    </w:pPr>
    <w:rPr>
      <w:rFonts w:eastAsia="Times New Roman" w:cs="Times New Roman"/>
      <w:b/>
      <w:color w:val="FFFFFF" w:themeColor="background1"/>
      <w:sz w:val="22"/>
      <w:lang w:eastAsia="en-GB"/>
    </w:rPr>
  </w:style>
  <w:style w:type="paragraph" w:customStyle="1" w:styleId="Tableheading-SmallWhite">
    <w:name w:val="Table heading - Small (White)"/>
    <w:basedOn w:val="Tableheading-NormalWhite"/>
    <w:rsid w:val="00483BA0"/>
    <w:rPr>
      <w:color w:val="FFFFFF"/>
      <w:sz w:val="20"/>
    </w:rPr>
  </w:style>
  <w:style w:type="paragraph" w:customStyle="1" w:styleId="Tableheading-NormalBlack">
    <w:name w:val="Table heading - Normal (Black)"/>
    <w:basedOn w:val="Tableheading-NormalWhite"/>
    <w:next w:val="Normal"/>
    <w:rsid w:val="00483BA0"/>
    <w:rPr>
      <w:color w:val="000000" w:themeColor="text1"/>
      <w:szCs w:val="20"/>
    </w:rPr>
  </w:style>
  <w:style w:type="paragraph" w:customStyle="1" w:styleId="Tableheading-SmallBlack">
    <w:name w:val="Table heading - Small (Black)"/>
    <w:basedOn w:val="Tableheading-NormalBlack"/>
    <w:next w:val="Normal"/>
    <w:rsid w:val="00483BA0"/>
    <w:rPr>
      <w:sz w:val="20"/>
    </w:rPr>
  </w:style>
  <w:style w:type="paragraph" w:customStyle="1" w:styleId="Tabletext-Normal">
    <w:name w:val="Table text - Normal"/>
    <w:basedOn w:val="Normal"/>
    <w:rsid w:val="00730608"/>
    <w:pPr>
      <w:spacing w:after="60"/>
      <w:ind w:left="113" w:right="113"/>
    </w:pPr>
    <w:rPr>
      <w:rFonts w:eastAsia="Times New Roman" w:cs="Times New Roman"/>
      <w:sz w:val="22"/>
      <w:lang w:eastAsia="en-GB"/>
    </w:rPr>
  </w:style>
  <w:style w:type="paragraph" w:customStyle="1" w:styleId="Tabletext-Small">
    <w:name w:val="Table text - Small"/>
    <w:basedOn w:val="Tabletext-Normal"/>
    <w:rsid w:val="00730608"/>
    <w:rPr>
      <w:sz w:val="20"/>
    </w:rPr>
  </w:style>
  <w:style w:type="paragraph" w:customStyle="1" w:styleId="Tabletext-NormalBold">
    <w:name w:val="Table text - Normal (Bold)"/>
    <w:basedOn w:val="Tabletext-Normal"/>
    <w:next w:val="Tabletext-Normal"/>
    <w:rsid w:val="00730608"/>
    <w:rPr>
      <w:b/>
    </w:rPr>
  </w:style>
  <w:style w:type="paragraph" w:customStyle="1" w:styleId="Tabletext-SmallBold">
    <w:name w:val="Table text - Small (Bold)"/>
    <w:basedOn w:val="Tabletext-Small"/>
    <w:next w:val="Tabletext-Small"/>
    <w:rsid w:val="00730608"/>
    <w:rPr>
      <w:b/>
    </w:rPr>
  </w:style>
  <w:style w:type="table" w:customStyle="1" w:styleId="Table-bluegrid1">
    <w:name w:val="Table - blue grid1"/>
    <w:basedOn w:val="TableNormal"/>
    <w:uiPriority w:val="99"/>
    <w:locked/>
    <w:rsid w:val="00F301DA"/>
    <w:pPr>
      <w:spacing w:after="0" w:line="240" w:lineRule="auto"/>
    </w:pPr>
    <w:rPr>
      <w:rFonts w:ascii="Arial" w:eastAsia="Times New Roman" w:hAnsi="Arial" w:cs="Times New Roman"/>
      <w:lang w:eastAsia="en-GB"/>
    </w:rPr>
    <w:tblPr>
      <w:tblBorders>
        <w:top w:val="single" w:sz="4" w:space="0" w:color="041E42"/>
        <w:left w:val="single" w:sz="4" w:space="0" w:color="041E42"/>
        <w:bottom w:val="single" w:sz="4" w:space="0" w:color="041E42"/>
        <w:right w:val="single" w:sz="4" w:space="0" w:color="041E42"/>
        <w:insideH w:val="single" w:sz="4" w:space="0" w:color="041E42"/>
        <w:insideV w:val="single" w:sz="4" w:space="0" w:color="041E42"/>
      </w:tblBorders>
      <w:tblCellMar>
        <w:top w:w="85" w:type="dxa"/>
        <w:bottom w:w="85" w:type="dxa"/>
      </w:tblCellMar>
    </w:tblPr>
    <w:trPr>
      <w:cantSplit/>
    </w:trPr>
    <w:tcPr>
      <w:shd w:val="clear" w:color="auto" w:fill="auto"/>
    </w:tcPr>
    <w:tblStylePr w:type="firstRow">
      <w:pPr>
        <w:wordWrap/>
        <w:spacing w:beforeLines="0" w:before="0" w:beforeAutospacing="0" w:afterLines="0" w:after="0" w:afterAutospacing="0" w:line="240" w:lineRule="auto"/>
        <w:jc w:val="left"/>
      </w:pPr>
      <w:rPr>
        <w:rFonts w:ascii="Arial" w:hAnsi="Arial"/>
        <w:b/>
        <w:color w:val="FFFFFF" w:themeColor="background1"/>
        <w:sz w:val="22"/>
      </w:rPr>
      <w:tblPr/>
      <w:tcPr>
        <w:shd w:val="clear" w:color="auto" w:fill="041E42"/>
        <w:vAlign w:val="center"/>
      </w:tcPr>
    </w:tblStylePr>
  </w:style>
  <w:style w:type="table" w:styleId="PlainTable4">
    <w:name w:val="Plain Table 4"/>
    <w:basedOn w:val="TableNormal"/>
    <w:uiPriority w:val="44"/>
    <w:locked/>
    <w:rsid w:val="005F29FE"/>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table" w:styleId="PlainTable5">
    <w:name w:val="Plain Table 5"/>
    <w:basedOn w:val="TableNormal"/>
    <w:uiPriority w:val="45"/>
    <w:locked/>
    <w:rsid w:val="005F29FE"/>
    <w:pPr>
      <w:spacing w:after="0" w:line="240" w:lineRule="auto"/>
    </w:pPr>
    <w:tblPr>
      <w:tblStyleRowBandSize w:val="1"/>
      <w:tblStyleColBandSize w:val="1"/>
    </w:tblPr>
    <w:tcPr>
      <w:shd w:val="clear" w:color="auto" w:fill="FFFFFF" w:themeFill="background1"/>
    </w:tc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locked/>
    <w:rsid w:val="00B079B3"/>
    <w:pPr>
      <w:spacing w:after="0" w:line="240" w:lineRule="auto"/>
    </w:pPr>
    <w:tblPr>
      <w:tblStyleRowBandSize w:val="1"/>
      <w:tblStyleColBandSize w:val="1"/>
    </w:tblPr>
    <w:tcPr>
      <w:shd w:val="clear" w:color="auto" w:fill="F2F2F2" w:themeFill="background1" w:themeFillShade="F2"/>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style>
  <w:style w:type="table" w:styleId="TableGridLight">
    <w:name w:val="Grid Table Light"/>
    <w:basedOn w:val="TableNormal"/>
    <w:uiPriority w:val="40"/>
    <w:locked/>
    <w:rsid w:val="00B079B3"/>
    <w:pPr>
      <w:spacing w:after="0" w:line="240" w:lineRule="auto"/>
    </w:pPr>
    <w:tblPr/>
  </w:style>
  <w:style w:type="table" w:customStyle="1" w:styleId="Table-DarkblueBackground">
    <w:name w:val="Table - Dark blue (Background)"/>
    <w:basedOn w:val="Table-Darkblue"/>
    <w:uiPriority w:val="99"/>
    <w:rsid w:val="00F301DA"/>
    <w:tblPr/>
    <w:tcPr>
      <w:shd w:val="clear" w:color="auto" w:fill="DFE2EB"/>
      <w:vAlign w:val="center"/>
    </w:tcPr>
    <w:tblStylePr w:type="firstRow">
      <w:pPr>
        <w:wordWrap/>
        <w:spacing w:beforeLines="0" w:before="0" w:beforeAutospacing="0" w:afterLines="0" w:after="0" w:afterAutospacing="0" w:line="240" w:lineRule="auto"/>
        <w:jc w:val="left"/>
      </w:pPr>
      <w:rPr>
        <w:rFonts w:ascii="Arial" w:hAnsi="Arial"/>
        <w:b/>
        <w:color w:val="FFFFFF" w:themeColor="background1"/>
        <w:sz w:val="22"/>
      </w:rPr>
      <w:tblPr/>
      <w:tcPr>
        <w:shd w:val="clear" w:color="auto" w:fill="041E42"/>
        <w:vAlign w:val="center"/>
      </w:tcPr>
    </w:tblStylePr>
  </w:style>
  <w:style w:type="table" w:customStyle="1" w:styleId="Table-DarkblueBanded">
    <w:name w:val="Table - Dark blue (Banded)"/>
    <w:basedOn w:val="Table-DarkblueBackground"/>
    <w:uiPriority w:val="99"/>
    <w:rsid w:val="00F301DA"/>
    <w:tblPr/>
    <w:tblStylePr w:type="firstRow">
      <w:pPr>
        <w:wordWrap/>
        <w:spacing w:beforeLines="0" w:before="0" w:beforeAutospacing="0" w:afterLines="0" w:after="0" w:afterAutospacing="0" w:line="240" w:lineRule="auto"/>
        <w:jc w:val="left"/>
      </w:pPr>
      <w:rPr>
        <w:rFonts w:ascii="Arial" w:hAnsi="Arial"/>
        <w:b/>
        <w:color w:val="FFFFFF" w:themeColor="background1"/>
        <w:sz w:val="22"/>
      </w:rPr>
      <w:tblPr/>
      <w:tcPr>
        <w:shd w:val="clear" w:color="auto" w:fill="041E42"/>
        <w:vAlign w:val="center"/>
      </w:tcPr>
    </w:tblStylePr>
  </w:style>
  <w:style w:type="table" w:customStyle="1" w:styleId="Table-LightblueBackground">
    <w:name w:val="Table - Light blue (Background)"/>
    <w:basedOn w:val="Table-Lightblue"/>
    <w:uiPriority w:val="99"/>
    <w:rsid w:val="00F301DA"/>
    <w:tblPr/>
    <w:tblStylePr w:type="firstRow">
      <w:tblPr/>
      <w:tcPr>
        <w:shd w:val="clear" w:color="auto" w:fill="62C3F4"/>
      </w:tcPr>
    </w:tblStylePr>
  </w:style>
  <w:style w:type="table" w:customStyle="1" w:styleId="Table-LightblueBanded">
    <w:name w:val="Table - Light blue (Banded)"/>
    <w:basedOn w:val="Table-LightblueBackground"/>
    <w:uiPriority w:val="99"/>
    <w:rsid w:val="00F301DA"/>
    <w:tblPr/>
    <w:tblStylePr w:type="firstRow">
      <w:tblPr/>
      <w:tcPr>
        <w:shd w:val="clear" w:color="auto" w:fill="62C3F4"/>
      </w:tcPr>
    </w:tblStylePr>
  </w:style>
  <w:style w:type="paragraph" w:styleId="ListParagraph">
    <w:name w:val="List Paragraph"/>
    <w:aliases w:val="Bullet list,IFCL - List Paragraph,Numbered Para 1,Dot pt,No Spacing1,List Paragraph Char Char Char,Indicator Text,List Paragraph1,Bullet 1,Bullet Points,MAIN CONTENT,Paragraphe de liste PBLH,Liste Paragraf,Llista Nivell1,Lista de nivel 1"/>
    <w:basedOn w:val="Normal"/>
    <w:uiPriority w:val="34"/>
    <w:qFormat/>
    <w:rsid w:val="00BC00CF"/>
    <w:pPr>
      <w:spacing w:after="160" w:line="259" w:lineRule="auto"/>
      <w:ind w:left="720"/>
      <w:contextualSpacing/>
    </w:pPr>
    <w:rPr>
      <w:rFonts w:asciiTheme="minorHAnsi" w:hAnsiTheme="minorHAnsi"/>
      <w:sz w:val="22"/>
    </w:rPr>
  </w:style>
  <w:style w:type="paragraph" w:customStyle="1" w:styleId="Heading1Legal-Level1">
    <w:name w:val="Heading 1 (Legal) - Level 1"/>
    <w:basedOn w:val="Heading1"/>
    <w:next w:val="NumberedparagraphLegal-Level2"/>
    <w:rsid w:val="002F28E4"/>
    <w:pPr>
      <w:pageBreakBefore/>
      <w:numPr>
        <w:numId w:val="26"/>
      </w:numPr>
    </w:pPr>
  </w:style>
  <w:style w:type="paragraph" w:customStyle="1" w:styleId="NumberedparagraphLegal-Level2">
    <w:name w:val="Numbered paragraph (Legal) - Level 2"/>
    <w:basedOn w:val="Normal"/>
    <w:rsid w:val="002F28E4"/>
    <w:pPr>
      <w:numPr>
        <w:ilvl w:val="1"/>
        <w:numId w:val="26"/>
      </w:numPr>
    </w:pPr>
  </w:style>
  <w:style w:type="paragraph" w:customStyle="1" w:styleId="NumberedparagraphLegal-Level3">
    <w:name w:val="Numbered paragraph (Legal) - Level 3"/>
    <w:basedOn w:val="Normal"/>
    <w:rsid w:val="002F28E4"/>
    <w:pPr>
      <w:numPr>
        <w:ilvl w:val="2"/>
        <w:numId w:val="26"/>
      </w:numPr>
    </w:pPr>
  </w:style>
  <w:style w:type="numbering" w:customStyle="1" w:styleId="Legalnumbering">
    <w:name w:val="Legal numbering"/>
    <w:uiPriority w:val="99"/>
    <w:rsid w:val="002F28E4"/>
    <w:pPr>
      <w:numPr>
        <w:numId w:val="6"/>
      </w:numPr>
    </w:pPr>
  </w:style>
  <w:style w:type="character" w:styleId="FollowedHyperlink">
    <w:name w:val="FollowedHyperlink"/>
    <w:basedOn w:val="DefaultParagraphFont"/>
    <w:uiPriority w:val="99"/>
    <w:semiHidden/>
    <w:unhideWhenUsed/>
    <w:rsid w:val="00806A69"/>
    <w:rPr>
      <w:color w:val="954F72" w:themeColor="followedHyperlink"/>
      <w:u w:val="single"/>
    </w:rPr>
  </w:style>
  <w:style w:type="paragraph" w:customStyle="1" w:styleId="DESNZResearchNo">
    <w:name w:val="DESNZ Research No."/>
    <w:basedOn w:val="DESNZDate"/>
    <w:next w:val="Normal"/>
    <w:rsid w:val="00FC1A03"/>
  </w:style>
  <w:style w:type="character" w:customStyle="1" w:styleId="Superscript">
    <w:name w:val="Superscript"/>
    <w:basedOn w:val="DefaultParagraphFont"/>
    <w:uiPriority w:val="1"/>
    <w:qFormat/>
    <w:rsid w:val="002E0BC7"/>
    <w:rPr>
      <w:rFonts w:ascii="Arial" w:hAnsi="Arial"/>
      <w:caps w:val="0"/>
      <w:smallCaps w:val="0"/>
      <w:strike w:val="0"/>
      <w:dstrike w:val="0"/>
      <w:vanish w:val="0"/>
      <w:sz w:val="24"/>
      <w:vertAlign w:val="superscript"/>
    </w:rPr>
  </w:style>
  <w:style w:type="character" w:customStyle="1" w:styleId="Subscript">
    <w:name w:val="Subscript"/>
    <w:basedOn w:val="DefaultParagraphFont"/>
    <w:uiPriority w:val="1"/>
    <w:qFormat/>
    <w:rsid w:val="00D47A4E"/>
    <w:rPr>
      <w:rFonts w:ascii="Arial" w:hAnsi="Arial"/>
      <w:caps w:val="0"/>
      <w:smallCaps w:val="0"/>
      <w:strike w:val="0"/>
      <w:dstrike w:val="0"/>
      <w:vanish w:val="0"/>
      <w:sz w:val="24"/>
      <w:vertAlign w:val="subscript"/>
    </w:rPr>
  </w:style>
  <w:style w:type="character" w:styleId="CommentReference">
    <w:name w:val="annotation reference"/>
    <w:basedOn w:val="DefaultParagraphFont"/>
    <w:uiPriority w:val="99"/>
    <w:semiHidden/>
    <w:unhideWhenUsed/>
    <w:rsid w:val="00C17B78"/>
    <w:rPr>
      <w:sz w:val="16"/>
      <w:szCs w:val="16"/>
    </w:rPr>
  </w:style>
  <w:style w:type="paragraph" w:styleId="CommentText">
    <w:name w:val="annotation text"/>
    <w:basedOn w:val="Normal"/>
    <w:link w:val="CommentTextChar"/>
    <w:uiPriority w:val="99"/>
    <w:unhideWhenUsed/>
    <w:rsid w:val="00C17B78"/>
    <w:pPr>
      <w:spacing w:line="240" w:lineRule="auto"/>
    </w:pPr>
    <w:rPr>
      <w:sz w:val="20"/>
      <w:szCs w:val="20"/>
    </w:rPr>
  </w:style>
  <w:style w:type="character" w:customStyle="1" w:styleId="CommentTextChar">
    <w:name w:val="Comment Text Char"/>
    <w:basedOn w:val="DefaultParagraphFont"/>
    <w:link w:val="CommentText"/>
    <w:uiPriority w:val="99"/>
    <w:rsid w:val="00C17B7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17B78"/>
    <w:rPr>
      <w:b/>
      <w:bCs/>
    </w:rPr>
  </w:style>
  <w:style w:type="character" w:customStyle="1" w:styleId="CommentSubjectChar">
    <w:name w:val="Comment Subject Char"/>
    <w:basedOn w:val="CommentTextChar"/>
    <w:link w:val="CommentSubject"/>
    <w:uiPriority w:val="99"/>
    <w:semiHidden/>
    <w:rsid w:val="00C17B78"/>
    <w:rPr>
      <w:rFonts w:ascii="Arial" w:hAnsi="Arial"/>
      <w:b/>
      <w:bCs/>
      <w:sz w:val="20"/>
      <w:szCs w:val="20"/>
    </w:rPr>
  </w:style>
  <w:style w:type="paragraph" w:styleId="NormalWeb">
    <w:name w:val="Normal (Web)"/>
    <w:basedOn w:val="Normal"/>
    <w:uiPriority w:val="99"/>
    <w:semiHidden/>
    <w:unhideWhenUsed/>
    <w:rsid w:val="0066015A"/>
    <w:pPr>
      <w:spacing w:before="100" w:beforeAutospacing="1" w:after="100" w:afterAutospacing="1" w:line="240" w:lineRule="auto"/>
    </w:pPr>
    <w:rPr>
      <w:rFonts w:ascii="Times New Roman" w:eastAsia="Times New Roman" w:hAnsi="Times New Roman" w:cs="Times New Roman"/>
      <w:szCs w:val="24"/>
      <w:lang w:eastAsia="en-GB"/>
    </w:rPr>
  </w:style>
  <w:style w:type="character" w:styleId="Emphasis">
    <w:name w:val="Emphasis"/>
    <w:basedOn w:val="DefaultParagraphFont"/>
    <w:uiPriority w:val="20"/>
    <w:locked/>
    <w:rsid w:val="0066015A"/>
    <w:rPr>
      <w:i/>
      <w:iCs/>
    </w:rPr>
  </w:style>
  <w:style w:type="paragraph" w:styleId="TableofFigures">
    <w:name w:val="table of figures"/>
    <w:basedOn w:val="Normal"/>
    <w:next w:val="Normal"/>
    <w:uiPriority w:val="99"/>
    <w:unhideWhenUsed/>
    <w:rsid w:val="006A7EAB"/>
    <w:pPr>
      <w:spacing w:after="0"/>
    </w:pPr>
  </w:style>
  <w:style w:type="paragraph" w:styleId="Revision">
    <w:name w:val="Revision"/>
    <w:hidden/>
    <w:uiPriority w:val="99"/>
    <w:semiHidden/>
    <w:rsid w:val="006B0786"/>
    <w:pPr>
      <w:spacing w:after="0" w:line="240" w:lineRule="auto"/>
    </w:pPr>
    <w:rPr>
      <w:rFonts w:ascii="Arial" w:hAnsi="Arial"/>
      <w:sz w:val="24"/>
    </w:rPr>
  </w:style>
  <w:style w:type="paragraph" w:styleId="EndnoteText">
    <w:name w:val="endnote text"/>
    <w:basedOn w:val="Normal"/>
    <w:link w:val="EndnoteTextChar"/>
    <w:uiPriority w:val="99"/>
    <w:semiHidden/>
    <w:unhideWhenUsed/>
    <w:rsid w:val="006B078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B0786"/>
    <w:rPr>
      <w:rFonts w:ascii="Arial" w:hAnsi="Arial"/>
      <w:sz w:val="20"/>
      <w:szCs w:val="20"/>
    </w:rPr>
  </w:style>
  <w:style w:type="character" w:styleId="EndnoteReference">
    <w:name w:val="endnote reference"/>
    <w:basedOn w:val="DefaultParagraphFont"/>
    <w:uiPriority w:val="99"/>
    <w:semiHidden/>
    <w:unhideWhenUsed/>
    <w:rsid w:val="006B0786"/>
    <w:rPr>
      <w:vertAlign w:val="superscript"/>
    </w:rPr>
  </w:style>
  <w:style w:type="character" w:styleId="Strong">
    <w:name w:val="Strong"/>
    <w:basedOn w:val="DefaultParagraphFont"/>
    <w:uiPriority w:val="22"/>
    <w:locked/>
    <w:rsid w:val="00F30D45"/>
    <w:rPr>
      <w:b/>
      <w:bCs/>
    </w:rPr>
  </w:style>
  <w:style w:type="character" w:styleId="Mention">
    <w:name w:val="Mention"/>
    <w:basedOn w:val="DefaultParagraphFont"/>
    <w:uiPriority w:val="99"/>
    <w:unhideWhenUsed/>
    <w:rsid w:val="009F3439"/>
    <w:rPr>
      <w:color w:val="2B579A"/>
      <w:shd w:val="clear" w:color="auto" w:fill="E1DFDD"/>
    </w:rPr>
  </w:style>
  <w:style w:type="character" w:customStyle="1" w:styleId="Heading5Char">
    <w:name w:val="Heading 5 Char"/>
    <w:basedOn w:val="DefaultParagraphFont"/>
    <w:link w:val="Heading5"/>
    <w:uiPriority w:val="9"/>
    <w:rsid w:val="00207FE0"/>
    <w:rPr>
      <w:rFonts w:asciiTheme="majorHAnsi" w:eastAsiaTheme="majorEastAsia" w:hAnsiTheme="majorHAnsi" w:cstheme="majorBidi"/>
      <w:color w:val="2F5496" w:themeColor="accent1" w:themeShade="BF"/>
      <w:sz w:val="24"/>
    </w:rPr>
  </w:style>
  <w:style w:type="paragraph" w:styleId="ListNumber">
    <w:name w:val="List Number"/>
    <w:basedOn w:val="Normal"/>
    <w:uiPriority w:val="99"/>
    <w:semiHidden/>
    <w:unhideWhenUsed/>
    <w:qFormat/>
    <w:rsid w:val="0091792F"/>
    <w:pPr>
      <w:spacing w:after="120" w:line="240" w:lineRule="auto"/>
      <w:contextualSpacing/>
      <w:jc w:val="both"/>
    </w:pPr>
    <w:rPr>
      <w:rFonts w:cs="Times New Roman"/>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5041">
      <w:bodyDiv w:val="1"/>
      <w:marLeft w:val="0"/>
      <w:marRight w:val="0"/>
      <w:marTop w:val="0"/>
      <w:marBottom w:val="0"/>
      <w:divBdr>
        <w:top w:val="none" w:sz="0" w:space="0" w:color="auto"/>
        <w:left w:val="none" w:sz="0" w:space="0" w:color="auto"/>
        <w:bottom w:val="none" w:sz="0" w:space="0" w:color="auto"/>
        <w:right w:val="none" w:sz="0" w:space="0" w:color="auto"/>
      </w:divBdr>
      <w:divsChild>
        <w:div w:id="180825405">
          <w:marLeft w:val="1166"/>
          <w:marRight w:val="0"/>
          <w:marTop w:val="0"/>
          <w:marBottom w:val="0"/>
          <w:divBdr>
            <w:top w:val="none" w:sz="0" w:space="0" w:color="auto"/>
            <w:left w:val="none" w:sz="0" w:space="0" w:color="auto"/>
            <w:bottom w:val="none" w:sz="0" w:space="0" w:color="auto"/>
            <w:right w:val="none" w:sz="0" w:space="0" w:color="auto"/>
          </w:divBdr>
        </w:div>
        <w:div w:id="731004491">
          <w:marLeft w:val="446"/>
          <w:marRight w:val="0"/>
          <w:marTop w:val="0"/>
          <w:marBottom w:val="0"/>
          <w:divBdr>
            <w:top w:val="none" w:sz="0" w:space="0" w:color="auto"/>
            <w:left w:val="none" w:sz="0" w:space="0" w:color="auto"/>
            <w:bottom w:val="none" w:sz="0" w:space="0" w:color="auto"/>
            <w:right w:val="none" w:sz="0" w:space="0" w:color="auto"/>
          </w:divBdr>
        </w:div>
        <w:div w:id="1922327376">
          <w:marLeft w:val="1166"/>
          <w:marRight w:val="0"/>
          <w:marTop w:val="0"/>
          <w:marBottom w:val="0"/>
          <w:divBdr>
            <w:top w:val="none" w:sz="0" w:space="0" w:color="auto"/>
            <w:left w:val="none" w:sz="0" w:space="0" w:color="auto"/>
            <w:bottom w:val="none" w:sz="0" w:space="0" w:color="auto"/>
            <w:right w:val="none" w:sz="0" w:space="0" w:color="auto"/>
          </w:divBdr>
        </w:div>
      </w:divsChild>
    </w:div>
    <w:div w:id="92827813">
      <w:bodyDiv w:val="1"/>
      <w:marLeft w:val="0"/>
      <w:marRight w:val="0"/>
      <w:marTop w:val="0"/>
      <w:marBottom w:val="0"/>
      <w:divBdr>
        <w:top w:val="none" w:sz="0" w:space="0" w:color="auto"/>
        <w:left w:val="none" w:sz="0" w:space="0" w:color="auto"/>
        <w:bottom w:val="none" w:sz="0" w:space="0" w:color="auto"/>
        <w:right w:val="none" w:sz="0" w:space="0" w:color="auto"/>
      </w:divBdr>
      <w:divsChild>
        <w:div w:id="36127877">
          <w:marLeft w:val="446"/>
          <w:marRight w:val="0"/>
          <w:marTop w:val="0"/>
          <w:marBottom w:val="0"/>
          <w:divBdr>
            <w:top w:val="none" w:sz="0" w:space="0" w:color="auto"/>
            <w:left w:val="none" w:sz="0" w:space="0" w:color="auto"/>
            <w:bottom w:val="none" w:sz="0" w:space="0" w:color="auto"/>
            <w:right w:val="none" w:sz="0" w:space="0" w:color="auto"/>
          </w:divBdr>
        </w:div>
        <w:div w:id="329259687">
          <w:marLeft w:val="446"/>
          <w:marRight w:val="0"/>
          <w:marTop w:val="0"/>
          <w:marBottom w:val="0"/>
          <w:divBdr>
            <w:top w:val="none" w:sz="0" w:space="0" w:color="auto"/>
            <w:left w:val="none" w:sz="0" w:space="0" w:color="auto"/>
            <w:bottom w:val="none" w:sz="0" w:space="0" w:color="auto"/>
            <w:right w:val="none" w:sz="0" w:space="0" w:color="auto"/>
          </w:divBdr>
        </w:div>
        <w:div w:id="637878067">
          <w:marLeft w:val="446"/>
          <w:marRight w:val="0"/>
          <w:marTop w:val="0"/>
          <w:marBottom w:val="0"/>
          <w:divBdr>
            <w:top w:val="none" w:sz="0" w:space="0" w:color="auto"/>
            <w:left w:val="none" w:sz="0" w:space="0" w:color="auto"/>
            <w:bottom w:val="none" w:sz="0" w:space="0" w:color="auto"/>
            <w:right w:val="none" w:sz="0" w:space="0" w:color="auto"/>
          </w:divBdr>
        </w:div>
        <w:div w:id="667904953">
          <w:marLeft w:val="446"/>
          <w:marRight w:val="0"/>
          <w:marTop w:val="0"/>
          <w:marBottom w:val="0"/>
          <w:divBdr>
            <w:top w:val="none" w:sz="0" w:space="0" w:color="auto"/>
            <w:left w:val="none" w:sz="0" w:space="0" w:color="auto"/>
            <w:bottom w:val="none" w:sz="0" w:space="0" w:color="auto"/>
            <w:right w:val="none" w:sz="0" w:space="0" w:color="auto"/>
          </w:divBdr>
        </w:div>
        <w:div w:id="881818989">
          <w:marLeft w:val="446"/>
          <w:marRight w:val="0"/>
          <w:marTop w:val="0"/>
          <w:marBottom w:val="0"/>
          <w:divBdr>
            <w:top w:val="none" w:sz="0" w:space="0" w:color="auto"/>
            <w:left w:val="none" w:sz="0" w:space="0" w:color="auto"/>
            <w:bottom w:val="none" w:sz="0" w:space="0" w:color="auto"/>
            <w:right w:val="none" w:sz="0" w:space="0" w:color="auto"/>
          </w:divBdr>
        </w:div>
        <w:div w:id="1786849156">
          <w:marLeft w:val="446"/>
          <w:marRight w:val="0"/>
          <w:marTop w:val="0"/>
          <w:marBottom w:val="0"/>
          <w:divBdr>
            <w:top w:val="none" w:sz="0" w:space="0" w:color="auto"/>
            <w:left w:val="none" w:sz="0" w:space="0" w:color="auto"/>
            <w:bottom w:val="none" w:sz="0" w:space="0" w:color="auto"/>
            <w:right w:val="none" w:sz="0" w:space="0" w:color="auto"/>
          </w:divBdr>
        </w:div>
        <w:div w:id="2120098578">
          <w:marLeft w:val="446"/>
          <w:marRight w:val="0"/>
          <w:marTop w:val="0"/>
          <w:marBottom w:val="0"/>
          <w:divBdr>
            <w:top w:val="none" w:sz="0" w:space="0" w:color="auto"/>
            <w:left w:val="none" w:sz="0" w:space="0" w:color="auto"/>
            <w:bottom w:val="none" w:sz="0" w:space="0" w:color="auto"/>
            <w:right w:val="none" w:sz="0" w:space="0" w:color="auto"/>
          </w:divBdr>
        </w:div>
      </w:divsChild>
    </w:div>
    <w:div w:id="163977669">
      <w:bodyDiv w:val="1"/>
      <w:marLeft w:val="0"/>
      <w:marRight w:val="0"/>
      <w:marTop w:val="0"/>
      <w:marBottom w:val="0"/>
      <w:divBdr>
        <w:top w:val="none" w:sz="0" w:space="0" w:color="auto"/>
        <w:left w:val="none" w:sz="0" w:space="0" w:color="auto"/>
        <w:bottom w:val="none" w:sz="0" w:space="0" w:color="auto"/>
        <w:right w:val="none" w:sz="0" w:space="0" w:color="auto"/>
      </w:divBdr>
    </w:div>
    <w:div w:id="219177105">
      <w:bodyDiv w:val="1"/>
      <w:marLeft w:val="0"/>
      <w:marRight w:val="0"/>
      <w:marTop w:val="0"/>
      <w:marBottom w:val="0"/>
      <w:divBdr>
        <w:top w:val="none" w:sz="0" w:space="0" w:color="auto"/>
        <w:left w:val="none" w:sz="0" w:space="0" w:color="auto"/>
        <w:bottom w:val="none" w:sz="0" w:space="0" w:color="auto"/>
        <w:right w:val="none" w:sz="0" w:space="0" w:color="auto"/>
      </w:divBdr>
      <w:divsChild>
        <w:div w:id="202329462">
          <w:marLeft w:val="1166"/>
          <w:marRight w:val="0"/>
          <w:marTop w:val="0"/>
          <w:marBottom w:val="0"/>
          <w:divBdr>
            <w:top w:val="none" w:sz="0" w:space="0" w:color="auto"/>
            <w:left w:val="none" w:sz="0" w:space="0" w:color="auto"/>
            <w:bottom w:val="none" w:sz="0" w:space="0" w:color="auto"/>
            <w:right w:val="none" w:sz="0" w:space="0" w:color="auto"/>
          </w:divBdr>
        </w:div>
        <w:div w:id="364331796">
          <w:marLeft w:val="446"/>
          <w:marRight w:val="0"/>
          <w:marTop w:val="0"/>
          <w:marBottom w:val="0"/>
          <w:divBdr>
            <w:top w:val="none" w:sz="0" w:space="0" w:color="auto"/>
            <w:left w:val="none" w:sz="0" w:space="0" w:color="auto"/>
            <w:bottom w:val="none" w:sz="0" w:space="0" w:color="auto"/>
            <w:right w:val="none" w:sz="0" w:space="0" w:color="auto"/>
          </w:divBdr>
        </w:div>
        <w:div w:id="530338870">
          <w:marLeft w:val="1166"/>
          <w:marRight w:val="0"/>
          <w:marTop w:val="0"/>
          <w:marBottom w:val="0"/>
          <w:divBdr>
            <w:top w:val="none" w:sz="0" w:space="0" w:color="auto"/>
            <w:left w:val="none" w:sz="0" w:space="0" w:color="auto"/>
            <w:bottom w:val="none" w:sz="0" w:space="0" w:color="auto"/>
            <w:right w:val="none" w:sz="0" w:space="0" w:color="auto"/>
          </w:divBdr>
        </w:div>
        <w:div w:id="668018758">
          <w:marLeft w:val="1166"/>
          <w:marRight w:val="0"/>
          <w:marTop w:val="0"/>
          <w:marBottom w:val="0"/>
          <w:divBdr>
            <w:top w:val="none" w:sz="0" w:space="0" w:color="auto"/>
            <w:left w:val="none" w:sz="0" w:space="0" w:color="auto"/>
            <w:bottom w:val="none" w:sz="0" w:space="0" w:color="auto"/>
            <w:right w:val="none" w:sz="0" w:space="0" w:color="auto"/>
          </w:divBdr>
        </w:div>
        <w:div w:id="778526192">
          <w:marLeft w:val="446"/>
          <w:marRight w:val="0"/>
          <w:marTop w:val="0"/>
          <w:marBottom w:val="0"/>
          <w:divBdr>
            <w:top w:val="none" w:sz="0" w:space="0" w:color="auto"/>
            <w:left w:val="none" w:sz="0" w:space="0" w:color="auto"/>
            <w:bottom w:val="none" w:sz="0" w:space="0" w:color="auto"/>
            <w:right w:val="none" w:sz="0" w:space="0" w:color="auto"/>
          </w:divBdr>
        </w:div>
        <w:div w:id="1609653870">
          <w:marLeft w:val="446"/>
          <w:marRight w:val="0"/>
          <w:marTop w:val="0"/>
          <w:marBottom w:val="0"/>
          <w:divBdr>
            <w:top w:val="none" w:sz="0" w:space="0" w:color="auto"/>
            <w:left w:val="none" w:sz="0" w:space="0" w:color="auto"/>
            <w:bottom w:val="none" w:sz="0" w:space="0" w:color="auto"/>
            <w:right w:val="none" w:sz="0" w:space="0" w:color="auto"/>
          </w:divBdr>
        </w:div>
        <w:div w:id="1942180055">
          <w:marLeft w:val="446"/>
          <w:marRight w:val="0"/>
          <w:marTop w:val="0"/>
          <w:marBottom w:val="0"/>
          <w:divBdr>
            <w:top w:val="none" w:sz="0" w:space="0" w:color="auto"/>
            <w:left w:val="none" w:sz="0" w:space="0" w:color="auto"/>
            <w:bottom w:val="none" w:sz="0" w:space="0" w:color="auto"/>
            <w:right w:val="none" w:sz="0" w:space="0" w:color="auto"/>
          </w:divBdr>
        </w:div>
      </w:divsChild>
    </w:div>
    <w:div w:id="236867410">
      <w:bodyDiv w:val="1"/>
      <w:marLeft w:val="0"/>
      <w:marRight w:val="0"/>
      <w:marTop w:val="0"/>
      <w:marBottom w:val="0"/>
      <w:divBdr>
        <w:top w:val="none" w:sz="0" w:space="0" w:color="auto"/>
        <w:left w:val="none" w:sz="0" w:space="0" w:color="auto"/>
        <w:bottom w:val="none" w:sz="0" w:space="0" w:color="auto"/>
        <w:right w:val="none" w:sz="0" w:space="0" w:color="auto"/>
      </w:divBdr>
    </w:div>
    <w:div w:id="273445300">
      <w:bodyDiv w:val="1"/>
      <w:marLeft w:val="0"/>
      <w:marRight w:val="0"/>
      <w:marTop w:val="0"/>
      <w:marBottom w:val="0"/>
      <w:divBdr>
        <w:top w:val="none" w:sz="0" w:space="0" w:color="auto"/>
        <w:left w:val="none" w:sz="0" w:space="0" w:color="auto"/>
        <w:bottom w:val="none" w:sz="0" w:space="0" w:color="auto"/>
        <w:right w:val="none" w:sz="0" w:space="0" w:color="auto"/>
      </w:divBdr>
    </w:div>
    <w:div w:id="326858524">
      <w:bodyDiv w:val="1"/>
      <w:marLeft w:val="0"/>
      <w:marRight w:val="0"/>
      <w:marTop w:val="0"/>
      <w:marBottom w:val="0"/>
      <w:divBdr>
        <w:top w:val="none" w:sz="0" w:space="0" w:color="auto"/>
        <w:left w:val="none" w:sz="0" w:space="0" w:color="auto"/>
        <w:bottom w:val="none" w:sz="0" w:space="0" w:color="auto"/>
        <w:right w:val="none" w:sz="0" w:space="0" w:color="auto"/>
      </w:divBdr>
      <w:divsChild>
        <w:div w:id="270087372">
          <w:marLeft w:val="1166"/>
          <w:marRight w:val="0"/>
          <w:marTop w:val="0"/>
          <w:marBottom w:val="0"/>
          <w:divBdr>
            <w:top w:val="none" w:sz="0" w:space="0" w:color="auto"/>
            <w:left w:val="none" w:sz="0" w:space="0" w:color="auto"/>
            <w:bottom w:val="none" w:sz="0" w:space="0" w:color="auto"/>
            <w:right w:val="none" w:sz="0" w:space="0" w:color="auto"/>
          </w:divBdr>
        </w:div>
        <w:div w:id="968586118">
          <w:marLeft w:val="446"/>
          <w:marRight w:val="0"/>
          <w:marTop w:val="0"/>
          <w:marBottom w:val="0"/>
          <w:divBdr>
            <w:top w:val="none" w:sz="0" w:space="0" w:color="auto"/>
            <w:left w:val="none" w:sz="0" w:space="0" w:color="auto"/>
            <w:bottom w:val="none" w:sz="0" w:space="0" w:color="auto"/>
            <w:right w:val="none" w:sz="0" w:space="0" w:color="auto"/>
          </w:divBdr>
        </w:div>
        <w:div w:id="1819375294">
          <w:marLeft w:val="1166"/>
          <w:marRight w:val="0"/>
          <w:marTop w:val="0"/>
          <w:marBottom w:val="0"/>
          <w:divBdr>
            <w:top w:val="none" w:sz="0" w:space="0" w:color="auto"/>
            <w:left w:val="none" w:sz="0" w:space="0" w:color="auto"/>
            <w:bottom w:val="none" w:sz="0" w:space="0" w:color="auto"/>
            <w:right w:val="none" w:sz="0" w:space="0" w:color="auto"/>
          </w:divBdr>
        </w:div>
        <w:div w:id="2131624773">
          <w:marLeft w:val="1166"/>
          <w:marRight w:val="0"/>
          <w:marTop w:val="0"/>
          <w:marBottom w:val="0"/>
          <w:divBdr>
            <w:top w:val="none" w:sz="0" w:space="0" w:color="auto"/>
            <w:left w:val="none" w:sz="0" w:space="0" w:color="auto"/>
            <w:bottom w:val="none" w:sz="0" w:space="0" w:color="auto"/>
            <w:right w:val="none" w:sz="0" w:space="0" w:color="auto"/>
          </w:divBdr>
        </w:div>
      </w:divsChild>
    </w:div>
    <w:div w:id="391006417">
      <w:bodyDiv w:val="1"/>
      <w:marLeft w:val="0"/>
      <w:marRight w:val="0"/>
      <w:marTop w:val="0"/>
      <w:marBottom w:val="0"/>
      <w:divBdr>
        <w:top w:val="none" w:sz="0" w:space="0" w:color="auto"/>
        <w:left w:val="none" w:sz="0" w:space="0" w:color="auto"/>
        <w:bottom w:val="none" w:sz="0" w:space="0" w:color="auto"/>
        <w:right w:val="none" w:sz="0" w:space="0" w:color="auto"/>
      </w:divBdr>
      <w:divsChild>
        <w:div w:id="5793700">
          <w:marLeft w:val="446"/>
          <w:marRight w:val="0"/>
          <w:marTop w:val="0"/>
          <w:marBottom w:val="0"/>
          <w:divBdr>
            <w:top w:val="none" w:sz="0" w:space="0" w:color="auto"/>
            <w:left w:val="none" w:sz="0" w:space="0" w:color="auto"/>
            <w:bottom w:val="none" w:sz="0" w:space="0" w:color="auto"/>
            <w:right w:val="none" w:sz="0" w:space="0" w:color="auto"/>
          </w:divBdr>
        </w:div>
        <w:div w:id="312414073">
          <w:marLeft w:val="446"/>
          <w:marRight w:val="0"/>
          <w:marTop w:val="0"/>
          <w:marBottom w:val="0"/>
          <w:divBdr>
            <w:top w:val="none" w:sz="0" w:space="0" w:color="auto"/>
            <w:left w:val="none" w:sz="0" w:space="0" w:color="auto"/>
            <w:bottom w:val="none" w:sz="0" w:space="0" w:color="auto"/>
            <w:right w:val="none" w:sz="0" w:space="0" w:color="auto"/>
          </w:divBdr>
        </w:div>
        <w:div w:id="599992840">
          <w:marLeft w:val="446"/>
          <w:marRight w:val="0"/>
          <w:marTop w:val="0"/>
          <w:marBottom w:val="0"/>
          <w:divBdr>
            <w:top w:val="none" w:sz="0" w:space="0" w:color="auto"/>
            <w:left w:val="none" w:sz="0" w:space="0" w:color="auto"/>
            <w:bottom w:val="none" w:sz="0" w:space="0" w:color="auto"/>
            <w:right w:val="none" w:sz="0" w:space="0" w:color="auto"/>
          </w:divBdr>
        </w:div>
        <w:div w:id="656887117">
          <w:marLeft w:val="446"/>
          <w:marRight w:val="0"/>
          <w:marTop w:val="0"/>
          <w:marBottom w:val="0"/>
          <w:divBdr>
            <w:top w:val="none" w:sz="0" w:space="0" w:color="auto"/>
            <w:left w:val="none" w:sz="0" w:space="0" w:color="auto"/>
            <w:bottom w:val="none" w:sz="0" w:space="0" w:color="auto"/>
            <w:right w:val="none" w:sz="0" w:space="0" w:color="auto"/>
          </w:divBdr>
        </w:div>
        <w:div w:id="952637376">
          <w:marLeft w:val="446"/>
          <w:marRight w:val="0"/>
          <w:marTop w:val="0"/>
          <w:marBottom w:val="0"/>
          <w:divBdr>
            <w:top w:val="none" w:sz="0" w:space="0" w:color="auto"/>
            <w:left w:val="none" w:sz="0" w:space="0" w:color="auto"/>
            <w:bottom w:val="none" w:sz="0" w:space="0" w:color="auto"/>
            <w:right w:val="none" w:sz="0" w:space="0" w:color="auto"/>
          </w:divBdr>
        </w:div>
        <w:div w:id="1077479949">
          <w:marLeft w:val="446"/>
          <w:marRight w:val="0"/>
          <w:marTop w:val="0"/>
          <w:marBottom w:val="0"/>
          <w:divBdr>
            <w:top w:val="none" w:sz="0" w:space="0" w:color="auto"/>
            <w:left w:val="none" w:sz="0" w:space="0" w:color="auto"/>
            <w:bottom w:val="none" w:sz="0" w:space="0" w:color="auto"/>
            <w:right w:val="none" w:sz="0" w:space="0" w:color="auto"/>
          </w:divBdr>
        </w:div>
        <w:div w:id="1541044283">
          <w:marLeft w:val="446"/>
          <w:marRight w:val="0"/>
          <w:marTop w:val="0"/>
          <w:marBottom w:val="0"/>
          <w:divBdr>
            <w:top w:val="none" w:sz="0" w:space="0" w:color="auto"/>
            <w:left w:val="none" w:sz="0" w:space="0" w:color="auto"/>
            <w:bottom w:val="none" w:sz="0" w:space="0" w:color="auto"/>
            <w:right w:val="none" w:sz="0" w:space="0" w:color="auto"/>
          </w:divBdr>
        </w:div>
      </w:divsChild>
    </w:div>
    <w:div w:id="428935766">
      <w:bodyDiv w:val="1"/>
      <w:marLeft w:val="0"/>
      <w:marRight w:val="0"/>
      <w:marTop w:val="0"/>
      <w:marBottom w:val="0"/>
      <w:divBdr>
        <w:top w:val="none" w:sz="0" w:space="0" w:color="auto"/>
        <w:left w:val="none" w:sz="0" w:space="0" w:color="auto"/>
        <w:bottom w:val="none" w:sz="0" w:space="0" w:color="auto"/>
        <w:right w:val="none" w:sz="0" w:space="0" w:color="auto"/>
      </w:divBdr>
    </w:div>
    <w:div w:id="452165570">
      <w:bodyDiv w:val="1"/>
      <w:marLeft w:val="0"/>
      <w:marRight w:val="0"/>
      <w:marTop w:val="0"/>
      <w:marBottom w:val="0"/>
      <w:divBdr>
        <w:top w:val="none" w:sz="0" w:space="0" w:color="auto"/>
        <w:left w:val="none" w:sz="0" w:space="0" w:color="auto"/>
        <w:bottom w:val="none" w:sz="0" w:space="0" w:color="auto"/>
        <w:right w:val="none" w:sz="0" w:space="0" w:color="auto"/>
      </w:divBdr>
    </w:div>
    <w:div w:id="480463767">
      <w:bodyDiv w:val="1"/>
      <w:marLeft w:val="0"/>
      <w:marRight w:val="0"/>
      <w:marTop w:val="0"/>
      <w:marBottom w:val="0"/>
      <w:divBdr>
        <w:top w:val="none" w:sz="0" w:space="0" w:color="auto"/>
        <w:left w:val="none" w:sz="0" w:space="0" w:color="auto"/>
        <w:bottom w:val="none" w:sz="0" w:space="0" w:color="auto"/>
        <w:right w:val="none" w:sz="0" w:space="0" w:color="auto"/>
      </w:divBdr>
      <w:divsChild>
        <w:div w:id="64182705">
          <w:marLeft w:val="446"/>
          <w:marRight w:val="0"/>
          <w:marTop w:val="0"/>
          <w:marBottom w:val="0"/>
          <w:divBdr>
            <w:top w:val="none" w:sz="0" w:space="0" w:color="auto"/>
            <w:left w:val="none" w:sz="0" w:space="0" w:color="auto"/>
            <w:bottom w:val="none" w:sz="0" w:space="0" w:color="auto"/>
            <w:right w:val="none" w:sz="0" w:space="0" w:color="auto"/>
          </w:divBdr>
        </w:div>
        <w:div w:id="116414980">
          <w:marLeft w:val="446"/>
          <w:marRight w:val="0"/>
          <w:marTop w:val="0"/>
          <w:marBottom w:val="0"/>
          <w:divBdr>
            <w:top w:val="none" w:sz="0" w:space="0" w:color="auto"/>
            <w:left w:val="none" w:sz="0" w:space="0" w:color="auto"/>
            <w:bottom w:val="none" w:sz="0" w:space="0" w:color="auto"/>
            <w:right w:val="none" w:sz="0" w:space="0" w:color="auto"/>
          </w:divBdr>
        </w:div>
        <w:div w:id="158740080">
          <w:marLeft w:val="446"/>
          <w:marRight w:val="0"/>
          <w:marTop w:val="0"/>
          <w:marBottom w:val="0"/>
          <w:divBdr>
            <w:top w:val="none" w:sz="0" w:space="0" w:color="auto"/>
            <w:left w:val="none" w:sz="0" w:space="0" w:color="auto"/>
            <w:bottom w:val="none" w:sz="0" w:space="0" w:color="auto"/>
            <w:right w:val="none" w:sz="0" w:space="0" w:color="auto"/>
          </w:divBdr>
        </w:div>
        <w:div w:id="573050680">
          <w:marLeft w:val="446"/>
          <w:marRight w:val="0"/>
          <w:marTop w:val="0"/>
          <w:marBottom w:val="0"/>
          <w:divBdr>
            <w:top w:val="none" w:sz="0" w:space="0" w:color="auto"/>
            <w:left w:val="none" w:sz="0" w:space="0" w:color="auto"/>
            <w:bottom w:val="none" w:sz="0" w:space="0" w:color="auto"/>
            <w:right w:val="none" w:sz="0" w:space="0" w:color="auto"/>
          </w:divBdr>
        </w:div>
        <w:div w:id="920261801">
          <w:marLeft w:val="446"/>
          <w:marRight w:val="0"/>
          <w:marTop w:val="0"/>
          <w:marBottom w:val="0"/>
          <w:divBdr>
            <w:top w:val="none" w:sz="0" w:space="0" w:color="auto"/>
            <w:left w:val="none" w:sz="0" w:space="0" w:color="auto"/>
            <w:bottom w:val="none" w:sz="0" w:space="0" w:color="auto"/>
            <w:right w:val="none" w:sz="0" w:space="0" w:color="auto"/>
          </w:divBdr>
        </w:div>
        <w:div w:id="981233345">
          <w:marLeft w:val="446"/>
          <w:marRight w:val="0"/>
          <w:marTop w:val="0"/>
          <w:marBottom w:val="0"/>
          <w:divBdr>
            <w:top w:val="none" w:sz="0" w:space="0" w:color="auto"/>
            <w:left w:val="none" w:sz="0" w:space="0" w:color="auto"/>
            <w:bottom w:val="none" w:sz="0" w:space="0" w:color="auto"/>
            <w:right w:val="none" w:sz="0" w:space="0" w:color="auto"/>
          </w:divBdr>
        </w:div>
        <w:div w:id="1068766007">
          <w:marLeft w:val="446"/>
          <w:marRight w:val="0"/>
          <w:marTop w:val="0"/>
          <w:marBottom w:val="0"/>
          <w:divBdr>
            <w:top w:val="none" w:sz="0" w:space="0" w:color="auto"/>
            <w:left w:val="none" w:sz="0" w:space="0" w:color="auto"/>
            <w:bottom w:val="none" w:sz="0" w:space="0" w:color="auto"/>
            <w:right w:val="none" w:sz="0" w:space="0" w:color="auto"/>
          </w:divBdr>
        </w:div>
        <w:div w:id="1505124857">
          <w:marLeft w:val="446"/>
          <w:marRight w:val="0"/>
          <w:marTop w:val="0"/>
          <w:marBottom w:val="0"/>
          <w:divBdr>
            <w:top w:val="none" w:sz="0" w:space="0" w:color="auto"/>
            <w:left w:val="none" w:sz="0" w:space="0" w:color="auto"/>
            <w:bottom w:val="none" w:sz="0" w:space="0" w:color="auto"/>
            <w:right w:val="none" w:sz="0" w:space="0" w:color="auto"/>
          </w:divBdr>
        </w:div>
      </w:divsChild>
    </w:div>
    <w:div w:id="505481144">
      <w:bodyDiv w:val="1"/>
      <w:marLeft w:val="0"/>
      <w:marRight w:val="0"/>
      <w:marTop w:val="0"/>
      <w:marBottom w:val="0"/>
      <w:divBdr>
        <w:top w:val="none" w:sz="0" w:space="0" w:color="auto"/>
        <w:left w:val="none" w:sz="0" w:space="0" w:color="auto"/>
        <w:bottom w:val="none" w:sz="0" w:space="0" w:color="auto"/>
        <w:right w:val="none" w:sz="0" w:space="0" w:color="auto"/>
      </w:divBdr>
      <w:divsChild>
        <w:div w:id="365761883">
          <w:marLeft w:val="446"/>
          <w:marRight w:val="0"/>
          <w:marTop w:val="0"/>
          <w:marBottom w:val="0"/>
          <w:divBdr>
            <w:top w:val="none" w:sz="0" w:space="0" w:color="auto"/>
            <w:left w:val="none" w:sz="0" w:space="0" w:color="auto"/>
            <w:bottom w:val="none" w:sz="0" w:space="0" w:color="auto"/>
            <w:right w:val="none" w:sz="0" w:space="0" w:color="auto"/>
          </w:divBdr>
        </w:div>
        <w:div w:id="470483382">
          <w:marLeft w:val="446"/>
          <w:marRight w:val="0"/>
          <w:marTop w:val="0"/>
          <w:marBottom w:val="0"/>
          <w:divBdr>
            <w:top w:val="none" w:sz="0" w:space="0" w:color="auto"/>
            <w:left w:val="none" w:sz="0" w:space="0" w:color="auto"/>
            <w:bottom w:val="none" w:sz="0" w:space="0" w:color="auto"/>
            <w:right w:val="none" w:sz="0" w:space="0" w:color="auto"/>
          </w:divBdr>
        </w:div>
        <w:div w:id="496265069">
          <w:marLeft w:val="446"/>
          <w:marRight w:val="0"/>
          <w:marTop w:val="0"/>
          <w:marBottom w:val="0"/>
          <w:divBdr>
            <w:top w:val="none" w:sz="0" w:space="0" w:color="auto"/>
            <w:left w:val="none" w:sz="0" w:space="0" w:color="auto"/>
            <w:bottom w:val="none" w:sz="0" w:space="0" w:color="auto"/>
            <w:right w:val="none" w:sz="0" w:space="0" w:color="auto"/>
          </w:divBdr>
        </w:div>
        <w:div w:id="511988756">
          <w:marLeft w:val="446"/>
          <w:marRight w:val="0"/>
          <w:marTop w:val="0"/>
          <w:marBottom w:val="0"/>
          <w:divBdr>
            <w:top w:val="none" w:sz="0" w:space="0" w:color="auto"/>
            <w:left w:val="none" w:sz="0" w:space="0" w:color="auto"/>
            <w:bottom w:val="none" w:sz="0" w:space="0" w:color="auto"/>
            <w:right w:val="none" w:sz="0" w:space="0" w:color="auto"/>
          </w:divBdr>
        </w:div>
        <w:div w:id="1714232883">
          <w:marLeft w:val="446"/>
          <w:marRight w:val="0"/>
          <w:marTop w:val="0"/>
          <w:marBottom w:val="0"/>
          <w:divBdr>
            <w:top w:val="none" w:sz="0" w:space="0" w:color="auto"/>
            <w:left w:val="none" w:sz="0" w:space="0" w:color="auto"/>
            <w:bottom w:val="none" w:sz="0" w:space="0" w:color="auto"/>
            <w:right w:val="none" w:sz="0" w:space="0" w:color="auto"/>
          </w:divBdr>
        </w:div>
        <w:div w:id="1824809851">
          <w:marLeft w:val="446"/>
          <w:marRight w:val="0"/>
          <w:marTop w:val="0"/>
          <w:marBottom w:val="0"/>
          <w:divBdr>
            <w:top w:val="none" w:sz="0" w:space="0" w:color="auto"/>
            <w:left w:val="none" w:sz="0" w:space="0" w:color="auto"/>
            <w:bottom w:val="none" w:sz="0" w:space="0" w:color="auto"/>
            <w:right w:val="none" w:sz="0" w:space="0" w:color="auto"/>
          </w:divBdr>
        </w:div>
      </w:divsChild>
    </w:div>
    <w:div w:id="510754750">
      <w:bodyDiv w:val="1"/>
      <w:marLeft w:val="0"/>
      <w:marRight w:val="0"/>
      <w:marTop w:val="0"/>
      <w:marBottom w:val="0"/>
      <w:divBdr>
        <w:top w:val="none" w:sz="0" w:space="0" w:color="auto"/>
        <w:left w:val="none" w:sz="0" w:space="0" w:color="auto"/>
        <w:bottom w:val="none" w:sz="0" w:space="0" w:color="auto"/>
        <w:right w:val="none" w:sz="0" w:space="0" w:color="auto"/>
      </w:divBdr>
    </w:div>
    <w:div w:id="542789017">
      <w:bodyDiv w:val="1"/>
      <w:marLeft w:val="0"/>
      <w:marRight w:val="0"/>
      <w:marTop w:val="0"/>
      <w:marBottom w:val="0"/>
      <w:divBdr>
        <w:top w:val="none" w:sz="0" w:space="0" w:color="auto"/>
        <w:left w:val="none" w:sz="0" w:space="0" w:color="auto"/>
        <w:bottom w:val="none" w:sz="0" w:space="0" w:color="auto"/>
        <w:right w:val="none" w:sz="0" w:space="0" w:color="auto"/>
      </w:divBdr>
    </w:div>
    <w:div w:id="689842946">
      <w:bodyDiv w:val="1"/>
      <w:marLeft w:val="0"/>
      <w:marRight w:val="0"/>
      <w:marTop w:val="0"/>
      <w:marBottom w:val="0"/>
      <w:divBdr>
        <w:top w:val="none" w:sz="0" w:space="0" w:color="auto"/>
        <w:left w:val="none" w:sz="0" w:space="0" w:color="auto"/>
        <w:bottom w:val="none" w:sz="0" w:space="0" w:color="auto"/>
        <w:right w:val="none" w:sz="0" w:space="0" w:color="auto"/>
      </w:divBdr>
    </w:div>
    <w:div w:id="720054860">
      <w:bodyDiv w:val="1"/>
      <w:marLeft w:val="0"/>
      <w:marRight w:val="0"/>
      <w:marTop w:val="0"/>
      <w:marBottom w:val="0"/>
      <w:divBdr>
        <w:top w:val="none" w:sz="0" w:space="0" w:color="auto"/>
        <w:left w:val="none" w:sz="0" w:space="0" w:color="auto"/>
        <w:bottom w:val="none" w:sz="0" w:space="0" w:color="auto"/>
        <w:right w:val="none" w:sz="0" w:space="0" w:color="auto"/>
      </w:divBdr>
    </w:div>
    <w:div w:id="772087503">
      <w:bodyDiv w:val="1"/>
      <w:marLeft w:val="0"/>
      <w:marRight w:val="0"/>
      <w:marTop w:val="0"/>
      <w:marBottom w:val="0"/>
      <w:divBdr>
        <w:top w:val="none" w:sz="0" w:space="0" w:color="auto"/>
        <w:left w:val="none" w:sz="0" w:space="0" w:color="auto"/>
        <w:bottom w:val="none" w:sz="0" w:space="0" w:color="auto"/>
        <w:right w:val="none" w:sz="0" w:space="0" w:color="auto"/>
      </w:divBdr>
    </w:div>
    <w:div w:id="812405505">
      <w:bodyDiv w:val="1"/>
      <w:marLeft w:val="0"/>
      <w:marRight w:val="0"/>
      <w:marTop w:val="0"/>
      <w:marBottom w:val="0"/>
      <w:divBdr>
        <w:top w:val="none" w:sz="0" w:space="0" w:color="auto"/>
        <w:left w:val="none" w:sz="0" w:space="0" w:color="auto"/>
        <w:bottom w:val="none" w:sz="0" w:space="0" w:color="auto"/>
        <w:right w:val="none" w:sz="0" w:space="0" w:color="auto"/>
      </w:divBdr>
    </w:div>
    <w:div w:id="940723453">
      <w:bodyDiv w:val="1"/>
      <w:marLeft w:val="0"/>
      <w:marRight w:val="0"/>
      <w:marTop w:val="0"/>
      <w:marBottom w:val="0"/>
      <w:divBdr>
        <w:top w:val="none" w:sz="0" w:space="0" w:color="auto"/>
        <w:left w:val="none" w:sz="0" w:space="0" w:color="auto"/>
        <w:bottom w:val="none" w:sz="0" w:space="0" w:color="auto"/>
        <w:right w:val="none" w:sz="0" w:space="0" w:color="auto"/>
      </w:divBdr>
    </w:div>
    <w:div w:id="1027558132">
      <w:bodyDiv w:val="1"/>
      <w:marLeft w:val="0"/>
      <w:marRight w:val="0"/>
      <w:marTop w:val="0"/>
      <w:marBottom w:val="0"/>
      <w:divBdr>
        <w:top w:val="none" w:sz="0" w:space="0" w:color="auto"/>
        <w:left w:val="none" w:sz="0" w:space="0" w:color="auto"/>
        <w:bottom w:val="none" w:sz="0" w:space="0" w:color="auto"/>
        <w:right w:val="none" w:sz="0" w:space="0" w:color="auto"/>
      </w:divBdr>
    </w:div>
    <w:div w:id="1099176236">
      <w:bodyDiv w:val="1"/>
      <w:marLeft w:val="0"/>
      <w:marRight w:val="0"/>
      <w:marTop w:val="0"/>
      <w:marBottom w:val="0"/>
      <w:divBdr>
        <w:top w:val="none" w:sz="0" w:space="0" w:color="auto"/>
        <w:left w:val="none" w:sz="0" w:space="0" w:color="auto"/>
        <w:bottom w:val="none" w:sz="0" w:space="0" w:color="auto"/>
        <w:right w:val="none" w:sz="0" w:space="0" w:color="auto"/>
      </w:divBdr>
    </w:div>
    <w:div w:id="1106078226">
      <w:bodyDiv w:val="1"/>
      <w:marLeft w:val="0"/>
      <w:marRight w:val="0"/>
      <w:marTop w:val="0"/>
      <w:marBottom w:val="0"/>
      <w:divBdr>
        <w:top w:val="none" w:sz="0" w:space="0" w:color="auto"/>
        <w:left w:val="none" w:sz="0" w:space="0" w:color="auto"/>
        <w:bottom w:val="none" w:sz="0" w:space="0" w:color="auto"/>
        <w:right w:val="none" w:sz="0" w:space="0" w:color="auto"/>
      </w:divBdr>
    </w:div>
    <w:div w:id="1111626555">
      <w:bodyDiv w:val="1"/>
      <w:marLeft w:val="0"/>
      <w:marRight w:val="0"/>
      <w:marTop w:val="0"/>
      <w:marBottom w:val="0"/>
      <w:divBdr>
        <w:top w:val="none" w:sz="0" w:space="0" w:color="auto"/>
        <w:left w:val="none" w:sz="0" w:space="0" w:color="auto"/>
        <w:bottom w:val="none" w:sz="0" w:space="0" w:color="auto"/>
        <w:right w:val="none" w:sz="0" w:space="0" w:color="auto"/>
      </w:divBdr>
    </w:div>
    <w:div w:id="1119758377">
      <w:bodyDiv w:val="1"/>
      <w:marLeft w:val="0"/>
      <w:marRight w:val="0"/>
      <w:marTop w:val="0"/>
      <w:marBottom w:val="0"/>
      <w:divBdr>
        <w:top w:val="none" w:sz="0" w:space="0" w:color="auto"/>
        <w:left w:val="none" w:sz="0" w:space="0" w:color="auto"/>
        <w:bottom w:val="none" w:sz="0" w:space="0" w:color="auto"/>
        <w:right w:val="none" w:sz="0" w:space="0" w:color="auto"/>
      </w:divBdr>
    </w:div>
    <w:div w:id="1267032542">
      <w:bodyDiv w:val="1"/>
      <w:marLeft w:val="0"/>
      <w:marRight w:val="0"/>
      <w:marTop w:val="0"/>
      <w:marBottom w:val="0"/>
      <w:divBdr>
        <w:top w:val="none" w:sz="0" w:space="0" w:color="auto"/>
        <w:left w:val="none" w:sz="0" w:space="0" w:color="auto"/>
        <w:bottom w:val="none" w:sz="0" w:space="0" w:color="auto"/>
        <w:right w:val="none" w:sz="0" w:space="0" w:color="auto"/>
      </w:divBdr>
    </w:div>
    <w:div w:id="1362583796">
      <w:bodyDiv w:val="1"/>
      <w:marLeft w:val="0"/>
      <w:marRight w:val="0"/>
      <w:marTop w:val="0"/>
      <w:marBottom w:val="0"/>
      <w:divBdr>
        <w:top w:val="none" w:sz="0" w:space="0" w:color="auto"/>
        <w:left w:val="none" w:sz="0" w:space="0" w:color="auto"/>
        <w:bottom w:val="none" w:sz="0" w:space="0" w:color="auto"/>
        <w:right w:val="none" w:sz="0" w:space="0" w:color="auto"/>
      </w:divBdr>
      <w:divsChild>
        <w:div w:id="70004509">
          <w:marLeft w:val="446"/>
          <w:marRight w:val="0"/>
          <w:marTop w:val="0"/>
          <w:marBottom w:val="0"/>
          <w:divBdr>
            <w:top w:val="none" w:sz="0" w:space="0" w:color="auto"/>
            <w:left w:val="none" w:sz="0" w:space="0" w:color="auto"/>
            <w:bottom w:val="none" w:sz="0" w:space="0" w:color="auto"/>
            <w:right w:val="none" w:sz="0" w:space="0" w:color="auto"/>
          </w:divBdr>
        </w:div>
        <w:div w:id="227688551">
          <w:marLeft w:val="1886"/>
          <w:marRight w:val="0"/>
          <w:marTop w:val="0"/>
          <w:marBottom w:val="0"/>
          <w:divBdr>
            <w:top w:val="none" w:sz="0" w:space="0" w:color="auto"/>
            <w:left w:val="none" w:sz="0" w:space="0" w:color="auto"/>
            <w:bottom w:val="none" w:sz="0" w:space="0" w:color="auto"/>
            <w:right w:val="none" w:sz="0" w:space="0" w:color="auto"/>
          </w:divBdr>
        </w:div>
        <w:div w:id="297303197">
          <w:marLeft w:val="446"/>
          <w:marRight w:val="0"/>
          <w:marTop w:val="0"/>
          <w:marBottom w:val="0"/>
          <w:divBdr>
            <w:top w:val="none" w:sz="0" w:space="0" w:color="auto"/>
            <w:left w:val="none" w:sz="0" w:space="0" w:color="auto"/>
            <w:bottom w:val="none" w:sz="0" w:space="0" w:color="auto"/>
            <w:right w:val="none" w:sz="0" w:space="0" w:color="auto"/>
          </w:divBdr>
        </w:div>
        <w:div w:id="765689252">
          <w:marLeft w:val="1886"/>
          <w:marRight w:val="0"/>
          <w:marTop w:val="0"/>
          <w:marBottom w:val="0"/>
          <w:divBdr>
            <w:top w:val="none" w:sz="0" w:space="0" w:color="auto"/>
            <w:left w:val="none" w:sz="0" w:space="0" w:color="auto"/>
            <w:bottom w:val="none" w:sz="0" w:space="0" w:color="auto"/>
            <w:right w:val="none" w:sz="0" w:space="0" w:color="auto"/>
          </w:divBdr>
        </w:div>
        <w:div w:id="805393787">
          <w:marLeft w:val="1886"/>
          <w:marRight w:val="0"/>
          <w:marTop w:val="0"/>
          <w:marBottom w:val="0"/>
          <w:divBdr>
            <w:top w:val="none" w:sz="0" w:space="0" w:color="auto"/>
            <w:left w:val="none" w:sz="0" w:space="0" w:color="auto"/>
            <w:bottom w:val="none" w:sz="0" w:space="0" w:color="auto"/>
            <w:right w:val="none" w:sz="0" w:space="0" w:color="auto"/>
          </w:divBdr>
        </w:div>
        <w:div w:id="1408728980">
          <w:marLeft w:val="446"/>
          <w:marRight w:val="0"/>
          <w:marTop w:val="0"/>
          <w:marBottom w:val="0"/>
          <w:divBdr>
            <w:top w:val="none" w:sz="0" w:space="0" w:color="auto"/>
            <w:left w:val="none" w:sz="0" w:space="0" w:color="auto"/>
            <w:bottom w:val="none" w:sz="0" w:space="0" w:color="auto"/>
            <w:right w:val="none" w:sz="0" w:space="0" w:color="auto"/>
          </w:divBdr>
        </w:div>
        <w:div w:id="1431465256">
          <w:marLeft w:val="446"/>
          <w:marRight w:val="0"/>
          <w:marTop w:val="0"/>
          <w:marBottom w:val="0"/>
          <w:divBdr>
            <w:top w:val="none" w:sz="0" w:space="0" w:color="auto"/>
            <w:left w:val="none" w:sz="0" w:space="0" w:color="auto"/>
            <w:bottom w:val="none" w:sz="0" w:space="0" w:color="auto"/>
            <w:right w:val="none" w:sz="0" w:space="0" w:color="auto"/>
          </w:divBdr>
        </w:div>
        <w:div w:id="2099868041">
          <w:marLeft w:val="446"/>
          <w:marRight w:val="0"/>
          <w:marTop w:val="0"/>
          <w:marBottom w:val="0"/>
          <w:divBdr>
            <w:top w:val="none" w:sz="0" w:space="0" w:color="auto"/>
            <w:left w:val="none" w:sz="0" w:space="0" w:color="auto"/>
            <w:bottom w:val="none" w:sz="0" w:space="0" w:color="auto"/>
            <w:right w:val="none" w:sz="0" w:space="0" w:color="auto"/>
          </w:divBdr>
        </w:div>
      </w:divsChild>
    </w:div>
    <w:div w:id="1377779062">
      <w:bodyDiv w:val="1"/>
      <w:marLeft w:val="0"/>
      <w:marRight w:val="0"/>
      <w:marTop w:val="0"/>
      <w:marBottom w:val="0"/>
      <w:divBdr>
        <w:top w:val="none" w:sz="0" w:space="0" w:color="auto"/>
        <w:left w:val="none" w:sz="0" w:space="0" w:color="auto"/>
        <w:bottom w:val="none" w:sz="0" w:space="0" w:color="auto"/>
        <w:right w:val="none" w:sz="0" w:space="0" w:color="auto"/>
      </w:divBdr>
    </w:div>
    <w:div w:id="1482382319">
      <w:bodyDiv w:val="1"/>
      <w:marLeft w:val="0"/>
      <w:marRight w:val="0"/>
      <w:marTop w:val="0"/>
      <w:marBottom w:val="0"/>
      <w:divBdr>
        <w:top w:val="none" w:sz="0" w:space="0" w:color="auto"/>
        <w:left w:val="none" w:sz="0" w:space="0" w:color="auto"/>
        <w:bottom w:val="none" w:sz="0" w:space="0" w:color="auto"/>
        <w:right w:val="none" w:sz="0" w:space="0" w:color="auto"/>
      </w:divBdr>
    </w:div>
    <w:div w:id="1487285980">
      <w:bodyDiv w:val="1"/>
      <w:marLeft w:val="0"/>
      <w:marRight w:val="0"/>
      <w:marTop w:val="0"/>
      <w:marBottom w:val="0"/>
      <w:divBdr>
        <w:top w:val="none" w:sz="0" w:space="0" w:color="auto"/>
        <w:left w:val="none" w:sz="0" w:space="0" w:color="auto"/>
        <w:bottom w:val="none" w:sz="0" w:space="0" w:color="auto"/>
        <w:right w:val="none" w:sz="0" w:space="0" w:color="auto"/>
      </w:divBdr>
    </w:div>
    <w:div w:id="1601067400">
      <w:bodyDiv w:val="1"/>
      <w:marLeft w:val="0"/>
      <w:marRight w:val="0"/>
      <w:marTop w:val="0"/>
      <w:marBottom w:val="0"/>
      <w:divBdr>
        <w:top w:val="none" w:sz="0" w:space="0" w:color="auto"/>
        <w:left w:val="none" w:sz="0" w:space="0" w:color="auto"/>
        <w:bottom w:val="none" w:sz="0" w:space="0" w:color="auto"/>
        <w:right w:val="none" w:sz="0" w:space="0" w:color="auto"/>
      </w:divBdr>
    </w:div>
    <w:div w:id="1801265339">
      <w:bodyDiv w:val="1"/>
      <w:marLeft w:val="0"/>
      <w:marRight w:val="0"/>
      <w:marTop w:val="0"/>
      <w:marBottom w:val="0"/>
      <w:divBdr>
        <w:top w:val="none" w:sz="0" w:space="0" w:color="auto"/>
        <w:left w:val="none" w:sz="0" w:space="0" w:color="auto"/>
        <w:bottom w:val="none" w:sz="0" w:space="0" w:color="auto"/>
        <w:right w:val="none" w:sz="0" w:space="0" w:color="auto"/>
      </w:divBdr>
    </w:div>
    <w:div w:id="1912303860">
      <w:bodyDiv w:val="1"/>
      <w:marLeft w:val="0"/>
      <w:marRight w:val="0"/>
      <w:marTop w:val="0"/>
      <w:marBottom w:val="0"/>
      <w:divBdr>
        <w:top w:val="none" w:sz="0" w:space="0" w:color="auto"/>
        <w:left w:val="none" w:sz="0" w:space="0" w:color="auto"/>
        <w:bottom w:val="none" w:sz="0" w:space="0" w:color="auto"/>
        <w:right w:val="none" w:sz="0" w:space="0" w:color="auto"/>
      </w:divBdr>
      <w:divsChild>
        <w:div w:id="905577287">
          <w:marLeft w:val="446"/>
          <w:marRight w:val="0"/>
          <w:marTop w:val="0"/>
          <w:marBottom w:val="0"/>
          <w:divBdr>
            <w:top w:val="none" w:sz="0" w:space="0" w:color="auto"/>
            <w:left w:val="none" w:sz="0" w:space="0" w:color="auto"/>
            <w:bottom w:val="none" w:sz="0" w:space="0" w:color="auto"/>
            <w:right w:val="none" w:sz="0" w:space="0" w:color="auto"/>
          </w:divBdr>
        </w:div>
        <w:div w:id="929656746">
          <w:marLeft w:val="446"/>
          <w:marRight w:val="0"/>
          <w:marTop w:val="0"/>
          <w:marBottom w:val="0"/>
          <w:divBdr>
            <w:top w:val="none" w:sz="0" w:space="0" w:color="auto"/>
            <w:left w:val="none" w:sz="0" w:space="0" w:color="auto"/>
            <w:bottom w:val="none" w:sz="0" w:space="0" w:color="auto"/>
            <w:right w:val="none" w:sz="0" w:space="0" w:color="auto"/>
          </w:divBdr>
        </w:div>
        <w:div w:id="1320117587">
          <w:marLeft w:val="446"/>
          <w:marRight w:val="0"/>
          <w:marTop w:val="0"/>
          <w:marBottom w:val="0"/>
          <w:divBdr>
            <w:top w:val="none" w:sz="0" w:space="0" w:color="auto"/>
            <w:left w:val="none" w:sz="0" w:space="0" w:color="auto"/>
            <w:bottom w:val="none" w:sz="0" w:space="0" w:color="auto"/>
            <w:right w:val="none" w:sz="0" w:space="0" w:color="auto"/>
          </w:divBdr>
        </w:div>
        <w:div w:id="1632324097">
          <w:marLeft w:val="446"/>
          <w:marRight w:val="0"/>
          <w:marTop w:val="0"/>
          <w:marBottom w:val="0"/>
          <w:divBdr>
            <w:top w:val="none" w:sz="0" w:space="0" w:color="auto"/>
            <w:left w:val="none" w:sz="0" w:space="0" w:color="auto"/>
            <w:bottom w:val="none" w:sz="0" w:space="0" w:color="auto"/>
            <w:right w:val="none" w:sz="0" w:space="0" w:color="auto"/>
          </w:divBdr>
        </w:div>
        <w:div w:id="1732653219">
          <w:marLeft w:val="446"/>
          <w:marRight w:val="0"/>
          <w:marTop w:val="0"/>
          <w:marBottom w:val="0"/>
          <w:divBdr>
            <w:top w:val="none" w:sz="0" w:space="0" w:color="auto"/>
            <w:left w:val="none" w:sz="0" w:space="0" w:color="auto"/>
            <w:bottom w:val="none" w:sz="0" w:space="0" w:color="auto"/>
            <w:right w:val="none" w:sz="0" w:space="0" w:color="auto"/>
          </w:divBdr>
        </w:div>
      </w:divsChild>
    </w:div>
    <w:div w:id="1947158171">
      <w:bodyDiv w:val="1"/>
      <w:marLeft w:val="0"/>
      <w:marRight w:val="0"/>
      <w:marTop w:val="0"/>
      <w:marBottom w:val="0"/>
      <w:divBdr>
        <w:top w:val="none" w:sz="0" w:space="0" w:color="auto"/>
        <w:left w:val="none" w:sz="0" w:space="0" w:color="auto"/>
        <w:bottom w:val="none" w:sz="0" w:space="0" w:color="auto"/>
        <w:right w:val="none" w:sz="0" w:space="0" w:color="auto"/>
      </w:divBdr>
    </w:div>
    <w:div w:id="2000767789">
      <w:bodyDiv w:val="1"/>
      <w:marLeft w:val="0"/>
      <w:marRight w:val="0"/>
      <w:marTop w:val="0"/>
      <w:marBottom w:val="0"/>
      <w:divBdr>
        <w:top w:val="none" w:sz="0" w:space="0" w:color="auto"/>
        <w:left w:val="none" w:sz="0" w:space="0" w:color="auto"/>
        <w:bottom w:val="none" w:sz="0" w:space="0" w:color="auto"/>
        <w:right w:val="none" w:sz="0" w:space="0" w:color="auto"/>
      </w:divBdr>
    </w:div>
    <w:div w:id="2117434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s://openknowledge.fao.org/server/api/core/bitstreams/8f599970-661d-45f5-a598-2ea46ca1605f/content/src/html/glossary.html" TargetMode="External"/><Relationship Id="rId39" Type="http://schemas.openxmlformats.org/officeDocument/2006/relationships/hyperlink" Target="https://www.ipcc.ch/site/assets/uploads/2018/03/wg2TARannexB.pdf" TargetMode="External"/><Relationship Id="rId21" Type="http://schemas.openxmlformats.org/officeDocument/2006/relationships/hyperlink" Target="https://openknowledge.fao.org/server/api/core/bitstreams/8f599970-661d-45f5-a598-2ea46ca1605f/content/src/html/glossary.html" TargetMode="External"/><Relationship Id="rId34" Type="http://schemas.openxmlformats.org/officeDocument/2006/relationships/hyperlink" Target="https://openknowledge.fao.org/server/api/core/bitstreams/8f599970-661d-45f5-a598-2ea46ca1605f/content/src/html/glossary.html" TargetMode="External"/><Relationship Id="rId42" Type="http://schemas.openxmlformats.org/officeDocument/2006/relationships/hyperlink" Target="https://openknowledge.fao.org/server/api/core/bitstreams/8f599970-661d-45f5-a598-2ea46ca1605f/content/src/html/glossary.html" TargetMode="External"/><Relationship Id="rId47" Type="http://schemas.openxmlformats.org/officeDocument/2006/relationships/hyperlink" Target="https://intdevalliance.scot/wp-content/uploads/2023/08/Decolonising_language_in_international_development_in_Scotland_branded_draft_Jan_2021.pdf" TargetMode="External"/><Relationship Id="rId50" Type="http://schemas.openxmlformats.org/officeDocument/2006/relationships/hyperlink" Target="https://unfccc.int/process-and-meetings/the-paris-agreement/article6" TargetMode="External"/><Relationship Id="rId55" Type="http://schemas.openxmlformats.org/officeDocument/2006/relationships/hyperlink" Target="https://www.gov.uk/government/publications/ethical-assurance-guidance-for-social-research-in-government"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psi@nationalarchives.gov.uk" TargetMode="External"/><Relationship Id="rId29" Type="http://schemas.openxmlformats.org/officeDocument/2006/relationships/hyperlink" Target="https://openknowledge.fao.org/server/api/core/bitstreams/8f599970-661d-45f5-a598-2ea46ca1605f/content/src/html/glossary.html" TargetMode="External"/><Relationship Id="rId11" Type="http://schemas.openxmlformats.org/officeDocument/2006/relationships/endnotes" Target="endnotes.xml"/><Relationship Id="rId24" Type="http://schemas.openxmlformats.org/officeDocument/2006/relationships/hyperlink" Target="https://openknowledge.fao.org/server/api/core/bitstreams/8f599970-661d-45f5-a598-2ea46ca1605f/content/src/html/glossary.html" TargetMode="External"/><Relationship Id="rId32" Type="http://schemas.openxmlformats.org/officeDocument/2006/relationships/hyperlink" Target="https://openknowledge.fao.org/server/api/core/bitstreams/8f599970-661d-45f5-a598-2ea46ca1605f/content/src/html/glossary.html" TargetMode="External"/><Relationship Id="rId37" Type="http://schemas.openxmlformats.org/officeDocument/2006/relationships/hyperlink" Target="https://openknowledge.fao.org/server/api/core/bitstreams/8f599970-661d-45f5-a598-2ea46ca1605f/content/src/html/glossary.html" TargetMode="External"/><Relationship Id="rId40" Type="http://schemas.openxmlformats.org/officeDocument/2006/relationships/hyperlink" Target="https://www.ipcc.ch/site/assets/uploads/2018/03/wg2TARannexB.pdf" TargetMode="External"/><Relationship Id="rId45" Type="http://schemas.openxmlformats.org/officeDocument/2006/relationships/hyperlink" Target="https://intdevalliance.scot/wp-content/uploads/2023/08/Decolonising_language_in_international_development_in_Scotland_branded_draft_Jan_2021.pdf" TargetMode="External"/><Relationship Id="rId53" Type="http://schemas.openxmlformats.org/officeDocument/2006/relationships/image" Target="media/image3.png"/><Relationship Id="rId58" Type="http://schemas.openxmlformats.org/officeDocument/2006/relationships/hyperlink" Target="https://globalfoundation.org.au/wp-content/uploads/2024/06/Brazil-Government-Tropical-Forests-Forever-Initiative.pdf" TargetMode="Externa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hyperlink" Target="mailto:xxx@energysecurity.gov.uk" TargetMode="External"/><Relationship Id="rId14" Type="http://schemas.openxmlformats.org/officeDocument/2006/relationships/image" Target="media/image2.png"/><Relationship Id="rId22" Type="http://schemas.openxmlformats.org/officeDocument/2006/relationships/hyperlink" Target="https://openknowledge.fao.org/server/api/core/bitstreams/8f599970-661d-45f5-a598-2ea46ca1605f/content/src/html/glossary.html" TargetMode="External"/><Relationship Id="rId27" Type="http://schemas.openxmlformats.org/officeDocument/2006/relationships/hyperlink" Target="https://openknowledge.fao.org/server/api/core/bitstreams/8f599970-661d-45f5-a598-2ea46ca1605f/content/src/html/glossary.html" TargetMode="External"/><Relationship Id="rId30" Type="http://schemas.openxmlformats.org/officeDocument/2006/relationships/hyperlink" Target="https://openknowledge.fao.org/server/api/core/bitstreams/8f599970-661d-45f5-a598-2ea46ca1605f/content/src/html/glossary.html" TargetMode="External"/><Relationship Id="rId35" Type="http://schemas.openxmlformats.org/officeDocument/2006/relationships/hyperlink" Target="https://openknowledge.fao.org/server/api/core/bitstreams/8f599970-661d-45f5-a598-2ea46ca1605f/content/src/html/glossary.html" TargetMode="External"/><Relationship Id="rId43" Type="http://schemas.openxmlformats.org/officeDocument/2006/relationships/hyperlink" Target="https://openknowledge.fao.org/server/api/core/bitstreams/8f599970-661d-45f5-a598-2ea46ca1605f/content/src/html/glossary.html" TargetMode="External"/><Relationship Id="rId48" Type="http://schemas.openxmlformats.org/officeDocument/2006/relationships/hyperlink" Target="https://interactioninstitute.org/wp-content/uploads/2016/06/Sum-Of-Us-Progressive-Style-Guide.pdf" TargetMode="External"/><Relationship Id="rId56" Type="http://schemas.openxmlformats.org/officeDocument/2006/relationships/hyperlink" Target="https://www.gov.uk/government/publications/voluntary-carbon-and-nature-market-integrity-uk-government-principles/principles-for-voluntary-carbon-and-nature-market-integrity" TargetMode="External"/><Relationship Id="rId8" Type="http://schemas.openxmlformats.org/officeDocument/2006/relationships/settings" Target="settings.xml"/><Relationship Id="rId51" Type="http://schemas.openxmlformats.org/officeDocument/2006/relationships/hyperlink" Target="https://www.icao.int/environmental-protection/CORSIA/Pages/default.aspx"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yperlink" Target="https://openknowledge.fao.org/server/api/core/bitstreams/8f599970-661d-45f5-a598-2ea46ca1605f/content/src/html/glossary.html" TargetMode="External"/><Relationship Id="rId33" Type="http://schemas.openxmlformats.org/officeDocument/2006/relationships/hyperlink" Target="https://openknowledge.fao.org/server/api/core/bitstreams/8f599970-661d-45f5-a598-2ea46ca1605f/content/src/html/glossary.html" TargetMode="External"/><Relationship Id="rId38" Type="http://schemas.openxmlformats.org/officeDocument/2006/relationships/hyperlink" Target="https://openknowledge.fao.org/server/api/core/bitstreams/8f599970-661d-45f5-a598-2ea46ca1605f/content/src/html/glossary.html" TargetMode="External"/><Relationship Id="rId46" Type="http://schemas.openxmlformats.org/officeDocument/2006/relationships/hyperlink" Target="https://interactioninstitute.org/wp-content/uploads/2016/06/Sum-Of-Us-Progressive-Style-Guide.pdf" TargetMode="External"/><Relationship Id="rId59" Type="http://schemas.openxmlformats.org/officeDocument/2006/relationships/hyperlink" Target="https://www.un-redd.org/sites/default/files/2024-06/%5BV6%5D_ENG_NDC%20Report%202024.pdf" TargetMode="External"/><Relationship Id="rId20" Type="http://schemas.openxmlformats.org/officeDocument/2006/relationships/hyperlink" Target="https://www.ipcc.ch/site/assets/uploads/2018/03/wg2TARannexB.pdf" TargetMode="External"/><Relationship Id="rId41" Type="http://schemas.openxmlformats.org/officeDocument/2006/relationships/hyperlink" Target="https://openknowledge.fao.org/server/api/core/bitstreams/8f599970-661d-45f5-a598-2ea46ca1605f/content/src/html/glossary.html" TargetMode="External"/><Relationship Id="rId54"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nationalarchives.gov.uk/doc/open-government-licence/version/3/" TargetMode="External"/><Relationship Id="rId23" Type="http://schemas.openxmlformats.org/officeDocument/2006/relationships/hyperlink" Target="https://openknowledge.fao.org/server/api/core/bitstreams/8f599970-661d-45f5-a598-2ea46ca1605f/content/src/html/glossary.html" TargetMode="External"/><Relationship Id="rId28" Type="http://schemas.openxmlformats.org/officeDocument/2006/relationships/hyperlink" Target="https://openknowledge.fao.org/server/api/core/bitstreams/8f599970-661d-45f5-a598-2ea46ca1605f/content/src/html/glossary.html" TargetMode="External"/><Relationship Id="rId36" Type="http://schemas.openxmlformats.org/officeDocument/2006/relationships/hyperlink" Target="https://openknowledge.fao.org/server/api/core/bitstreams/8f599970-661d-45f5-a598-2ea46ca1605f/content/src/html/glossary.html" TargetMode="External"/><Relationship Id="rId49" Type="http://schemas.openxmlformats.org/officeDocument/2006/relationships/hyperlink" Target="https://www.leafcoalition.org/" TargetMode="External"/><Relationship Id="rId57" Type="http://schemas.openxmlformats.org/officeDocument/2006/relationships/image" Target="media/image5.png"/><Relationship Id="rId10" Type="http://schemas.openxmlformats.org/officeDocument/2006/relationships/footnotes" Target="footnotes.xml"/><Relationship Id="rId31" Type="http://schemas.openxmlformats.org/officeDocument/2006/relationships/hyperlink" Target="https://openknowledge.fao.org/server/api/core/bitstreams/8f599970-661d-45f5-a598-2ea46ca1605f/content/src/html/glossary.html" TargetMode="External"/><Relationship Id="rId44" Type="http://schemas.openxmlformats.org/officeDocument/2006/relationships/hyperlink" Target="https://www.ipcc.ch/site/assets/uploads/2018/03/wg2TARannexB.pdf" TargetMode="External"/><Relationship Id="rId52" Type="http://schemas.openxmlformats.org/officeDocument/2006/relationships/header" Target="header3.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emergentclimate.com/leaf-coalition/" TargetMode="External"/><Relationship Id="rId2" Type="http://schemas.openxmlformats.org/officeDocument/2006/relationships/hyperlink" Target="https://emergentclimate.com/how-we-work/" TargetMode="External"/><Relationship Id="rId1" Type="http://schemas.openxmlformats.org/officeDocument/2006/relationships/hyperlink" Target="https://www.artredd.org/tre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ickett\OneDrive%20-%20Department%20for%20Business%20Energy%20and%20Industrial%20Strategy\Desktop\DESNZ\New%20templates\desnz-report-template-new-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DC9984F-C15B-4056-B4C7-062094188504}">
  <we:reference id="6da5b0d7-dbb0-49a9-93ba-d19c80971ba6" version="4.1.6.0" store="EXCatalog" storeType="EXCatalog"/>
  <we:alternateReferences>
    <we:reference id="WA104381050" version="4.1.6.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ore Document" ma:contentTypeID="0x0101004691A8DE0991884F8E90AD6474FC737301002EDB4F82A4FD31439328CBC569C1149B" ma:contentTypeVersion="20" ma:contentTypeDescription="Create a new document." ma:contentTypeScope="" ma:versionID="0947c0795017b0d6fc2f8a77ba52331f">
  <xsd:schema xmlns:xsd="http://www.w3.org/2001/XMLSchema" xmlns:xs="http://www.w3.org/2001/XMLSchema" xmlns:p="http://schemas.microsoft.com/office/2006/metadata/properties" xmlns:ns2="0f9fa326-da26-4ea8-b6a9-645e8136fe1d" xmlns:ns3="839018be-1fd5-46c8-bb5f-8e5f297ce001" xmlns:ns4="aaacb922-5235-4a66-b188-303b9b46fbd7" xmlns:ns5="b3d83fe4-f584-44c1-ada4-cced241b61b0" targetNamespace="http://schemas.microsoft.com/office/2006/metadata/properties" ma:root="true" ma:fieldsID="489c208ec5bd1c4e33e60824d79b5d86" ns2:_="" ns3:_="" ns4:_="" ns5:_="">
    <xsd:import namespace="0f9fa326-da26-4ea8-b6a9-645e8136fe1d"/>
    <xsd:import namespace="839018be-1fd5-46c8-bb5f-8e5f297ce001"/>
    <xsd:import namespace="aaacb922-5235-4a66-b188-303b9b46fbd7"/>
    <xsd:import namespace="b3d83fe4-f584-44c1-ada4-cced241b61b0"/>
    <xsd:element name="properties">
      <xsd:complexType>
        <xsd:sequence>
          <xsd:element name="documentManagement">
            <xsd:complexType>
              <xsd:all>
                <xsd:element ref="ns2:c6f593ada1854b629148449de059396b" minOccurs="0"/>
                <xsd:element ref="ns3:TaxCatchAll" minOccurs="0"/>
                <xsd:element ref="ns3:TaxCatchAllLabel" minOccurs="0"/>
                <xsd:element ref="ns2:m817f42addf14c9a838da36e78800043" minOccurs="0"/>
                <xsd:element ref="ns2:h573c97cf80c4aa6b446c5363dc3ac94" minOccurs="0"/>
                <xsd:element ref="ns4:LegacyData" minOccurs="0"/>
                <xsd:element ref="ns3:_dlc_DocId" minOccurs="0"/>
                <xsd:element ref="ns3:_dlc_DocIdPersistId" minOccurs="0"/>
                <xsd:element ref="ns3:_dlc_DocIdUrl" minOccurs="0"/>
                <xsd:element ref="ns3:SharedWithUsers" minOccurs="0"/>
                <xsd:element ref="ns3:SharedWithDetails" minOccurs="0"/>
                <xsd:element ref="ns5:MediaServiceMetadata" minOccurs="0"/>
                <xsd:element ref="ns5:MediaServiceFastMetadata" minOccurs="0"/>
                <xsd:element ref="ns5:MediaServiceAutoKeyPoints" minOccurs="0"/>
                <xsd:element ref="ns5:MediaServiceKeyPoints" minOccurs="0"/>
                <xsd:element ref="ns5:lcf76f155ced4ddcb4097134ff3c332f" minOccurs="0"/>
                <xsd:element ref="ns5:MediaServiceOCR" minOccurs="0"/>
                <xsd:element ref="ns5:MediaServiceGenerationTime" minOccurs="0"/>
                <xsd:element ref="ns5:MediaServiceEventHashCode" minOccurs="0"/>
                <xsd:element ref="ns5:MediaServiceDateTaken" minOccurs="0"/>
                <xsd:element ref="ns5:MediaLengthInSeconds" minOccurs="0"/>
                <xsd:element ref="ns5:MediaServiceObjectDetectorVersions" minOccurs="0"/>
                <xsd:element ref="ns5:MediaServiceSearchProperties"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9fa326-da26-4ea8-b6a9-645e8136fe1d" elementFormDefault="qualified">
    <xsd:import namespace="http://schemas.microsoft.com/office/2006/documentManagement/types"/>
    <xsd:import namespace="http://schemas.microsoft.com/office/infopath/2007/PartnerControls"/>
    <xsd:element name="c6f593ada1854b629148449de059396b" ma:index="8" nillable="true" ma:taxonomy="true" ma:internalName="c6f593ada1854b629148449de059396b" ma:taxonomyFieldName="KIM_GovernmentBody" ma:displayName="Government Body" ma:default="3;#BEIS|b386cac2-c28c-4db4-8fca-43733d0e74ef" ma:fieldId="{c6f593ad-a185-4b62-9148-449de059396b}" ma:sspId="9b0aeba9-2bce-41c2-8545-5d12d676a674" ma:termSetId="46784332-da01-4f4a-94fa-2a245cb438b3" ma:anchorId="00000000-0000-0000-0000-000000000000" ma:open="false" ma:isKeyword="false">
      <xsd:complexType>
        <xsd:sequence>
          <xsd:element ref="pc:Terms" minOccurs="0" maxOccurs="1"/>
        </xsd:sequence>
      </xsd:complexType>
    </xsd:element>
    <xsd:element name="m817f42addf14c9a838da36e78800043" ma:index="12" nillable="true" ma:taxonomy="true" ma:internalName="m817f42addf14c9a838da36e78800043" ma:taxonomyFieldName="KIM_Function" ma:displayName="Function" ma:default="1;#Energy and Climate|67dfd3db-8e6c-4d42-96c1-aed1098cd89b" ma:fieldId="{6817f42a-ddf1-4c9a-838d-a36e78800043}" ma:sspId="9b0aeba9-2bce-41c2-8545-5d12d676a674" ma:termSetId="8a8c3714-5ee2-45f9-8c60-591b9d070299" ma:anchorId="00000000-0000-0000-0000-000000000000" ma:open="false" ma:isKeyword="false">
      <xsd:complexType>
        <xsd:sequence>
          <xsd:element ref="pc:Terms" minOccurs="0" maxOccurs="1"/>
        </xsd:sequence>
      </xsd:complexType>
    </xsd:element>
    <xsd:element name="h573c97cf80c4aa6b446c5363dc3ac94" ma:index="14" nillable="true" ma:taxonomy="true" ma:internalName="h573c97cf80c4aa6b446c5363dc3ac94" ma:taxonomyFieldName="KIM_Activity" ma:displayName="Activity" ma:default="2;#International Climate and Energy,|8ce3479e-0228-4d4b-8382-a951e8f3cec1" ma:fieldId="{1573c97c-f80c-4aa6-b446-c5363dc3ac94}" ma:sspId="9b0aeba9-2bce-41c2-8545-5d12d676a674" ma:termSetId="5c6dcaef-f335-486f-b10e-5a74f10247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39018be-1fd5-46c8-bb5f-8e5f297ce00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47848f78-89dd-4aa4-a5d3-4bc706e8013d}" ma:internalName="TaxCatchAll" ma:showField="CatchAllData" ma:web="839018be-1fd5-46c8-bb5f-8e5f297ce00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7848f78-89dd-4aa4-a5d3-4bc706e8013d}" ma:internalName="TaxCatchAllLabel" ma:readOnly="true" ma:showField="CatchAllDataLabel" ma:web="839018be-1fd5-46c8-bb5f-8e5f297ce001">
      <xsd:complexType>
        <xsd:complexContent>
          <xsd:extension base="dms:MultiChoiceLookup">
            <xsd:sequence>
              <xsd:element name="Value" type="dms:Lookup" maxOccurs="unbounded" minOccurs="0" nillable="true"/>
            </xsd:sequence>
          </xsd:extension>
        </xsd:complexContent>
      </xsd:complex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PersistId" ma:index="18" nillable="true" ma:displayName="Persist ID" ma:description="Keep ID on add." ma:hidden="true" ma:internalName="_dlc_DocIdPersistId" ma:readOnly="true">
      <xsd:simpleType>
        <xsd:restriction base="dms:Boolean"/>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acb922-5235-4a66-b188-303b9b46fbd7" elementFormDefault="qualified">
    <xsd:import namespace="http://schemas.microsoft.com/office/2006/documentManagement/types"/>
    <xsd:import namespace="http://schemas.microsoft.com/office/infopath/2007/PartnerControls"/>
    <xsd:element name="LegacyData" ma:index="16" nillable="true" ma:displayName="Legacy Data" ma:internalName="Legacy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d83fe4-f584-44c1-ada4-cced241b61b0"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b0aeba9-2bce-41c2-8545-5d12d676a674" ma:termSetId="09814cd3-568e-fe90-9814-8d621ff8fb84" ma:anchorId="fba54fb3-c3e1-fe81-a776-ca4b69148c4d" ma:open="true" ma:isKeyword="false">
      <xsd:complexType>
        <xsd:sequence>
          <xsd:element ref="pc:Terms" minOccurs="0" maxOccurs="1"/>
        </xsd:sequence>
      </xsd:complex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DateTaken" ma:index="31" nillable="true" ma:displayName="MediaServiceDateTaken" ma:hidden="true" ma:internalName="MediaServiceDateTake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MediaServiceLocation" ma:index="3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d83fe4-f584-44c1-ada4-cced241b61b0">
      <Terms xmlns="http://schemas.microsoft.com/office/infopath/2007/PartnerControls"/>
    </lcf76f155ced4ddcb4097134ff3c332f>
    <TaxCatchAll xmlns="839018be-1fd5-46c8-bb5f-8e5f297ce001">
      <Value>3</Value>
      <Value>2</Value>
      <Value>1</Value>
    </TaxCatchAll>
    <c6f593ada1854b629148449de059396b xmlns="0f9fa326-da26-4ea8-b6a9-645e8136fe1d">
      <Terms xmlns="http://schemas.microsoft.com/office/infopath/2007/PartnerControls">
        <TermInfo xmlns="http://schemas.microsoft.com/office/infopath/2007/PartnerControls">
          <TermName xmlns="http://schemas.microsoft.com/office/infopath/2007/PartnerControls">BEIS</TermName>
          <TermId xmlns="http://schemas.microsoft.com/office/infopath/2007/PartnerControls">b386cac2-c28c-4db4-8fca-43733d0e74ef</TermId>
        </TermInfo>
      </Terms>
    </c6f593ada1854b629148449de059396b>
    <LegacyData xmlns="aaacb922-5235-4a66-b188-303b9b46fbd7" xsi:nil="true"/>
    <m817f42addf14c9a838da36e78800043 xmlns="0f9fa326-da26-4ea8-b6a9-645e8136fe1d">
      <Terms xmlns="http://schemas.microsoft.com/office/infopath/2007/PartnerControls">
        <TermInfo xmlns="http://schemas.microsoft.com/office/infopath/2007/PartnerControls">
          <TermName xmlns="http://schemas.microsoft.com/office/infopath/2007/PartnerControls">Energy and Climate</TermName>
          <TermId xmlns="http://schemas.microsoft.com/office/infopath/2007/PartnerControls">67dfd3db-8e6c-4d42-96c1-aed1098cd89b</TermId>
        </TermInfo>
      </Terms>
    </m817f42addf14c9a838da36e78800043>
    <h573c97cf80c4aa6b446c5363dc3ac94 xmlns="0f9fa326-da26-4ea8-b6a9-645e8136fe1d">
      <Terms xmlns="http://schemas.microsoft.com/office/infopath/2007/PartnerControls">
        <TermInfo xmlns="http://schemas.microsoft.com/office/infopath/2007/PartnerControls">
          <TermName xmlns="http://schemas.microsoft.com/office/infopath/2007/PartnerControls">International Climate and Energy,</TermName>
          <TermId xmlns="http://schemas.microsoft.com/office/infopath/2007/PartnerControls">8ce3479e-0228-4d4b-8382-a951e8f3cec1</TermId>
        </TermInfo>
      </Terms>
    </h573c97cf80c4aa6b446c5363dc3ac94>
    <_dlc_DocId xmlns="839018be-1fd5-46c8-bb5f-8e5f297ce001">N3MC4NMT5URJ-1164569100-19560</_dlc_DocId>
    <_dlc_DocIdUrl xmlns="839018be-1fd5-46c8-bb5f-8e5f297ce001">
      <Url>https://beisgov.sharepoint.com/sites/InternationalForests-EXT-OS/_layouts/15/DocIdRedir.aspx?ID=N3MC4NMT5URJ-1164569100-19560</Url>
      <Description>N3MC4NMT5URJ-1164569100-19560</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2244758-DF46-49F4-8B72-34EF53BD76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9fa326-da26-4ea8-b6a9-645e8136fe1d"/>
    <ds:schemaRef ds:uri="839018be-1fd5-46c8-bb5f-8e5f297ce001"/>
    <ds:schemaRef ds:uri="aaacb922-5235-4a66-b188-303b9b46fbd7"/>
    <ds:schemaRef ds:uri="b3d83fe4-f584-44c1-ada4-cced241b61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E3DBE3-ACD0-48F6-84D8-70D321E7FCE1}">
  <ds:schemaRefs>
    <ds:schemaRef ds:uri="http://schemas.openxmlformats.org/officeDocument/2006/bibliography"/>
  </ds:schemaRefs>
</ds:datastoreItem>
</file>

<file path=customXml/itemProps3.xml><?xml version="1.0" encoding="utf-8"?>
<ds:datastoreItem xmlns:ds="http://schemas.openxmlformats.org/officeDocument/2006/customXml" ds:itemID="{38DD0E31-7168-4351-9C5E-9BB1AA587EC3}">
  <ds:schemaRefs>
    <ds:schemaRef ds:uri="http://schemas.microsoft.com/office/2006/metadata/properties"/>
    <ds:schemaRef ds:uri="http://schemas.microsoft.com/office/infopath/2007/PartnerControls"/>
    <ds:schemaRef ds:uri="b3d83fe4-f584-44c1-ada4-cced241b61b0"/>
    <ds:schemaRef ds:uri="839018be-1fd5-46c8-bb5f-8e5f297ce001"/>
    <ds:schemaRef ds:uri="0f9fa326-da26-4ea8-b6a9-645e8136fe1d"/>
    <ds:schemaRef ds:uri="aaacb922-5235-4a66-b188-303b9b46fbd7"/>
  </ds:schemaRefs>
</ds:datastoreItem>
</file>

<file path=customXml/itemProps4.xml><?xml version="1.0" encoding="utf-8"?>
<ds:datastoreItem xmlns:ds="http://schemas.openxmlformats.org/officeDocument/2006/customXml" ds:itemID="{4480EF91-2BC7-4A80-B809-381D9FD68357}">
  <ds:schemaRefs>
    <ds:schemaRef ds:uri="http://schemas.microsoft.com/sharepoint/v3/contenttype/forms"/>
  </ds:schemaRefs>
</ds:datastoreItem>
</file>

<file path=customXml/itemProps5.xml><?xml version="1.0" encoding="utf-8"?>
<ds:datastoreItem xmlns:ds="http://schemas.openxmlformats.org/officeDocument/2006/customXml" ds:itemID="{E30AD767-06E1-48CE-9909-ECA4DF2F9706}">
  <ds:schemaRefs>
    <ds:schemaRef ds:uri="http://schemas.microsoft.com/sharepoint/events"/>
  </ds:schemaRefs>
</ds:datastoreItem>
</file>

<file path=docMetadata/LabelInfo.xml><?xml version="1.0" encoding="utf-8"?>
<clbl:labelList xmlns:clbl="http://schemas.microsoft.com/office/2020/mipLabelMetadata">
  <clbl:label id="{ba62f585-b40f-4ab9-bafe-39150f03d124}" enabled="1" method="Standard" siteId="{cbac7005-02c1-43eb-b497-e6492d1b2dd8}" removed="0"/>
</clbl:labelList>
</file>

<file path=docProps/app.xml><?xml version="1.0" encoding="utf-8"?>
<Properties xmlns="http://schemas.openxmlformats.org/officeDocument/2006/extended-properties" xmlns:vt="http://schemas.openxmlformats.org/officeDocument/2006/docPropsVTypes">
  <Template>desnz-report-template-new-logo</Template>
  <TotalTime>7</TotalTime>
  <Pages>67</Pages>
  <Words>23213</Words>
  <Characters>134870</Characters>
  <Application>Microsoft Office Word</Application>
  <DocSecurity>0</DocSecurity>
  <Lines>2697</Lines>
  <Paragraphs>836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Lizzy McDonald</dc:creator>
  <cp:keywords/>
  <dc:description/>
  <cp:lastModifiedBy>Conway2, Fionnula (Energy Security)</cp:lastModifiedBy>
  <cp:revision>5</cp:revision>
  <dcterms:created xsi:type="dcterms:W3CDTF">2026-01-27T14:25:00Z</dcterms:created>
  <dcterms:modified xsi:type="dcterms:W3CDTF">2026-02-02T15:24:00Z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62f585-b40f-4ab9-bafe-39150f03d124_Enabled">
    <vt:lpwstr>true</vt:lpwstr>
  </property>
  <property fmtid="{D5CDD505-2E9C-101B-9397-08002B2CF9AE}" pid="3" name="MSIP_Label_ba62f585-b40f-4ab9-bafe-39150f03d124_SetDate">
    <vt:lpwstr>2024-10-15T12:23:28Z</vt:lpwstr>
  </property>
  <property fmtid="{D5CDD505-2E9C-101B-9397-08002B2CF9AE}" pid="4" name="MSIP_Label_ba62f585-b40f-4ab9-bafe-39150f03d124_Method">
    <vt:lpwstr>Standard</vt:lpwstr>
  </property>
  <property fmtid="{D5CDD505-2E9C-101B-9397-08002B2CF9AE}" pid="5" name="MSIP_Label_ba62f585-b40f-4ab9-bafe-39150f03d124_Name">
    <vt:lpwstr>OFFICIAL</vt:lpwstr>
  </property>
  <property fmtid="{D5CDD505-2E9C-101B-9397-08002B2CF9AE}" pid="6" name="MSIP_Label_ba62f585-b40f-4ab9-bafe-39150f03d124_SiteId">
    <vt:lpwstr>cbac7005-02c1-43eb-b497-e6492d1b2dd8</vt:lpwstr>
  </property>
  <property fmtid="{D5CDD505-2E9C-101B-9397-08002B2CF9AE}" pid="7" name="MSIP_Label_ba62f585-b40f-4ab9-bafe-39150f03d124_ActionId">
    <vt:lpwstr>a03fdc1d-9c81-44b5-abd0-0508e7e9429f</vt:lpwstr>
  </property>
  <property fmtid="{D5CDD505-2E9C-101B-9397-08002B2CF9AE}" pid="8" name="MSIP_Label_ba62f585-b40f-4ab9-bafe-39150f03d124_ContentBits">
    <vt:lpwstr>0</vt:lpwstr>
  </property>
  <property fmtid="{D5CDD505-2E9C-101B-9397-08002B2CF9AE}" pid="9" name="ContentTypeId">
    <vt:lpwstr>0x0101004691A8DE0991884F8E90AD6474FC737301002EDB4F82A4FD31439328CBC569C1149B</vt:lpwstr>
  </property>
  <property fmtid="{D5CDD505-2E9C-101B-9397-08002B2CF9AE}" pid="10" name="Business Unit">
    <vt:lpwstr>1</vt:lpwstr>
  </property>
  <property fmtid="{D5CDD505-2E9C-101B-9397-08002B2CF9AE}" pid="11" name="_dlc_DocIdItemGuid">
    <vt:lpwstr>05264ae2-e640-48fb-a4d0-3cba51040bd4</vt:lpwstr>
  </property>
  <property fmtid="{D5CDD505-2E9C-101B-9397-08002B2CF9AE}" pid="12" name="MediaServiceImageTags">
    <vt:lpwstr/>
  </property>
  <property fmtid="{D5CDD505-2E9C-101B-9397-08002B2CF9AE}" pid="13" name="Business_x0020_Unit">
    <vt:lpwstr>1</vt:lpwstr>
  </property>
  <property fmtid="{D5CDD505-2E9C-101B-9397-08002B2CF9AE}" pid="14" name="KIM_GovernmentBody">
    <vt:lpwstr>3;#BEIS|b386cac2-c28c-4db4-8fca-43733d0e74ef</vt:lpwstr>
  </property>
  <property fmtid="{D5CDD505-2E9C-101B-9397-08002B2CF9AE}" pid="15" name="KIM_Activity">
    <vt:lpwstr>2;#International Climate and Energy,|8ce3479e-0228-4d4b-8382-a951e8f3cec1</vt:lpwstr>
  </property>
  <property fmtid="{D5CDD505-2E9C-101B-9397-08002B2CF9AE}" pid="16" name="KIM_Function">
    <vt:lpwstr>1;#Energy and Climate|67dfd3db-8e6c-4d42-96c1-aed1098cd89b</vt:lpwstr>
  </property>
  <property fmtid="{D5CDD505-2E9C-101B-9397-08002B2CF9AE}" pid="17" name="GrammarlyDocumentId">
    <vt:lpwstr>9e49e465-5e5c-41f8-85d8-c59123a36091</vt:lpwstr>
  </property>
  <property fmtid="{D5CDD505-2E9C-101B-9397-08002B2CF9AE}" pid="18" name="docLang">
    <vt:lpwstr>en</vt:lpwstr>
  </property>
</Properties>
</file>