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E07E" w14:textId="4C086238" w:rsidR="003557E6" w:rsidRDefault="003557E6" w:rsidP="00657117">
      <w:pPr>
        <w:pStyle w:val="BEISTitle"/>
        <w:rPr>
          <w:sz w:val="22"/>
          <w:u w:val="single"/>
        </w:rPr>
      </w:pPr>
    </w:p>
    <w:p w14:paraId="30EC147F" w14:textId="77777777" w:rsidR="003557E6" w:rsidRDefault="003557E6" w:rsidP="00657117">
      <w:pPr>
        <w:pStyle w:val="BEISTitle"/>
      </w:pPr>
    </w:p>
    <w:p w14:paraId="6BDB13FE" w14:textId="77777777" w:rsidR="003557E6" w:rsidRDefault="003557E6" w:rsidP="00657117">
      <w:pPr>
        <w:pStyle w:val="BEISTitle"/>
      </w:pPr>
    </w:p>
    <w:p w14:paraId="4E9AD888" w14:textId="77777777" w:rsidR="003557E6" w:rsidRDefault="003557E6" w:rsidP="00657117">
      <w:pPr>
        <w:pStyle w:val="BEISTitle"/>
      </w:pPr>
    </w:p>
    <w:p w14:paraId="2571AA8E" w14:textId="77777777" w:rsidR="003557E6" w:rsidRDefault="003557E6" w:rsidP="00657117">
      <w:pPr>
        <w:pStyle w:val="BEISTitle"/>
      </w:pPr>
    </w:p>
    <w:p w14:paraId="0D5A0104" w14:textId="4B23046F" w:rsidR="003D0119" w:rsidRDefault="003D0119" w:rsidP="00657117">
      <w:pPr>
        <w:spacing w:after="240" w:line="259" w:lineRule="auto"/>
        <w:rPr>
          <w:rFonts w:eastAsiaTheme="minorEastAsia" w:cstheme="minorBidi"/>
          <w:color w:val="041E42"/>
          <w:sz w:val="76"/>
          <w:szCs w:val="76"/>
        </w:rPr>
      </w:pPr>
      <w:r w:rsidRPr="3AE12C15">
        <w:rPr>
          <w:rFonts w:eastAsiaTheme="minorEastAsia" w:cstheme="minorBidi"/>
          <w:color w:val="041E42"/>
          <w:sz w:val="76"/>
          <w:szCs w:val="76"/>
        </w:rPr>
        <w:t xml:space="preserve">Market </w:t>
      </w:r>
      <w:r w:rsidR="003557E6" w:rsidRPr="3AE12C15">
        <w:rPr>
          <w:rFonts w:eastAsiaTheme="minorEastAsia" w:cstheme="minorBidi"/>
          <w:color w:val="041E42"/>
          <w:sz w:val="76"/>
          <w:szCs w:val="76"/>
        </w:rPr>
        <w:t xml:space="preserve">Accelerator </w:t>
      </w:r>
      <w:r w:rsidRPr="3AE12C15">
        <w:rPr>
          <w:rFonts w:eastAsiaTheme="minorEastAsia" w:cstheme="minorBidi"/>
          <w:color w:val="041E42"/>
          <w:sz w:val="76"/>
          <w:szCs w:val="76"/>
        </w:rPr>
        <w:t>for Green Construction (“MAGC”)</w:t>
      </w:r>
    </w:p>
    <w:p w14:paraId="14A8D890" w14:textId="79B24E2A" w:rsidR="003557E6" w:rsidRDefault="003557E6" w:rsidP="00657117">
      <w:pPr>
        <w:spacing w:after="240" w:line="259" w:lineRule="auto"/>
        <w:rPr>
          <w:sz w:val="22"/>
          <w:szCs w:val="22"/>
          <w:u w:val="single"/>
        </w:rPr>
      </w:pPr>
      <w:r w:rsidRPr="00441BC3">
        <w:rPr>
          <w:rFonts w:eastAsiaTheme="minorHAnsi" w:cstheme="minorBidi"/>
          <w:color w:val="041E42"/>
          <w:sz w:val="76"/>
          <w:szCs w:val="22"/>
        </w:rPr>
        <w:t>Annual Review 202</w:t>
      </w:r>
      <w:r w:rsidR="009A599D">
        <w:rPr>
          <w:rFonts w:eastAsiaTheme="minorHAnsi" w:cstheme="minorBidi"/>
          <w:color w:val="041E42"/>
          <w:sz w:val="76"/>
          <w:szCs w:val="22"/>
        </w:rPr>
        <w:t>3</w:t>
      </w:r>
      <w:r w:rsidRPr="00441BC3">
        <w:rPr>
          <w:rFonts w:eastAsiaTheme="minorHAnsi" w:cstheme="minorBidi"/>
          <w:color w:val="041E42"/>
          <w:sz w:val="76"/>
          <w:szCs w:val="22"/>
        </w:rPr>
        <w:t>-202</w:t>
      </w:r>
      <w:r w:rsidR="009A599D">
        <w:rPr>
          <w:rFonts w:eastAsiaTheme="minorHAnsi" w:cstheme="minorBidi"/>
          <w:color w:val="041E42"/>
          <w:sz w:val="76"/>
          <w:szCs w:val="22"/>
        </w:rPr>
        <w:t>4</w:t>
      </w:r>
    </w:p>
    <w:p w14:paraId="2C88D106" w14:textId="77777777" w:rsidR="003557E6" w:rsidRDefault="003557E6" w:rsidP="00657117">
      <w:pPr>
        <w:spacing w:after="240" w:line="259" w:lineRule="auto"/>
        <w:rPr>
          <w:sz w:val="22"/>
          <w:szCs w:val="22"/>
        </w:rPr>
      </w:pPr>
    </w:p>
    <w:p w14:paraId="17C79C50" w14:textId="77777777" w:rsidR="003557E6" w:rsidRPr="007D1D64" w:rsidRDefault="003557E6" w:rsidP="00657117">
      <w:pPr>
        <w:spacing w:after="240" w:line="259" w:lineRule="auto"/>
        <w:rPr>
          <w:sz w:val="22"/>
          <w:szCs w:val="22"/>
        </w:rPr>
      </w:pPr>
    </w:p>
    <w:p w14:paraId="5FC46754" w14:textId="77777777" w:rsidR="003557E6" w:rsidRDefault="003557E6" w:rsidP="00657117">
      <w:pPr>
        <w:spacing w:after="240"/>
        <w:rPr>
          <w:sz w:val="22"/>
          <w:szCs w:val="22"/>
          <w:u w:val="single"/>
        </w:rPr>
      </w:pPr>
    </w:p>
    <w:p w14:paraId="0CBCD92F" w14:textId="77777777" w:rsidR="003557E6" w:rsidRDefault="003557E6" w:rsidP="00657117">
      <w:pPr>
        <w:spacing w:after="240" w:line="259" w:lineRule="auto"/>
        <w:rPr>
          <w:sz w:val="22"/>
          <w:szCs w:val="22"/>
        </w:rPr>
      </w:pPr>
    </w:p>
    <w:p w14:paraId="43E4A77B" w14:textId="77777777" w:rsidR="003557E6" w:rsidRDefault="003557E6" w:rsidP="00657117">
      <w:pPr>
        <w:spacing w:after="240" w:line="259" w:lineRule="auto"/>
        <w:rPr>
          <w:sz w:val="22"/>
          <w:szCs w:val="22"/>
        </w:rPr>
      </w:pPr>
    </w:p>
    <w:p w14:paraId="35F9F77F" w14:textId="77777777" w:rsidR="003557E6" w:rsidRDefault="003557E6" w:rsidP="00657117">
      <w:pPr>
        <w:spacing w:after="240" w:line="259" w:lineRule="auto"/>
        <w:rPr>
          <w:sz w:val="22"/>
          <w:szCs w:val="22"/>
        </w:rPr>
      </w:pPr>
      <w:r>
        <w:rPr>
          <w:sz w:val="22"/>
          <w:szCs w:val="22"/>
        </w:rPr>
        <w:br w:type="page"/>
      </w:r>
    </w:p>
    <w:p w14:paraId="5198867F" w14:textId="77777777" w:rsidR="003557E6" w:rsidRDefault="003557E6" w:rsidP="00657117">
      <w:pPr>
        <w:spacing w:after="240" w:line="259" w:lineRule="auto"/>
        <w:rPr>
          <w:sz w:val="22"/>
          <w:szCs w:val="22"/>
        </w:rPr>
      </w:pPr>
    </w:p>
    <w:p w14:paraId="636C9B4A" w14:textId="77777777" w:rsidR="003557E6" w:rsidRPr="007D1D64" w:rsidRDefault="003557E6" w:rsidP="00657117">
      <w:pPr>
        <w:spacing w:after="240" w:line="259" w:lineRule="auto"/>
        <w:rPr>
          <w:sz w:val="22"/>
          <w:szCs w:val="22"/>
        </w:rPr>
      </w:pPr>
    </w:p>
    <w:p w14:paraId="588E47F6" w14:textId="77777777" w:rsidR="003557E6" w:rsidRDefault="003557E6" w:rsidP="00657117">
      <w:pPr>
        <w:spacing w:after="240" w:line="259" w:lineRule="auto"/>
        <w:rPr>
          <w:sz w:val="22"/>
          <w:szCs w:val="22"/>
        </w:rPr>
      </w:pPr>
    </w:p>
    <w:p w14:paraId="656B9FA7" w14:textId="77777777" w:rsidR="003557E6" w:rsidRDefault="003557E6" w:rsidP="00657117">
      <w:pPr>
        <w:spacing w:after="240" w:line="259" w:lineRule="auto"/>
        <w:rPr>
          <w:sz w:val="22"/>
          <w:szCs w:val="22"/>
        </w:rPr>
      </w:pPr>
    </w:p>
    <w:p w14:paraId="6CD8AA19" w14:textId="77777777" w:rsidR="003557E6" w:rsidRDefault="003557E6" w:rsidP="00657117">
      <w:pPr>
        <w:spacing w:after="240" w:line="259" w:lineRule="auto"/>
        <w:rPr>
          <w:sz w:val="22"/>
          <w:szCs w:val="22"/>
        </w:rPr>
      </w:pPr>
    </w:p>
    <w:p w14:paraId="4F027884" w14:textId="77777777" w:rsidR="003557E6" w:rsidRDefault="003557E6" w:rsidP="00657117">
      <w:pPr>
        <w:spacing w:after="240" w:line="259" w:lineRule="auto"/>
        <w:rPr>
          <w:sz w:val="22"/>
          <w:szCs w:val="22"/>
        </w:rPr>
      </w:pPr>
    </w:p>
    <w:p w14:paraId="2CD64E79" w14:textId="77777777" w:rsidR="003557E6" w:rsidRDefault="003557E6" w:rsidP="00657117">
      <w:pPr>
        <w:spacing w:after="240" w:line="259" w:lineRule="auto"/>
        <w:rPr>
          <w:sz w:val="22"/>
          <w:szCs w:val="22"/>
        </w:rPr>
      </w:pPr>
    </w:p>
    <w:p w14:paraId="348D4EBA" w14:textId="77777777" w:rsidR="003557E6" w:rsidRDefault="003557E6" w:rsidP="00657117">
      <w:pPr>
        <w:spacing w:after="240" w:line="259" w:lineRule="auto"/>
        <w:rPr>
          <w:sz w:val="22"/>
          <w:szCs w:val="22"/>
        </w:rPr>
      </w:pPr>
    </w:p>
    <w:p w14:paraId="2C11F616" w14:textId="77777777" w:rsidR="003557E6" w:rsidRDefault="003557E6" w:rsidP="00657117">
      <w:pPr>
        <w:spacing w:after="240" w:line="259" w:lineRule="auto"/>
        <w:rPr>
          <w:sz w:val="22"/>
          <w:szCs w:val="22"/>
        </w:rPr>
      </w:pPr>
    </w:p>
    <w:p w14:paraId="481A6C87" w14:textId="77777777" w:rsidR="003557E6" w:rsidRDefault="003557E6" w:rsidP="00657117">
      <w:pPr>
        <w:spacing w:after="240" w:line="259" w:lineRule="auto"/>
        <w:rPr>
          <w:sz w:val="22"/>
          <w:szCs w:val="22"/>
        </w:rPr>
      </w:pPr>
    </w:p>
    <w:p w14:paraId="38C25C46" w14:textId="77777777" w:rsidR="003557E6" w:rsidRDefault="003557E6" w:rsidP="00657117">
      <w:pPr>
        <w:spacing w:after="240" w:line="259" w:lineRule="auto"/>
        <w:rPr>
          <w:sz w:val="22"/>
          <w:szCs w:val="22"/>
        </w:rPr>
      </w:pPr>
    </w:p>
    <w:p w14:paraId="135AAC1E" w14:textId="77777777" w:rsidR="003557E6" w:rsidRDefault="003557E6" w:rsidP="00657117">
      <w:pPr>
        <w:spacing w:after="240" w:line="259" w:lineRule="auto"/>
        <w:rPr>
          <w:sz w:val="22"/>
          <w:szCs w:val="22"/>
        </w:rPr>
      </w:pPr>
    </w:p>
    <w:p w14:paraId="1889C7B4" w14:textId="77777777" w:rsidR="003557E6" w:rsidRDefault="003557E6" w:rsidP="00657117">
      <w:pPr>
        <w:spacing w:after="240" w:line="259" w:lineRule="auto"/>
        <w:rPr>
          <w:sz w:val="22"/>
          <w:szCs w:val="22"/>
        </w:rPr>
      </w:pPr>
    </w:p>
    <w:p w14:paraId="78BEFED5" w14:textId="77777777" w:rsidR="003557E6" w:rsidRDefault="003557E6" w:rsidP="00657117">
      <w:pPr>
        <w:spacing w:after="240" w:line="259" w:lineRule="auto"/>
        <w:rPr>
          <w:sz w:val="22"/>
          <w:szCs w:val="22"/>
        </w:rPr>
      </w:pPr>
    </w:p>
    <w:p w14:paraId="5243254B" w14:textId="77777777" w:rsidR="003557E6" w:rsidRDefault="003557E6" w:rsidP="00657117">
      <w:pPr>
        <w:spacing w:after="240" w:line="259" w:lineRule="auto"/>
        <w:rPr>
          <w:sz w:val="22"/>
          <w:szCs w:val="22"/>
        </w:rPr>
      </w:pPr>
    </w:p>
    <w:p w14:paraId="74FA8815" w14:textId="77777777" w:rsidR="003557E6" w:rsidRDefault="003557E6" w:rsidP="00657117">
      <w:pPr>
        <w:spacing w:after="240" w:line="259" w:lineRule="auto"/>
        <w:rPr>
          <w:sz w:val="22"/>
          <w:szCs w:val="22"/>
        </w:rPr>
      </w:pPr>
    </w:p>
    <w:p w14:paraId="4A4385AA" w14:textId="77777777" w:rsidR="003557E6" w:rsidRDefault="003557E6" w:rsidP="00657117">
      <w:pPr>
        <w:spacing w:after="240" w:line="259" w:lineRule="auto"/>
        <w:rPr>
          <w:sz w:val="22"/>
          <w:szCs w:val="22"/>
        </w:rPr>
      </w:pPr>
    </w:p>
    <w:p w14:paraId="1B6BA44D" w14:textId="77777777" w:rsidR="003557E6" w:rsidRDefault="003557E6" w:rsidP="00657117">
      <w:pPr>
        <w:spacing w:after="240" w:line="259" w:lineRule="auto"/>
        <w:rPr>
          <w:sz w:val="22"/>
          <w:szCs w:val="22"/>
        </w:rPr>
      </w:pPr>
    </w:p>
    <w:p w14:paraId="523C6AB8" w14:textId="34E8D568" w:rsidR="003557E6" w:rsidRDefault="003557E6" w:rsidP="6C1BCFF4">
      <w:pPr>
        <w:spacing w:after="240" w:line="259" w:lineRule="auto"/>
        <w:rPr>
          <w:sz w:val="22"/>
          <w:szCs w:val="22"/>
        </w:rPr>
      </w:pPr>
    </w:p>
    <w:p w14:paraId="72D6F101" w14:textId="77777777" w:rsidR="003557E6" w:rsidRDefault="003557E6" w:rsidP="00657117">
      <w:pPr>
        <w:spacing w:after="240" w:line="259" w:lineRule="auto"/>
        <w:rPr>
          <w:sz w:val="22"/>
          <w:szCs w:val="22"/>
        </w:rPr>
      </w:pPr>
      <w:r>
        <w:rPr>
          <w:noProof/>
        </w:rPr>
        <w:drawing>
          <wp:inline distT="0" distB="0" distL="0" distR="0" wp14:anchorId="0C5193EC" wp14:editId="30A47870">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3AE89D3D" w14:textId="77777777" w:rsidR="003557E6" w:rsidRPr="007D1D64" w:rsidRDefault="003557E6" w:rsidP="00657117">
      <w:pPr>
        <w:spacing w:after="240" w:line="259" w:lineRule="auto"/>
        <w:rPr>
          <w:sz w:val="22"/>
          <w:szCs w:val="22"/>
        </w:rPr>
      </w:pPr>
      <w:r w:rsidRPr="007D1D64">
        <w:rPr>
          <w:sz w:val="22"/>
          <w:szCs w:val="22"/>
        </w:rPr>
        <w:t>© Crown copyright 20</w:t>
      </w:r>
      <w:r>
        <w:rPr>
          <w:sz w:val="22"/>
          <w:szCs w:val="22"/>
        </w:rPr>
        <w:t>24</w:t>
      </w:r>
    </w:p>
    <w:p w14:paraId="08E4F9F7" w14:textId="77777777" w:rsidR="003557E6" w:rsidRPr="007D1D64" w:rsidRDefault="003557E6" w:rsidP="00657117">
      <w:pPr>
        <w:spacing w:after="240" w:line="259" w:lineRule="auto"/>
        <w:rPr>
          <w:sz w:val="22"/>
          <w:szCs w:val="22"/>
        </w:rPr>
      </w:pPr>
      <w:r w:rsidRPr="007D1D64">
        <w:rPr>
          <w:sz w:val="22"/>
          <w:szCs w:val="22"/>
        </w:rPr>
        <w:t xml:space="preserve">This publication is licensed under the terms of the Open Government Licence v3.0 except where otherwise stated. To view this licence, visit </w:t>
      </w:r>
      <w:hyperlink r:id="rId13" w:history="1">
        <w:r w:rsidRPr="00D56ED4">
          <w:rPr>
            <w:rStyle w:val="Hyperlink"/>
            <w:rFonts w:eastAsiaTheme="majorEastAsia"/>
            <w:sz w:val="22"/>
            <w:szCs w:val="22"/>
          </w:rPr>
          <w:t>nationalarchives.gov.uk/doc/open-government-licence/version/3</w:t>
        </w:r>
      </w:hyperlink>
      <w:r w:rsidRPr="007D1D64">
        <w:rPr>
          <w:sz w:val="22"/>
          <w:szCs w:val="22"/>
        </w:rPr>
        <w:t xml:space="preserve"> or write to the Information Policy Team, The National Archives, Kew, London TW9 4DU, or email: </w:t>
      </w:r>
      <w:hyperlink r:id="rId14" w:history="1">
        <w:r w:rsidRPr="00236685">
          <w:rPr>
            <w:rStyle w:val="Hyperlink"/>
            <w:rFonts w:eastAsiaTheme="majorEastAsia"/>
            <w:sz w:val="22"/>
            <w:szCs w:val="22"/>
          </w:rPr>
          <w:t>psi@nationalarchives.gsi.gov.uk</w:t>
        </w:r>
      </w:hyperlink>
      <w:r w:rsidRPr="007D1D64">
        <w:rPr>
          <w:sz w:val="22"/>
          <w:szCs w:val="22"/>
        </w:rPr>
        <w:t>.</w:t>
      </w:r>
      <w:r>
        <w:rPr>
          <w:sz w:val="22"/>
          <w:szCs w:val="22"/>
        </w:rPr>
        <w:t xml:space="preserve"> </w:t>
      </w:r>
    </w:p>
    <w:p w14:paraId="5356332C" w14:textId="77777777" w:rsidR="003557E6" w:rsidRPr="007D1D64" w:rsidRDefault="003557E6" w:rsidP="00657117">
      <w:pPr>
        <w:spacing w:after="240" w:line="259" w:lineRule="auto"/>
        <w:rPr>
          <w:sz w:val="22"/>
          <w:szCs w:val="22"/>
        </w:rPr>
      </w:pPr>
      <w:r w:rsidRPr="007D1D64">
        <w:rPr>
          <w:sz w:val="22"/>
          <w:szCs w:val="22"/>
        </w:rPr>
        <w:t>Where we have identified any third-party copyright information you will need to obtain permission from the copyright holders concerned.</w:t>
      </w:r>
    </w:p>
    <w:p w14:paraId="2CF612E6" w14:textId="77777777" w:rsidR="003557E6" w:rsidRPr="007D1D64" w:rsidRDefault="003557E6" w:rsidP="006A31DA">
      <w:pPr>
        <w:rPr>
          <w:sz w:val="22"/>
          <w:szCs w:val="22"/>
        </w:rPr>
      </w:pPr>
      <w:r w:rsidRPr="007D1D64">
        <w:rPr>
          <w:sz w:val="22"/>
          <w:szCs w:val="22"/>
        </w:rPr>
        <w:t xml:space="preserve">Any enquiries regarding this publication should be sent to us at: </w:t>
      </w:r>
    </w:p>
    <w:p w14:paraId="6E97E910" w14:textId="54E7E28E" w:rsidR="003557E6" w:rsidRDefault="003557E6" w:rsidP="79D0A378">
      <w:pPr>
        <w:rPr>
          <w:sz w:val="22"/>
          <w:szCs w:val="22"/>
        </w:rPr>
      </w:pPr>
      <w:hyperlink r:id="rId15">
        <w:r w:rsidRPr="79D0A378">
          <w:rPr>
            <w:rStyle w:val="Hyperlink"/>
            <w:rFonts w:eastAsiaTheme="majorEastAsia"/>
            <w:sz w:val="22"/>
            <w:szCs w:val="22"/>
          </w:rPr>
          <w:t>ODA-Transparency@beis.gov.uk</w:t>
        </w:r>
      </w:hyperlink>
    </w:p>
    <w:p w14:paraId="773FDB51" w14:textId="7D3F313F" w:rsidR="003557E6" w:rsidRDefault="003557E6" w:rsidP="006A31DA">
      <w:pPr>
        <w:rPr>
          <w:sz w:val="22"/>
          <w:szCs w:val="22"/>
        </w:rPr>
      </w:pPr>
      <w:r w:rsidRPr="79D0A378">
        <w:rPr>
          <w:sz w:val="22"/>
          <w:szCs w:val="22"/>
        </w:rPr>
        <w:t xml:space="preserve"> </w:t>
      </w:r>
      <w:r w:rsidRPr="79D0A378">
        <w:rPr>
          <w:sz w:val="22"/>
          <w:szCs w:val="22"/>
        </w:rPr>
        <w:br w:type="page"/>
      </w:r>
    </w:p>
    <w:tbl>
      <w:tblPr>
        <w:tblStyle w:val="TableGrid"/>
        <w:tblW w:w="10490" w:type="dxa"/>
        <w:tblInd w:w="-714" w:type="dxa"/>
        <w:tblLook w:val="04A0" w:firstRow="1" w:lastRow="0" w:firstColumn="1" w:lastColumn="0" w:noHBand="0" w:noVBand="1"/>
      </w:tblPr>
      <w:tblGrid>
        <w:gridCol w:w="3261"/>
        <w:gridCol w:w="2835"/>
        <w:gridCol w:w="4394"/>
      </w:tblGrid>
      <w:tr w:rsidR="00CE06BD" w:rsidRPr="0040656D" w14:paraId="280A3216" w14:textId="77777777">
        <w:trPr>
          <w:trHeight w:val="407"/>
        </w:trPr>
        <w:tc>
          <w:tcPr>
            <w:tcW w:w="10490" w:type="dxa"/>
            <w:gridSpan w:val="3"/>
            <w:tcBorders>
              <w:top w:val="single" w:sz="4" w:space="0" w:color="auto"/>
              <w:left w:val="single" w:sz="4" w:space="0" w:color="auto"/>
              <w:bottom w:val="dotted" w:sz="2" w:space="0" w:color="000000" w:themeColor="text1"/>
              <w:right w:val="single" w:sz="4" w:space="0" w:color="auto"/>
            </w:tcBorders>
            <w:vAlign w:val="center"/>
            <w:hideMark/>
          </w:tcPr>
          <w:p w14:paraId="637203D7" w14:textId="0EFC689A" w:rsidR="006A123D" w:rsidRPr="0040656D" w:rsidRDefault="006A123D" w:rsidP="00657117">
            <w:pPr>
              <w:spacing w:after="240"/>
              <w:jc w:val="both"/>
              <w:rPr>
                <w:rFonts w:cs="Arial"/>
                <w:b/>
                <w:sz w:val="20"/>
                <w:szCs w:val="20"/>
              </w:rPr>
            </w:pPr>
            <w:r w:rsidRPr="0040656D">
              <w:rPr>
                <w:rFonts w:cs="Arial"/>
                <w:b/>
                <w:sz w:val="20"/>
                <w:szCs w:val="20"/>
              </w:rPr>
              <w:lastRenderedPageBreak/>
              <w:t xml:space="preserve">Title: </w:t>
            </w:r>
            <w:r w:rsidRPr="0040656D">
              <w:rPr>
                <w:rFonts w:cs="Arial"/>
                <w:bCs/>
                <w:sz w:val="20"/>
                <w:szCs w:val="20"/>
              </w:rPr>
              <w:t>UK-IFC Market Accelerator for Green Construction</w:t>
            </w:r>
            <w:r w:rsidRPr="0040656D">
              <w:rPr>
                <w:rFonts w:cs="Arial"/>
                <w:b/>
                <w:sz w:val="20"/>
                <w:szCs w:val="20"/>
              </w:rPr>
              <w:t xml:space="preserve"> </w:t>
            </w:r>
            <w:r w:rsidRPr="0040656D">
              <w:rPr>
                <w:rFonts w:cs="Arial"/>
                <w:bCs/>
                <w:sz w:val="20"/>
                <w:szCs w:val="20"/>
              </w:rPr>
              <w:t>Partnership</w:t>
            </w:r>
            <w:r w:rsidRPr="0040656D">
              <w:rPr>
                <w:rFonts w:cs="Arial"/>
                <w:b/>
                <w:sz w:val="20"/>
                <w:szCs w:val="20"/>
              </w:rPr>
              <w:t xml:space="preserve"> </w:t>
            </w:r>
            <w:r w:rsidRPr="0040656D">
              <w:rPr>
                <w:rFonts w:cs="Arial"/>
                <w:bCs/>
                <w:sz w:val="20"/>
                <w:szCs w:val="20"/>
              </w:rPr>
              <w:t>(</w:t>
            </w:r>
            <w:r w:rsidR="003D0119">
              <w:rPr>
                <w:rFonts w:cs="Arial"/>
                <w:bCs/>
                <w:sz w:val="20"/>
                <w:szCs w:val="20"/>
              </w:rPr>
              <w:t>“</w:t>
            </w:r>
            <w:r w:rsidRPr="0040656D">
              <w:rPr>
                <w:rFonts w:cs="Arial"/>
                <w:bCs/>
                <w:sz w:val="20"/>
                <w:szCs w:val="20"/>
              </w:rPr>
              <w:t>MAGC</w:t>
            </w:r>
            <w:r w:rsidR="003D0119">
              <w:rPr>
                <w:rFonts w:cs="Arial"/>
                <w:bCs/>
                <w:sz w:val="20"/>
                <w:szCs w:val="20"/>
              </w:rPr>
              <w:t>”</w:t>
            </w:r>
            <w:r w:rsidRPr="0040656D">
              <w:rPr>
                <w:rFonts w:cs="Arial"/>
                <w:bCs/>
                <w:sz w:val="20"/>
                <w:szCs w:val="20"/>
              </w:rPr>
              <w:t>)</w:t>
            </w:r>
          </w:p>
        </w:tc>
      </w:tr>
      <w:tr w:rsidR="00C5654E" w:rsidRPr="0040656D" w14:paraId="56FFBD49" w14:textId="77777777">
        <w:trPr>
          <w:trHeight w:val="413"/>
        </w:trPr>
        <w:tc>
          <w:tcPr>
            <w:tcW w:w="6096"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vAlign w:val="center"/>
            <w:hideMark/>
          </w:tcPr>
          <w:p w14:paraId="2A304DCF" w14:textId="486D9FF6" w:rsidR="006A123D" w:rsidRPr="0040656D" w:rsidRDefault="006A123D" w:rsidP="00657117">
            <w:pPr>
              <w:spacing w:after="240"/>
              <w:jc w:val="both"/>
              <w:rPr>
                <w:rFonts w:cs="Arial"/>
                <w:b/>
                <w:sz w:val="20"/>
                <w:szCs w:val="20"/>
              </w:rPr>
            </w:pPr>
            <w:r w:rsidRPr="0040656D">
              <w:rPr>
                <w:rFonts w:cs="Arial"/>
                <w:b/>
                <w:sz w:val="20"/>
                <w:szCs w:val="20"/>
              </w:rPr>
              <w:t>Programme Value £ (full life</w:t>
            </w:r>
            <w:r w:rsidRPr="008F0B8C">
              <w:rPr>
                <w:rFonts w:cs="Arial"/>
                <w:b/>
                <w:sz w:val="20"/>
                <w:szCs w:val="20"/>
              </w:rPr>
              <w:t xml:space="preserve">): </w:t>
            </w:r>
            <w:r w:rsidRPr="004177B0">
              <w:rPr>
                <w:rFonts w:cs="Arial"/>
                <w:bCs/>
                <w:sz w:val="20"/>
                <w:szCs w:val="20"/>
              </w:rPr>
              <w:t>£</w:t>
            </w:r>
            <w:r w:rsidR="00331D92">
              <w:rPr>
                <w:rFonts w:cs="Arial"/>
                <w:bCs/>
                <w:sz w:val="20"/>
                <w:szCs w:val="20"/>
              </w:rPr>
              <w:t>139.2m</w:t>
            </w:r>
          </w:p>
        </w:tc>
        <w:tc>
          <w:tcPr>
            <w:tcW w:w="4394" w:type="dxa"/>
            <w:tcBorders>
              <w:top w:val="dotted" w:sz="2" w:space="0" w:color="000000" w:themeColor="text1"/>
              <w:left w:val="dotted" w:sz="2" w:space="0" w:color="000000" w:themeColor="text1"/>
              <w:bottom w:val="dotted" w:sz="2" w:space="0" w:color="000000" w:themeColor="text1"/>
              <w:right w:val="single" w:sz="4" w:space="0" w:color="000000" w:themeColor="text1"/>
            </w:tcBorders>
            <w:vAlign w:val="center"/>
            <w:hideMark/>
          </w:tcPr>
          <w:p w14:paraId="1A25D38C" w14:textId="0C9D15FC" w:rsidR="006A123D" w:rsidRPr="0040656D" w:rsidRDefault="006A123D" w:rsidP="00657117">
            <w:pPr>
              <w:spacing w:after="240"/>
              <w:jc w:val="both"/>
              <w:rPr>
                <w:rFonts w:cs="Arial"/>
                <w:b/>
                <w:sz w:val="20"/>
                <w:szCs w:val="20"/>
              </w:rPr>
            </w:pPr>
            <w:r w:rsidRPr="0040656D">
              <w:rPr>
                <w:rFonts w:cs="Arial"/>
                <w:b/>
                <w:sz w:val="20"/>
                <w:szCs w:val="20"/>
              </w:rPr>
              <w:t xml:space="preserve">Review date: </w:t>
            </w:r>
            <w:r w:rsidRPr="0040656D">
              <w:rPr>
                <w:rFonts w:cs="Arial"/>
                <w:bCs/>
                <w:sz w:val="20"/>
                <w:szCs w:val="20"/>
              </w:rPr>
              <w:t>March 202</w:t>
            </w:r>
            <w:r w:rsidR="00331D92">
              <w:rPr>
                <w:rFonts w:cs="Arial"/>
                <w:bCs/>
                <w:sz w:val="20"/>
                <w:szCs w:val="20"/>
              </w:rPr>
              <w:t>5</w:t>
            </w:r>
          </w:p>
          <w:p w14:paraId="38315111" w14:textId="06B23B09" w:rsidR="006A123D" w:rsidRPr="0040656D" w:rsidRDefault="006A123D" w:rsidP="00657117">
            <w:pPr>
              <w:spacing w:after="240"/>
              <w:rPr>
                <w:rFonts w:cs="Arial"/>
                <w:b/>
                <w:sz w:val="20"/>
                <w:szCs w:val="20"/>
              </w:rPr>
            </w:pPr>
            <w:r w:rsidRPr="0040656D">
              <w:rPr>
                <w:rFonts w:cs="Arial"/>
                <w:b/>
                <w:sz w:val="20"/>
                <w:szCs w:val="20"/>
              </w:rPr>
              <w:t xml:space="preserve">Review period: </w:t>
            </w:r>
            <w:bookmarkStart w:id="0" w:name="_Hlk205214804"/>
            <w:r w:rsidRPr="0040656D">
              <w:rPr>
                <w:rFonts w:cs="Arial"/>
                <w:bCs/>
                <w:sz w:val="20"/>
                <w:szCs w:val="20"/>
              </w:rPr>
              <w:t>July 202</w:t>
            </w:r>
            <w:r w:rsidR="00331D92">
              <w:rPr>
                <w:rFonts w:cs="Arial"/>
                <w:bCs/>
                <w:sz w:val="20"/>
                <w:szCs w:val="20"/>
              </w:rPr>
              <w:t>3</w:t>
            </w:r>
            <w:r w:rsidRPr="0040656D">
              <w:rPr>
                <w:rFonts w:cs="Arial"/>
                <w:bCs/>
                <w:sz w:val="20"/>
                <w:szCs w:val="20"/>
              </w:rPr>
              <w:t xml:space="preserve"> – June 202</w:t>
            </w:r>
            <w:r w:rsidR="00331D92">
              <w:rPr>
                <w:rFonts w:cs="Arial"/>
                <w:bCs/>
                <w:sz w:val="20"/>
                <w:szCs w:val="20"/>
              </w:rPr>
              <w:t>4</w:t>
            </w:r>
            <w:bookmarkEnd w:id="0"/>
          </w:p>
        </w:tc>
      </w:tr>
      <w:tr w:rsidR="008D0BFB" w:rsidRPr="0040656D" w14:paraId="340974D7" w14:textId="77777777">
        <w:trPr>
          <w:trHeight w:val="300"/>
        </w:trPr>
        <w:tc>
          <w:tcPr>
            <w:tcW w:w="3261" w:type="dxa"/>
            <w:tcBorders>
              <w:top w:val="dotted" w:sz="2" w:space="0" w:color="000000" w:themeColor="text1"/>
              <w:left w:val="single" w:sz="4" w:space="0" w:color="auto"/>
              <w:bottom w:val="single" w:sz="4" w:space="0" w:color="auto"/>
              <w:right w:val="dotted" w:sz="2" w:space="0" w:color="000000" w:themeColor="text1"/>
            </w:tcBorders>
            <w:vAlign w:val="center"/>
            <w:hideMark/>
          </w:tcPr>
          <w:p w14:paraId="2C0D77A2" w14:textId="77777777" w:rsidR="006A123D" w:rsidRPr="0040656D" w:rsidRDefault="006A123D" w:rsidP="00657117">
            <w:pPr>
              <w:spacing w:after="240"/>
              <w:jc w:val="both"/>
              <w:rPr>
                <w:rFonts w:cs="Arial"/>
                <w:b/>
                <w:sz w:val="20"/>
                <w:szCs w:val="20"/>
                <w:lang w:val="fr-FR"/>
              </w:rPr>
            </w:pPr>
            <w:r w:rsidRPr="0040656D">
              <w:rPr>
                <w:rFonts w:cs="Arial"/>
                <w:b/>
                <w:sz w:val="20"/>
                <w:szCs w:val="20"/>
                <w:lang w:val="fr-FR"/>
              </w:rPr>
              <w:t xml:space="preserve">Programme Code : </w:t>
            </w:r>
          </w:p>
          <w:p w14:paraId="1BB33ABA" w14:textId="77777777" w:rsidR="006A123D" w:rsidRPr="0040656D" w:rsidRDefault="006A123D" w:rsidP="00657117">
            <w:pPr>
              <w:spacing w:after="240"/>
              <w:jc w:val="both"/>
              <w:rPr>
                <w:rFonts w:cs="Arial"/>
                <w:b/>
                <w:sz w:val="20"/>
                <w:szCs w:val="20"/>
                <w:lang w:val="fr-FR"/>
              </w:rPr>
            </w:pPr>
            <w:r w:rsidRPr="0040656D">
              <w:rPr>
                <w:rStyle w:val="normaltextrun"/>
                <w:rFonts w:cs="Arial"/>
                <w:color w:val="000000"/>
                <w:sz w:val="20"/>
                <w:szCs w:val="20"/>
                <w:shd w:val="clear" w:color="auto" w:fill="FFFFFF"/>
                <w:lang w:val="fr-FR"/>
              </w:rPr>
              <w:t>GB-GOV-13-ICF-0032-MAGC</w:t>
            </w:r>
          </w:p>
        </w:tc>
        <w:tc>
          <w:tcPr>
            <w:tcW w:w="2835" w:type="dxa"/>
            <w:tcBorders>
              <w:top w:val="dotted" w:sz="2" w:space="0" w:color="000000" w:themeColor="text1"/>
              <w:left w:val="dotted" w:sz="2" w:space="0" w:color="000000" w:themeColor="text1"/>
              <w:bottom w:val="single" w:sz="4" w:space="0" w:color="000000" w:themeColor="text1"/>
              <w:right w:val="dotted" w:sz="2" w:space="0" w:color="000000" w:themeColor="text1"/>
            </w:tcBorders>
            <w:vAlign w:val="center"/>
            <w:hideMark/>
          </w:tcPr>
          <w:p w14:paraId="45E09FE0" w14:textId="77777777" w:rsidR="006A123D" w:rsidRPr="0040656D" w:rsidRDefault="006A123D" w:rsidP="00657117">
            <w:pPr>
              <w:spacing w:after="240"/>
              <w:rPr>
                <w:rFonts w:cs="Arial"/>
                <w:sz w:val="20"/>
                <w:szCs w:val="20"/>
              </w:rPr>
            </w:pPr>
            <w:r w:rsidRPr="0040656D">
              <w:rPr>
                <w:rFonts w:cs="Arial"/>
                <w:b/>
                <w:sz w:val="20"/>
                <w:szCs w:val="20"/>
              </w:rPr>
              <w:t>Programme start date:</w:t>
            </w:r>
            <w:r w:rsidRPr="0040656D">
              <w:rPr>
                <w:rFonts w:cs="Arial"/>
                <w:sz w:val="20"/>
                <w:szCs w:val="20"/>
              </w:rPr>
              <w:t xml:space="preserve"> November 2018</w:t>
            </w:r>
          </w:p>
        </w:tc>
        <w:tc>
          <w:tcPr>
            <w:tcW w:w="4394" w:type="dxa"/>
            <w:tcBorders>
              <w:top w:val="dotted" w:sz="2" w:space="0" w:color="000000" w:themeColor="text1"/>
              <w:left w:val="dotted" w:sz="2" w:space="0" w:color="000000" w:themeColor="text1"/>
              <w:bottom w:val="single" w:sz="4" w:space="0" w:color="auto"/>
              <w:right w:val="single" w:sz="4" w:space="0" w:color="auto"/>
            </w:tcBorders>
            <w:vAlign w:val="center"/>
            <w:hideMark/>
          </w:tcPr>
          <w:p w14:paraId="556237F4" w14:textId="6F69C249" w:rsidR="006A123D" w:rsidRPr="0040656D" w:rsidRDefault="006A123D" w:rsidP="00657117">
            <w:pPr>
              <w:spacing w:after="240"/>
              <w:rPr>
                <w:rFonts w:cs="Arial"/>
                <w:b/>
                <w:sz w:val="20"/>
                <w:szCs w:val="20"/>
              </w:rPr>
            </w:pPr>
            <w:r w:rsidRPr="0040656D">
              <w:rPr>
                <w:rFonts w:cs="Arial"/>
                <w:b/>
                <w:sz w:val="20"/>
                <w:szCs w:val="20"/>
              </w:rPr>
              <w:t>Programme end date:</w:t>
            </w:r>
            <w:r w:rsidRPr="0040656D">
              <w:rPr>
                <w:rFonts w:cs="Arial"/>
                <w:sz w:val="20"/>
                <w:szCs w:val="20"/>
              </w:rPr>
              <w:t xml:space="preserve"> DESNZ investment period ends December 2025</w:t>
            </w:r>
            <w:r w:rsidR="007A4B2B">
              <w:rPr>
                <w:rFonts w:cs="Arial"/>
                <w:sz w:val="20"/>
                <w:szCs w:val="20"/>
              </w:rPr>
              <w:t>, prog delivery ends November 2027</w:t>
            </w:r>
          </w:p>
        </w:tc>
      </w:tr>
    </w:tbl>
    <w:p w14:paraId="0D48D50A" w14:textId="3E12B530" w:rsidR="006A123D" w:rsidRPr="0040656D" w:rsidRDefault="006A123D" w:rsidP="6C1BCFF4">
      <w:pPr>
        <w:spacing w:after="240"/>
        <w:rPr>
          <w:rFonts w:cs="Arial"/>
          <w:sz w:val="20"/>
          <w:szCs w:val="20"/>
        </w:rPr>
      </w:pPr>
    </w:p>
    <w:p w14:paraId="27811BC3" w14:textId="2AC7BEC1" w:rsidR="006A123D" w:rsidRPr="0040656D" w:rsidRDefault="006A123D" w:rsidP="6C1BCFF4">
      <w:pPr>
        <w:spacing w:after="240"/>
        <w:rPr>
          <w:rFonts w:cs="Arial"/>
          <w:b/>
          <w:bCs/>
          <w:sz w:val="20"/>
          <w:szCs w:val="20"/>
        </w:rPr>
      </w:pPr>
      <w:r w:rsidRPr="6C1BCFF4">
        <w:rPr>
          <w:rFonts w:cs="Arial"/>
          <w:b/>
          <w:bCs/>
          <w:sz w:val="20"/>
          <w:szCs w:val="20"/>
        </w:rPr>
        <w:t xml:space="preserve">Summary of Programme Performance </w:t>
      </w:r>
    </w:p>
    <w:tbl>
      <w:tblPr>
        <w:tblW w:w="91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3"/>
        <w:gridCol w:w="1228"/>
        <w:gridCol w:w="1091"/>
        <w:gridCol w:w="1227"/>
        <w:gridCol w:w="1228"/>
        <w:gridCol w:w="1228"/>
        <w:gridCol w:w="1228"/>
      </w:tblGrid>
      <w:tr w:rsidR="00C2055B" w:rsidRPr="0040656D" w14:paraId="0FFA4D2C" w14:textId="4FB43549" w:rsidTr="00720EA2">
        <w:trPr>
          <w:trHeight w:val="243"/>
        </w:trPr>
        <w:tc>
          <w:tcPr>
            <w:tcW w:w="1903"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1F12CFB3" w14:textId="77777777" w:rsidR="007A4B2B" w:rsidRPr="0040656D" w:rsidRDefault="007A4B2B" w:rsidP="00720EA2">
            <w:pPr>
              <w:spacing w:before="120" w:after="120"/>
              <w:textAlignment w:val="baseline"/>
              <w:rPr>
                <w:rFonts w:cs="Arial"/>
                <w:sz w:val="18"/>
                <w:szCs w:val="18"/>
                <w:lang w:eastAsia="en-GB"/>
              </w:rPr>
            </w:pPr>
            <w:r w:rsidRPr="0040656D">
              <w:rPr>
                <w:rFonts w:cs="Arial"/>
                <w:sz w:val="20"/>
                <w:szCs w:val="20"/>
                <w:lang w:eastAsia="en-GB"/>
              </w:rPr>
              <w:t>Year </w:t>
            </w:r>
          </w:p>
        </w:tc>
        <w:tc>
          <w:tcPr>
            <w:tcW w:w="1228"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FB6C0EC"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18 - 19</w:t>
            </w:r>
          </w:p>
        </w:tc>
        <w:tc>
          <w:tcPr>
            <w:tcW w:w="1091"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1113EEBC"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19 - 20</w:t>
            </w:r>
          </w:p>
        </w:tc>
        <w:tc>
          <w:tcPr>
            <w:tcW w:w="1227"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4BA6356"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20 - 21</w:t>
            </w:r>
          </w:p>
        </w:tc>
        <w:tc>
          <w:tcPr>
            <w:tcW w:w="1228"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tcPr>
          <w:p w14:paraId="3D81A732"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21 - 22</w:t>
            </w:r>
          </w:p>
        </w:tc>
        <w:tc>
          <w:tcPr>
            <w:tcW w:w="1228"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tcPr>
          <w:p w14:paraId="31F7F18C" w14:textId="4ED6616A" w:rsidR="007A4B2B" w:rsidRPr="0040656D" w:rsidRDefault="007A4B2B" w:rsidP="00720EA2">
            <w:pPr>
              <w:spacing w:before="120" w:after="120"/>
              <w:jc w:val="center"/>
              <w:textAlignment w:val="baseline"/>
              <w:rPr>
                <w:rFonts w:cs="Arial"/>
                <w:b/>
                <w:bCs/>
                <w:sz w:val="20"/>
                <w:szCs w:val="20"/>
                <w:lang w:eastAsia="en-GB"/>
              </w:rPr>
            </w:pPr>
            <w:r w:rsidRPr="0040656D">
              <w:rPr>
                <w:rFonts w:cs="Arial"/>
                <w:b/>
                <w:bCs/>
                <w:sz w:val="20"/>
                <w:szCs w:val="20"/>
                <w:lang w:eastAsia="en-GB"/>
              </w:rPr>
              <w:t>22</w:t>
            </w:r>
            <w:r w:rsidR="00720EA2">
              <w:rPr>
                <w:rFonts w:cs="Arial"/>
                <w:b/>
                <w:bCs/>
                <w:sz w:val="20"/>
                <w:szCs w:val="20"/>
                <w:lang w:eastAsia="en-GB"/>
              </w:rPr>
              <w:t xml:space="preserve"> </w:t>
            </w:r>
            <w:r w:rsidRPr="0040656D">
              <w:rPr>
                <w:rFonts w:cs="Arial"/>
                <w:b/>
                <w:bCs/>
                <w:sz w:val="20"/>
                <w:szCs w:val="20"/>
                <w:lang w:eastAsia="en-GB"/>
              </w:rPr>
              <w:t>-</w:t>
            </w:r>
            <w:r w:rsidR="00720EA2">
              <w:rPr>
                <w:rFonts w:cs="Arial"/>
                <w:b/>
                <w:bCs/>
                <w:sz w:val="20"/>
                <w:szCs w:val="20"/>
                <w:lang w:eastAsia="en-GB"/>
              </w:rPr>
              <w:t xml:space="preserve"> </w:t>
            </w:r>
            <w:r w:rsidRPr="0040656D">
              <w:rPr>
                <w:rFonts w:cs="Arial"/>
                <w:b/>
                <w:bCs/>
                <w:sz w:val="20"/>
                <w:szCs w:val="20"/>
                <w:lang w:eastAsia="en-GB"/>
              </w:rPr>
              <w:t>23</w:t>
            </w:r>
          </w:p>
        </w:tc>
        <w:tc>
          <w:tcPr>
            <w:tcW w:w="1228"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tcPr>
          <w:p w14:paraId="4F6D04C4" w14:textId="42EBC24E" w:rsidR="007A4B2B" w:rsidRPr="0040656D" w:rsidRDefault="007A4B2B" w:rsidP="00720EA2">
            <w:pPr>
              <w:spacing w:before="120" w:after="120"/>
              <w:jc w:val="center"/>
              <w:textAlignment w:val="baseline"/>
              <w:rPr>
                <w:rFonts w:cs="Arial"/>
                <w:b/>
                <w:bCs/>
                <w:sz w:val="20"/>
                <w:szCs w:val="20"/>
                <w:lang w:eastAsia="en-GB"/>
              </w:rPr>
            </w:pPr>
            <w:r>
              <w:rPr>
                <w:rFonts w:cs="Arial"/>
                <w:b/>
                <w:bCs/>
                <w:sz w:val="20"/>
                <w:szCs w:val="20"/>
                <w:lang w:eastAsia="en-GB"/>
              </w:rPr>
              <w:t>23</w:t>
            </w:r>
            <w:r w:rsidR="00720EA2">
              <w:rPr>
                <w:rFonts w:cs="Arial"/>
                <w:b/>
                <w:bCs/>
                <w:sz w:val="20"/>
                <w:szCs w:val="20"/>
                <w:lang w:eastAsia="en-GB"/>
              </w:rPr>
              <w:t xml:space="preserve"> </w:t>
            </w:r>
            <w:r>
              <w:rPr>
                <w:rFonts w:cs="Arial"/>
                <w:b/>
                <w:bCs/>
                <w:sz w:val="20"/>
                <w:szCs w:val="20"/>
                <w:lang w:eastAsia="en-GB"/>
              </w:rPr>
              <w:t>-</w:t>
            </w:r>
            <w:r w:rsidR="00720EA2">
              <w:rPr>
                <w:rFonts w:cs="Arial"/>
                <w:b/>
                <w:bCs/>
                <w:sz w:val="20"/>
                <w:szCs w:val="20"/>
                <w:lang w:eastAsia="en-GB"/>
              </w:rPr>
              <w:t xml:space="preserve"> </w:t>
            </w:r>
            <w:r>
              <w:rPr>
                <w:rFonts w:cs="Arial"/>
                <w:b/>
                <w:bCs/>
                <w:sz w:val="20"/>
                <w:szCs w:val="20"/>
                <w:lang w:eastAsia="en-GB"/>
              </w:rPr>
              <w:t>24</w:t>
            </w:r>
          </w:p>
        </w:tc>
      </w:tr>
      <w:tr w:rsidR="00C2055B" w:rsidRPr="0040656D" w14:paraId="1B595929" w14:textId="059EC195" w:rsidTr="00720EA2">
        <w:trPr>
          <w:trHeight w:val="473"/>
        </w:trPr>
        <w:tc>
          <w:tcPr>
            <w:tcW w:w="1903"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106F4523" w14:textId="77777777" w:rsidR="007A4B2B" w:rsidRPr="0040656D" w:rsidRDefault="007A4B2B" w:rsidP="00720EA2">
            <w:pPr>
              <w:spacing w:before="120" w:after="120"/>
              <w:textAlignment w:val="baseline"/>
              <w:rPr>
                <w:rFonts w:cs="Arial"/>
                <w:sz w:val="18"/>
                <w:szCs w:val="18"/>
                <w:lang w:eastAsia="en-GB"/>
              </w:rPr>
            </w:pPr>
            <w:r w:rsidRPr="0040656D">
              <w:rPr>
                <w:rFonts w:cs="Arial"/>
                <w:sz w:val="20"/>
                <w:szCs w:val="20"/>
                <w:lang w:eastAsia="en-GB"/>
              </w:rPr>
              <w:t>Overall Output Score </w:t>
            </w:r>
          </w:p>
        </w:tc>
        <w:tc>
          <w:tcPr>
            <w:tcW w:w="1228" w:type="dxa"/>
            <w:tcBorders>
              <w:top w:val="single" w:sz="6" w:space="0" w:color="auto"/>
              <w:left w:val="single" w:sz="6" w:space="0" w:color="auto"/>
              <w:bottom w:val="single" w:sz="6" w:space="0" w:color="auto"/>
              <w:right w:val="single" w:sz="6" w:space="0" w:color="auto"/>
            </w:tcBorders>
            <w:shd w:val="clear" w:color="auto" w:fill="F6C5AC" w:themeFill="accent2" w:themeFillTint="66"/>
            <w:vAlign w:val="center"/>
            <w:hideMark/>
          </w:tcPr>
          <w:p w14:paraId="17BC1361"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B</w:t>
            </w:r>
          </w:p>
        </w:tc>
        <w:tc>
          <w:tcPr>
            <w:tcW w:w="1091"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2540248A"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A</w:t>
            </w:r>
          </w:p>
        </w:tc>
        <w:tc>
          <w:tcPr>
            <w:tcW w:w="1227"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hideMark/>
          </w:tcPr>
          <w:p w14:paraId="28C693BB"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A</w:t>
            </w:r>
          </w:p>
        </w:tc>
        <w:tc>
          <w:tcPr>
            <w:tcW w:w="1228"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651E3F5A"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A</w:t>
            </w:r>
          </w:p>
        </w:tc>
        <w:tc>
          <w:tcPr>
            <w:tcW w:w="1228" w:type="dxa"/>
            <w:tcBorders>
              <w:top w:val="single" w:sz="6" w:space="0" w:color="auto"/>
              <w:left w:val="single" w:sz="6" w:space="0" w:color="auto"/>
              <w:bottom w:val="single" w:sz="6" w:space="0" w:color="auto"/>
              <w:right w:val="single" w:sz="6" w:space="0" w:color="auto"/>
            </w:tcBorders>
            <w:shd w:val="clear" w:color="auto" w:fill="B3E5A1" w:themeFill="accent6" w:themeFillTint="66"/>
            <w:vAlign w:val="center"/>
          </w:tcPr>
          <w:p w14:paraId="54715867" w14:textId="3C810905" w:rsidR="007A4B2B" w:rsidRPr="0040656D" w:rsidRDefault="007A4B2B" w:rsidP="00720EA2">
            <w:pPr>
              <w:spacing w:before="120" w:after="120"/>
              <w:jc w:val="center"/>
              <w:textAlignment w:val="baseline"/>
              <w:rPr>
                <w:rFonts w:cs="Arial"/>
                <w:b/>
                <w:bCs/>
                <w:sz w:val="20"/>
                <w:szCs w:val="20"/>
                <w:lang w:eastAsia="en-GB"/>
              </w:rPr>
            </w:pPr>
            <w:r w:rsidRPr="0040656D">
              <w:rPr>
                <w:rFonts w:cs="Arial"/>
                <w:b/>
                <w:bCs/>
                <w:sz w:val="20"/>
                <w:szCs w:val="20"/>
                <w:lang w:eastAsia="en-GB"/>
              </w:rPr>
              <w:t>A</w:t>
            </w:r>
          </w:p>
        </w:tc>
        <w:tc>
          <w:tcPr>
            <w:tcW w:w="1228" w:type="dxa"/>
            <w:tcBorders>
              <w:top w:val="single" w:sz="6" w:space="0" w:color="auto"/>
              <w:left w:val="single" w:sz="6" w:space="0" w:color="auto"/>
              <w:bottom w:val="single" w:sz="6" w:space="0" w:color="auto"/>
              <w:right w:val="single" w:sz="6" w:space="0" w:color="auto"/>
            </w:tcBorders>
            <w:shd w:val="clear" w:color="auto" w:fill="00B050"/>
            <w:vAlign w:val="center"/>
          </w:tcPr>
          <w:p w14:paraId="36752AC0" w14:textId="5DC83B95" w:rsidR="007A4B2B" w:rsidRPr="0040656D" w:rsidRDefault="00ED5D18" w:rsidP="00720EA2">
            <w:pPr>
              <w:spacing w:before="120" w:after="120"/>
              <w:jc w:val="center"/>
              <w:textAlignment w:val="baseline"/>
              <w:rPr>
                <w:rFonts w:cs="Arial"/>
                <w:b/>
                <w:bCs/>
                <w:sz w:val="20"/>
                <w:szCs w:val="20"/>
                <w:lang w:eastAsia="en-GB"/>
              </w:rPr>
            </w:pPr>
            <w:r>
              <w:rPr>
                <w:rFonts w:cs="Arial"/>
                <w:b/>
                <w:bCs/>
                <w:sz w:val="20"/>
                <w:szCs w:val="20"/>
                <w:lang w:eastAsia="en-GB"/>
              </w:rPr>
              <w:t>A</w:t>
            </w:r>
            <w:r>
              <w:rPr>
                <w:b/>
                <w:bCs/>
                <w:lang w:eastAsia="en-GB"/>
              </w:rPr>
              <w:t>+</w:t>
            </w:r>
          </w:p>
        </w:tc>
      </w:tr>
      <w:tr w:rsidR="00C2055B" w:rsidRPr="0040656D" w14:paraId="5EEE604A" w14:textId="6942BB41" w:rsidTr="00720EA2">
        <w:trPr>
          <w:trHeight w:val="315"/>
        </w:trPr>
        <w:tc>
          <w:tcPr>
            <w:tcW w:w="1903"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DBE4965" w14:textId="77777777" w:rsidR="007A4B2B" w:rsidRPr="0040656D" w:rsidRDefault="007A4B2B" w:rsidP="00720EA2">
            <w:pPr>
              <w:spacing w:before="120" w:after="120"/>
              <w:textAlignment w:val="baseline"/>
              <w:rPr>
                <w:rFonts w:cs="Arial"/>
                <w:sz w:val="18"/>
                <w:szCs w:val="18"/>
                <w:lang w:eastAsia="en-GB"/>
              </w:rPr>
            </w:pPr>
            <w:r w:rsidRPr="0040656D">
              <w:rPr>
                <w:rFonts w:cs="Arial"/>
                <w:sz w:val="20"/>
                <w:szCs w:val="20"/>
                <w:lang w:eastAsia="en-GB"/>
              </w:rPr>
              <w:t>Risk Rating  </w:t>
            </w:r>
          </w:p>
        </w:tc>
        <w:tc>
          <w:tcPr>
            <w:tcW w:w="1228" w:type="dxa"/>
            <w:tcBorders>
              <w:top w:val="single" w:sz="6" w:space="0" w:color="auto"/>
              <w:left w:val="single" w:sz="6" w:space="0" w:color="auto"/>
              <w:bottom w:val="single" w:sz="6" w:space="0" w:color="auto"/>
              <w:right w:val="single" w:sz="6" w:space="0" w:color="auto"/>
            </w:tcBorders>
            <w:shd w:val="clear" w:color="auto" w:fill="FFEF8D"/>
            <w:vAlign w:val="center"/>
            <w:hideMark/>
          </w:tcPr>
          <w:p w14:paraId="181276D2"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Moderate</w:t>
            </w:r>
          </w:p>
        </w:tc>
        <w:tc>
          <w:tcPr>
            <w:tcW w:w="1091" w:type="dxa"/>
            <w:tcBorders>
              <w:top w:val="single" w:sz="6" w:space="0" w:color="auto"/>
              <w:left w:val="single" w:sz="6" w:space="0" w:color="auto"/>
              <w:bottom w:val="single" w:sz="6" w:space="0" w:color="auto"/>
              <w:right w:val="single" w:sz="6" w:space="0" w:color="auto"/>
            </w:tcBorders>
            <w:shd w:val="clear" w:color="auto" w:fill="F6C5AC" w:themeFill="accent2" w:themeFillTint="66"/>
            <w:vAlign w:val="center"/>
            <w:hideMark/>
          </w:tcPr>
          <w:p w14:paraId="17650293"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Major</w:t>
            </w:r>
          </w:p>
        </w:tc>
        <w:tc>
          <w:tcPr>
            <w:tcW w:w="1227" w:type="dxa"/>
            <w:tcBorders>
              <w:top w:val="single" w:sz="6" w:space="0" w:color="auto"/>
              <w:left w:val="single" w:sz="6" w:space="0" w:color="auto"/>
              <w:bottom w:val="single" w:sz="6" w:space="0" w:color="auto"/>
              <w:right w:val="single" w:sz="6" w:space="0" w:color="auto"/>
            </w:tcBorders>
            <w:shd w:val="clear" w:color="auto" w:fill="FFEF8D"/>
            <w:vAlign w:val="center"/>
            <w:hideMark/>
          </w:tcPr>
          <w:p w14:paraId="1920824B"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Moderate</w:t>
            </w:r>
          </w:p>
        </w:tc>
        <w:tc>
          <w:tcPr>
            <w:tcW w:w="1228" w:type="dxa"/>
            <w:tcBorders>
              <w:top w:val="single" w:sz="6" w:space="0" w:color="auto"/>
              <w:left w:val="single" w:sz="6" w:space="0" w:color="auto"/>
              <w:bottom w:val="single" w:sz="6" w:space="0" w:color="auto"/>
              <w:right w:val="single" w:sz="6" w:space="0" w:color="auto"/>
            </w:tcBorders>
            <w:shd w:val="clear" w:color="auto" w:fill="FFEF8D"/>
            <w:vAlign w:val="center"/>
          </w:tcPr>
          <w:p w14:paraId="0F333644" w14:textId="77777777" w:rsidR="007A4B2B" w:rsidRPr="0040656D" w:rsidRDefault="007A4B2B" w:rsidP="00720EA2">
            <w:pPr>
              <w:spacing w:before="120" w:after="120"/>
              <w:jc w:val="center"/>
              <w:textAlignment w:val="baseline"/>
              <w:rPr>
                <w:rFonts w:cs="Arial"/>
                <w:sz w:val="18"/>
                <w:szCs w:val="18"/>
                <w:lang w:eastAsia="en-GB"/>
              </w:rPr>
            </w:pPr>
            <w:r w:rsidRPr="0040656D">
              <w:rPr>
                <w:rFonts w:cs="Arial"/>
                <w:b/>
                <w:bCs/>
                <w:sz w:val="20"/>
                <w:szCs w:val="20"/>
                <w:lang w:eastAsia="en-GB"/>
              </w:rPr>
              <w:t>Moderate</w:t>
            </w:r>
          </w:p>
        </w:tc>
        <w:tc>
          <w:tcPr>
            <w:tcW w:w="1228" w:type="dxa"/>
            <w:tcBorders>
              <w:top w:val="single" w:sz="6" w:space="0" w:color="auto"/>
              <w:left w:val="single" w:sz="6" w:space="0" w:color="auto"/>
              <w:bottom w:val="single" w:sz="6" w:space="0" w:color="auto"/>
              <w:right w:val="single" w:sz="6" w:space="0" w:color="auto"/>
            </w:tcBorders>
            <w:shd w:val="clear" w:color="auto" w:fill="FFEF8D"/>
            <w:vAlign w:val="center"/>
          </w:tcPr>
          <w:p w14:paraId="3AB578F7" w14:textId="3D43D2E4" w:rsidR="007A4B2B" w:rsidRPr="0040656D" w:rsidRDefault="007A4B2B" w:rsidP="00720EA2">
            <w:pPr>
              <w:spacing w:before="120" w:after="120"/>
              <w:jc w:val="center"/>
              <w:textAlignment w:val="baseline"/>
              <w:rPr>
                <w:rFonts w:cs="Arial"/>
                <w:b/>
                <w:bCs/>
                <w:sz w:val="20"/>
                <w:szCs w:val="20"/>
                <w:lang w:eastAsia="en-GB"/>
              </w:rPr>
            </w:pPr>
            <w:r w:rsidRPr="0040656D">
              <w:rPr>
                <w:rFonts w:cs="Arial"/>
                <w:b/>
                <w:bCs/>
                <w:sz w:val="20"/>
                <w:szCs w:val="20"/>
                <w:lang w:eastAsia="en-GB"/>
              </w:rPr>
              <w:t>Moderate</w:t>
            </w:r>
          </w:p>
        </w:tc>
        <w:tc>
          <w:tcPr>
            <w:tcW w:w="1228" w:type="dxa"/>
            <w:tcBorders>
              <w:top w:val="single" w:sz="6" w:space="0" w:color="auto"/>
              <w:left w:val="single" w:sz="6" w:space="0" w:color="auto"/>
              <w:bottom w:val="single" w:sz="6" w:space="0" w:color="auto"/>
              <w:right w:val="single" w:sz="6" w:space="0" w:color="auto"/>
            </w:tcBorders>
            <w:shd w:val="clear" w:color="auto" w:fill="FFEF8D"/>
            <w:vAlign w:val="center"/>
          </w:tcPr>
          <w:p w14:paraId="40168A80" w14:textId="1A3F2F77" w:rsidR="007A4B2B" w:rsidRPr="0040656D" w:rsidRDefault="00701F68" w:rsidP="00720EA2">
            <w:pPr>
              <w:spacing w:before="120" w:after="120"/>
              <w:jc w:val="center"/>
              <w:textAlignment w:val="baseline"/>
              <w:rPr>
                <w:rFonts w:cs="Arial"/>
                <w:b/>
                <w:bCs/>
                <w:sz w:val="20"/>
                <w:szCs w:val="20"/>
                <w:lang w:eastAsia="en-GB"/>
              </w:rPr>
            </w:pPr>
            <w:r>
              <w:rPr>
                <w:rFonts w:cs="Arial"/>
                <w:b/>
                <w:bCs/>
                <w:sz w:val="20"/>
                <w:szCs w:val="20"/>
                <w:lang w:eastAsia="en-GB"/>
              </w:rPr>
              <w:t>Moderate</w:t>
            </w:r>
          </w:p>
        </w:tc>
      </w:tr>
    </w:tbl>
    <w:p w14:paraId="27AC2D8F" w14:textId="7904AEC1" w:rsidR="006A123D" w:rsidRPr="0040656D" w:rsidRDefault="006A123D" w:rsidP="6C1BCFF4">
      <w:pPr>
        <w:spacing w:after="240"/>
        <w:rPr>
          <w:rFonts w:cs="Arial"/>
          <w:b/>
          <w:bCs/>
          <w:sz w:val="20"/>
          <w:szCs w:val="20"/>
        </w:rPr>
      </w:pPr>
    </w:p>
    <w:tbl>
      <w:tblPr>
        <w:tblStyle w:val="TableGrid"/>
        <w:tblW w:w="9214"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35"/>
        <w:gridCol w:w="6479"/>
      </w:tblGrid>
      <w:tr w:rsidR="000F34DE" w:rsidRPr="0040656D" w14:paraId="768635A1" w14:textId="77777777" w:rsidTr="3399AA08">
        <w:trPr>
          <w:trHeight w:val="355"/>
        </w:trPr>
        <w:tc>
          <w:tcPr>
            <w:tcW w:w="2735" w:type="dxa"/>
            <w:shd w:val="clear" w:color="auto" w:fill="A5C9EB" w:themeFill="text2" w:themeFillTint="40"/>
            <w:hideMark/>
          </w:tcPr>
          <w:p w14:paraId="135C9DF2" w14:textId="77777777" w:rsidR="006A123D" w:rsidRPr="0040656D" w:rsidRDefault="006A123D" w:rsidP="00720EA2">
            <w:pPr>
              <w:rPr>
                <w:rFonts w:cs="Arial"/>
                <w:sz w:val="20"/>
                <w:szCs w:val="20"/>
              </w:rPr>
            </w:pPr>
            <w:r w:rsidRPr="0040656D">
              <w:rPr>
                <w:rFonts w:cs="Arial"/>
                <w:bCs/>
                <w:sz w:val="20"/>
                <w:szCs w:val="20"/>
              </w:rPr>
              <w:t xml:space="preserve">Link to Business Case: </w:t>
            </w:r>
          </w:p>
        </w:tc>
        <w:tc>
          <w:tcPr>
            <w:tcW w:w="6479" w:type="dxa"/>
          </w:tcPr>
          <w:p w14:paraId="6323FBF8" w14:textId="77777777" w:rsidR="006A123D" w:rsidRPr="0040656D" w:rsidRDefault="006A123D" w:rsidP="00720EA2">
            <w:pPr>
              <w:rPr>
                <w:rFonts w:cs="Arial"/>
                <w:bCs/>
                <w:i/>
                <w:iCs/>
                <w:sz w:val="20"/>
                <w:szCs w:val="20"/>
              </w:rPr>
            </w:pPr>
            <w:hyperlink r:id="rId16" w:history="1">
              <w:r w:rsidRPr="0040656D">
                <w:rPr>
                  <w:rStyle w:val="Hyperlink"/>
                  <w:rFonts w:eastAsiaTheme="majorEastAsia" w:cs="Arial"/>
                  <w:bCs/>
                  <w:i/>
                  <w:iCs/>
                  <w:sz w:val="20"/>
                  <w:szCs w:val="20"/>
                </w:rPr>
                <w:t>https://science-and-innovation-network.s3.eu-west-2.amazonaws.com/BEIS+ICF/MAGC/MAGC+Business+Case.docx</w:t>
              </w:r>
            </w:hyperlink>
          </w:p>
        </w:tc>
      </w:tr>
      <w:tr w:rsidR="00BA618B" w:rsidRPr="0040656D" w14:paraId="2454F950" w14:textId="77777777" w:rsidTr="3399AA08">
        <w:trPr>
          <w:cantSplit/>
          <w:trHeight w:val="196"/>
        </w:trPr>
        <w:tc>
          <w:tcPr>
            <w:tcW w:w="2735" w:type="dxa"/>
            <w:shd w:val="clear" w:color="auto" w:fill="A5C9EB" w:themeFill="text2" w:themeFillTint="40"/>
            <w:hideMark/>
          </w:tcPr>
          <w:p w14:paraId="15C447D8" w14:textId="77777777" w:rsidR="006A123D" w:rsidRPr="0040656D" w:rsidRDefault="006A123D" w:rsidP="00720EA2">
            <w:pPr>
              <w:rPr>
                <w:rFonts w:cs="Arial"/>
                <w:bCs/>
                <w:i/>
                <w:sz w:val="20"/>
                <w:szCs w:val="20"/>
              </w:rPr>
            </w:pPr>
            <w:r w:rsidRPr="0040656D">
              <w:rPr>
                <w:rFonts w:cs="Arial"/>
                <w:bCs/>
                <w:sz w:val="20"/>
                <w:szCs w:val="20"/>
              </w:rPr>
              <w:t>Link to results framework:</w:t>
            </w:r>
          </w:p>
        </w:tc>
        <w:tc>
          <w:tcPr>
            <w:tcW w:w="6479" w:type="dxa"/>
          </w:tcPr>
          <w:p w14:paraId="2604E1BE" w14:textId="0C7F530D" w:rsidR="00720EA2" w:rsidRPr="00720EA2" w:rsidRDefault="006A123D" w:rsidP="00720EA2">
            <w:pPr>
              <w:rPr>
                <w:rFonts w:cs="Arial"/>
                <w:bCs/>
                <w:i/>
                <w:iCs/>
                <w:sz w:val="20"/>
                <w:szCs w:val="20"/>
              </w:rPr>
            </w:pPr>
            <w:r w:rsidRPr="0040656D">
              <w:rPr>
                <w:rFonts w:cs="Arial"/>
                <w:bCs/>
                <w:i/>
                <w:iCs/>
                <w:sz w:val="20"/>
                <w:szCs w:val="20"/>
              </w:rPr>
              <w:t>Devtracker Link – If not published, ensure it is published before or alongside the Annual Review</w:t>
            </w:r>
          </w:p>
        </w:tc>
      </w:tr>
      <w:tr w:rsidR="000F34DE" w:rsidRPr="0040656D" w14:paraId="40CB4170" w14:textId="77777777" w:rsidTr="3399AA08">
        <w:trPr>
          <w:trHeight w:val="403"/>
        </w:trPr>
        <w:tc>
          <w:tcPr>
            <w:tcW w:w="2735" w:type="dxa"/>
            <w:shd w:val="clear" w:color="auto" w:fill="A5C9EB" w:themeFill="text2" w:themeFillTint="40"/>
          </w:tcPr>
          <w:p w14:paraId="6AED29E2" w14:textId="77777777" w:rsidR="006A123D" w:rsidRPr="0040656D" w:rsidRDefault="006A123D" w:rsidP="00720EA2">
            <w:pPr>
              <w:rPr>
                <w:rFonts w:cs="Arial"/>
                <w:bCs/>
                <w:sz w:val="20"/>
                <w:szCs w:val="20"/>
              </w:rPr>
            </w:pPr>
            <w:r w:rsidRPr="0040656D">
              <w:rPr>
                <w:rFonts w:cs="Arial"/>
                <w:bCs/>
                <w:sz w:val="20"/>
                <w:szCs w:val="20"/>
              </w:rPr>
              <w:t xml:space="preserve">Link to previous Annual Review </w:t>
            </w:r>
          </w:p>
        </w:tc>
        <w:tc>
          <w:tcPr>
            <w:tcW w:w="6479" w:type="dxa"/>
          </w:tcPr>
          <w:p w14:paraId="276CA94E" w14:textId="77777777" w:rsidR="006A123D" w:rsidRPr="0040656D" w:rsidRDefault="006A123D" w:rsidP="00720EA2">
            <w:pPr>
              <w:rPr>
                <w:rFonts w:cs="Arial"/>
                <w:bCs/>
                <w:i/>
                <w:iCs/>
                <w:sz w:val="20"/>
                <w:szCs w:val="20"/>
              </w:rPr>
            </w:pPr>
            <w:r w:rsidRPr="0040656D">
              <w:rPr>
                <w:rFonts w:cs="Arial"/>
                <w:bCs/>
                <w:i/>
                <w:iCs/>
                <w:sz w:val="20"/>
                <w:szCs w:val="20"/>
              </w:rPr>
              <w:t xml:space="preserve">Annual Review 2018 – 2019 </w:t>
            </w:r>
          </w:p>
          <w:p w14:paraId="0EA7E5E3" w14:textId="77777777" w:rsidR="006A123D" w:rsidRPr="0040656D" w:rsidRDefault="006A123D" w:rsidP="00720EA2">
            <w:pPr>
              <w:rPr>
                <w:rFonts w:cs="Arial"/>
                <w:bCs/>
                <w:i/>
                <w:iCs/>
                <w:sz w:val="20"/>
                <w:szCs w:val="20"/>
              </w:rPr>
            </w:pPr>
            <w:hyperlink r:id="rId17" w:history="1">
              <w:r w:rsidRPr="0040656D">
                <w:rPr>
                  <w:rStyle w:val="Hyperlink"/>
                  <w:rFonts w:eastAsiaTheme="majorEastAsia" w:cs="Arial"/>
                  <w:bCs/>
                  <w:i/>
                  <w:iCs/>
                  <w:sz w:val="20"/>
                  <w:szCs w:val="20"/>
                </w:rPr>
                <w:t>https://science-and-innovation-network.s3.eu-west-2.amazonaws.com/BEIS+ICF/MAGC/MAGC+Annual+Review+2018-19.docx</w:t>
              </w:r>
            </w:hyperlink>
          </w:p>
          <w:p w14:paraId="5A2AF30E" w14:textId="77777777" w:rsidR="006A123D" w:rsidRPr="0040656D" w:rsidRDefault="006A123D" w:rsidP="00720EA2">
            <w:pPr>
              <w:rPr>
                <w:rFonts w:cs="Arial"/>
                <w:bCs/>
                <w:i/>
                <w:iCs/>
                <w:sz w:val="20"/>
                <w:szCs w:val="20"/>
              </w:rPr>
            </w:pPr>
          </w:p>
          <w:p w14:paraId="3CBB45C4" w14:textId="77777777" w:rsidR="006A123D" w:rsidRPr="0040656D" w:rsidRDefault="006A123D" w:rsidP="00720EA2">
            <w:pPr>
              <w:rPr>
                <w:rFonts w:cs="Arial"/>
                <w:bCs/>
                <w:i/>
                <w:iCs/>
                <w:sz w:val="20"/>
                <w:szCs w:val="20"/>
              </w:rPr>
            </w:pPr>
            <w:r w:rsidRPr="0040656D">
              <w:rPr>
                <w:rFonts w:cs="Arial"/>
                <w:bCs/>
                <w:i/>
                <w:iCs/>
                <w:sz w:val="20"/>
                <w:szCs w:val="20"/>
              </w:rPr>
              <w:t>Annual Review 2019 – 2020</w:t>
            </w:r>
          </w:p>
          <w:p w14:paraId="77703655" w14:textId="77777777" w:rsidR="006A123D" w:rsidRPr="0040656D" w:rsidRDefault="006A123D" w:rsidP="00720EA2">
            <w:pPr>
              <w:rPr>
                <w:rStyle w:val="Hyperlink"/>
                <w:rFonts w:eastAsiaTheme="majorEastAsia" w:cs="Arial"/>
                <w:bCs/>
                <w:i/>
                <w:iCs/>
                <w:sz w:val="20"/>
                <w:szCs w:val="20"/>
              </w:rPr>
            </w:pPr>
            <w:hyperlink r:id="rId18" w:history="1">
              <w:r w:rsidRPr="0040656D">
                <w:rPr>
                  <w:rStyle w:val="Hyperlink"/>
                  <w:rFonts w:eastAsiaTheme="majorEastAsia" w:cs="Arial"/>
                  <w:bCs/>
                  <w:i/>
                  <w:iCs/>
                  <w:sz w:val="20"/>
                  <w:szCs w:val="20"/>
                </w:rPr>
                <w:t>https://science-and-innovation-network.s3.eu-west-2.amazonaws.com/BEIS+ICF/MAGC/MAGC+Annual+Review+2019-20.docx</w:t>
              </w:r>
            </w:hyperlink>
          </w:p>
          <w:p w14:paraId="26E15BAF" w14:textId="77777777" w:rsidR="006A123D" w:rsidRPr="0040656D" w:rsidRDefault="006A123D" w:rsidP="00720EA2">
            <w:pPr>
              <w:rPr>
                <w:rFonts w:cs="Arial"/>
                <w:bCs/>
                <w:i/>
                <w:iCs/>
                <w:sz w:val="20"/>
                <w:szCs w:val="20"/>
              </w:rPr>
            </w:pPr>
          </w:p>
          <w:p w14:paraId="2E870558" w14:textId="77777777" w:rsidR="006A123D" w:rsidRPr="0040656D" w:rsidRDefault="006A123D" w:rsidP="00720EA2">
            <w:pPr>
              <w:rPr>
                <w:rFonts w:cs="Arial"/>
                <w:i/>
                <w:iCs/>
                <w:sz w:val="20"/>
                <w:szCs w:val="20"/>
              </w:rPr>
            </w:pPr>
            <w:r w:rsidRPr="0040656D">
              <w:rPr>
                <w:rFonts w:cs="Arial"/>
                <w:i/>
                <w:iCs/>
                <w:sz w:val="20"/>
                <w:szCs w:val="20"/>
              </w:rPr>
              <w:t xml:space="preserve">Annual Review 2020 – 2021 </w:t>
            </w:r>
          </w:p>
          <w:p w14:paraId="0CE4C05D" w14:textId="77777777" w:rsidR="006A123D" w:rsidRPr="0040656D" w:rsidRDefault="006A123D" w:rsidP="00720EA2">
            <w:pPr>
              <w:rPr>
                <w:rFonts w:cs="Arial"/>
                <w:i/>
                <w:iCs/>
                <w:sz w:val="20"/>
                <w:szCs w:val="20"/>
              </w:rPr>
            </w:pPr>
            <w:hyperlink r:id="rId19">
              <w:r w:rsidRPr="0040656D">
                <w:rPr>
                  <w:rStyle w:val="Hyperlink"/>
                  <w:rFonts w:eastAsiaTheme="majorEastAsia" w:cs="Arial"/>
                  <w:i/>
                  <w:iCs/>
                  <w:sz w:val="20"/>
                  <w:szCs w:val="20"/>
                </w:rPr>
                <w:t>https://science-and-innovation-network.s3.eu-west-2.amazonaws.com/BEIS+ICF/MAGC/MAGC+Annual+Review+2020-21.docx</w:t>
              </w:r>
            </w:hyperlink>
            <w:r w:rsidRPr="0040656D">
              <w:rPr>
                <w:rFonts w:cs="Arial"/>
                <w:i/>
                <w:iCs/>
                <w:sz w:val="20"/>
                <w:szCs w:val="20"/>
              </w:rPr>
              <w:t xml:space="preserve"> </w:t>
            </w:r>
          </w:p>
          <w:p w14:paraId="3EB45686" w14:textId="77777777" w:rsidR="006A123D" w:rsidRPr="0040656D" w:rsidRDefault="006A123D" w:rsidP="00720EA2">
            <w:pPr>
              <w:rPr>
                <w:rFonts w:cs="Arial"/>
                <w:bCs/>
                <w:i/>
                <w:iCs/>
                <w:sz w:val="20"/>
                <w:szCs w:val="20"/>
              </w:rPr>
            </w:pPr>
          </w:p>
          <w:p w14:paraId="27682900" w14:textId="77777777" w:rsidR="006A123D" w:rsidRPr="0040656D" w:rsidRDefault="006A123D" w:rsidP="00720EA2">
            <w:pPr>
              <w:rPr>
                <w:rFonts w:cs="Arial"/>
                <w:bCs/>
                <w:i/>
                <w:iCs/>
                <w:sz w:val="20"/>
                <w:szCs w:val="20"/>
              </w:rPr>
            </w:pPr>
            <w:r w:rsidRPr="0040656D">
              <w:rPr>
                <w:rFonts w:cs="Arial"/>
                <w:bCs/>
                <w:i/>
                <w:iCs/>
                <w:sz w:val="20"/>
                <w:szCs w:val="20"/>
              </w:rPr>
              <w:t xml:space="preserve">Annual Review 2021 – 2022 </w:t>
            </w:r>
          </w:p>
          <w:p w14:paraId="5B9F597B" w14:textId="4E426BDF" w:rsidR="00220999" w:rsidRDefault="007F7545" w:rsidP="00720EA2">
            <w:pPr>
              <w:rPr>
                <w:rFonts w:cs="Arial"/>
                <w:bCs/>
                <w:i/>
                <w:iCs/>
                <w:sz w:val="20"/>
                <w:szCs w:val="20"/>
              </w:rPr>
            </w:pPr>
            <w:hyperlink r:id="rId20" w:history="1">
              <w:r w:rsidRPr="00EA59C5">
                <w:rPr>
                  <w:rStyle w:val="Hyperlink"/>
                  <w:rFonts w:cs="Arial"/>
                  <w:bCs/>
                  <w:i/>
                  <w:iCs/>
                  <w:sz w:val="20"/>
                  <w:szCs w:val="20"/>
                </w:rPr>
                <w:t>https://science-and-innovation-network.s3.eu-west-2.amazonaws.com/BEIS+ICF/MAGC/MAGC+Annual+Review+2021-22.docx</w:t>
              </w:r>
            </w:hyperlink>
          </w:p>
          <w:p w14:paraId="62491657" w14:textId="77777777" w:rsidR="007F7545" w:rsidRDefault="007F7545" w:rsidP="00720EA2">
            <w:pPr>
              <w:rPr>
                <w:rFonts w:cs="Arial"/>
                <w:bCs/>
                <w:i/>
                <w:iCs/>
                <w:sz w:val="20"/>
                <w:szCs w:val="20"/>
              </w:rPr>
            </w:pPr>
          </w:p>
          <w:p w14:paraId="20590785" w14:textId="77777777" w:rsidR="00220999" w:rsidRDefault="00220999" w:rsidP="00720EA2">
            <w:pPr>
              <w:rPr>
                <w:rFonts w:cs="Arial"/>
                <w:bCs/>
                <w:i/>
                <w:iCs/>
                <w:sz w:val="20"/>
                <w:szCs w:val="20"/>
              </w:rPr>
            </w:pPr>
            <w:r>
              <w:rPr>
                <w:rFonts w:cs="Arial"/>
                <w:bCs/>
                <w:i/>
                <w:iCs/>
                <w:sz w:val="20"/>
                <w:szCs w:val="20"/>
              </w:rPr>
              <w:t xml:space="preserve">Annual Review 2022-2023 </w:t>
            </w:r>
          </w:p>
          <w:p w14:paraId="61F9A211" w14:textId="4CE04C17" w:rsidR="0014699F" w:rsidRPr="0040656D" w:rsidRDefault="0014699F" w:rsidP="00720EA2">
            <w:pPr>
              <w:rPr>
                <w:rFonts w:cs="Arial"/>
                <w:bCs/>
                <w:i/>
                <w:iCs/>
                <w:sz w:val="20"/>
                <w:szCs w:val="20"/>
              </w:rPr>
            </w:pPr>
            <w:hyperlink r:id="rId21" w:history="1">
              <w:r w:rsidRPr="00EA59C5">
                <w:rPr>
                  <w:rStyle w:val="Hyperlink"/>
                  <w:rFonts w:cs="Arial"/>
                  <w:bCs/>
                  <w:i/>
                  <w:iCs/>
                  <w:sz w:val="20"/>
                  <w:szCs w:val="20"/>
                </w:rPr>
                <w:t>https://science-and-innovation-network.s3.eu-west-2.amazonaws.com/BEIS+ICF/MAGC/2022-23+MAGC+Annual+Review+Year+5+.docx</w:t>
              </w:r>
            </w:hyperlink>
          </w:p>
        </w:tc>
      </w:tr>
    </w:tbl>
    <w:p w14:paraId="77728C0C" w14:textId="77777777" w:rsidR="00720EA2" w:rsidRDefault="00720EA2"/>
    <w:p w14:paraId="5ABDD775" w14:textId="77777777" w:rsidR="00720EA2" w:rsidRDefault="00720EA2">
      <w:pPr>
        <w:spacing w:after="160" w:line="259" w:lineRule="auto"/>
        <w:rPr>
          <w:rFonts w:cs="Arial"/>
          <w:b/>
          <w:sz w:val="20"/>
          <w:szCs w:val="20"/>
        </w:rPr>
      </w:pPr>
      <w:r>
        <w:rPr>
          <w:rFonts w:cs="Arial"/>
          <w:b/>
          <w:sz w:val="20"/>
          <w:szCs w:val="20"/>
        </w:rPr>
        <w:br w:type="page"/>
      </w:r>
    </w:p>
    <w:p w14:paraId="161E8F89" w14:textId="206195D5" w:rsidR="006A123D" w:rsidRPr="0040656D" w:rsidRDefault="006A123D" w:rsidP="00657117">
      <w:pPr>
        <w:pBdr>
          <w:top w:val="single" w:sz="4" w:space="1" w:color="auto"/>
          <w:left w:val="single" w:sz="4" w:space="4" w:color="auto"/>
          <w:bottom w:val="single" w:sz="4" w:space="1" w:color="auto"/>
          <w:right w:val="single" w:sz="4" w:space="4" w:color="auto"/>
        </w:pBdr>
        <w:shd w:val="clear" w:color="auto" w:fill="A5C9EB" w:themeFill="text2" w:themeFillTint="40"/>
        <w:spacing w:after="240"/>
        <w:rPr>
          <w:rFonts w:cs="Arial"/>
          <w:sz w:val="20"/>
          <w:szCs w:val="20"/>
        </w:rPr>
      </w:pPr>
      <w:r w:rsidRPr="0040656D">
        <w:rPr>
          <w:rFonts w:cs="Arial"/>
          <w:b/>
          <w:sz w:val="20"/>
          <w:szCs w:val="20"/>
        </w:rPr>
        <w:lastRenderedPageBreak/>
        <w:t xml:space="preserve">A. SUMMARY AND OVERVIEW </w:t>
      </w:r>
    </w:p>
    <w:p w14:paraId="2D7529FA" w14:textId="77777777" w:rsidR="006A123D" w:rsidRDefault="006A123D" w:rsidP="00657117">
      <w:pPr>
        <w:spacing w:after="240"/>
        <w:rPr>
          <w:rFonts w:cs="Arial"/>
          <w:b/>
          <w:sz w:val="20"/>
          <w:szCs w:val="20"/>
        </w:rPr>
      </w:pPr>
      <w:r w:rsidRPr="0040656D">
        <w:rPr>
          <w:rFonts w:cs="Arial"/>
          <w:b/>
          <w:sz w:val="20"/>
          <w:szCs w:val="20"/>
        </w:rPr>
        <w:t>Description of programme</w:t>
      </w:r>
    </w:p>
    <w:p w14:paraId="02D81FEF" w14:textId="459ED753" w:rsidR="006A123D" w:rsidRDefault="00720EA2" w:rsidP="00657117">
      <w:pPr>
        <w:spacing w:after="240"/>
        <w:jc w:val="both"/>
        <w:rPr>
          <w:rFonts w:cs="Arial"/>
          <w:sz w:val="20"/>
          <w:szCs w:val="20"/>
        </w:rPr>
      </w:pPr>
      <w:r w:rsidRPr="2B0FCE7A">
        <w:rPr>
          <w:rFonts w:cs="Arial"/>
          <w:sz w:val="20"/>
          <w:szCs w:val="20"/>
        </w:rPr>
        <w:t xml:space="preserve">The </w:t>
      </w:r>
      <w:r w:rsidR="006A123D" w:rsidRPr="2B0FCE7A">
        <w:rPr>
          <w:rFonts w:cs="Arial"/>
          <w:sz w:val="20"/>
          <w:szCs w:val="20"/>
        </w:rPr>
        <w:t xml:space="preserve">Market Accelerator for Green Construction (“MAGC”) </w:t>
      </w:r>
      <w:r w:rsidR="00E225CC" w:rsidRPr="2B0FCE7A">
        <w:rPr>
          <w:rFonts w:cs="Arial"/>
          <w:sz w:val="20"/>
          <w:szCs w:val="20"/>
        </w:rPr>
        <w:t xml:space="preserve">is a UK Government </w:t>
      </w:r>
      <w:r w:rsidR="006A123D" w:rsidRPr="2B0FCE7A">
        <w:rPr>
          <w:rFonts w:cs="Arial"/>
          <w:sz w:val="20"/>
          <w:szCs w:val="20"/>
        </w:rPr>
        <w:t xml:space="preserve">programme </w:t>
      </w:r>
      <w:r w:rsidR="00E37707" w:rsidRPr="2B0FCE7A">
        <w:rPr>
          <w:rFonts w:cs="Arial"/>
          <w:sz w:val="20"/>
          <w:szCs w:val="20"/>
        </w:rPr>
        <w:t xml:space="preserve">that </w:t>
      </w:r>
      <w:r w:rsidR="006A123D" w:rsidRPr="2B0FCE7A">
        <w:rPr>
          <w:rFonts w:cs="Arial"/>
          <w:sz w:val="20"/>
          <w:szCs w:val="20"/>
        </w:rPr>
        <w:t>aims to increase the construction of greener buildings in emerging markets. The £</w:t>
      </w:r>
      <w:r w:rsidR="0085750D" w:rsidRPr="2B0FCE7A">
        <w:rPr>
          <w:rFonts w:cs="Arial"/>
          <w:sz w:val="20"/>
          <w:szCs w:val="20"/>
        </w:rPr>
        <w:t>139.2</w:t>
      </w:r>
      <w:r w:rsidR="006A123D" w:rsidRPr="2B0FCE7A">
        <w:rPr>
          <w:rFonts w:cs="Arial"/>
          <w:sz w:val="20"/>
          <w:szCs w:val="20"/>
        </w:rPr>
        <w:t xml:space="preserve">m programme is </w:t>
      </w:r>
      <w:r w:rsidR="00E37707" w:rsidRPr="2B0FCE7A">
        <w:rPr>
          <w:rFonts w:cs="Arial"/>
          <w:sz w:val="20"/>
          <w:szCs w:val="20"/>
        </w:rPr>
        <w:t xml:space="preserve">funded by the </w:t>
      </w:r>
      <w:r w:rsidR="006A123D" w:rsidRPr="2B0FCE7A">
        <w:rPr>
          <w:rFonts w:cs="Arial"/>
          <w:sz w:val="20"/>
          <w:szCs w:val="20"/>
        </w:rPr>
        <w:t>Department for Energy Security and Net Zero (“DESNZ”)</w:t>
      </w:r>
      <w:r w:rsidR="00E37707" w:rsidRPr="2B0FCE7A">
        <w:rPr>
          <w:rFonts w:cs="Arial"/>
          <w:sz w:val="20"/>
          <w:szCs w:val="20"/>
        </w:rPr>
        <w:t xml:space="preserve"> International Climate Finance (“ICF”) </w:t>
      </w:r>
      <w:r w:rsidR="001B16BB" w:rsidRPr="2B0FCE7A">
        <w:rPr>
          <w:rFonts w:cs="Arial"/>
          <w:sz w:val="20"/>
          <w:szCs w:val="20"/>
        </w:rPr>
        <w:t>budget and</w:t>
      </w:r>
      <w:r w:rsidR="00E37707" w:rsidRPr="2B0FCE7A">
        <w:rPr>
          <w:rFonts w:cs="Arial"/>
          <w:sz w:val="20"/>
          <w:szCs w:val="20"/>
        </w:rPr>
        <w:t xml:space="preserve"> </w:t>
      </w:r>
      <w:r w:rsidR="00CC5319" w:rsidRPr="2B0FCE7A">
        <w:rPr>
          <w:rFonts w:cs="Arial"/>
          <w:sz w:val="20"/>
          <w:szCs w:val="20"/>
        </w:rPr>
        <w:t>is delivered by</w:t>
      </w:r>
      <w:r w:rsidR="006A123D" w:rsidRPr="2B0FCE7A">
        <w:rPr>
          <w:rFonts w:cs="Arial"/>
          <w:sz w:val="20"/>
          <w:szCs w:val="20"/>
        </w:rPr>
        <w:t xml:space="preserve"> the International Finance Corporation (“IFC”). MAGC delivers </w:t>
      </w:r>
      <w:r w:rsidR="00CC5319" w:rsidRPr="2B0FCE7A">
        <w:rPr>
          <w:rFonts w:cs="Arial"/>
          <w:sz w:val="20"/>
          <w:szCs w:val="20"/>
        </w:rPr>
        <w:t xml:space="preserve">its objectives </w:t>
      </w:r>
      <w:r w:rsidR="006A123D" w:rsidRPr="2B0FCE7A">
        <w:rPr>
          <w:rFonts w:cs="Arial"/>
          <w:sz w:val="20"/>
          <w:szCs w:val="20"/>
        </w:rPr>
        <w:t>via four components</w:t>
      </w:r>
      <w:r w:rsidR="7DC3AAF3" w:rsidRPr="2B0FCE7A">
        <w:rPr>
          <w:rFonts w:cs="Arial"/>
          <w:sz w:val="20"/>
          <w:szCs w:val="20"/>
        </w:rPr>
        <w:t>, with dedicated spend shown as of June 2025</w:t>
      </w:r>
      <w:r w:rsidR="006A123D" w:rsidRPr="2B0FCE7A">
        <w:rPr>
          <w:rFonts w:cs="Arial"/>
          <w:sz w:val="20"/>
          <w:szCs w:val="20"/>
        </w:rPr>
        <w:t>:</w:t>
      </w:r>
    </w:p>
    <w:tbl>
      <w:tblPr>
        <w:tblStyle w:val="TableGrid"/>
        <w:tblW w:w="923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82"/>
        <w:gridCol w:w="4770"/>
        <w:gridCol w:w="915"/>
        <w:gridCol w:w="810"/>
        <w:gridCol w:w="945"/>
        <w:gridCol w:w="816"/>
      </w:tblGrid>
      <w:tr w:rsidR="6D7EE274" w14:paraId="6A88DC77" w14:textId="77777777" w:rsidTr="432B5505">
        <w:trPr>
          <w:trHeight w:val="300"/>
        </w:trPr>
        <w:tc>
          <w:tcPr>
            <w:tcW w:w="982" w:type="dxa"/>
            <w:shd w:val="clear" w:color="auto" w:fill="D9D9D9" w:themeFill="background1" w:themeFillShade="D9"/>
            <w:tcMar>
              <w:left w:w="105" w:type="dxa"/>
              <w:right w:w="105" w:type="dxa"/>
            </w:tcMar>
          </w:tcPr>
          <w:p w14:paraId="73454684" w14:textId="6CC3ADB1" w:rsidR="6D7EE274" w:rsidRDefault="6D7EE274" w:rsidP="6D7EE274">
            <w:pPr>
              <w:spacing w:after="240"/>
              <w:jc w:val="both"/>
              <w:rPr>
                <w:rFonts w:eastAsia="Arial" w:cs="Arial"/>
                <w:color w:val="000000" w:themeColor="text1"/>
                <w:sz w:val="20"/>
                <w:szCs w:val="20"/>
              </w:rPr>
            </w:pPr>
          </w:p>
        </w:tc>
        <w:tc>
          <w:tcPr>
            <w:tcW w:w="4770" w:type="dxa"/>
            <w:shd w:val="clear" w:color="auto" w:fill="D9D9D9" w:themeFill="background1" w:themeFillShade="D9"/>
            <w:tcMar>
              <w:left w:w="105" w:type="dxa"/>
              <w:right w:w="105" w:type="dxa"/>
            </w:tcMar>
          </w:tcPr>
          <w:p w14:paraId="05C79BCF" w14:textId="240AC7F2"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Component</w:t>
            </w:r>
          </w:p>
        </w:tc>
        <w:tc>
          <w:tcPr>
            <w:tcW w:w="1725" w:type="dxa"/>
            <w:gridSpan w:val="2"/>
            <w:shd w:val="clear" w:color="auto" w:fill="D9D9D9" w:themeFill="background1" w:themeFillShade="D9"/>
            <w:tcMar>
              <w:left w:w="105" w:type="dxa"/>
              <w:right w:w="105" w:type="dxa"/>
            </w:tcMar>
          </w:tcPr>
          <w:p w14:paraId="1AD31CB7" w14:textId="33678632"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CDEL (US$ m)</w:t>
            </w:r>
          </w:p>
        </w:tc>
        <w:tc>
          <w:tcPr>
            <w:tcW w:w="1761" w:type="dxa"/>
            <w:gridSpan w:val="2"/>
            <w:shd w:val="clear" w:color="auto" w:fill="D9D9D9" w:themeFill="background1" w:themeFillShade="D9"/>
            <w:tcMar>
              <w:left w:w="105" w:type="dxa"/>
              <w:right w:w="105" w:type="dxa"/>
            </w:tcMar>
          </w:tcPr>
          <w:p w14:paraId="77EA346B" w14:textId="2FC8A022"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RDEL (US$ m)</w:t>
            </w:r>
          </w:p>
        </w:tc>
      </w:tr>
      <w:tr w:rsidR="6D7EE274" w14:paraId="1EDA1841" w14:textId="77777777" w:rsidTr="432B5505">
        <w:trPr>
          <w:trHeight w:val="300"/>
        </w:trPr>
        <w:tc>
          <w:tcPr>
            <w:tcW w:w="982" w:type="dxa"/>
            <w:shd w:val="clear" w:color="auto" w:fill="D9D9D9" w:themeFill="background1" w:themeFillShade="D9"/>
            <w:tcMar>
              <w:left w:w="105" w:type="dxa"/>
              <w:right w:w="105" w:type="dxa"/>
            </w:tcMar>
          </w:tcPr>
          <w:p w14:paraId="4F08F6E7" w14:textId="77777777" w:rsidR="00A71E37" w:rsidRDefault="00A71E37"/>
        </w:tc>
        <w:tc>
          <w:tcPr>
            <w:tcW w:w="4770" w:type="dxa"/>
            <w:shd w:val="clear" w:color="auto" w:fill="D9D9D9" w:themeFill="background1" w:themeFillShade="D9"/>
            <w:tcMar>
              <w:left w:w="105" w:type="dxa"/>
              <w:right w:w="105" w:type="dxa"/>
            </w:tcMar>
          </w:tcPr>
          <w:p w14:paraId="1E8BC0A5" w14:textId="77777777" w:rsidR="00A71E37" w:rsidRDefault="00A71E37"/>
        </w:tc>
        <w:tc>
          <w:tcPr>
            <w:tcW w:w="915" w:type="dxa"/>
            <w:shd w:val="clear" w:color="auto" w:fill="D9D9D9" w:themeFill="background1" w:themeFillShade="D9"/>
            <w:tcMar>
              <w:left w:w="105" w:type="dxa"/>
              <w:right w:w="105" w:type="dxa"/>
            </w:tcMar>
          </w:tcPr>
          <w:p w14:paraId="7A5B0FF1" w14:textId="17CE8EAA"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Budget</w:t>
            </w:r>
          </w:p>
        </w:tc>
        <w:tc>
          <w:tcPr>
            <w:tcW w:w="810" w:type="dxa"/>
            <w:shd w:val="clear" w:color="auto" w:fill="D9D9D9" w:themeFill="background1" w:themeFillShade="D9"/>
            <w:tcMar>
              <w:left w:w="105" w:type="dxa"/>
              <w:right w:w="105" w:type="dxa"/>
            </w:tcMar>
          </w:tcPr>
          <w:p w14:paraId="2EE3E181" w14:textId="2B4DC0A3"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Spent</w:t>
            </w:r>
          </w:p>
        </w:tc>
        <w:tc>
          <w:tcPr>
            <w:tcW w:w="945" w:type="dxa"/>
            <w:shd w:val="clear" w:color="auto" w:fill="D9D9D9" w:themeFill="background1" w:themeFillShade="D9"/>
            <w:tcMar>
              <w:left w:w="105" w:type="dxa"/>
              <w:right w:w="105" w:type="dxa"/>
            </w:tcMar>
          </w:tcPr>
          <w:p w14:paraId="68E8F4A7" w14:textId="2F3CC4D8"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Budget</w:t>
            </w:r>
          </w:p>
        </w:tc>
        <w:tc>
          <w:tcPr>
            <w:tcW w:w="816" w:type="dxa"/>
            <w:shd w:val="clear" w:color="auto" w:fill="D9D9D9" w:themeFill="background1" w:themeFillShade="D9"/>
            <w:tcMar>
              <w:left w:w="105" w:type="dxa"/>
              <w:right w:w="105" w:type="dxa"/>
            </w:tcMar>
          </w:tcPr>
          <w:p w14:paraId="14FF57CD" w14:textId="10D75B38"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Spent</w:t>
            </w:r>
          </w:p>
        </w:tc>
      </w:tr>
      <w:tr w:rsidR="6D7EE274" w14:paraId="0EF415F6" w14:textId="77777777" w:rsidTr="432B5505">
        <w:trPr>
          <w:trHeight w:val="300"/>
        </w:trPr>
        <w:tc>
          <w:tcPr>
            <w:tcW w:w="982" w:type="dxa"/>
            <w:tcBorders>
              <w:top w:val="single" w:sz="6" w:space="0" w:color="auto"/>
              <w:left w:val="single" w:sz="6" w:space="0" w:color="auto"/>
              <w:bottom w:val="single" w:sz="6" w:space="0" w:color="auto"/>
              <w:right w:val="single" w:sz="6" w:space="0" w:color="auto"/>
            </w:tcBorders>
            <w:tcMar>
              <w:left w:w="105" w:type="dxa"/>
              <w:right w:w="105" w:type="dxa"/>
            </w:tcMar>
          </w:tcPr>
          <w:p w14:paraId="4FACB031" w14:textId="763E6A12"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1</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tcPr>
          <w:p w14:paraId="2DADB60C" w14:textId="77777777" w:rsidR="6D7EE274" w:rsidRDefault="6D7EE274" w:rsidP="6D7EE274">
            <w:pPr>
              <w:spacing w:after="240"/>
              <w:jc w:val="both"/>
              <w:rPr>
                <w:rFonts w:eastAsia="Arial" w:cs="Arial"/>
                <w:color w:val="000000" w:themeColor="text1"/>
                <w:sz w:val="20"/>
                <w:szCs w:val="20"/>
              </w:rPr>
            </w:pPr>
            <w:r w:rsidRPr="2B0FCE7A">
              <w:rPr>
                <w:rFonts w:eastAsia="Arial" w:cs="Arial"/>
                <w:b/>
                <w:bCs/>
                <w:color w:val="000000" w:themeColor="text1"/>
                <w:sz w:val="20"/>
                <w:szCs w:val="20"/>
              </w:rPr>
              <w:t>Concessional Finance and Advisory Services.</w:t>
            </w:r>
            <w:r w:rsidRPr="2B0FCE7A">
              <w:rPr>
                <w:rFonts w:eastAsia="Arial" w:cs="Arial"/>
                <w:color w:val="000000" w:themeColor="text1"/>
                <w:sz w:val="20"/>
                <w:szCs w:val="20"/>
              </w:rPr>
              <w:t xml:space="preserve"> Incentivising local financial intermediaries to create green building portfolios by providing concessional investment finance and technical assistance for certified energy efficient green buildings.</w:t>
            </w:r>
          </w:p>
          <w:p w14:paraId="6AB06CE2" w14:textId="4782BD0A" w:rsidR="00B30CCF" w:rsidRDefault="00B30CCF" w:rsidP="6D7EE274">
            <w:pPr>
              <w:spacing w:after="240"/>
              <w:jc w:val="both"/>
              <w:rPr>
                <w:rFonts w:eastAsia="Arial" w:cs="Arial"/>
                <w:color w:val="000000" w:themeColor="text1"/>
                <w:sz w:val="20"/>
                <w:szCs w:val="20"/>
              </w:rPr>
            </w:pPr>
            <w:r w:rsidRPr="2B0FCE7A">
              <w:rPr>
                <w:rFonts w:eastAsia="Arial" w:cs="Arial"/>
                <w:color w:val="000000" w:themeColor="text1"/>
                <w:sz w:val="20"/>
                <w:szCs w:val="20"/>
              </w:rPr>
              <w:t>NB, CDEL relates to concessional finance / investment spend; RDEL relates to advisory services</w:t>
            </w:r>
            <w:r w:rsidR="001561C2" w:rsidRPr="2B0FCE7A">
              <w:rPr>
                <w:rFonts w:eastAsia="Arial" w:cs="Arial"/>
                <w:color w:val="000000" w:themeColor="text1"/>
                <w:sz w:val="20"/>
                <w:szCs w:val="20"/>
              </w:rPr>
              <w:t>.</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EBD04" w14:textId="746F6EE8" w:rsidR="6D7EE274" w:rsidRPr="000C48FF" w:rsidRDefault="6D7EE274" w:rsidP="3C3FCBBA">
            <w:pPr>
              <w:spacing w:after="240"/>
              <w:jc w:val="center"/>
              <w:rPr>
                <w:rFonts w:eastAsia="Arial" w:cs="Arial"/>
                <w:color w:val="000000" w:themeColor="text1"/>
                <w:sz w:val="20"/>
                <w:szCs w:val="20"/>
              </w:rPr>
            </w:pPr>
            <w:r w:rsidRPr="000C48FF">
              <w:rPr>
                <w:rFonts w:eastAsia="Arial" w:cs="Arial"/>
                <w:sz w:val="20"/>
                <w:szCs w:val="20"/>
              </w:rPr>
              <w:t>124.4</w:t>
            </w:r>
            <w:r w:rsidR="769168EE" w:rsidRPr="000C48FF">
              <w:rPr>
                <w:rFonts w:eastAsia="Arial" w:cs="Arial"/>
                <w:sz w:val="20"/>
                <w:szCs w:val="20"/>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CE424F" w14:textId="22B9D60D" w:rsidR="6D7EE274" w:rsidRPr="000C48FF" w:rsidRDefault="19988261" w:rsidP="3C3FCBBA">
            <w:pPr>
              <w:spacing w:after="240"/>
              <w:jc w:val="center"/>
              <w:rPr>
                <w:rFonts w:eastAsia="Arial" w:cs="Arial"/>
                <w:color w:val="000000" w:themeColor="text1"/>
                <w:sz w:val="20"/>
                <w:szCs w:val="20"/>
              </w:rPr>
            </w:pPr>
            <w:r w:rsidRPr="000C48FF">
              <w:rPr>
                <w:rFonts w:eastAsia="Arial" w:cs="Arial"/>
                <w:sz w:val="20"/>
                <w:szCs w:val="20"/>
              </w:rPr>
              <w:t>68.82</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1F8F5C" w14:textId="312AF13D" w:rsidR="6D7EE274" w:rsidRPr="000C48FF" w:rsidRDefault="000D3014" w:rsidP="3C3FCBBA">
            <w:pPr>
              <w:spacing w:after="240"/>
              <w:jc w:val="center"/>
              <w:rPr>
                <w:rFonts w:eastAsia="Arial" w:cs="Arial"/>
                <w:color w:val="000000" w:themeColor="text1"/>
                <w:sz w:val="20"/>
                <w:szCs w:val="20"/>
              </w:rPr>
            </w:pPr>
            <w:r w:rsidRPr="000C48FF">
              <w:rPr>
                <w:rFonts w:eastAsia="Arial" w:cs="Arial"/>
                <w:sz w:val="20"/>
                <w:szCs w:val="20"/>
              </w:rPr>
              <w:t>9.1</w:t>
            </w:r>
          </w:p>
        </w:tc>
        <w:tc>
          <w:tcPr>
            <w:tcW w:w="81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40947B" w14:textId="2ECD6C56" w:rsidR="6D7EE274" w:rsidRDefault="702BFAA1" w:rsidP="3C3FCBBA">
            <w:pPr>
              <w:spacing w:after="240"/>
              <w:jc w:val="center"/>
              <w:rPr>
                <w:rFonts w:eastAsia="Arial" w:cs="Arial"/>
                <w:color w:val="000000" w:themeColor="text1"/>
                <w:sz w:val="20"/>
                <w:szCs w:val="20"/>
              </w:rPr>
            </w:pPr>
            <w:r w:rsidRPr="000C48FF">
              <w:rPr>
                <w:rFonts w:eastAsia="Arial" w:cs="Arial"/>
                <w:sz w:val="20"/>
                <w:szCs w:val="20"/>
              </w:rPr>
              <w:t>2.8</w:t>
            </w:r>
            <w:r w:rsidR="64C5B06C" w:rsidRPr="000C48FF">
              <w:rPr>
                <w:rFonts w:eastAsia="Arial" w:cs="Arial"/>
                <w:sz w:val="20"/>
                <w:szCs w:val="20"/>
              </w:rPr>
              <w:t>8</w:t>
            </w:r>
          </w:p>
        </w:tc>
      </w:tr>
      <w:tr w:rsidR="6D7EE274" w14:paraId="4731D3AE" w14:textId="77777777" w:rsidTr="432B5505">
        <w:trPr>
          <w:trHeight w:val="300"/>
        </w:trPr>
        <w:tc>
          <w:tcPr>
            <w:tcW w:w="982" w:type="dxa"/>
            <w:tcMar>
              <w:left w:w="105" w:type="dxa"/>
              <w:right w:w="105" w:type="dxa"/>
            </w:tcMar>
          </w:tcPr>
          <w:p w14:paraId="0C787850" w14:textId="58203B05"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2</w:t>
            </w:r>
          </w:p>
        </w:tc>
        <w:tc>
          <w:tcPr>
            <w:tcW w:w="4770" w:type="dxa"/>
            <w:tcMar>
              <w:left w:w="105" w:type="dxa"/>
              <w:right w:w="105" w:type="dxa"/>
            </w:tcMar>
          </w:tcPr>
          <w:p w14:paraId="7CDFA852" w14:textId="7F964744"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Country-Level Capacity Work.</w:t>
            </w:r>
            <w:r w:rsidRPr="6D7EE274">
              <w:rPr>
                <w:rFonts w:eastAsia="Arial" w:cs="Arial"/>
                <w:color w:val="000000" w:themeColor="text1"/>
                <w:sz w:val="20"/>
                <w:szCs w:val="20"/>
              </w:rPr>
              <w:t xml:space="preserve"> Strengthening the enabling environment to promote and raise green construction standards at country level through certification by using IFC’s Excellence in Design for Greater Efficiencies (EDGE) standard and other leading certification systems. As well as strengthening the pipeline of public and private climate-related investment influenced by city-level policies and investment plans through the IFC’s city-level platform Advanced Practices for Environmental Excellence in Cities (APEX).</w:t>
            </w:r>
          </w:p>
        </w:tc>
        <w:tc>
          <w:tcPr>
            <w:tcW w:w="915" w:type="dxa"/>
            <w:tcMar>
              <w:left w:w="105" w:type="dxa"/>
              <w:right w:w="105" w:type="dxa"/>
            </w:tcMar>
            <w:vAlign w:val="center"/>
          </w:tcPr>
          <w:p w14:paraId="5F7BF537" w14:textId="64E53AA9" w:rsidR="6D7EE274" w:rsidRDefault="6D7EE274" w:rsidP="3C3FCBBA">
            <w:pPr>
              <w:spacing w:after="240"/>
              <w:jc w:val="center"/>
              <w:rPr>
                <w:rFonts w:eastAsia="Arial" w:cs="Arial"/>
                <w:color w:val="000000" w:themeColor="text1"/>
                <w:sz w:val="20"/>
                <w:szCs w:val="20"/>
              </w:rPr>
            </w:pPr>
            <w:r w:rsidRPr="000C48FF">
              <w:rPr>
                <w:rFonts w:eastAsia="Arial" w:cs="Arial"/>
                <w:sz w:val="20"/>
                <w:szCs w:val="20"/>
              </w:rPr>
              <w:t>/</w:t>
            </w:r>
          </w:p>
        </w:tc>
        <w:tc>
          <w:tcPr>
            <w:tcW w:w="810" w:type="dxa"/>
            <w:tcMar>
              <w:left w:w="105" w:type="dxa"/>
              <w:right w:w="105" w:type="dxa"/>
            </w:tcMar>
            <w:vAlign w:val="center"/>
          </w:tcPr>
          <w:p w14:paraId="30F49BA7" w14:textId="685E98DC" w:rsidR="6D7EE274" w:rsidRPr="000C48FF" w:rsidRDefault="6D7EE274" w:rsidP="3C3FCBBA">
            <w:pPr>
              <w:spacing w:after="240"/>
              <w:jc w:val="center"/>
              <w:rPr>
                <w:rFonts w:eastAsia="Arial" w:cs="Arial"/>
                <w:sz w:val="20"/>
                <w:szCs w:val="20"/>
              </w:rPr>
            </w:pPr>
          </w:p>
          <w:p w14:paraId="5BBC86F3" w14:textId="14578E60" w:rsidR="6D7EE274" w:rsidRPr="000C48FF" w:rsidRDefault="6D7EE274" w:rsidP="3C3FCBBA">
            <w:pPr>
              <w:spacing w:after="240"/>
              <w:jc w:val="center"/>
              <w:rPr>
                <w:rFonts w:eastAsia="Arial" w:cs="Arial"/>
                <w:sz w:val="20"/>
                <w:szCs w:val="20"/>
              </w:rPr>
            </w:pPr>
            <w:r w:rsidRPr="000C48FF">
              <w:rPr>
                <w:rFonts w:eastAsia="Arial" w:cs="Arial"/>
                <w:sz w:val="20"/>
                <w:szCs w:val="20"/>
              </w:rPr>
              <w:t>/</w:t>
            </w:r>
          </w:p>
          <w:p w14:paraId="08E36C97" w14:textId="01F8853E" w:rsidR="6D7EE274" w:rsidRDefault="6D7EE274" w:rsidP="3C3FCBBA">
            <w:pPr>
              <w:spacing w:after="240"/>
              <w:jc w:val="center"/>
              <w:rPr>
                <w:rFonts w:eastAsia="Arial" w:cs="Arial"/>
                <w:color w:val="000000" w:themeColor="text1"/>
                <w:sz w:val="20"/>
                <w:szCs w:val="20"/>
              </w:rPr>
            </w:pPr>
          </w:p>
        </w:tc>
        <w:tc>
          <w:tcPr>
            <w:tcW w:w="945" w:type="dxa"/>
            <w:tcMar>
              <w:left w:w="105" w:type="dxa"/>
              <w:right w:w="105" w:type="dxa"/>
            </w:tcMar>
            <w:vAlign w:val="center"/>
          </w:tcPr>
          <w:p w14:paraId="4AB14D82" w14:textId="03CD2392" w:rsidR="6D7EE274" w:rsidRPr="000C48FF" w:rsidRDefault="6D7EE274" w:rsidP="3C3FCBBA">
            <w:pPr>
              <w:spacing w:after="240"/>
              <w:jc w:val="center"/>
              <w:rPr>
                <w:rFonts w:eastAsia="Arial" w:cs="Arial"/>
                <w:color w:val="000000" w:themeColor="text1"/>
                <w:sz w:val="20"/>
                <w:szCs w:val="20"/>
              </w:rPr>
            </w:pPr>
            <w:r w:rsidRPr="000C48FF">
              <w:rPr>
                <w:rFonts w:eastAsia="Arial" w:cs="Arial"/>
                <w:sz w:val="20"/>
                <w:szCs w:val="20"/>
              </w:rPr>
              <w:t>13.42</w:t>
            </w:r>
          </w:p>
        </w:tc>
        <w:tc>
          <w:tcPr>
            <w:tcW w:w="816" w:type="dxa"/>
            <w:tcMar>
              <w:left w:w="105" w:type="dxa"/>
              <w:right w:w="105" w:type="dxa"/>
            </w:tcMar>
            <w:vAlign w:val="center"/>
          </w:tcPr>
          <w:p w14:paraId="63DE9266" w14:textId="431AF810" w:rsidR="6D7EE274" w:rsidRPr="000C48FF" w:rsidRDefault="6D7EE274" w:rsidP="3C3FCBBA">
            <w:pPr>
              <w:spacing w:after="240"/>
              <w:jc w:val="center"/>
              <w:rPr>
                <w:rFonts w:eastAsia="Arial" w:cs="Arial"/>
                <w:color w:val="000000" w:themeColor="text1"/>
                <w:sz w:val="20"/>
                <w:szCs w:val="20"/>
              </w:rPr>
            </w:pPr>
            <w:r w:rsidRPr="000C48FF">
              <w:rPr>
                <w:rFonts w:eastAsia="Arial" w:cs="Arial"/>
                <w:sz w:val="20"/>
                <w:szCs w:val="20"/>
              </w:rPr>
              <w:t>9.5</w:t>
            </w:r>
            <w:r w:rsidR="661978C6" w:rsidRPr="000C48FF">
              <w:rPr>
                <w:rFonts w:eastAsia="Arial" w:cs="Arial"/>
                <w:sz w:val="20"/>
                <w:szCs w:val="20"/>
              </w:rPr>
              <w:t>2</w:t>
            </w:r>
          </w:p>
        </w:tc>
      </w:tr>
      <w:tr w:rsidR="6D7EE274" w14:paraId="5F196F2D" w14:textId="77777777" w:rsidTr="432B5505">
        <w:trPr>
          <w:trHeight w:val="300"/>
        </w:trPr>
        <w:tc>
          <w:tcPr>
            <w:tcW w:w="982" w:type="dxa"/>
            <w:tcMar>
              <w:left w:w="105" w:type="dxa"/>
              <w:right w:w="105" w:type="dxa"/>
            </w:tcMar>
          </w:tcPr>
          <w:p w14:paraId="723C4617" w14:textId="6C55E7F6"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3</w:t>
            </w:r>
          </w:p>
        </w:tc>
        <w:tc>
          <w:tcPr>
            <w:tcW w:w="4770" w:type="dxa"/>
            <w:tcMar>
              <w:left w:w="105" w:type="dxa"/>
              <w:right w:w="105" w:type="dxa"/>
            </w:tcMar>
          </w:tcPr>
          <w:p w14:paraId="5CC9314D" w14:textId="4CD4DE2C"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EDGE Platform Development.</w:t>
            </w:r>
            <w:r w:rsidRPr="6D7EE274">
              <w:rPr>
                <w:rFonts w:eastAsia="Arial" w:cs="Arial"/>
                <w:color w:val="000000" w:themeColor="text1"/>
                <w:sz w:val="20"/>
                <w:szCs w:val="20"/>
              </w:rPr>
              <w:t xml:space="preserve"> Improving construction standards by building on IFC’s EDGE certification and design tool.</w:t>
            </w:r>
          </w:p>
        </w:tc>
        <w:tc>
          <w:tcPr>
            <w:tcW w:w="915" w:type="dxa"/>
            <w:tcMar>
              <w:left w:w="105" w:type="dxa"/>
              <w:right w:w="105" w:type="dxa"/>
            </w:tcMar>
            <w:vAlign w:val="center"/>
          </w:tcPr>
          <w:p w14:paraId="47C5B3F6" w14:textId="6FD6379C" w:rsidR="6D7EE274" w:rsidRDefault="0C62ECDD" w:rsidP="00057B33">
            <w:pPr>
              <w:spacing w:after="240"/>
              <w:jc w:val="center"/>
              <w:rPr>
                <w:rFonts w:eastAsia="Arial" w:cs="Arial"/>
                <w:color w:val="000000" w:themeColor="text1"/>
                <w:sz w:val="20"/>
                <w:szCs w:val="20"/>
              </w:rPr>
            </w:pPr>
            <w:r w:rsidRPr="2B0FCE7A">
              <w:rPr>
                <w:rFonts w:eastAsia="Arial" w:cs="Arial"/>
                <w:color w:val="000000" w:themeColor="text1"/>
                <w:sz w:val="20"/>
                <w:szCs w:val="20"/>
              </w:rPr>
              <w:t>4.54</w:t>
            </w:r>
          </w:p>
        </w:tc>
        <w:tc>
          <w:tcPr>
            <w:tcW w:w="810" w:type="dxa"/>
            <w:tcMar>
              <w:left w:w="105" w:type="dxa"/>
              <w:right w:w="105" w:type="dxa"/>
            </w:tcMar>
            <w:vAlign w:val="center"/>
          </w:tcPr>
          <w:p w14:paraId="0479B074" w14:textId="20C008FD" w:rsidR="6D7EE274" w:rsidRDefault="6D7EE274" w:rsidP="00057B33">
            <w:pPr>
              <w:spacing w:after="240"/>
              <w:jc w:val="center"/>
              <w:rPr>
                <w:rFonts w:eastAsia="Arial" w:cs="Arial"/>
                <w:color w:val="000000" w:themeColor="text1"/>
                <w:sz w:val="20"/>
                <w:szCs w:val="20"/>
              </w:rPr>
            </w:pPr>
            <w:r w:rsidRPr="6D492590">
              <w:rPr>
                <w:rFonts w:eastAsia="Arial" w:cs="Arial"/>
                <w:color w:val="000000" w:themeColor="text1"/>
                <w:sz w:val="20"/>
                <w:szCs w:val="20"/>
              </w:rPr>
              <w:t>/</w:t>
            </w:r>
            <w:r w:rsidR="086A63AA" w:rsidRPr="6D492590">
              <w:rPr>
                <w:rFonts w:eastAsia="Arial" w:cs="Arial"/>
                <w:color w:val="000000" w:themeColor="text1"/>
                <w:sz w:val="20"/>
                <w:szCs w:val="20"/>
              </w:rPr>
              <w:t>*</w:t>
            </w:r>
          </w:p>
        </w:tc>
        <w:tc>
          <w:tcPr>
            <w:tcW w:w="945" w:type="dxa"/>
            <w:tcMar>
              <w:left w:w="105" w:type="dxa"/>
              <w:right w:w="105" w:type="dxa"/>
            </w:tcMar>
            <w:vAlign w:val="center"/>
          </w:tcPr>
          <w:p w14:paraId="16C74B9D" w14:textId="73ABFFE1" w:rsidR="6D7EE274" w:rsidRDefault="6D7EE274" w:rsidP="00057B33">
            <w:pPr>
              <w:spacing w:after="240"/>
              <w:jc w:val="center"/>
              <w:rPr>
                <w:rFonts w:eastAsia="Arial" w:cs="Arial"/>
                <w:color w:val="000000" w:themeColor="text1"/>
                <w:sz w:val="20"/>
                <w:szCs w:val="20"/>
              </w:rPr>
            </w:pPr>
          </w:p>
          <w:p w14:paraId="143D605B" w14:textId="429865D4" w:rsidR="6D7EE274" w:rsidRDefault="086A63AA" w:rsidP="432B5505">
            <w:pPr>
              <w:spacing w:before="240" w:after="240"/>
              <w:jc w:val="center"/>
              <w:rPr>
                <w:rFonts w:eastAsia="Arial" w:cs="Arial"/>
                <w:sz w:val="20"/>
                <w:szCs w:val="20"/>
              </w:rPr>
            </w:pPr>
            <w:r w:rsidRPr="432B5505">
              <w:rPr>
                <w:rFonts w:eastAsia="Arial" w:cs="Arial"/>
                <w:sz w:val="20"/>
                <w:szCs w:val="20"/>
              </w:rPr>
              <w:t>9.65</w:t>
            </w:r>
          </w:p>
          <w:p w14:paraId="1566E3DE" w14:textId="20E57A5B" w:rsidR="6D7EE274" w:rsidRDefault="6D7EE274" w:rsidP="00057B33">
            <w:pPr>
              <w:spacing w:after="240"/>
              <w:jc w:val="center"/>
              <w:rPr>
                <w:rFonts w:eastAsia="Arial" w:cs="Arial"/>
                <w:color w:val="000000" w:themeColor="text1"/>
                <w:sz w:val="20"/>
                <w:szCs w:val="20"/>
              </w:rPr>
            </w:pPr>
          </w:p>
        </w:tc>
        <w:tc>
          <w:tcPr>
            <w:tcW w:w="816" w:type="dxa"/>
            <w:tcMar>
              <w:left w:w="105" w:type="dxa"/>
              <w:right w:w="105" w:type="dxa"/>
            </w:tcMar>
            <w:vAlign w:val="center"/>
          </w:tcPr>
          <w:p w14:paraId="772E78B0" w14:textId="7296C4B7" w:rsidR="6D7EE274" w:rsidRPr="00057B33" w:rsidRDefault="6D7EE274" w:rsidP="00057B33">
            <w:pPr>
              <w:spacing w:after="240"/>
              <w:jc w:val="center"/>
              <w:rPr>
                <w:rFonts w:eastAsia="Arial" w:cs="Arial"/>
                <w:sz w:val="20"/>
                <w:szCs w:val="20"/>
              </w:rPr>
            </w:pPr>
            <w:r w:rsidRPr="00057B33">
              <w:rPr>
                <w:rFonts w:eastAsia="Arial" w:cs="Arial"/>
                <w:sz w:val="20"/>
                <w:szCs w:val="20"/>
              </w:rPr>
              <w:t>7.5</w:t>
            </w:r>
            <w:r w:rsidR="1F918FF1" w:rsidRPr="00057B33">
              <w:rPr>
                <w:rFonts w:eastAsia="Arial" w:cs="Arial"/>
                <w:sz w:val="20"/>
                <w:szCs w:val="20"/>
              </w:rPr>
              <w:t>2</w:t>
            </w:r>
          </w:p>
        </w:tc>
      </w:tr>
      <w:tr w:rsidR="6D7EE274" w14:paraId="6CA9A6E9" w14:textId="77777777" w:rsidTr="432B5505">
        <w:trPr>
          <w:trHeight w:val="300"/>
        </w:trPr>
        <w:tc>
          <w:tcPr>
            <w:tcW w:w="982" w:type="dxa"/>
            <w:tcMar>
              <w:left w:w="105" w:type="dxa"/>
              <w:right w:w="105" w:type="dxa"/>
            </w:tcMar>
          </w:tcPr>
          <w:p w14:paraId="7FE24CF1" w14:textId="3D3432A8"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4</w:t>
            </w:r>
          </w:p>
        </w:tc>
        <w:tc>
          <w:tcPr>
            <w:tcW w:w="4770" w:type="dxa"/>
            <w:tcMar>
              <w:left w:w="105" w:type="dxa"/>
              <w:right w:w="105" w:type="dxa"/>
            </w:tcMar>
          </w:tcPr>
          <w:p w14:paraId="4C6D9A62" w14:textId="75766786" w:rsidR="6D7EE274" w:rsidRDefault="6D7EE274" w:rsidP="6D7EE274">
            <w:pPr>
              <w:spacing w:after="240"/>
              <w:jc w:val="both"/>
              <w:rPr>
                <w:rFonts w:eastAsia="Arial" w:cs="Arial"/>
                <w:color w:val="000000" w:themeColor="text1"/>
                <w:sz w:val="20"/>
                <w:szCs w:val="20"/>
              </w:rPr>
            </w:pPr>
            <w:r w:rsidRPr="6D7EE274">
              <w:rPr>
                <w:rFonts w:eastAsia="Arial" w:cs="Arial"/>
                <w:b/>
                <w:bCs/>
                <w:color w:val="000000" w:themeColor="text1"/>
                <w:sz w:val="20"/>
                <w:szCs w:val="20"/>
              </w:rPr>
              <w:t>MAGC Research.</w:t>
            </w:r>
            <w:r w:rsidRPr="6D7EE274">
              <w:rPr>
                <w:rFonts w:eastAsia="Arial" w:cs="Arial"/>
                <w:color w:val="000000" w:themeColor="text1"/>
                <w:sz w:val="20"/>
                <w:szCs w:val="20"/>
              </w:rPr>
              <w:t xml:space="preserve"> Providing actionable green building market intelligence and a robust evidence base of green buildings impact on water and energy savings via monitoring actual EDGE-certified buildings in use.</w:t>
            </w:r>
          </w:p>
        </w:tc>
        <w:tc>
          <w:tcPr>
            <w:tcW w:w="915" w:type="dxa"/>
            <w:tcMar>
              <w:left w:w="105" w:type="dxa"/>
              <w:right w:w="105" w:type="dxa"/>
            </w:tcMar>
            <w:vAlign w:val="center"/>
          </w:tcPr>
          <w:p w14:paraId="5AA8BCC0" w14:textId="4AA26E80" w:rsidR="6D7EE274" w:rsidRDefault="6D7EE274" w:rsidP="6D7EE274">
            <w:pPr>
              <w:spacing w:after="240"/>
              <w:jc w:val="center"/>
              <w:rPr>
                <w:rFonts w:eastAsia="Arial" w:cs="Arial"/>
                <w:color w:val="000000" w:themeColor="text1"/>
                <w:sz w:val="20"/>
                <w:szCs w:val="20"/>
              </w:rPr>
            </w:pPr>
            <w:r w:rsidRPr="6D7EE274">
              <w:rPr>
                <w:rFonts w:eastAsia="Arial" w:cs="Arial"/>
                <w:color w:val="000000" w:themeColor="text1"/>
                <w:sz w:val="20"/>
                <w:szCs w:val="20"/>
              </w:rPr>
              <w:t>/</w:t>
            </w:r>
          </w:p>
        </w:tc>
        <w:tc>
          <w:tcPr>
            <w:tcW w:w="810" w:type="dxa"/>
            <w:tcMar>
              <w:left w:w="105" w:type="dxa"/>
              <w:right w:w="105" w:type="dxa"/>
            </w:tcMar>
            <w:vAlign w:val="center"/>
          </w:tcPr>
          <w:p w14:paraId="12128D7D" w14:textId="1A27846B" w:rsidR="6D7EE274" w:rsidRDefault="6D7EE274" w:rsidP="6B37FC7B">
            <w:pPr>
              <w:spacing w:after="240"/>
              <w:jc w:val="center"/>
              <w:rPr>
                <w:rFonts w:eastAsia="Arial" w:cs="Arial"/>
                <w:color w:val="000000" w:themeColor="text1"/>
                <w:sz w:val="20"/>
                <w:szCs w:val="20"/>
              </w:rPr>
            </w:pPr>
            <w:r w:rsidRPr="6B37FC7B">
              <w:rPr>
                <w:rFonts w:eastAsia="Arial" w:cs="Arial"/>
                <w:sz w:val="20"/>
                <w:szCs w:val="20"/>
              </w:rPr>
              <w:t>/</w:t>
            </w:r>
          </w:p>
        </w:tc>
        <w:tc>
          <w:tcPr>
            <w:tcW w:w="945" w:type="dxa"/>
            <w:tcMar>
              <w:left w:w="105" w:type="dxa"/>
              <w:right w:w="105" w:type="dxa"/>
            </w:tcMar>
            <w:vAlign w:val="center"/>
          </w:tcPr>
          <w:p w14:paraId="1DF39E77" w14:textId="1E8AAFE5" w:rsidR="6D7EE274" w:rsidRPr="00CF180E" w:rsidRDefault="6D7EE274" w:rsidP="6E4C0EAB">
            <w:pPr>
              <w:spacing w:after="240"/>
              <w:jc w:val="center"/>
              <w:rPr>
                <w:rFonts w:eastAsia="Arial" w:cs="Arial"/>
                <w:sz w:val="20"/>
                <w:szCs w:val="20"/>
              </w:rPr>
            </w:pPr>
          </w:p>
          <w:p w14:paraId="387B508F" w14:textId="337C7A8F" w:rsidR="6D7EE274" w:rsidRPr="00CF180E" w:rsidRDefault="6D7EE274" w:rsidP="6B37FC7B">
            <w:pPr>
              <w:spacing w:after="240"/>
              <w:jc w:val="center"/>
              <w:rPr>
                <w:rFonts w:eastAsia="Arial" w:cs="Arial"/>
                <w:sz w:val="20"/>
                <w:szCs w:val="20"/>
              </w:rPr>
            </w:pPr>
            <w:r w:rsidRPr="00CF180E">
              <w:rPr>
                <w:rFonts w:eastAsia="Arial" w:cs="Arial"/>
                <w:sz w:val="20"/>
                <w:szCs w:val="20"/>
              </w:rPr>
              <w:t>7.3</w:t>
            </w:r>
            <w:r w:rsidR="58DCEC6C" w:rsidRPr="00CF180E">
              <w:rPr>
                <w:rFonts w:eastAsia="Arial" w:cs="Arial"/>
                <w:sz w:val="20"/>
                <w:szCs w:val="20"/>
              </w:rPr>
              <w:t>2</w:t>
            </w:r>
          </w:p>
          <w:p w14:paraId="22E49D0F" w14:textId="1FDD69E9" w:rsidR="6D7EE274" w:rsidRPr="00CF180E" w:rsidRDefault="6D7EE274" w:rsidP="6E4C0EAB">
            <w:pPr>
              <w:spacing w:after="240"/>
              <w:jc w:val="center"/>
              <w:rPr>
                <w:rFonts w:eastAsia="Arial" w:cs="Arial"/>
                <w:sz w:val="20"/>
                <w:szCs w:val="20"/>
              </w:rPr>
            </w:pPr>
          </w:p>
        </w:tc>
        <w:tc>
          <w:tcPr>
            <w:tcW w:w="816" w:type="dxa"/>
            <w:tcMar>
              <w:left w:w="105" w:type="dxa"/>
              <w:right w:w="105" w:type="dxa"/>
            </w:tcMar>
            <w:vAlign w:val="center"/>
          </w:tcPr>
          <w:p w14:paraId="4029AE0B" w14:textId="68A371AF" w:rsidR="6D7EE274" w:rsidRPr="00CF180E" w:rsidRDefault="6D7EE274" w:rsidP="6B37FC7B">
            <w:pPr>
              <w:spacing w:after="240"/>
              <w:jc w:val="center"/>
              <w:rPr>
                <w:rFonts w:eastAsia="Arial" w:cs="Arial"/>
                <w:sz w:val="20"/>
                <w:szCs w:val="20"/>
              </w:rPr>
            </w:pPr>
            <w:r w:rsidRPr="00CF180E">
              <w:rPr>
                <w:rFonts w:eastAsia="Arial" w:cs="Arial"/>
                <w:sz w:val="20"/>
                <w:szCs w:val="20"/>
              </w:rPr>
              <w:t>5.</w:t>
            </w:r>
            <w:r w:rsidR="32BE3FE6" w:rsidRPr="00CF180E">
              <w:rPr>
                <w:rFonts w:eastAsia="Arial" w:cs="Arial"/>
                <w:sz w:val="20"/>
                <w:szCs w:val="20"/>
              </w:rPr>
              <w:t>36</w:t>
            </w:r>
          </w:p>
        </w:tc>
      </w:tr>
    </w:tbl>
    <w:p w14:paraId="5F0BCE7B" w14:textId="4B24862B" w:rsidR="00947F5C" w:rsidRPr="000C48FF" w:rsidRDefault="27319916" w:rsidP="6B37FC7B">
      <w:pPr>
        <w:spacing w:after="240"/>
        <w:jc w:val="both"/>
        <w:rPr>
          <w:rFonts w:cs="Arial"/>
          <w:i/>
          <w:iCs/>
          <w:sz w:val="20"/>
          <w:szCs w:val="20"/>
        </w:rPr>
      </w:pPr>
      <w:r w:rsidRPr="000C48FF">
        <w:rPr>
          <w:rFonts w:cs="Arial"/>
          <w:i/>
          <w:iCs/>
          <w:sz w:val="20"/>
          <w:szCs w:val="20"/>
        </w:rPr>
        <w:t xml:space="preserve">* </w:t>
      </w:r>
      <w:r w:rsidR="48DC87FC" w:rsidRPr="6B37FC7B">
        <w:rPr>
          <w:rFonts w:cs="Arial"/>
          <w:i/>
          <w:iCs/>
          <w:sz w:val="20"/>
          <w:szCs w:val="20"/>
        </w:rPr>
        <w:t>Included</w:t>
      </w:r>
      <w:r w:rsidRPr="000C48FF">
        <w:rPr>
          <w:rFonts w:cs="Arial"/>
          <w:i/>
          <w:iCs/>
          <w:sz w:val="20"/>
          <w:szCs w:val="20"/>
        </w:rPr>
        <w:t xml:space="preserve"> within the spent column under Component 3 RDEL.</w:t>
      </w:r>
    </w:p>
    <w:p w14:paraId="6364F007" w14:textId="77777777" w:rsidR="006A123D" w:rsidRPr="0040656D" w:rsidRDefault="006A123D" w:rsidP="6D7EE274">
      <w:pPr>
        <w:spacing w:after="240"/>
        <w:jc w:val="both"/>
        <w:rPr>
          <w:rFonts w:cs="Arial"/>
          <w:b/>
          <w:sz w:val="20"/>
          <w:szCs w:val="20"/>
        </w:rPr>
      </w:pPr>
      <w:r w:rsidRPr="0040656D">
        <w:rPr>
          <w:rFonts w:cs="Arial"/>
          <w:b/>
          <w:sz w:val="20"/>
          <w:szCs w:val="20"/>
        </w:rPr>
        <w:t xml:space="preserve">Summary of progress and supporting narrative for the overall score in this review </w:t>
      </w:r>
    </w:p>
    <w:p w14:paraId="32591735" w14:textId="5EFE12C3" w:rsidR="006A123D" w:rsidRDefault="006A123D" w:rsidP="00657117">
      <w:pPr>
        <w:tabs>
          <w:tab w:val="left" w:pos="7371"/>
        </w:tabs>
        <w:spacing w:after="240"/>
        <w:jc w:val="both"/>
        <w:rPr>
          <w:rFonts w:cs="Arial"/>
          <w:sz w:val="20"/>
          <w:szCs w:val="20"/>
        </w:rPr>
      </w:pPr>
      <w:r w:rsidRPr="6B37FC7B">
        <w:rPr>
          <w:rFonts w:cs="Arial"/>
          <w:sz w:val="20"/>
          <w:szCs w:val="20"/>
        </w:rPr>
        <w:t xml:space="preserve">MAGC's performance for </w:t>
      </w:r>
      <w:r w:rsidR="3051D41D" w:rsidRPr="6B37FC7B">
        <w:rPr>
          <w:rFonts w:cs="Arial"/>
          <w:sz w:val="20"/>
          <w:szCs w:val="20"/>
        </w:rPr>
        <w:t xml:space="preserve">the FY24 </w:t>
      </w:r>
      <w:r w:rsidRPr="6B37FC7B">
        <w:rPr>
          <w:rFonts w:cs="Arial"/>
          <w:sz w:val="20"/>
          <w:szCs w:val="20"/>
        </w:rPr>
        <w:t xml:space="preserve">reporting period </w:t>
      </w:r>
      <w:r w:rsidR="005537D6" w:rsidRPr="6B37FC7B">
        <w:rPr>
          <w:rFonts w:cs="Arial"/>
          <w:sz w:val="20"/>
          <w:szCs w:val="20"/>
        </w:rPr>
        <w:t xml:space="preserve">(July 2023 – June 2024) </w:t>
      </w:r>
      <w:r w:rsidRPr="6B37FC7B">
        <w:rPr>
          <w:rFonts w:cs="Arial"/>
          <w:sz w:val="20"/>
          <w:szCs w:val="20"/>
        </w:rPr>
        <w:t xml:space="preserve">has </w:t>
      </w:r>
      <w:r w:rsidR="00836695" w:rsidRPr="6B37FC7B">
        <w:rPr>
          <w:rFonts w:cs="Arial"/>
          <w:sz w:val="20"/>
          <w:szCs w:val="20"/>
        </w:rPr>
        <w:t xml:space="preserve">exceeded </w:t>
      </w:r>
      <w:r w:rsidRPr="6B37FC7B">
        <w:rPr>
          <w:rFonts w:cs="Arial"/>
          <w:sz w:val="20"/>
          <w:szCs w:val="20"/>
        </w:rPr>
        <w:t xml:space="preserve">expectations </w:t>
      </w:r>
      <w:r w:rsidR="1C77ABB2" w:rsidRPr="6B37FC7B">
        <w:rPr>
          <w:rFonts w:cs="Arial"/>
          <w:sz w:val="20"/>
          <w:szCs w:val="20"/>
        </w:rPr>
        <w:t>overall and</w:t>
      </w:r>
      <w:r w:rsidR="003E19CA" w:rsidRPr="6B37FC7B">
        <w:rPr>
          <w:rFonts w:cs="Arial"/>
          <w:sz w:val="20"/>
          <w:szCs w:val="20"/>
        </w:rPr>
        <w:t xml:space="preserve"> is </w:t>
      </w:r>
      <w:r w:rsidR="00602090" w:rsidRPr="6B37FC7B">
        <w:rPr>
          <w:rFonts w:cs="Arial"/>
          <w:sz w:val="20"/>
          <w:szCs w:val="20"/>
        </w:rPr>
        <w:t xml:space="preserve">rated </w:t>
      </w:r>
      <w:r w:rsidR="003E19CA" w:rsidRPr="6B37FC7B">
        <w:rPr>
          <w:rFonts w:cs="Arial"/>
          <w:sz w:val="20"/>
          <w:szCs w:val="20"/>
        </w:rPr>
        <w:t>as “A</w:t>
      </w:r>
      <w:r w:rsidR="00836695" w:rsidRPr="6B37FC7B">
        <w:rPr>
          <w:rFonts w:cs="Arial"/>
          <w:sz w:val="20"/>
          <w:szCs w:val="20"/>
        </w:rPr>
        <w:t>+</w:t>
      </w:r>
      <w:r w:rsidR="003E19CA" w:rsidRPr="6B37FC7B">
        <w:rPr>
          <w:rFonts w:cs="Arial"/>
          <w:sz w:val="20"/>
          <w:szCs w:val="20"/>
        </w:rPr>
        <w:t>”</w:t>
      </w:r>
      <w:r w:rsidRPr="6B37FC7B">
        <w:rPr>
          <w:rFonts w:cs="Arial"/>
          <w:sz w:val="20"/>
          <w:szCs w:val="20"/>
        </w:rPr>
        <w:t xml:space="preserve">. </w:t>
      </w:r>
      <w:r w:rsidR="0076111C" w:rsidRPr="6B37FC7B">
        <w:rPr>
          <w:rFonts w:cs="Arial"/>
          <w:sz w:val="20"/>
          <w:szCs w:val="20"/>
        </w:rPr>
        <w:t xml:space="preserve">Section C provides detail about </w:t>
      </w:r>
      <w:r w:rsidR="008F1383" w:rsidRPr="6B37FC7B">
        <w:rPr>
          <w:rFonts w:cs="Arial"/>
          <w:sz w:val="20"/>
          <w:szCs w:val="20"/>
        </w:rPr>
        <w:t xml:space="preserve">the specific </w:t>
      </w:r>
      <w:r w:rsidR="0076111C" w:rsidRPr="6B37FC7B">
        <w:rPr>
          <w:rFonts w:cs="Arial"/>
          <w:sz w:val="20"/>
          <w:szCs w:val="20"/>
        </w:rPr>
        <w:t xml:space="preserve">delivery </w:t>
      </w:r>
      <w:r w:rsidRPr="6B37FC7B">
        <w:rPr>
          <w:rFonts w:cs="Arial"/>
          <w:sz w:val="20"/>
          <w:szCs w:val="20"/>
        </w:rPr>
        <w:t xml:space="preserve">across </w:t>
      </w:r>
      <w:r w:rsidR="008F1383" w:rsidRPr="6B37FC7B">
        <w:rPr>
          <w:rFonts w:cs="Arial"/>
          <w:sz w:val="20"/>
          <w:szCs w:val="20"/>
        </w:rPr>
        <w:t xml:space="preserve">all </w:t>
      </w:r>
      <w:r w:rsidR="008A1920" w:rsidRPr="6B37FC7B">
        <w:rPr>
          <w:rFonts w:cs="Arial"/>
          <w:sz w:val="20"/>
          <w:szCs w:val="20"/>
        </w:rPr>
        <w:t xml:space="preserve">output </w:t>
      </w:r>
      <w:r w:rsidR="008F1383" w:rsidRPr="6B37FC7B">
        <w:rPr>
          <w:rFonts w:cs="Arial"/>
          <w:sz w:val="20"/>
          <w:szCs w:val="20"/>
        </w:rPr>
        <w:t>indicators, providing a narrative explanation for over and under performance against expectations</w:t>
      </w:r>
      <w:r w:rsidRPr="6B37FC7B">
        <w:rPr>
          <w:rFonts w:cs="Arial"/>
          <w:sz w:val="20"/>
          <w:szCs w:val="20"/>
        </w:rPr>
        <w:t xml:space="preserve">. </w:t>
      </w:r>
    </w:p>
    <w:p w14:paraId="3B27CA65" w14:textId="3895EC69" w:rsidR="006A123D" w:rsidRPr="00D40E7B" w:rsidDel="000616F5" w:rsidRDefault="008A1920" w:rsidP="79D0A378">
      <w:pPr>
        <w:tabs>
          <w:tab w:val="left" w:pos="7371"/>
        </w:tabs>
        <w:spacing w:after="240"/>
        <w:jc w:val="both"/>
        <w:rPr>
          <w:rFonts w:cs="Arial"/>
          <w:b/>
          <w:bCs/>
          <w:i/>
          <w:iCs/>
          <w:sz w:val="20"/>
          <w:szCs w:val="20"/>
        </w:rPr>
      </w:pPr>
      <w:r w:rsidRPr="79D0A378">
        <w:rPr>
          <w:rFonts w:cs="Arial"/>
          <w:sz w:val="20"/>
          <w:szCs w:val="20"/>
        </w:rPr>
        <w:t xml:space="preserve">The following section provides a narrative overview of delivery </w:t>
      </w:r>
      <w:r w:rsidR="00A754EB" w:rsidRPr="79D0A378">
        <w:rPr>
          <w:rFonts w:cs="Arial"/>
          <w:sz w:val="20"/>
          <w:szCs w:val="20"/>
        </w:rPr>
        <w:t>by each of the four components during the reporting period.</w:t>
      </w:r>
    </w:p>
    <w:p w14:paraId="1EDC1DDA" w14:textId="37E558E4" w:rsidR="006A123D" w:rsidRPr="00D40E7B" w:rsidDel="000616F5" w:rsidRDefault="006A123D" w:rsidP="79D0A378">
      <w:pPr>
        <w:tabs>
          <w:tab w:val="left" w:pos="7371"/>
        </w:tabs>
        <w:spacing w:after="240"/>
        <w:jc w:val="both"/>
        <w:rPr>
          <w:rFonts w:cs="Arial"/>
          <w:b/>
          <w:bCs/>
          <w:i/>
          <w:iCs/>
          <w:sz w:val="20"/>
          <w:szCs w:val="20"/>
        </w:rPr>
      </w:pPr>
      <w:r w:rsidRPr="79D0A378">
        <w:rPr>
          <w:rFonts w:cs="Arial"/>
          <w:b/>
          <w:bCs/>
          <w:i/>
          <w:iCs/>
          <w:sz w:val="20"/>
          <w:szCs w:val="20"/>
        </w:rPr>
        <w:t>Component 1: Concessional Finance and Advisory Services</w:t>
      </w:r>
    </w:p>
    <w:p w14:paraId="0112CAAD" w14:textId="5AF05C66" w:rsidR="003A20EA" w:rsidRPr="0040656D" w:rsidRDefault="00A754EB" w:rsidP="00657117">
      <w:pPr>
        <w:spacing w:after="240"/>
        <w:jc w:val="both"/>
        <w:rPr>
          <w:rFonts w:cs="Arial"/>
          <w:sz w:val="20"/>
          <w:szCs w:val="20"/>
        </w:rPr>
      </w:pPr>
      <w:r w:rsidRPr="65CAC2AD">
        <w:rPr>
          <w:rFonts w:cs="Arial"/>
          <w:sz w:val="20"/>
          <w:szCs w:val="20"/>
        </w:rPr>
        <w:lastRenderedPageBreak/>
        <w:t>T</w:t>
      </w:r>
      <w:r w:rsidR="006A123D" w:rsidRPr="65CAC2AD">
        <w:rPr>
          <w:rFonts w:cs="Arial"/>
          <w:sz w:val="20"/>
          <w:szCs w:val="20"/>
        </w:rPr>
        <w:t xml:space="preserve">he MAGC investment component observed a </w:t>
      </w:r>
      <w:r w:rsidR="00216F6D" w:rsidRPr="65CAC2AD">
        <w:rPr>
          <w:rFonts w:cs="Arial"/>
          <w:sz w:val="20"/>
          <w:szCs w:val="20"/>
        </w:rPr>
        <w:t>continued significant</w:t>
      </w:r>
      <w:r w:rsidR="00120D18" w:rsidRPr="65CAC2AD">
        <w:rPr>
          <w:rFonts w:cs="Arial"/>
          <w:sz w:val="20"/>
          <w:szCs w:val="20"/>
        </w:rPr>
        <w:t xml:space="preserve"> demand</w:t>
      </w:r>
      <w:r w:rsidR="006A123D" w:rsidRPr="65CAC2AD">
        <w:rPr>
          <w:rFonts w:cs="Arial"/>
          <w:sz w:val="20"/>
          <w:szCs w:val="20"/>
        </w:rPr>
        <w:t xml:space="preserve"> for green construction products</w:t>
      </w:r>
      <w:r w:rsidR="0049108C" w:rsidRPr="65CAC2AD">
        <w:rPr>
          <w:rFonts w:cs="Arial"/>
          <w:sz w:val="20"/>
          <w:szCs w:val="20"/>
        </w:rPr>
        <w:t>, and t</w:t>
      </w:r>
      <w:r w:rsidR="006A123D" w:rsidRPr="65CAC2AD">
        <w:rPr>
          <w:rFonts w:cs="Arial"/>
          <w:sz w:val="20"/>
          <w:szCs w:val="20"/>
        </w:rPr>
        <w:t xml:space="preserve">he pace of investments has exceeded expectations for the </w:t>
      </w:r>
      <w:r w:rsidR="00120D18" w:rsidRPr="65CAC2AD">
        <w:rPr>
          <w:rFonts w:cs="Arial"/>
          <w:sz w:val="20"/>
          <w:szCs w:val="20"/>
        </w:rPr>
        <w:t xml:space="preserve">fourth </w:t>
      </w:r>
      <w:r w:rsidR="006A123D" w:rsidRPr="65CAC2AD">
        <w:rPr>
          <w:rFonts w:cs="Arial"/>
          <w:sz w:val="20"/>
          <w:szCs w:val="20"/>
        </w:rPr>
        <w:t>consecutive year, with the number of closed investments and closed advisory-service projects ahead of schedule</w:t>
      </w:r>
      <w:r w:rsidR="003A73CF" w:rsidRPr="65CAC2AD">
        <w:rPr>
          <w:rFonts w:cs="Arial"/>
          <w:sz w:val="20"/>
          <w:szCs w:val="20"/>
        </w:rPr>
        <w:t>.</w:t>
      </w:r>
      <w:r w:rsidR="006A123D" w:rsidRPr="65CAC2AD">
        <w:rPr>
          <w:rFonts w:cs="Arial"/>
          <w:sz w:val="20"/>
          <w:szCs w:val="20"/>
        </w:rPr>
        <w:t xml:space="preserve"> </w:t>
      </w:r>
      <w:r w:rsidR="00E35B92" w:rsidRPr="65CAC2AD">
        <w:rPr>
          <w:rFonts w:cs="Arial"/>
          <w:sz w:val="20"/>
          <w:szCs w:val="20"/>
        </w:rPr>
        <w:t>In this reporting</w:t>
      </w:r>
      <w:r w:rsidR="00DE37CB" w:rsidRPr="65CAC2AD">
        <w:rPr>
          <w:rFonts w:cs="Arial"/>
          <w:sz w:val="20"/>
          <w:szCs w:val="20"/>
        </w:rPr>
        <w:t xml:space="preserve"> </w:t>
      </w:r>
      <w:r w:rsidR="00604F91" w:rsidRPr="65CAC2AD">
        <w:rPr>
          <w:rFonts w:cs="Arial"/>
          <w:sz w:val="20"/>
          <w:szCs w:val="20"/>
        </w:rPr>
        <w:t>period</w:t>
      </w:r>
      <w:r w:rsidR="00E35B92" w:rsidRPr="65CAC2AD">
        <w:rPr>
          <w:rFonts w:cs="Arial"/>
          <w:sz w:val="20"/>
          <w:szCs w:val="20"/>
        </w:rPr>
        <w:t xml:space="preserve">, IFC have </w:t>
      </w:r>
      <w:r w:rsidR="008401D3" w:rsidRPr="65CAC2AD">
        <w:rPr>
          <w:rFonts w:cs="Arial"/>
          <w:sz w:val="20"/>
          <w:szCs w:val="20"/>
        </w:rPr>
        <w:t xml:space="preserve">closed </w:t>
      </w:r>
      <w:r w:rsidR="00E35B92" w:rsidRPr="65CAC2AD">
        <w:rPr>
          <w:rFonts w:cs="Arial"/>
          <w:sz w:val="20"/>
          <w:szCs w:val="20"/>
        </w:rPr>
        <w:t>8 investment projects</w:t>
      </w:r>
      <w:r w:rsidR="008401D3" w:rsidRPr="65CAC2AD">
        <w:rPr>
          <w:rFonts w:cs="Arial"/>
          <w:sz w:val="20"/>
          <w:szCs w:val="20"/>
        </w:rPr>
        <w:t xml:space="preserve"> using US$21.9 million of MAGC concessional financing to leverage </w:t>
      </w:r>
      <w:r w:rsidR="00E35B92" w:rsidRPr="65CAC2AD">
        <w:rPr>
          <w:rFonts w:cs="Arial"/>
          <w:sz w:val="20"/>
          <w:szCs w:val="20"/>
        </w:rPr>
        <w:t xml:space="preserve">US$827 million of financing from IFC and </w:t>
      </w:r>
      <w:r w:rsidR="00F76BF3" w:rsidRPr="65CAC2AD">
        <w:rPr>
          <w:rFonts w:cs="Arial"/>
          <w:sz w:val="20"/>
          <w:szCs w:val="20"/>
        </w:rPr>
        <w:t xml:space="preserve">mobilised private investors. </w:t>
      </w:r>
      <w:r w:rsidR="003A20EA" w:rsidRPr="65CAC2AD">
        <w:rPr>
          <w:rFonts w:cs="Arial"/>
          <w:sz w:val="20"/>
          <w:szCs w:val="20"/>
        </w:rPr>
        <w:t xml:space="preserve">In addition, </w:t>
      </w:r>
      <w:r w:rsidR="009A66B8" w:rsidRPr="65CAC2AD">
        <w:rPr>
          <w:rFonts w:cs="Arial"/>
          <w:sz w:val="20"/>
          <w:szCs w:val="20"/>
        </w:rPr>
        <w:t xml:space="preserve">after guidance from the UK, </w:t>
      </w:r>
      <w:r w:rsidR="003A20EA" w:rsidRPr="65CAC2AD">
        <w:rPr>
          <w:rFonts w:cs="Arial"/>
          <w:sz w:val="20"/>
          <w:szCs w:val="20"/>
        </w:rPr>
        <w:t xml:space="preserve">MAGC has </w:t>
      </w:r>
      <w:r w:rsidR="00A31CA0" w:rsidRPr="65CAC2AD">
        <w:rPr>
          <w:rFonts w:cs="Arial"/>
          <w:sz w:val="20"/>
          <w:szCs w:val="20"/>
        </w:rPr>
        <w:t>also increased its focu</w:t>
      </w:r>
      <w:r w:rsidR="00583084" w:rsidRPr="65CAC2AD">
        <w:rPr>
          <w:rFonts w:cs="Arial"/>
          <w:sz w:val="20"/>
          <w:szCs w:val="20"/>
        </w:rPr>
        <w:t>s</w:t>
      </w:r>
      <w:r w:rsidR="00A31CA0" w:rsidRPr="65CAC2AD">
        <w:rPr>
          <w:rFonts w:cs="Arial"/>
          <w:sz w:val="20"/>
          <w:szCs w:val="20"/>
        </w:rPr>
        <w:t xml:space="preserve"> on affordable housing</w:t>
      </w:r>
      <w:r w:rsidR="00D46577" w:rsidRPr="65CAC2AD">
        <w:rPr>
          <w:rFonts w:cs="Arial"/>
          <w:sz w:val="20"/>
          <w:szCs w:val="20"/>
        </w:rPr>
        <w:t xml:space="preserve">. The Programme has </w:t>
      </w:r>
      <w:r w:rsidR="003A20EA" w:rsidRPr="65CAC2AD">
        <w:rPr>
          <w:rFonts w:cs="Arial"/>
          <w:sz w:val="20"/>
          <w:szCs w:val="20"/>
        </w:rPr>
        <w:t xml:space="preserve">now supported 5 transactions </w:t>
      </w:r>
      <w:r w:rsidR="00D46577" w:rsidRPr="65CAC2AD">
        <w:rPr>
          <w:rFonts w:cs="Arial"/>
          <w:sz w:val="20"/>
          <w:szCs w:val="20"/>
        </w:rPr>
        <w:t>in the</w:t>
      </w:r>
      <w:r w:rsidR="003A20EA" w:rsidRPr="65CAC2AD">
        <w:rPr>
          <w:rFonts w:cs="Arial"/>
          <w:sz w:val="20"/>
          <w:szCs w:val="20"/>
        </w:rPr>
        <w:t xml:space="preserve"> green affordable housing segment, </w:t>
      </w:r>
      <w:r w:rsidR="005F6C98" w:rsidRPr="65CAC2AD">
        <w:rPr>
          <w:rFonts w:cs="Arial"/>
          <w:sz w:val="20"/>
          <w:szCs w:val="20"/>
        </w:rPr>
        <w:t>with</w:t>
      </w:r>
      <w:r w:rsidR="003A20EA" w:rsidRPr="65CAC2AD">
        <w:rPr>
          <w:rFonts w:cs="Arial"/>
          <w:sz w:val="20"/>
          <w:szCs w:val="20"/>
        </w:rPr>
        <w:t xml:space="preserve"> </w:t>
      </w:r>
      <w:r w:rsidR="008C21B9" w:rsidRPr="65CAC2AD">
        <w:rPr>
          <w:rFonts w:cs="Arial"/>
          <w:sz w:val="20"/>
          <w:szCs w:val="20"/>
        </w:rPr>
        <w:t>US</w:t>
      </w:r>
      <w:r w:rsidR="23972144" w:rsidRPr="65CAC2AD">
        <w:rPr>
          <w:rFonts w:cs="Arial"/>
          <w:sz w:val="20"/>
          <w:szCs w:val="20"/>
        </w:rPr>
        <w:t>$</w:t>
      </w:r>
      <w:r w:rsidR="008C21B9" w:rsidRPr="65CAC2AD">
        <w:rPr>
          <w:rFonts w:cs="Arial"/>
          <w:sz w:val="20"/>
          <w:szCs w:val="20"/>
        </w:rPr>
        <w:t>12.7 million (</w:t>
      </w:r>
      <w:r w:rsidR="003A20EA" w:rsidRPr="65CAC2AD">
        <w:rPr>
          <w:rFonts w:cs="Arial"/>
          <w:sz w:val="20"/>
          <w:szCs w:val="20"/>
        </w:rPr>
        <w:t>58%</w:t>
      </w:r>
      <w:r w:rsidR="008C21B9" w:rsidRPr="65CAC2AD">
        <w:rPr>
          <w:rFonts w:cs="Arial"/>
          <w:sz w:val="20"/>
          <w:szCs w:val="20"/>
        </w:rPr>
        <w:t>)</w:t>
      </w:r>
      <w:r w:rsidR="003A20EA" w:rsidRPr="65CAC2AD">
        <w:rPr>
          <w:rFonts w:cs="Arial"/>
          <w:sz w:val="20"/>
          <w:szCs w:val="20"/>
        </w:rPr>
        <w:t xml:space="preserve"> of </w:t>
      </w:r>
      <w:r w:rsidR="005F6C98" w:rsidRPr="65CAC2AD">
        <w:rPr>
          <w:rFonts w:cs="Arial"/>
          <w:sz w:val="20"/>
          <w:szCs w:val="20"/>
        </w:rPr>
        <w:t xml:space="preserve">concessional financing in </w:t>
      </w:r>
      <w:r w:rsidR="003A20EA" w:rsidRPr="65CAC2AD">
        <w:rPr>
          <w:rFonts w:cs="Arial"/>
          <w:sz w:val="20"/>
          <w:szCs w:val="20"/>
        </w:rPr>
        <w:t xml:space="preserve">the </w:t>
      </w:r>
      <w:r w:rsidR="005F6C98" w:rsidRPr="65CAC2AD">
        <w:rPr>
          <w:rFonts w:cs="Arial"/>
          <w:sz w:val="20"/>
          <w:szCs w:val="20"/>
        </w:rPr>
        <w:t>reporting period</w:t>
      </w:r>
      <w:r w:rsidR="003A20EA" w:rsidRPr="65CAC2AD">
        <w:rPr>
          <w:rFonts w:cs="Arial"/>
          <w:sz w:val="20"/>
          <w:szCs w:val="20"/>
        </w:rPr>
        <w:t xml:space="preserve"> funding this underserved segment.</w:t>
      </w:r>
    </w:p>
    <w:p w14:paraId="151632D1" w14:textId="008D430A" w:rsidR="00F76BF3" w:rsidRDefault="00F76BF3" w:rsidP="00657117">
      <w:pPr>
        <w:pStyle w:val="Paragraph"/>
        <w:spacing w:after="240"/>
        <w:rPr>
          <w:sz w:val="20"/>
          <w:szCs w:val="20"/>
        </w:rPr>
      </w:pPr>
      <w:r w:rsidRPr="29CA07FD">
        <w:rPr>
          <w:sz w:val="20"/>
          <w:szCs w:val="20"/>
        </w:rPr>
        <w:t xml:space="preserve">Following </w:t>
      </w:r>
      <w:r w:rsidR="00451607" w:rsidRPr="29CA07FD">
        <w:rPr>
          <w:sz w:val="20"/>
          <w:szCs w:val="20"/>
        </w:rPr>
        <w:t>Logframe</w:t>
      </w:r>
      <w:r w:rsidRPr="29CA07FD">
        <w:rPr>
          <w:sz w:val="20"/>
          <w:szCs w:val="20"/>
        </w:rPr>
        <w:t xml:space="preserve"> amendments in this reporting year</w:t>
      </w:r>
      <w:r w:rsidR="001A7DCA" w:rsidRPr="29CA07FD">
        <w:rPr>
          <w:sz w:val="20"/>
          <w:szCs w:val="20"/>
        </w:rPr>
        <w:t>, with modelling assumptions updated to better reflect</w:t>
      </w:r>
      <w:r w:rsidR="00C87988" w:rsidRPr="29CA07FD">
        <w:rPr>
          <w:sz w:val="20"/>
          <w:szCs w:val="20"/>
        </w:rPr>
        <w:t xml:space="preserve"> real-world deliverables we have seen significant uplift in results capturing disbursement of green building loans by Financial Institutions (FIs). </w:t>
      </w:r>
      <w:r w:rsidR="00C529E6" w:rsidRPr="29CA07FD">
        <w:rPr>
          <w:sz w:val="20"/>
          <w:szCs w:val="20"/>
        </w:rPr>
        <w:t>However, MAGC is still not seeing results for indicators related to replicated private finance, even with updated modelling assumptions.</w:t>
      </w:r>
      <w:r w:rsidR="002110B8" w:rsidRPr="29CA07FD">
        <w:rPr>
          <w:sz w:val="20"/>
          <w:szCs w:val="20"/>
        </w:rPr>
        <w:t xml:space="preserve"> This is due to further challenges identified, including inadequate information in </w:t>
      </w:r>
      <w:r w:rsidR="47B0DD0C" w:rsidRPr="29CA07FD">
        <w:rPr>
          <w:sz w:val="20"/>
          <w:szCs w:val="20"/>
        </w:rPr>
        <w:t>IFC’s Climate Assessment for Financial Institutions</w:t>
      </w:r>
      <w:r w:rsidR="216AFCFC" w:rsidRPr="29CA07FD">
        <w:rPr>
          <w:sz w:val="20"/>
          <w:szCs w:val="20"/>
        </w:rPr>
        <w:t xml:space="preserve"> tool</w:t>
      </w:r>
      <w:r w:rsidR="47B0DD0C" w:rsidRPr="29CA07FD">
        <w:rPr>
          <w:sz w:val="20"/>
          <w:szCs w:val="20"/>
        </w:rPr>
        <w:t xml:space="preserve"> (</w:t>
      </w:r>
      <w:r w:rsidR="002110B8" w:rsidRPr="29CA07FD">
        <w:rPr>
          <w:sz w:val="20"/>
          <w:szCs w:val="20"/>
        </w:rPr>
        <w:t>CAFI</w:t>
      </w:r>
      <w:r w:rsidR="277DE0ED" w:rsidRPr="29CA07FD">
        <w:rPr>
          <w:sz w:val="20"/>
          <w:szCs w:val="20"/>
        </w:rPr>
        <w:t>)</w:t>
      </w:r>
      <w:r w:rsidRPr="000C48FF">
        <w:rPr>
          <w:sz w:val="20"/>
          <w:szCs w:val="20"/>
          <w:vertAlign w:val="superscript"/>
        </w:rPr>
        <w:footnoteReference w:id="2"/>
      </w:r>
      <w:r w:rsidR="002110B8" w:rsidRPr="29CA07FD">
        <w:rPr>
          <w:sz w:val="20"/>
          <w:szCs w:val="20"/>
        </w:rPr>
        <w:t xml:space="preserve"> from FIs and difficulty in capturing replication for repeat FIs. </w:t>
      </w:r>
      <w:r w:rsidR="00D51C8E" w:rsidRPr="29CA07FD">
        <w:rPr>
          <w:sz w:val="20"/>
          <w:szCs w:val="20"/>
        </w:rPr>
        <w:t>So far, in the programme lifetime ‘replicated finance’ has been defined at the individual FI level which prevents subsequent transactions by the same FI from being reported. As part of the Logframe update anticipated in the next reporting period</w:t>
      </w:r>
      <w:r w:rsidR="004A76B7" w:rsidRPr="29CA07FD">
        <w:rPr>
          <w:sz w:val="20"/>
          <w:szCs w:val="20"/>
        </w:rPr>
        <w:t xml:space="preserve"> (Recommendation </w:t>
      </w:r>
      <w:r w:rsidR="00690311" w:rsidRPr="29CA07FD">
        <w:rPr>
          <w:sz w:val="20"/>
          <w:szCs w:val="20"/>
        </w:rPr>
        <w:t>3</w:t>
      </w:r>
      <w:r w:rsidR="004A76B7" w:rsidRPr="29CA07FD">
        <w:rPr>
          <w:sz w:val="20"/>
          <w:szCs w:val="20"/>
        </w:rPr>
        <w:t>)</w:t>
      </w:r>
      <w:r w:rsidR="00D51C8E" w:rsidRPr="29CA07FD">
        <w:rPr>
          <w:sz w:val="20"/>
          <w:szCs w:val="20"/>
        </w:rPr>
        <w:t xml:space="preserve">, this definition will be updated to ensure accurate reporting in future years of the programme. </w:t>
      </w:r>
    </w:p>
    <w:p w14:paraId="1B496593" w14:textId="47DB93C4" w:rsidR="006A123D" w:rsidRPr="00D40E7B" w:rsidRDefault="006A123D" w:rsidP="00657117">
      <w:pPr>
        <w:spacing w:after="240"/>
        <w:rPr>
          <w:rFonts w:cs="Arial"/>
          <w:b/>
          <w:bCs/>
          <w:i/>
          <w:iCs/>
          <w:sz w:val="20"/>
          <w:szCs w:val="20"/>
        </w:rPr>
      </w:pPr>
      <w:r w:rsidRPr="00D40E7B">
        <w:rPr>
          <w:rFonts w:cs="Arial"/>
          <w:b/>
          <w:bCs/>
          <w:i/>
          <w:iCs/>
          <w:sz w:val="20"/>
          <w:szCs w:val="20"/>
        </w:rPr>
        <w:t xml:space="preserve">Components 2 and 3: Country-Level Capacity </w:t>
      </w:r>
      <w:r w:rsidR="005A6997" w:rsidRPr="00D40E7B">
        <w:rPr>
          <w:rFonts w:cs="Arial"/>
          <w:b/>
          <w:bCs/>
          <w:i/>
          <w:iCs/>
          <w:sz w:val="20"/>
          <w:szCs w:val="20"/>
        </w:rPr>
        <w:t>Work</w:t>
      </w:r>
      <w:r w:rsidR="005A6997">
        <w:rPr>
          <w:rFonts w:cs="Arial"/>
          <w:b/>
          <w:bCs/>
          <w:i/>
          <w:iCs/>
          <w:sz w:val="20"/>
          <w:szCs w:val="20"/>
        </w:rPr>
        <w:t>, EDGE</w:t>
      </w:r>
      <w:r w:rsidR="00491ACF">
        <w:rPr>
          <w:rFonts w:cs="Arial"/>
          <w:b/>
          <w:bCs/>
          <w:i/>
          <w:iCs/>
          <w:sz w:val="20"/>
          <w:szCs w:val="20"/>
        </w:rPr>
        <w:t>,</w:t>
      </w:r>
      <w:r w:rsidR="005A6997">
        <w:rPr>
          <w:rFonts w:cs="Arial"/>
          <w:b/>
          <w:bCs/>
          <w:i/>
          <w:iCs/>
          <w:sz w:val="20"/>
          <w:szCs w:val="20"/>
        </w:rPr>
        <w:t xml:space="preserve"> and APEX </w:t>
      </w:r>
      <w:r w:rsidRPr="00D40E7B">
        <w:rPr>
          <w:rFonts w:cs="Arial"/>
          <w:b/>
          <w:bCs/>
          <w:i/>
          <w:iCs/>
          <w:sz w:val="20"/>
          <w:szCs w:val="20"/>
        </w:rPr>
        <w:t>Platform Development</w:t>
      </w:r>
    </w:p>
    <w:p w14:paraId="69CA8367" w14:textId="1458DD39" w:rsidR="006A123D" w:rsidRPr="0040656D" w:rsidRDefault="006A123D" w:rsidP="00657117">
      <w:pPr>
        <w:spacing w:after="240"/>
        <w:jc w:val="both"/>
        <w:rPr>
          <w:rFonts w:cs="Arial"/>
          <w:sz w:val="20"/>
          <w:szCs w:val="20"/>
        </w:rPr>
      </w:pPr>
      <w:r w:rsidRPr="0040656D">
        <w:rPr>
          <w:rFonts w:cs="Arial"/>
          <w:sz w:val="20"/>
          <w:szCs w:val="20"/>
        </w:rPr>
        <w:t xml:space="preserve">The technical advisory segments of MAGC have broadly exceeded expectations. </w:t>
      </w:r>
      <w:r w:rsidR="00A50093">
        <w:rPr>
          <w:rFonts w:cs="Arial"/>
          <w:sz w:val="20"/>
          <w:szCs w:val="20"/>
        </w:rPr>
        <w:t>D</w:t>
      </w:r>
      <w:r w:rsidRPr="0040656D">
        <w:rPr>
          <w:rFonts w:cs="Arial"/>
          <w:sz w:val="20"/>
          <w:szCs w:val="20"/>
        </w:rPr>
        <w:t>emand for certified green building stock continued to expand globally, driven by increasing awareness among stakeholders, price sensitivity on utility costs</w:t>
      </w:r>
      <w:r w:rsidR="00773959">
        <w:rPr>
          <w:rFonts w:cs="Arial"/>
          <w:sz w:val="20"/>
          <w:szCs w:val="20"/>
        </w:rPr>
        <w:t>,</w:t>
      </w:r>
      <w:r w:rsidRPr="0040656D">
        <w:rPr>
          <w:rFonts w:cs="Arial"/>
          <w:sz w:val="20"/>
          <w:szCs w:val="20"/>
        </w:rPr>
        <w:t xml:space="preserve"> increasing availability of green materials, </w:t>
      </w:r>
      <w:r w:rsidR="00773959">
        <w:rPr>
          <w:rFonts w:cs="Arial"/>
          <w:sz w:val="20"/>
          <w:szCs w:val="20"/>
        </w:rPr>
        <w:t xml:space="preserve">and penetration of </w:t>
      </w:r>
      <w:r w:rsidRPr="0040656D">
        <w:rPr>
          <w:rFonts w:cs="Arial"/>
          <w:sz w:val="20"/>
          <w:szCs w:val="20"/>
        </w:rPr>
        <w:t xml:space="preserve">internationally </w:t>
      </w:r>
      <w:r w:rsidR="00773959" w:rsidRPr="0040656D">
        <w:rPr>
          <w:rFonts w:cs="Arial"/>
          <w:sz w:val="20"/>
          <w:szCs w:val="20"/>
        </w:rPr>
        <w:t>recogni</w:t>
      </w:r>
      <w:r w:rsidR="00773959">
        <w:rPr>
          <w:rFonts w:cs="Arial"/>
          <w:sz w:val="20"/>
          <w:szCs w:val="20"/>
        </w:rPr>
        <w:t>s</w:t>
      </w:r>
      <w:r w:rsidR="00773959" w:rsidRPr="0040656D">
        <w:rPr>
          <w:rFonts w:cs="Arial"/>
          <w:sz w:val="20"/>
          <w:szCs w:val="20"/>
        </w:rPr>
        <w:t xml:space="preserve">ed </w:t>
      </w:r>
      <w:r w:rsidRPr="0040656D">
        <w:rPr>
          <w:rFonts w:cs="Arial"/>
          <w:sz w:val="20"/>
          <w:szCs w:val="20"/>
        </w:rPr>
        <w:t>green buildings certification standard</w:t>
      </w:r>
      <w:r w:rsidR="00773959">
        <w:rPr>
          <w:rFonts w:cs="Arial"/>
          <w:sz w:val="20"/>
          <w:szCs w:val="20"/>
        </w:rPr>
        <w:t>s, including IFC’s</w:t>
      </w:r>
      <w:r w:rsidRPr="0040656D">
        <w:rPr>
          <w:rFonts w:cs="Arial"/>
          <w:sz w:val="20"/>
          <w:szCs w:val="20"/>
        </w:rPr>
        <w:t xml:space="preserve"> </w:t>
      </w:r>
      <w:r w:rsidR="00773959">
        <w:rPr>
          <w:rFonts w:cs="Arial"/>
          <w:sz w:val="20"/>
          <w:szCs w:val="20"/>
        </w:rPr>
        <w:t>‘</w:t>
      </w:r>
      <w:r w:rsidRPr="0040656D">
        <w:rPr>
          <w:rFonts w:cs="Arial"/>
          <w:sz w:val="20"/>
          <w:szCs w:val="20"/>
        </w:rPr>
        <w:t>EDGE</w:t>
      </w:r>
      <w:r w:rsidR="00773959">
        <w:rPr>
          <w:rFonts w:cs="Arial"/>
          <w:sz w:val="20"/>
          <w:szCs w:val="20"/>
        </w:rPr>
        <w:t>’ standard</w:t>
      </w:r>
      <w:r w:rsidRPr="0040656D">
        <w:rPr>
          <w:rFonts w:cs="Arial"/>
          <w:sz w:val="20"/>
          <w:szCs w:val="20"/>
        </w:rPr>
        <w:t xml:space="preserve">. </w:t>
      </w:r>
    </w:p>
    <w:p w14:paraId="35CC271B" w14:textId="559AADC7" w:rsidR="00E80F30" w:rsidRDefault="00E80F30" w:rsidP="79D0A378">
      <w:pPr>
        <w:jc w:val="both"/>
        <w:rPr>
          <w:rFonts w:cs="Arial"/>
          <w:b/>
          <w:bCs/>
          <w:i/>
          <w:iCs/>
          <w:sz w:val="20"/>
          <w:szCs w:val="20"/>
        </w:rPr>
      </w:pPr>
      <w:r w:rsidRPr="79D0A378">
        <w:rPr>
          <w:rFonts w:cs="Arial"/>
          <w:sz w:val="20"/>
          <w:szCs w:val="20"/>
        </w:rPr>
        <w:t>Use of t</w:t>
      </w:r>
      <w:r w:rsidR="006A123D" w:rsidRPr="79D0A378">
        <w:rPr>
          <w:rFonts w:cs="Arial"/>
          <w:sz w:val="20"/>
          <w:szCs w:val="20"/>
        </w:rPr>
        <w:t xml:space="preserve">he EDGE Platform </w:t>
      </w:r>
      <w:r w:rsidRPr="79D0A378">
        <w:rPr>
          <w:rFonts w:cs="Arial"/>
          <w:sz w:val="20"/>
          <w:szCs w:val="20"/>
        </w:rPr>
        <w:t xml:space="preserve">to certify </w:t>
      </w:r>
      <w:r w:rsidR="00FA03F6" w:rsidRPr="79D0A378">
        <w:rPr>
          <w:rFonts w:cs="Arial"/>
          <w:sz w:val="20"/>
          <w:szCs w:val="20"/>
        </w:rPr>
        <w:t xml:space="preserve">construction projects has continued to grow strongly. </w:t>
      </w:r>
      <w:r w:rsidR="006A123D" w:rsidRPr="79D0A378">
        <w:rPr>
          <w:rFonts w:cs="Arial"/>
          <w:sz w:val="20"/>
          <w:szCs w:val="20"/>
        </w:rPr>
        <w:t xml:space="preserve">In this reporting period, more than </w:t>
      </w:r>
      <w:r w:rsidR="00762C62" w:rsidRPr="79D0A378">
        <w:rPr>
          <w:rFonts w:cs="Arial"/>
          <w:sz w:val="20"/>
          <w:szCs w:val="20"/>
        </w:rPr>
        <w:t>65</w:t>
      </w:r>
      <w:r w:rsidR="00C77563" w:rsidRPr="79D0A378">
        <w:rPr>
          <w:rFonts w:cs="Arial"/>
          <w:sz w:val="20"/>
          <w:szCs w:val="20"/>
        </w:rPr>
        <w:t xml:space="preserve"> </w:t>
      </w:r>
      <w:r w:rsidR="006A123D" w:rsidRPr="79D0A378">
        <w:rPr>
          <w:rFonts w:cs="Arial"/>
          <w:sz w:val="20"/>
          <w:szCs w:val="20"/>
        </w:rPr>
        <w:t>m</w:t>
      </w:r>
      <w:r w:rsidR="00C77563" w:rsidRPr="79D0A378">
        <w:rPr>
          <w:rFonts w:cs="Arial"/>
          <w:sz w:val="20"/>
          <w:szCs w:val="20"/>
        </w:rPr>
        <w:t>illion</w:t>
      </w:r>
      <w:r w:rsidR="006A123D" w:rsidRPr="79D0A378">
        <w:rPr>
          <w:rFonts w:cs="Arial"/>
          <w:sz w:val="20"/>
          <w:szCs w:val="20"/>
        </w:rPr>
        <w:t xml:space="preserve"> m</w:t>
      </w:r>
      <w:r w:rsidR="00C77563" w:rsidRPr="79D0A378">
        <w:rPr>
          <w:rFonts w:cs="Arial"/>
          <w:sz w:val="20"/>
          <w:szCs w:val="20"/>
          <w:vertAlign w:val="superscript"/>
        </w:rPr>
        <w:t>2</w:t>
      </w:r>
      <w:r w:rsidR="006A123D" w:rsidRPr="79D0A378">
        <w:rPr>
          <w:rFonts w:cs="Arial"/>
          <w:sz w:val="20"/>
          <w:szCs w:val="20"/>
        </w:rPr>
        <w:t xml:space="preserve"> achiev</w:t>
      </w:r>
      <w:r w:rsidR="00C77563" w:rsidRPr="79D0A378">
        <w:rPr>
          <w:rFonts w:cs="Arial"/>
          <w:sz w:val="20"/>
          <w:szCs w:val="20"/>
        </w:rPr>
        <w:t>ed</w:t>
      </w:r>
      <w:r w:rsidR="006A123D" w:rsidRPr="79D0A378">
        <w:rPr>
          <w:rFonts w:cs="Arial"/>
          <w:sz w:val="20"/>
          <w:szCs w:val="20"/>
        </w:rPr>
        <w:t xml:space="preserve"> post-design EDGE Preliminary certification in MAGC countries, against a forecast of </w:t>
      </w:r>
      <w:r w:rsidR="00150BD1" w:rsidRPr="79D0A378">
        <w:rPr>
          <w:rFonts w:cs="Arial"/>
          <w:sz w:val="20"/>
          <w:szCs w:val="20"/>
        </w:rPr>
        <w:t>50</w:t>
      </w:r>
      <w:r w:rsidR="004E76F5" w:rsidRPr="79D0A378">
        <w:rPr>
          <w:rFonts w:cs="Arial"/>
          <w:sz w:val="20"/>
          <w:szCs w:val="20"/>
        </w:rPr>
        <w:t xml:space="preserve"> </w:t>
      </w:r>
      <w:r w:rsidR="006A123D" w:rsidRPr="79D0A378">
        <w:rPr>
          <w:rFonts w:cs="Arial"/>
          <w:sz w:val="20"/>
          <w:szCs w:val="20"/>
        </w:rPr>
        <w:t>m</w:t>
      </w:r>
      <w:r w:rsidR="004E76F5" w:rsidRPr="79D0A378">
        <w:rPr>
          <w:rFonts w:cs="Arial"/>
          <w:sz w:val="20"/>
          <w:szCs w:val="20"/>
        </w:rPr>
        <w:t>illion</w:t>
      </w:r>
      <w:r w:rsidR="006A123D" w:rsidRPr="79D0A378">
        <w:rPr>
          <w:rFonts w:cs="Arial"/>
          <w:sz w:val="20"/>
          <w:szCs w:val="20"/>
        </w:rPr>
        <w:t xml:space="preserve"> </w:t>
      </w:r>
      <w:r w:rsidR="004E76F5" w:rsidRPr="79D0A378">
        <w:rPr>
          <w:rFonts w:cs="Arial"/>
          <w:sz w:val="20"/>
          <w:szCs w:val="20"/>
        </w:rPr>
        <w:t>m</w:t>
      </w:r>
      <w:r w:rsidR="004E76F5" w:rsidRPr="79D0A378">
        <w:rPr>
          <w:rFonts w:cs="Arial"/>
          <w:sz w:val="20"/>
          <w:szCs w:val="20"/>
          <w:vertAlign w:val="superscript"/>
        </w:rPr>
        <w:t>2</w:t>
      </w:r>
      <w:r w:rsidR="006A123D" w:rsidRPr="79D0A378">
        <w:rPr>
          <w:rFonts w:cs="Arial"/>
          <w:sz w:val="20"/>
          <w:szCs w:val="20"/>
        </w:rPr>
        <w:t xml:space="preserve">. </w:t>
      </w:r>
      <w:r w:rsidR="00150BD1" w:rsidRPr="79D0A378">
        <w:rPr>
          <w:rFonts w:cs="Arial"/>
          <w:sz w:val="20"/>
          <w:szCs w:val="20"/>
        </w:rPr>
        <w:t>In addition, we have seen the largest growth of EDGE Advanced certifications in the programme lifetime so far, reaching 16 million m</w:t>
      </w:r>
      <w:r w:rsidR="00150BD1" w:rsidRPr="79D0A378">
        <w:rPr>
          <w:rFonts w:cs="Arial"/>
          <w:sz w:val="20"/>
          <w:szCs w:val="20"/>
          <w:vertAlign w:val="superscript"/>
        </w:rPr>
        <w:t xml:space="preserve">2 </w:t>
      </w:r>
      <w:r w:rsidR="00150BD1" w:rsidRPr="79D0A378">
        <w:rPr>
          <w:rFonts w:cs="Arial"/>
          <w:sz w:val="20"/>
          <w:szCs w:val="20"/>
        </w:rPr>
        <w:t xml:space="preserve">in MAGC countries. </w:t>
      </w:r>
      <w:r w:rsidR="001658CF" w:rsidRPr="79D0A378">
        <w:rPr>
          <w:rFonts w:cs="Arial"/>
          <w:sz w:val="20"/>
          <w:szCs w:val="20"/>
        </w:rPr>
        <w:t xml:space="preserve">With the additional </w:t>
      </w:r>
      <w:r w:rsidR="00DD2E88" w:rsidRPr="79D0A378">
        <w:rPr>
          <w:rFonts w:cs="Arial"/>
          <w:sz w:val="20"/>
          <w:szCs w:val="20"/>
        </w:rPr>
        <w:t>£</w:t>
      </w:r>
      <w:r w:rsidR="5EE9B5EC" w:rsidRPr="79D0A378">
        <w:rPr>
          <w:rFonts w:cs="Arial"/>
          <w:sz w:val="20"/>
          <w:szCs w:val="20"/>
        </w:rPr>
        <w:t>10.7</w:t>
      </w:r>
      <w:r w:rsidR="00DD2E88" w:rsidRPr="79D0A378">
        <w:rPr>
          <w:rFonts w:cs="Arial"/>
          <w:sz w:val="20"/>
          <w:szCs w:val="20"/>
        </w:rPr>
        <w:t xml:space="preserve"> million (US</w:t>
      </w:r>
      <w:r w:rsidR="00C741F9" w:rsidRPr="79D0A378">
        <w:rPr>
          <w:rFonts w:cs="Arial"/>
          <w:sz w:val="20"/>
          <w:szCs w:val="20"/>
        </w:rPr>
        <w:t>$</w:t>
      </w:r>
      <w:r w:rsidR="396CBC07" w:rsidRPr="79D0A378">
        <w:rPr>
          <w:rFonts w:cs="Arial"/>
          <w:sz w:val="20"/>
          <w:szCs w:val="20"/>
        </w:rPr>
        <w:t>13</w:t>
      </w:r>
      <w:r w:rsidR="00C741F9" w:rsidRPr="79D0A378">
        <w:rPr>
          <w:rFonts w:cs="Arial"/>
          <w:sz w:val="20"/>
          <w:szCs w:val="20"/>
        </w:rPr>
        <w:t xml:space="preserve"> million) </w:t>
      </w:r>
      <w:r w:rsidR="001658CF" w:rsidRPr="79D0A378">
        <w:rPr>
          <w:rFonts w:cs="Arial"/>
          <w:sz w:val="20"/>
          <w:szCs w:val="20"/>
        </w:rPr>
        <w:t xml:space="preserve">funding provided in </w:t>
      </w:r>
      <w:r w:rsidR="7762C4A1" w:rsidRPr="79D0A378">
        <w:rPr>
          <w:rFonts w:cs="Arial"/>
          <w:sz w:val="20"/>
          <w:szCs w:val="20"/>
        </w:rPr>
        <w:t xml:space="preserve">the previous </w:t>
      </w:r>
      <w:r w:rsidR="001658CF" w:rsidRPr="79D0A378">
        <w:rPr>
          <w:rFonts w:cs="Arial"/>
          <w:sz w:val="20"/>
          <w:szCs w:val="20"/>
        </w:rPr>
        <w:t xml:space="preserve">reporting period, we have also seen the expansion of EDGE work into APEX platform development and EDGE for </w:t>
      </w:r>
      <w:r w:rsidR="00FD35FC" w:rsidRPr="79D0A378">
        <w:rPr>
          <w:rFonts w:cs="Arial"/>
          <w:sz w:val="20"/>
          <w:szCs w:val="20"/>
        </w:rPr>
        <w:t>self-build</w:t>
      </w:r>
      <w:r w:rsidR="001658CF" w:rsidRPr="79D0A378">
        <w:rPr>
          <w:rFonts w:cs="Arial"/>
          <w:sz w:val="20"/>
          <w:szCs w:val="20"/>
        </w:rPr>
        <w:t xml:space="preserve"> homes development, focusing </w:t>
      </w:r>
      <w:r w:rsidR="004A1D32" w:rsidRPr="79D0A378">
        <w:rPr>
          <w:rFonts w:cs="Arial"/>
          <w:sz w:val="20"/>
          <w:szCs w:val="20"/>
        </w:rPr>
        <w:t>on</w:t>
      </w:r>
      <w:r w:rsidR="001658CF" w:rsidRPr="79D0A378">
        <w:rPr>
          <w:rFonts w:cs="Arial"/>
          <w:sz w:val="20"/>
          <w:szCs w:val="20"/>
        </w:rPr>
        <w:t xml:space="preserve"> India and 5 cities in Asia ahead of schedule.</w:t>
      </w:r>
    </w:p>
    <w:p w14:paraId="34A3207A" w14:textId="17376F41" w:rsidR="79D0A378" w:rsidRDefault="79D0A378" w:rsidP="79D0A378">
      <w:pPr>
        <w:jc w:val="both"/>
        <w:rPr>
          <w:rFonts w:cs="Arial"/>
          <w:sz w:val="20"/>
          <w:szCs w:val="20"/>
        </w:rPr>
      </w:pPr>
    </w:p>
    <w:p w14:paraId="4826CC42" w14:textId="5682E9A3" w:rsidR="00657117" w:rsidRDefault="006A123D" w:rsidP="598F9DB5">
      <w:pPr>
        <w:spacing w:after="240"/>
        <w:jc w:val="both"/>
        <w:rPr>
          <w:rFonts w:cs="Arial"/>
          <w:b/>
          <w:bCs/>
          <w:i/>
          <w:iCs/>
          <w:sz w:val="20"/>
          <w:szCs w:val="20"/>
        </w:rPr>
      </w:pPr>
      <w:r w:rsidRPr="598F9DB5">
        <w:rPr>
          <w:rFonts w:cs="Arial"/>
          <w:b/>
          <w:bCs/>
          <w:i/>
          <w:iCs/>
          <w:sz w:val="20"/>
          <w:szCs w:val="20"/>
        </w:rPr>
        <w:t>Component 4: MAGC Research</w:t>
      </w:r>
    </w:p>
    <w:p w14:paraId="2423E580" w14:textId="0CF0621A" w:rsidR="006A123D" w:rsidRPr="00657117" w:rsidRDefault="006A123D" w:rsidP="000C48FF">
      <w:pPr>
        <w:spacing w:after="240"/>
        <w:jc w:val="both"/>
        <w:rPr>
          <w:rFonts w:cs="Arial"/>
          <w:b/>
          <w:bCs/>
          <w:i/>
          <w:iCs/>
          <w:sz w:val="20"/>
          <w:szCs w:val="20"/>
        </w:rPr>
      </w:pPr>
      <w:r w:rsidRPr="2F8D22E3">
        <w:rPr>
          <w:rFonts w:cs="Arial"/>
          <w:sz w:val="20"/>
          <w:szCs w:val="20"/>
        </w:rPr>
        <w:t xml:space="preserve">The Research component is delivering in line with expectations. </w:t>
      </w:r>
      <w:r w:rsidR="00053CA6" w:rsidRPr="2F8D22E3">
        <w:rPr>
          <w:rFonts w:cs="Arial"/>
          <w:sz w:val="20"/>
          <w:szCs w:val="20"/>
        </w:rPr>
        <w:t xml:space="preserve">There is very limited related research available on green buildings that is contextually relevant for emerging markets and so </w:t>
      </w:r>
      <w:r w:rsidR="0076377B" w:rsidRPr="2F8D22E3">
        <w:rPr>
          <w:rFonts w:cs="Arial"/>
          <w:sz w:val="20"/>
          <w:szCs w:val="20"/>
        </w:rPr>
        <w:t>far,</w:t>
      </w:r>
      <w:r w:rsidR="00053CA6" w:rsidRPr="2F8D22E3">
        <w:rPr>
          <w:rFonts w:cs="Arial"/>
          <w:sz w:val="20"/>
          <w:szCs w:val="20"/>
        </w:rPr>
        <w:t xml:space="preserve"> </w:t>
      </w:r>
      <w:r w:rsidR="00250220" w:rsidRPr="2F8D22E3">
        <w:rPr>
          <w:rFonts w:cs="Arial"/>
          <w:sz w:val="20"/>
          <w:szCs w:val="20"/>
        </w:rPr>
        <w:t>response to report dissemination has been positive.</w:t>
      </w:r>
      <w:r w:rsidR="004177B0" w:rsidRPr="2F8D22E3">
        <w:rPr>
          <w:rFonts w:cs="Arial"/>
          <w:sz w:val="20"/>
          <w:szCs w:val="20"/>
        </w:rPr>
        <w:t xml:space="preserve"> </w:t>
      </w:r>
      <w:r w:rsidR="00EE17D5" w:rsidRPr="2F8D22E3">
        <w:rPr>
          <w:rFonts w:cs="Arial"/>
          <w:sz w:val="20"/>
          <w:szCs w:val="20"/>
        </w:rPr>
        <w:t>For example</w:t>
      </w:r>
      <w:r w:rsidR="00F521F0" w:rsidRPr="2F8D22E3">
        <w:rPr>
          <w:rFonts w:cs="Arial"/>
          <w:sz w:val="20"/>
          <w:szCs w:val="20"/>
        </w:rPr>
        <w:t>, 11 Green Building Initiatives utilise</w:t>
      </w:r>
      <w:r w:rsidRPr="2F8D22E3">
        <w:rPr>
          <w:rFonts w:cs="Arial"/>
          <w:sz w:val="20"/>
          <w:szCs w:val="20"/>
        </w:rPr>
        <w:t xml:space="preserve"> </w:t>
      </w:r>
      <w:r w:rsidR="00F521F0" w:rsidRPr="2F8D22E3">
        <w:rPr>
          <w:rFonts w:cs="Arial"/>
          <w:sz w:val="20"/>
          <w:szCs w:val="20"/>
        </w:rPr>
        <w:t xml:space="preserve">MAGC Research products, exceeding the year target of 8. </w:t>
      </w:r>
      <w:r w:rsidR="0097038C" w:rsidRPr="2F8D22E3">
        <w:rPr>
          <w:sz w:val="20"/>
          <w:szCs w:val="20"/>
        </w:rPr>
        <w:t xml:space="preserve">Targets relating to </w:t>
      </w:r>
      <w:r w:rsidR="0097038C" w:rsidRPr="2F8D22E3">
        <w:rPr>
          <w:rFonts w:cs="Arial"/>
          <w:sz w:val="20"/>
          <w:szCs w:val="20"/>
        </w:rPr>
        <w:t>survey respondents (attending MAGC Research events) reporting increased knowledge of certified green building</w:t>
      </w:r>
      <w:r w:rsidR="0097038C" w:rsidRPr="2F8D22E3">
        <w:rPr>
          <w:sz w:val="20"/>
          <w:szCs w:val="20"/>
        </w:rPr>
        <w:t xml:space="preserve">s were missed, due to insufficient survey data. As a recommendation for the year ahead (Recommendation </w:t>
      </w:r>
      <w:r w:rsidR="17D1ED01" w:rsidRPr="2F8D22E3">
        <w:rPr>
          <w:sz w:val="20"/>
          <w:szCs w:val="20"/>
        </w:rPr>
        <w:t>4</w:t>
      </w:r>
      <w:r w:rsidR="0097038C" w:rsidRPr="2F8D22E3">
        <w:rPr>
          <w:sz w:val="20"/>
          <w:szCs w:val="20"/>
        </w:rPr>
        <w:t xml:space="preserve">), DESNZ will expect IFC to introduce necessary steps, such as co-hosting events to ensure satisfaction surveys are provided and the necessary data is captured. </w:t>
      </w:r>
    </w:p>
    <w:p w14:paraId="70CB002F" w14:textId="1BECFBFE" w:rsidR="006A123D" w:rsidRPr="0040656D" w:rsidRDefault="006A123D" w:rsidP="79D0A378">
      <w:pPr>
        <w:spacing w:after="240"/>
        <w:contextualSpacing/>
        <w:jc w:val="both"/>
        <w:rPr>
          <w:rFonts w:eastAsiaTheme="minorEastAsia" w:cs="Arial"/>
          <w:color w:val="000000" w:themeColor="text1"/>
          <w:sz w:val="20"/>
          <w:szCs w:val="20"/>
          <w:lang w:val="en-US"/>
        </w:rPr>
        <w:sectPr w:rsidR="006A123D" w:rsidRPr="0040656D" w:rsidSect="00840DEE">
          <w:headerReference w:type="default" r:id="rId22"/>
          <w:footerReference w:type="even" r:id="rId23"/>
          <w:footerReference w:type="default" r:id="rId24"/>
          <w:footerReference w:type="first" r:id="rId25"/>
          <w:pgSz w:w="11906" w:h="16838"/>
          <w:pgMar w:top="709" w:right="1440" w:bottom="709" w:left="1440" w:header="708" w:footer="708" w:gutter="0"/>
          <w:cols w:space="708"/>
          <w:docGrid w:linePitch="360"/>
        </w:sectPr>
      </w:pPr>
      <w:r w:rsidRPr="79D0A378">
        <w:rPr>
          <w:rFonts w:cs="Arial"/>
          <w:sz w:val="20"/>
          <w:szCs w:val="20"/>
        </w:rPr>
        <w:t xml:space="preserve">The Smart Metering Study </w:t>
      </w:r>
      <w:r w:rsidR="00C217FC" w:rsidRPr="79D0A378">
        <w:rPr>
          <w:rFonts w:cs="Arial"/>
          <w:sz w:val="20"/>
          <w:szCs w:val="20"/>
        </w:rPr>
        <w:t>that MAGC is funding in South Africa</w:t>
      </w:r>
      <w:r w:rsidR="00B179C3" w:rsidRPr="79D0A378">
        <w:rPr>
          <w:rFonts w:cs="Arial"/>
          <w:sz w:val="20"/>
          <w:szCs w:val="20"/>
        </w:rPr>
        <w:t>, Indonesia, and Colombia</w:t>
      </w:r>
      <w:r w:rsidR="00C217FC" w:rsidRPr="79D0A378">
        <w:rPr>
          <w:rFonts w:cs="Arial"/>
          <w:sz w:val="20"/>
          <w:szCs w:val="20"/>
        </w:rPr>
        <w:t xml:space="preserve"> </w:t>
      </w:r>
      <w:r w:rsidRPr="79D0A378">
        <w:rPr>
          <w:rFonts w:cs="Arial"/>
          <w:sz w:val="20"/>
          <w:szCs w:val="20"/>
        </w:rPr>
        <w:t>is a first of its kind</w:t>
      </w:r>
      <w:r w:rsidR="00731B3B" w:rsidRPr="79D0A378">
        <w:rPr>
          <w:rFonts w:cs="Arial"/>
          <w:sz w:val="20"/>
          <w:szCs w:val="20"/>
        </w:rPr>
        <w:t xml:space="preserve"> assessing water and energy consumption of residential units in EDGE certified buildings compared to conventional buildings as well as the EDGE model</w:t>
      </w:r>
      <w:r w:rsidR="00635EE5" w:rsidRPr="79D0A378">
        <w:rPr>
          <w:rFonts w:cs="Arial"/>
          <w:sz w:val="20"/>
          <w:szCs w:val="20"/>
        </w:rPr>
        <w:t xml:space="preserve">. </w:t>
      </w:r>
      <w:r w:rsidR="00731B3B" w:rsidRPr="79D0A378">
        <w:rPr>
          <w:rFonts w:cs="Arial"/>
          <w:sz w:val="20"/>
          <w:szCs w:val="20"/>
        </w:rPr>
        <w:t>MAGC Research will conduct</w:t>
      </w:r>
      <w:r w:rsidR="00635EE5" w:rsidRPr="79D0A378">
        <w:rPr>
          <w:rFonts w:cs="Arial"/>
          <w:sz w:val="20"/>
          <w:szCs w:val="20"/>
        </w:rPr>
        <w:t xml:space="preserve"> </w:t>
      </w:r>
      <w:r w:rsidRPr="79D0A378">
        <w:rPr>
          <w:rFonts w:cs="Arial"/>
          <w:sz w:val="20"/>
          <w:szCs w:val="20"/>
        </w:rPr>
        <w:t xml:space="preserve">three smart metering studies </w:t>
      </w:r>
      <w:r w:rsidR="00731B3B" w:rsidRPr="79D0A378">
        <w:rPr>
          <w:rFonts w:cs="Arial"/>
          <w:sz w:val="20"/>
          <w:szCs w:val="20"/>
        </w:rPr>
        <w:t>across</w:t>
      </w:r>
      <w:r w:rsidRPr="79D0A378">
        <w:rPr>
          <w:rFonts w:cs="Arial"/>
          <w:sz w:val="20"/>
          <w:szCs w:val="20"/>
        </w:rPr>
        <w:t xml:space="preserve"> different </w:t>
      </w:r>
      <w:r w:rsidR="00731B3B" w:rsidRPr="79D0A378">
        <w:rPr>
          <w:rFonts w:cs="Arial"/>
          <w:sz w:val="20"/>
          <w:szCs w:val="20"/>
        </w:rPr>
        <w:t xml:space="preserve">building and apartment </w:t>
      </w:r>
      <w:r w:rsidRPr="79D0A378">
        <w:rPr>
          <w:rFonts w:cs="Arial"/>
          <w:sz w:val="20"/>
          <w:szCs w:val="20"/>
        </w:rPr>
        <w:t xml:space="preserve">types, </w:t>
      </w:r>
      <w:r w:rsidR="00731B3B" w:rsidRPr="79D0A378">
        <w:rPr>
          <w:rFonts w:cs="Arial"/>
          <w:sz w:val="20"/>
          <w:szCs w:val="20"/>
        </w:rPr>
        <w:t xml:space="preserve">geographic </w:t>
      </w:r>
      <w:r w:rsidRPr="79D0A378">
        <w:rPr>
          <w:rFonts w:cs="Arial"/>
          <w:sz w:val="20"/>
          <w:szCs w:val="20"/>
        </w:rPr>
        <w:t>regions, and climatic zones.</w:t>
      </w:r>
      <w:r w:rsidRPr="79D0A378">
        <w:rPr>
          <w:rFonts w:cs="Arial"/>
        </w:rPr>
        <w:t xml:space="preserve"> </w:t>
      </w:r>
      <w:r w:rsidRPr="79D0A378">
        <w:rPr>
          <w:rFonts w:cs="Arial"/>
          <w:sz w:val="20"/>
          <w:szCs w:val="20"/>
        </w:rPr>
        <w:t xml:space="preserve">The objective of the Study is to learn </w:t>
      </w:r>
      <w:r w:rsidR="008201A3" w:rsidRPr="79D0A378">
        <w:rPr>
          <w:rFonts w:cs="Arial"/>
          <w:sz w:val="20"/>
          <w:szCs w:val="20"/>
        </w:rPr>
        <w:t>to what extent savings vary by building type, over time and between different green solutions</w:t>
      </w:r>
      <w:r w:rsidRPr="79D0A378">
        <w:rPr>
          <w:rFonts w:cs="Arial"/>
          <w:sz w:val="20"/>
          <w:szCs w:val="20"/>
        </w:rPr>
        <w:t xml:space="preserve"> and improve the </w:t>
      </w:r>
      <w:r w:rsidR="008201A3" w:rsidRPr="79D0A378">
        <w:rPr>
          <w:rFonts w:cs="Arial"/>
          <w:sz w:val="20"/>
          <w:szCs w:val="20"/>
        </w:rPr>
        <w:t xml:space="preserve">accuracy of the EDGE model and </w:t>
      </w:r>
      <w:r w:rsidRPr="79D0A378">
        <w:rPr>
          <w:rFonts w:cs="Arial"/>
          <w:sz w:val="20"/>
          <w:szCs w:val="20"/>
        </w:rPr>
        <w:t xml:space="preserve">green building certification systems in emerging and developing markets with respect to energy and </w:t>
      </w:r>
      <w:r w:rsidR="008201A3" w:rsidRPr="79D0A378">
        <w:rPr>
          <w:rFonts w:cs="Arial"/>
          <w:sz w:val="20"/>
          <w:szCs w:val="20"/>
        </w:rPr>
        <w:t xml:space="preserve">water </w:t>
      </w:r>
      <w:r w:rsidRPr="79D0A378">
        <w:rPr>
          <w:rFonts w:cs="Arial"/>
          <w:sz w:val="20"/>
          <w:szCs w:val="20"/>
        </w:rPr>
        <w:t xml:space="preserve">savings. </w:t>
      </w:r>
    </w:p>
    <w:p w14:paraId="36D2ECA2" w14:textId="77777777" w:rsidR="006A123D" w:rsidRPr="0040656D" w:rsidRDefault="006A123D" w:rsidP="00657117">
      <w:pPr>
        <w:spacing w:after="240"/>
        <w:rPr>
          <w:rFonts w:cs="Arial"/>
          <w:b/>
          <w:sz w:val="20"/>
          <w:szCs w:val="20"/>
        </w:rPr>
      </w:pPr>
      <w:r w:rsidRPr="00A2619B">
        <w:rPr>
          <w:rFonts w:cs="Arial"/>
          <w:b/>
          <w:sz w:val="20"/>
          <w:szCs w:val="20"/>
        </w:rPr>
        <w:lastRenderedPageBreak/>
        <w:t>Progress against recommendations from the last review</w:t>
      </w:r>
    </w:p>
    <w:tbl>
      <w:tblPr>
        <w:tblStyle w:val="TableGrid"/>
        <w:tblW w:w="1504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95"/>
        <w:gridCol w:w="5970"/>
        <w:gridCol w:w="8578"/>
      </w:tblGrid>
      <w:tr w:rsidR="006A123D" w:rsidRPr="00CE3487" w14:paraId="702A9F25" w14:textId="77777777" w:rsidTr="7934F405">
        <w:tc>
          <w:tcPr>
            <w:tcW w:w="495" w:type="dxa"/>
            <w:shd w:val="clear" w:color="auto" w:fill="A5C9EB" w:themeFill="text2" w:themeFillTint="40"/>
          </w:tcPr>
          <w:p w14:paraId="54CCC982" w14:textId="77777777" w:rsidR="006A123D" w:rsidRPr="00CE3487" w:rsidRDefault="006A123D" w:rsidP="00657117">
            <w:pPr>
              <w:spacing w:after="240"/>
              <w:rPr>
                <w:rFonts w:cs="Arial"/>
                <w:b/>
                <w:sz w:val="20"/>
                <w:szCs w:val="20"/>
              </w:rPr>
            </w:pPr>
            <w:r w:rsidRPr="00CE3487">
              <w:rPr>
                <w:rFonts w:cs="Arial"/>
                <w:b/>
                <w:sz w:val="20"/>
                <w:szCs w:val="20"/>
              </w:rPr>
              <w:t>ID</w:t>
            </w:r>
          </w:p>
        </w:tc>
        <w:tc>
          <w:tcPr>
            <w:tcW w:w="5970" w:type="dxa"/>
            <w:shd w:val="clear" w:color="auto" w:fill="A5C9EB" w:themeFill="text2" w:themeFillTint="40"/>
          </w:tcPr>
          <w:p w14:paraId="4F5B6514" w14:textId="77777777" w:rsidR="006A123D" w:rsidRPr="00CE3487" w:rsidRDefault="006A123D" w:rsidP="00657117">
            <w:pPr>
              <w:spacing w:after="240"/>
              <w:rPr>
                <w:rFonts w:cs="Arial"/>
                <w:b/>
                <w:sz w:val="20"/>
                <w:szCs w:val="20"/>
              </w:rPr>
            </w:pPr>
            <w:r w:rsidRPr="00CE3487">
              <w:rPr>
                <w:rFonts w:cs="Arial"/>
                <w:b/>
                <w:sz w:val="20"/>
                <w:szCs w:val="20"/>
              </w:rPr>
              <w:t>Recommendation</w:t>
            </w:r>
          </w:p>
        </w:tc>
        <w:tc>
          <w:tcPr>
            <w:tcW w:w="8578" w:type="dxa"/>
            <w:shd w:val="clear" w:color="auto" w:fill="A5C9EB" w:themeFill="text2" w:themeFillTint="40"/>
          </w:tcPr>
          <w:p w14:paraId="00419CD7" w14:textId="77777777" w:rsidR="006A123D" w:rsidRPr="00CE3487" w:rsidRDefault="006A123D" w:rsidP="00657117">
            <w:pPr>
              <w:spacing w:after="240"/>
              <w:rPr>
                <w:rFonts w:cs="Arial"/>
                <w:b/>
                <w:sz w:val="20"/>
                <w:szCs w:val="20"/>
              </w:rPr>
            </w:pPr>
            <w:r w:rsidRPr="00CE3487">
              <w:rPr>
                <w:rFonts w:cs="Arial"/>
                <w:b/>
                <w:sz w:val="20"/>
                <w:szCs w:val="20"/>
              </w:rPr>
              <w:t>Progress</w:t>
            </w:r>
          </w:p>
        </w:tc>
      </w:tr>
      <w:tr w:rsidR="00666E38" w:rsidRPr="00CE3487" w14:paraId="0EEF7C03" w14:textId="77777777" w:rsidTr="7934F405">
        <w:trPr>
          <w:trHeight w:val="5310"/>
        </w:trPr>
        <w:tc>
          <w:tcPr>
            <w:tcW w:w="495" w:type="dxa"/>
          </w:tcPr>
          <w:p w14:paraId="2E2853BE" w14:textId="77777777" w:rsidR="00666E38" w:rsidRPr="00CE3487" w:rsidRDefault="00666E38" w:rsidP="00657117">
            <w:pPr>
              <w:spacing w:after="240"/>
              <w:rPr>
                <w:rFonts w:cs="Arial"/>
                <w:b/>
                <w:sz w:val="20"/>
                <w:szCs w:val="20"/>
              </w:rPr>
            </w:pPr>
            <w:r w:rsidRPr="00CE3487">
              <w:rPr>
                <w:rFonts w:cs="Arial"/>
                <w:sz w:val="20"/>
                <w:szCs w:val="20"/>
              </w:rPr>
              <w:t>1</w:t>
            </w:r>
          </w:p>
        </w:tc>
        <w:tc>
          <w:tcPr>
            <w:tcW w:w="5970" w:type="dxa"/>
          </w:tcPr>
          <w:p w14:paraId="288C540D" w14:textId="77777777" w:rsidR="00666E38" w:rsidRDefault="00666E38" w:rsidP="00657117">
            <w:pPr>
              <w:pStyle w:val="Paragraph"/>
              <w:spacing w:after="240"/>
              <w:rPr>
                <w:b/>
                <w:bCs/>
                <w:sz w:val="20"/>
                <w:szCs w:val="20"/>
              </w:rPr>
            </w:pPr>
            <w:r w:rsidRPr="002A0888">
              <w:rPr>
                <w:b/>
                <w:bCs/>
                <w:sz w:val="20"/>
                <w:szCs w:val="20"/>
              </w:rPr>
              <w:t>Country Engagement</w:t>
            </w:r>
            <w:r>
              <w:rPr>
                <w:b/>
                <w:bCs/>
                <w:sz w:val="20"/>
                <w:szCs w:val="20"/>
              </w:rPr>
              <w:t xml:space="preserve">. </w:t>
            </w:r>
          </w:p>
          <w:p w14:paraId="2A813DC2" w14:textId="77777777" w:rsidR="00666E38" w:rsidRDefault="00666E38" w:rsidP="00657117">
            <w:pPr>
              <w:pStyle w:val="Paragraph"/>
              <w:spacing w:after="240"/>
              <w:rPr>
                <w:rStyle w:val="normaltextrun"/>
                <w:rFonts w:eastAsiaTheme="majorEastAsia"/>
                <w:color w:val="000000"/>
                <w:sz w:val="20"/>
                <w:szCs w:val="20"/>
                <w:shd w:val="clear" w:color="auto" w:fill="FFFFFF"/>
              </w:rPr>
            </w:pPr>
            <w:r>
              <w:rPr>
                <w:rStyle w:val="normaltextrun"/>
                <w:rFonts w:eastAsiaTheme="majorEastAsia"/>
                <w:color w:val="000000"/>
                <w:sz w:val="20"/>
                <w:szCs w:val="20"/>
                <w:shd w:val="clear" w:color="auto" w:fill="FFFFFF"/>
              </w:rPr>
              <w:t>DESNZ to develop a systematic engagement strategy to strengthen engagement with teams at Post to better enable MAGC to deliver high-impact transformational change in priority ICF countries. This will include:</w:t>
            </w:r>
          </w:p>
          <w:p w14:paraId="3B2AF672" w14:textId="77777777" w:rsidR="00666E38" w:rsidRPr="002A0888" w:rsidRDefault="00666E38" w:rsidP="00657117">
            <w:pPr>
              <w:pStyle w:val="Paragraph"/>
              <w:numPr>
                <w:ilvl w:val="0"/>
                <w:numId w:val="28"/>
              </w:numPr>
              <w:spacing w:after="240"/>
              <w:rPr>
                <w:rStyle w:val="normaltextrun"/>
                <w:b/>
                <w:bCs/>
                <w:sz w:val="20"/>
                <w:szCs w:val="20"/>
              </w:rPr>
            </w:pPr>
            <w:r>
              <w:rPr>
                <w:rStyle w:val="normaltextrun"/>
                <w:rFonts w:eastAsiaTheme="majorEastAsia"/>
                <w:color w:val="000000"/>
                <w:sz w:val="20"/>
                <w:szCs w:val="20"/>
                <w:shd w:val="clear" w:color="auto" w:fill="FFFFFF"/>
              </w:rPr>
              <w:t>Heat map – to better understand the level of teams at Post engagement with MAGC and opportunity for engagement in the future. This should include an assessment of national/regional opportunities to influence green buildings policy, as well as promotional events to increase EDGE uptake.</w:t>
            </w:r>
            <w:r>
              <w:rPr>
                <w:rStyle w:val="eop"/>
                <w:rFonts w:eastAsiaTheme="majorEastAsia"/>
                <w:color w:val="000000"/>
                <w:sz w:val="20"/>
                <w:szCs w:val="20"/>
                <w:shd w:val="clear" w:color="auto" w:fill="FFFFFF"/>
              </w:rPr>
              <w:t> </w:t>
            </w:r>
          </w:p>
          <w:p w14:paraId="7A3D4B60" w14:textId="77777777" w:rsidR="00666E38" w:rsidRPr="002A0888" w:rsidRDefault="00666E38" w:rsidP="00657117">
            <w:pPr>
              <w:pStyle w:val="Paragraph"/>
              <w:numPr>
                <w:ilvl w:val="0"/>
                <w:numId w:val="28"/>
              </w:numPr>
              <w:spacing w:after="240"/>
              <w:rPr>
                <w:rStyle w:val="normaltextrun"/>
                <w:b/>
                <w:bCs/>
                <w:sz w:val="20"/>
                <w:szCs w:val="20"/>
              </w:rPr>
            </w:pPr>
            <w:r>
              <w:rPr>
                <w:rStyle w:val="normaltextrun"/>
                <w:rFonts w:eastAsiaTheme="majorEastAsia"/>
                <w:color w:val="000000"/>
                <w:sz w:val="20"/>
                <w:szCs w:val="20"/>
                <w:shd w:val="clear" w:color="auto" w:fill="FFFFFF"/>
              </w:rPr>
              <w:t xml:space="preserve">Policy map – capturing green construction policy environment in each MAGC country and opportunity for intervention, through Posts and IFC in-country teams.  </w:t>
            </w:r>
          </w:p>
          <w:p w14:paraId="5C216747" w14:textId="624EA8BD" w:rsidR="00666E38" w:rsidRPr="008E5FC7" w:rsidRDefault="00666E38" w:rsidP="00657117">
            <w:pPr>
              <w:pStyle w:val="Paragraph"/>
              <w:numPr>
                <w:ilvl w:val="0"/>
                <w:numId w:val="28"/>
              </w:numPr>
              <w:spacing w:after="240"/>
              <w:rPr>
                <w:b/>
                <w:bCs/>
                <w:sz w:val="20"/>
                <w:szCs w:val="20"/>
              </w:rPr>
            </w:pPr>
            <w:r>
              <w:rPr>
                <w:sz w:val="20"/>
                <w:szCs w:val="20"/>
              </w:rPr>
              <w:t>Communications group – establish Quarterly newsletter and bi-annual strategic working group with relevant teams in Posts to share lessons learned and opportunities.</w:t>
            </w:r>
          </w:p>
        </w:tc>
        <w:tc>
          <w:tcPr>
            <w:tcW w:w="8578" w:type="dxa"/>
          </w:tcPr>
          <w:p w14:paraId="08840509" w14:textId="7EAC4AC0" w:rsidR="00666E38" w:rsidRPr="00D3137E" w:rsidRDefault="00666E38" w:rsidP="00D3137E">
            <w:pPr>
              <w:pStyle w:val="Paragraph"/>
              <w:spacing w:after="240"/>
              <w:rPr>
                <w:b/>
                <w:bCs/>
                <w:i/>
                <w:iCs/>
                <w:sz w:val="20"/>
                <w:szCs w:val="20"/>
              </w:rPr>
            </w:pPr>
            <w:r w:rsidRPr="00D3137E">
              <w:rPr>
                <w:b/>
                <w:bCs/>
                <w:i/>
                <w:iCs/>
                <w:sz w:val="20"/>
                <w:szCs w:val="20"/>
              </w:rPr>
              <w:t xml:space="preserve">Partially Achieved – </w:t>
            </w:r>
            <w:r w:rsidR="006F1D6D" w:rsidRPr="00D3137E">
              <w:rPr>
                <w:b/>
                <w:bCs/>
                <w:i/>
                <w:iCs/>
                <w:sz w:val="20"/>
                <w:szCs w:val="20"/>
              </w:rPr>
              <w:t>Deprioritised</w:t>
            </w:r>
            <w:r w:rsidRPr="00D3137E">
              <w:rPr>
                <w:b/>
                <w:bCs/>
                <w:i/>
                <w:iCs/>
                <w:sz w:val="20"/>
                <w:szCs w:val="20"/>
              </w:rPr>
              <w:t xml:space="preserve">. </w:t>
            </w:r>
          </w:p>
          <w:p w14:paraId="299A4AC7" w14:textId="4C59F979" w:rsidR="00A2619B" w:rsidRPr="00CE3487" w:rsidRDefault="00A2619B" w:rsidP="00657117">
            <w:pPr>
              <w:pStyle w:val="paragraph0"/>
              <w:spacing w:before="0" w:beforeAutospacing="0" w:after="240" w:afterAutospacing="0"/>
              <w:jc w:val="both"/>
              <w:textAlignment w:val="baseline"/>
              <w:rPr>
                <w:rFonts w:ascii="Arial" w:hAnsi="Arial" w:cs="Arial"/>
                <w:sz w:val="20"/>
                <w:szCs w:val="20"/>
              </w:rPr>
            </w:pPr>
            <w:r>
              <w:rPr>
                <w:rFonts w:ascii="Arial" w:hAnsi="Arial" w:cs="Arial"/>
                <w:sz w:val="20"/>
                <w:szCs w:val="20"/>
              </w:rPr>
              <w:t xml:space="preserve">The work has been </w:t>
            </w:r>
            <w:r w:rsidR="00106236" w:rsidRPr="00106236">
              <w:rPr>
                <w:rFonts w:ascii="Arial" w:hAnsi="Arial" w:cs="Arial"/>
                <w:sz w:val="20"/>
                <w:szCs w:val="20"/>
              </w:rPr>
              <w:t>deprioritised, due to DESNZ resourcing capacity and continued focus on scoping for a potential programme extension.  DESNZ have sought to support IFC and UK Posts on an ad-hoc basis when relevant opportunities arise.   </w:t>
            </w:r>
          </w:p>
          <w:p w14:paraId="07C4409D" w14:textId="1B3B072F" w:rsidR="00666E38" w:rsidRPr="00CE3487" w:rsidRDefault="00666E38" w:rsidP="00657117">
            <w:pPr>
              <w:pStyle w:val="paragraph0"/>
              <w:spacing w:before="0" w:beforeAutospacing="0" w:after="240" w:afterAutospacing="0"/>
              <w:jc w:val="both"/>
              <w:rPr>
                <w:rFonts w:ascii="Arial" w:hAnsi="Arial" w:cs="Arial"/>
                <w:sz w:val="20"/>
                <w:szCs w:val="20"/>
              </w:rPr>
            </w:pPr>
          </w:p>
        </w:tc>
      </w:tr>
      <w:tr w:rsidR="00666E38" w:rsidRPr="00CE3487" w14:paraId="3DD24CC5" w14:textId="77777777" w:rsidTr="7934F405">
        <w:tc>
          <w:tcPr>
            <w:tcW w:w="495" w:type="dxa"/>
          </w:tcPr>
          <w:p w14:paraId="147542AE" w14:textId="77777777" w:rsidR="00666E38" w:rsidRPr="00CE3487" w:rsidRDefault="00666E38" w:rsidP="00657117">
            <w:pPr>
              <w:spacing w:after="240"/>
              <w:rPr>
                <w:rFonts w:cs="Arial"/>
                <w:b/>
                <w:sz w:val="20"/>
                <w:szCs w:val="20"/>
              </w:rPr>
            </w:pPr>
            <w:r w:rsidRPr="00CE3487">
              <w:rPr>
                <w:rFonts w:cs="Arial"/>
                <w:sz w:val="20"/>
                <w:szCs w:val="20"/>
              </w:rPr>
              <w:t>2</w:t>
            </w:r>
          </w:p>
        </w:tc>
        <w:tc>
          <w:tcPr>
            <w:tcW w:w="5970" w:type="dxa"/>
          </w:tcPr>
          <w:p w14:paraId="75241EB9" w14:textId="77777777" w:rsidR="00666E38" w:rsidRDefault="00666E38" w:rsidP="00657117">
            <w:pPr>
              <w:pStyle w:val="Paragraph"/>
              <w:spacing w:after="240"/>
              <w:rPr>
                <w:b/>
                <w:bCs/>
                <w:sz w:val="20"/>
                <w:szCs w:val="20"/>
              </w:rPr>
            </w:pPr>
            <w:r w:rsidRPr="002A0888">
              <w:rPr>
                <w:b/>
                <w:bCs/>
                <w:sz w:val="20"/>
                <w:szCs w:val="20"/>
              </w:rPr>
              <w:t>Communications and Events Strategy</w:t>
            </w:r>
            <w:r>
              <w:rPr>
                <w:b/>
                <w:bCs/>
                <w:sz w:val="20"/>
                <w:szCs w:val="20"/>
              </w:rPr>
              <w:t>.</w:t>
            </w:r>
          </w:p>
          <w:p w14:paraId="158C3C54" w14:textId="77777777" w:rsidR="00666E38" w:rsidRDefault="00666E38" w:rsidP="00657117">
            <w:pPr>
              <w:spacing w:after="240"/>
              <w:jc w:val="both"/>
              <w:rPr>
                <w:rFonts w:cs="Arial"/>
                <w:sz w:val="20"/>
                <w:szCs w:val="20"/>
              </w:rPr>
            </w:pPr>
            <w:r w:rsidRPr="00000224">
              <w:rPr>
                <w:rFonts w:cs="Arial"/>
                <w:sz w:val="20"/>
                <w:szCs w:val="20"/>
              </w:rPr>
              <w:t xml:space="preserve">Delivery against this recommendation will continue in the next reporting period, with </w:t>
            </w:r>
            <w:proofErr w:type="gramStart"/>
            <w:r w:rsidRPr="00000224">
              <w:rPr>
                <w:rFonts w:cs="Arial"/>
                <w:sz w:val="20"/>
                <w:szCs w:val="20"/>
              </w:rPr>
              <w:t>particular o</w:t>
            </w:r>
            <w:r w:rsidRPr="00000224">
              <w:rPr>
                <w:sz w:val="20"/>
                <w:szCs w:val="20"/>
              </w:rPr>
              <w:t>utputs</w:t>
            </w:r>
            <w:proofErr w:type="gramEnd"/>
            <w:r w:rsidRPr="00000224">
              <w:rPr>
                <w:sz w:val="20"/>
                <w:szCs w:val="20"/>
              </w:rPr>
              <w:t xml:space="preserve"> planned</w:t>
            </w:r>
            <w:r w:rsidRPr="00000224">
              <w:rPr>
                <w:rFonts w:cs="Arial"/>
                <w:sz w:val="20"/>
                <w:szCs w:val="20"/>
              </w:rPr>
              <w:t>:</w:t>
            </w:r>
          </w:p>
          <w:p w14:paraId="7E1A23B3" w14:textId="77777777" w:rsidR="00666E38" w:rsidRPr="008E5FC7" w:rsidRDefault="00666E38" w:rsidP="005900FB">
            <w:pPr>
              <w:pStyle w:val="ListParagraph"/>
              <w:numPr>
                <w:ilvl w:val="0"/>
                <w:numId w:val="29"/>
              </w:numPr>
              <w:spacing w:before="120" w:after="240"/>
              <w:ind w:left="714" w:hanging="357"/>
              <w:contextualSpacing w:val="0"/>
              <w:jc w:val="both"/>
              <w:textAlignment w:val="baseline"/>
              <w:rPr>
                <w:rStyle w:val="normaltextrun"/>
                <w:rFonts w:cs="Arial"/>
                <w:b/>
                <w:sz w:val="20"/>
                <w:szCs w:val="20"/>
              </w:rPr>
            </w:pPr>
            <w:r w:rsidRPr="008E5FC7">
              <w:rPr>
                <w:rFonts w:cs="Arial"/>
                <w:sz w:val="20"/>
                <w:szCs w:val="20"/>
              </w:rPr>
              <w:t xml:space="preserve">Draft </w:t>
            </w:r>
            <w:r w:rsidRPr="00666E38">
              <w:rPr>
                <w:rStyle w:val="normaltextrun"/>
                <w:rFonts w:cs="Arial"/>
                <w:color w:val="000000" w:themeColor="text1"/>
                <w:sz w:val="20"/>
                <w:szCs w:val="20"/>
              </w:rPr>
              <w:t xml:space="preserve">high-level joint DESNZ-IFC strategy, to increase DESNZ involvement in IFC events/marketing material. </w:t>
            </w:r>
          </w:p>
          <w:p w14:paraId="718BBA8A" w14:textId="34B91A08" w:rsidR="00666E38" w:rsidRPr="00E42444" w:rsidRDefault="00666E38" w:rsidP="69EA68FC">
            <w:pPr>
              <w:pStyle w:val="ListParagraph"/>
              <w:numPr>
                <w:ilvl w:val="0"/>
                <w:numId w:val="29"/>
              </w:numPr>
              <w:spacing w:before="120" w:after="240"/>
              <w:jc w:val="both"/>
              <w:textAlignment w:val="baseline"/>
              <w:rPr>
                <w:rFonts w:cs="Arial"/>
                <w:b/>
                <w:bCs/>
                <w:sz w:val="20"/>
                <w:szCs w:val="20"/>
              </w:rPr>
            </w:pPr>
            <w:r w:rsidRPr="7430632D">
              <w:rPr>
                <w:rStyle w:val="normaltextrun"/>
                <w:rFonts w:cs="Arial"/>
                <w:color w:val="000000" w:themeColor="text1"/>
                <w:sz w:val="20"/>
                <w:szCs w:val="20"/>
              </w:rPr>
              <w:t>Stakeholder mapping, identifying key stakeholders to prioritise engaging</w:t>
            </w:r>
            <w:r w:rsidRPr="7430632D">
              <w:rPr>
                <w:rFonts w:cs="Arial"/>
                <w:sz w:val="20"/>
                <w:szCs w:val="20"/>
              </w:rPr>
              <w:t xml:space="preserve"> with. This will include exploring links with the Global Green Buildings Breakthrough and other </w:t>
            </w:r>
            <w:r w:rsidRPr="7430632D">
              <w:rPr>
                <w:rFonts w:cs="Arial"/>
                <w:sz w:val="20"/>
                <w:szCs w:val="20"/>
              </w:rPr>
              <w:lastRenderedPageBreak/>
              <w:t>UK-Led international fora. agenda), and in-country stakeholders (to increase uptake of EDGE).</w:t>
            </w:r>
          </w:p>
        </w:tc>
        <w:tc>
          <w:tcPr>
            <w:tcW w:w="8578" w:type="dxa"/>
          </w:tcPr>
          <w:p w14:paraId="18803C37" w14:textId="2152D666" w:rsidR="00666E38" w:rsidRPr="00CE3487" w:rsidRDefault="00666E38" w:rsidP="00D3137E">
            <w:pPr>
              <w:pStyle w:val="Paragraph"/>
              <w:spacing w:after="240"/>
              <w:rPr>
                <w:b/>
                <w:i/>
                <w:sz w:val="20"/>
                <w:szCs w:val="20"/>
              </w:rPr>
            </w:pPr>
            <w:r w:rsidRPr="00CE3487">
              <w:rPr>
                <w:b/>
                <w:i/>
                <w:sz w:val="20"/>
                <w:szCs w:val="20"/>
              </w:rPr>
              <w:lastRenderedPageBreak/>
              <w:t xml:space="preserve">Partially Achieved – </w:t>
            </w:r>
            <w:r w:rsidR="006F1D6D">
              <w:rPr>
                <w:b/>
                <w:i/>
                <w:sz w:val="20"/>
                <w:szCs w:val="20"/>
              </w:rPr>
              <w:t>Deprioritised</w:t>
            </w:r>
            <w:r w:rsidRPr="00CE3487">
              <w:rPr>
                <w:b/>
                <w:i/>
                <w:sz w:val="20"/>
                <w:szCs w:val="20"/>
              </w:rPr>
              <w:t xml:space="preserve">. </w:t>
            </w:r>
          </w:p>
          <w:p w14:paraId="0A92DC08" w14:textId="30F2ABF6" w:rsidR="00666E38" w:rsidRPr="00CE3487" w:rsidRDefault="00666E38" w:rsidP="00657117">
            <w:pPr>
              <w:spacing w:after="240"/>
              <w:jc w:val="both"/>
              <w:rPr>
                <w:rFonts w:cs="Arial"/>
                <w:sz w:val="20"/>
                <w:szCs w:val="20"/>
              </w:rPr>
            </w:pPr>
            <w:r w:rsidRPr="00CE3487">
              <w:rPr>
                <w:rFonts w:cs="Arial"/>
                <w:sz w:val="20"/>
                <w:szCs w:val="20"/>
              </w:rPr>
              <w:t>Achieved increased activity with t</w:t>
            </w:r>
            <w:r w:rsidRPr="00CE3487">
              <w:rPr>
                <w:sz w:val="20"/>
                <w:szCs w:val="20"/>
              </w:rPr>
              <w:t xml:space="preserve">eams at </w:t>
            </w:r>
            <w:r w:rsidRPr="00CE3487">
              <w:rPr>
                <w:rFonts w:cs="Arial"/>
                <w:sz w:val="20"/>
                <w:szCs w:val="20"/>
              </w:rPr>
              <w:t>Post</w:t>
            </w:r>
            <w:r w:rsidR="006F1D6D">
              <w:rPr>
                <w:rFonts w:cs="Arial"/>
                <w:sz w:val="20"/>
                <w:szCs w:val="20"/>
              </w:rPr>
              <w:t>s</w:t>
            </w:r>
            <w:r w:rsidRPr="00CE3487">
              <w:rPr>
                <w:rFonts w:cs="Arial"/>
                <w:sz w:val="20"/>
                <w:szCs w:val="20"/>
              </w:rPr>
              <w:t xml:space="preserve"> and key Public Sector organisations, particularly in key countries listed above</w:t>
            </w:r>
            <w:r w:rsidR="006F1D6D">
              <w:rPr>
                <w:rFonts w:cs="Arial"/>
                <w:sz w:val="20"/>
                <w:szCs w:val="20"/>
              </w:rPr>
              <w:t>, such as events held at CAMACOL in Colombia to promote EDGE certification</w:t>
            </w:r>
            <w:r w:rsidRPr="00CE3487">
              <w:rPr>
                <w:rFonts w:cs="Arial"/>
                <w:sz w:val="20"/>
                <w:szCs w:val="20"/>
              </w:rPr>
              <w:t xml:space="preserve">. </w:t>
            </w:r>
          </w:p>
          <w:p w14:paraId="141D299E" w14:textId="6E4E7855" w:rsidR="00666E38" w:rsidRPr="00CE3487" w:rsidRDefault="006F1D6D" w:rsidP="00657117">
            <w:pPr>
              <w:pStyle w:val="paragraph0"/>
              <w:spacing w:before="0" w:beforeAutospacing="0" w:after="240" w:afterAutospacing="0"/>
              <w:jc w:val="both"/>
              <w:textAlignment w:val="baseline"/>
              <w:rPr>
                <w:rFonts w:ascii="Arial" w:hAnsi="Arial" w:cs="Arial"/>
                <w:sz w:val="20"/>
                <w:szCs w:val="20"/>
              </w:rPr>
            </w:pPr>
            <w:r>
              <w:rPr>
                <w:rFonts w:ascii="Arial" w:hAnsi="Arial" w:cs="Arial"/>
                <w:sz w:val="20"/>
                <w:szCs w:val="20"/>
              </w:rPr>
              <w:t xml:space="preserve">The work has been deprioritised, due to </w:t>
            </w:r>
            <w:r w:rsidR="004C4E0A">
              <w:rPr>
                <w:rFonts w:ascii="Arial" w:hAnsi="Arial" w:cs="Arial"/>
                <w:sz w:val="20"/>
                <w:szCs w:val="20"/>
              </w:rPr>
              <w:t xml:space="preserve">DESNZ resourcing capacity and continued focus on scoping for a potential </w:t>
            </w:r>
            <w:r w:rsidR="00A2619B">
              <w:rPr>
                <w:rFonts w:ascii="Arial" w:hAnsi="Arial" w:cs="Arial"/>
                <w:sz w:val="20"/>
                <w:szCs w:val="20"/>
              </w:rPr>
              <w:t>programme</w:t>
            </w:r>
            <w:r w:rsidR="004C4E0A">
              <w:rPr>
                <w:rFonts w:ascii="Arial" w:hAnsi="Arial" w:cs="Arial"/>
                <w:sz w:val="20"/>
                <w:szCs w:val="20"/>
              </w:rPr>
              <w:t xml:space="preserve"> extension. </w:t>
            </w:r>
            <w:r w:rsidR="00666E38" w:rsidRPr="00CE3487">
              <w:rPr>
                <w:rFonts w:ascii="Arial" w:hAnsi="Arial" w:cs="Arial"/>
                <w:sz w:val="20"/>
                <w:szCs w:val="20"/>
              </w:rPr>
              <w:t xml:space="preserve">  </w:t>
            </w:r>
          </w:p>
        </w:tc>
      </w:tr>
      <w:tr w:rsidR="00666E38" w:rsidRPr="00CE3487" w14:paraId="675730C5" w14:textId="77777777" w:rsidTr="7934F405">
        <w:trPr>
          <w:trHeight w:val="4920"/>
        </w:trPr>
        <w:tc>
          <w:tcPr>
            <w:tcW w:w="495" w:type="dxa"/>
          </w:tcPr>
          <w:p w14:paraId="47D7E826" w14:textId="77777777" w:rsidR="00666E38" w:rsidRPr="00CE3487" w:rsidRDefault="00666E38" w:rsidP="00657117">
            <w:pPr>
              <w:spacing w:after="240"/>
              <w:rPr>
                <w:rFonts w:cs="Arial"/>
                <w:b/>
                <w:sz w:val="20"/>
                <w:szCs w:val="20"/>
              </w:rPr>
            </w:pPr>
            <w:r w:rsidRPr="00CE3487">
              <w:rPr>
                <w:rFonts w:cs="Arial"/>
                <w:sz w:val="20"/>
                <w:szCs w:val="20"/>
              </w:rPr>
              <w:t>3</w:t>
            </w:r>
          </w:p>
        </w:tc>
        <w:tc>
          <w:tcPr>
            <w:tcW w:w="5970" w:type="dxa"/>
          </w:tcPr>
          <w:p w14:paraId="2EF788A7" w14:textId="77777777" w:rsidR="00D3137E" w:rsidRDefault="00666E38" w:rsidP="00657117">
            <w:pPr>
              <w:pStyle w:val="Paragraph"/>
              <w:spacing w:after="240"/>
              <w:rPr>
                <w:b/>
                <w:bCs/>
                <w:sz w:val="20"/>
                <w:szCs w:val="20"/>
              </w:rPr>
            </w:pPr>
            <w:r w:rsidRPr="002A0888">
              <w:rPr>
                <w:b/>
                <w:bCs/>
                <w:sz w:val="20"/>
                <w:szCs w:val="20"/>
              </w:rPr>
              <w:t>Logframe Model Recalibration and General Updat</w:t>
            </w:r>
            <w:r w:rsidRPr="00723D20">
              <w:rPr>
                <w:b/>
                <w:bCs/>
                <w:sz w:val="20"/>
                <w:szCs w:val="20"/>
              </w:rPr>
              <w:t xml:space="preserve">e. </w:t>
            </w:r>
          </w:p>
          <w:p w14:paraId="0A0532AD" w14:textId="4006F309" w:rsidR="00666E38" w:rsidRPr="00723D20" w:rsidRDefault="00666E38" w:rsidP="00657117">
            <w:pPr>
              <w:pStyle w:val="Paragraph"/>
              <w:spacing w:after="240"/>
              <w:rPr>
                <w:sz w:val="20"/>
                <w:szCs w:val="20"/>
              </w:rPr>
            </w:pPr>
            <w:r w:rsidRPr="00723D20">
              <w:rPr>
                <w:rStyle w:val="normaltextrun"/>
                <w:rFonts w:eastAsiaTheme="majorEastAsia"/>
                <w:sz w:val="20"/>
                <w:szCs w:val="20"/>
              </w:rPr>
              <w:t>IFC and D</w:t>
            </w:r>
            <w:r w:rsidRPr="002A0888">
              <w:rPr>
                <w:rStyle w:val="normaltextrun"/>
                <w:rFonts w:eastAsiaTheme="majorEastAsia"/>
                <w:sz w:val="20"/>
                <w:szCs w:val="20"/>
              </w:rPr>
              <w:t>ESNZ</w:t>
            </w:r>
            <w:r w:rsidRPr="00723D20">
              <w:rPr>
                <w:rStyle w:val="normaltextrun"/>
                <w:rFonts w:eastAsiaTheme="majorEastAsia"/>
                <w:sz w:val="20"/>
                <w:szCs w:val="20"/>
              </w:rPr>
              <w:t xml:space="preserve"> to strengthen the programme’s </w:t>
            </w:r>
            <w:r w:rsidR="00451607" w:rsidRPr="00723D20">
              <w:rPr>
                <w:rStyle w:val="normaltextrun"/>
                <w:rFonts w:eastAsiaTheme="majorEastAsia"/>
                <w:sz w:val="20"/>
                <w:szCs w:val="20"/>
              </w:rPr>
              <w:t>Logframe</w:t>
            </w:r>
            <w:r w:rsidRPr="00723D20">
              <w:rPr>
                <w:rStyle w:val="normaltextrun"/>
                <w:rFonts w:eastAsiaTheme="majorEastAsia"/>
                <w:sz w:val="20"/>
                <w:szCs w:val="20"/>
              </w:rPr>
              <w:t>, updates will include:</w:t>
            </w:r>
          </w:p>
          <w:p w14:paraId="0475C96E" w14:textId="400EA5AE" w:rsidR="00666E38" w:rsidRPr="00723D20" w:rsidRDefault="00666E38" w:rsidP="00657117">
            <w:pPr>
              <w:pStyle w:val="Paragraph"/>
              <w:numPr>
                <w:ilvl w:val="0"/>
                <w:numId w:val="32"/>
              </w:numPr>
              <w:tabs>
                <w:tab w:val="left" w:pos="2091"/>
              </w:tabs>
              <w:spacing w:after="240"/>
              <w:rPr>
                <w:sz w:val="20"/>
                <w:szCs w:val="20"/>
              </w:rPr>
            </w:pPr>
            <w:r w:rsidRPr="00723D20">
              <w:rPr>
                <w:sz w:val="20"/>
                <w:szCs w:val="20"/>
              </w:rPr>
              <w:t xml:space="preserve">Evaluation of the </w:t>
            </w:r>
            <w:r w:rsidR="00451607" w:rsidRPr="00723D20">
              <w:rPr>
                <w:sz w:val="20"/>
                <w:szCs w:val="20"/>
              </w:rPr>
              <w:t>Logframe</w:t>
            </w:r>
            <w:r w:rsidRPr="00723D20">
              <w:rPr>
                <w:sz w:val="20"/>
                <w:szCs w:val="20"/>
              </w:rPr>
              <w:t xml:space="preserve"> modelling for output indicators 1b.1.  – 1b.3.  to assess the delay in disbursement of funds and as such delay in expected results.</w:t>
            </w:r>
          </w:p>
          <w:p w14:paraId="35BD2561" w14:textId="73DD62F0" w:rsidR="00666E38" w:rsidRPr="00723D20" w:rsidRDefault="00666E38" w:rsidP="00657117">
            <w:pPr>
              <w:pStyle w:val="paragraph0"/>
              <w:numPr>
                <w:ilvl w:val="0"/>
                <w:numId w:val="32"/>
              </w:numPr>
              <w:spacing w:before="0" w:beforeAutospacing="0" w:after="240" w:afterAutospacing="0"/>
              <w:jc w:val="both"/>
              <w:textAlignment w:val="baseline"/>
              <w:rPr>
                <w:rStyle w:val="normaltextrun"/>
                <w:rFonts w:ascii="Arial" w:hAnsi="Arial" w:cs="Arial"/>
                <w:color w:val="000000" w:themeColor="text1"/>
                <w:sz w:val="20"/>
                <w:szCs w:val="20"/>
              </w:rPr>
            </w:pPr>
            <w:r w:rsidRPr="00723D20">
              <w:rPr>
                <w:rStyle w:val="normaltextrun"/>
                <w:rFonts w:ascii="Arial" w:hAnsi="Arial" w:cs="Arial"/>
                <w:color w:val="000000" w:themeColor="text1"/>
                <w:sz w:val="20"/>
                <w:szCs w:val="20"/>
              </w:rPr>
              <w:t xml:space="preserve">As part of the March </w:t>
            </w:r>
            <w:r w:rsidR="00221FFA">
              <w:rPr>
                <w:rStyle w:val="normaltextrun"/>
                <w:rFonts w:ascii="Arial" w:hAnsi="Arial" w:cs="Arial"/>
                <w:color w:val="000000" w:themeColor="text1"/>
                <w:sz w:val="20"/>
                <w:szCs w:val="20"/>
              </w:rPr>
              <w:t>2</w:t>
            </w:r>
            <w:r w:rsidR="00221FFA">
              <w:rPr>
                <w:rStyle w:val="normaltextrun"/>
                <w:color w:val="000000" w:themeColor="text1"/>
                <w:sz w:val="20"/>
                <w:szCs w:val="20"/>
              </w:rPr>
              <w:t xml:space="preserve">023 </w:t>
            </w:r>
            <w:r w:rsidRPr="00723D20">
              <w:rPr>
                <w:rStyle w:val="normaltextrun"/>
                <w:rFonts w:ascii="Arial" w:hAnsi="Arial" w:cs="Arial"/>
                <w:color w:val="000000" w:themeColor="text1"/>
                <w:sz w:val="20"/>
                <w:szCs w:val="20"/>
              </w:rPr>
              <w:t xml:space="preserve">Change Request, amendments </w:t>
            </w:r>
            <w:r w:rsidRPr="002A0888">
              <w:rPr>
                <w:rStyle w:val="normaltextrun"/>
                <w:rFonts w:ascii="Arial" w:hAnsi="Arial" w:cs="Arial"/>
                <w:color w:val="000000" w:themeColor="text1"/>
                <w:sz w:val="20"/>
                <w:szCs w:val="20"/>
              </w:rPr>
              <w:t>and new indicators</w:t>
            </w:r>
            <w:r w:rsidRPr="00723D20">
              <w:rPr>
                <w:rStyle w:val="normaltextrun"/>
                <w:rFonts w:ascii="Arial" w:hAnsi="Arial" w:cs="Arial"/>
                <w:color w:val="000000" w:themeColor="text1"/>
                <w:sz w:val="20"/>
                <w:szCs w:val="20"/>
              </w:rPr>
              <w:t xml:space="preserve"> are required to capture the implementation of the T</w:t>
            </w:r>
            <w:r w:rsidR="005541D3">
              <w:rPr>
                <w:rStyle w:val="normaltextrun"/>
                <w:rFonts w:ascii="Arial" w:hAnsi="Arial" w:cs="Arial"/>
                <w:color w:val="000000" w:themeColor="text1"/>
                <w:sz w:val="20"/>
                <w:szCs w:val="20"/>
              </w:rPr>
              <w:t xml:space="preserve">erms </w:t>
            </w:r>
            <w:r w:rsidRPr="00723D20">
              <w:rPr>
                <w:rStyle w:val="normaltextrun"/>
                <w:rFonts w:ascii="Arial" w:hAnsi="Arial" w:cs="Arial"/>
                <w:color w:val="000000" w:themeColor="text1"/>
                <w:sz w:val="20"/>
                <w:szCs w:val="20"/>
              </w:rPr>
              <w:t>o</w:t>
            </w:r>
            <w:r w:rsidR="005541D3">
              <w:rPr>
                <w:rStyle w:val="normaltextrun"/>
                <w:rFonts w:ascii="Arial" w:hAnsi="Arial" w:cs="Arial"/>
                <w:color w:val="000000" w:themeColor="text1"/>
                <w:sz w:val="20"/>
                <w:szCs w:val="20"/>
              </w:rPr>
              <w:t xml:space="preserve">f </w:t>
            </w:r>
            <w:r w:rsidRPr="00723D20">
              <w:rPr>
                <w:rStyle w:val="normaltextrun"/>
                <w:rFonts w:ascii="Arial" w:hAnsi="Arial" w:cs="Arial"/>
                <w:color w:val="000000" w:themeColor="text1"/>
                <w:sz w:val="20"/>
                <w:szCs w:val="20"/>
              </w:rPr>
              <w:t>R</w:t>
            </w:r>
            <w:r w:rsidR="005541D3">
              <w:rPr>
                <w:rStyle w:val="normaltextrun"/>
                <w:rFonts w:ascii="Arial" w:hAnsi="Arial" w:cs="Arial"/>
                <w:color w:val="000000" w:themeColor="text1"/>
                <w:sz w:val="20"/>
                <w:szCs w:val="20"/>
              </w:rPr>
              <w:t>eference</w:t>
            </w:r>
            <w:r w:rsidRPr="00723D20">
              <w:rPr>
                <w:rStyle w:val="normaltextrun"/>
                <w:rFonts w:ascii="Arial" w:hAnsi="Arial" w:cs="Arial"/>
                <w:color w:val="000000" w:themeColor="text1"/>
                <w:sz w:val="20"/>
                <w:szCs w:val="20"/>
              </w:rPr>
              <w:t xml:space="preserve"> activities that were agreed, with work due to commence in the next reporting period. </w:t>
            </w:r>
          </w:p>
          <w:p w14:paraId="17333554" w14:textId="77777777" w:rsidR="00666E38" w:rsidRPr="008E5FC7" w:rsidRDefault="00666E38" w:rsidP="00657117">
            <w:pPr>
              <w:pStyle w:val="Paragraph"/>
              <w:numPr>
                <w:ilvl w:val="0"/>
                <w:numId w:val="32"/>
              </w:numPr>
              <w:spacing w:after="240"/>
              <w:rPr>
                <w:rFonts w:eastAsiaTheme="majorEastAsia"/>
                <w:color w:val="000000"/>
                <w:sz w:val="20"/>
                <w:szCs w:val="20"/>
                <w:shd w:val="clear" w:color="auto" w:fill="FFFFFF"/>
                <w:lang w:eastAsia="en-US"/>
              </w:rPr>
            </w:pPr>
            <w:r>
              <w:rPr>
                <w:rFonts w:eastAsiaTheme="majorEastAsia"/>
                <w:sz w:val="20"/>
                <w:szCs w:val="20"/>
              </w:rPr>
              <w:t>R</w:t>
            </w:r>
            <w:r w:rsidRPr="000A2486">
              <w:rPr>
                <w:rFonts w:eastAsiaTheme="majorEastAsia"/>
                <w:sz w:val="20"/>
                <w:szCs w:val="20"/>
              </w:rPr>
              <w:t>equest new milestones for the qualitative indicators (Component 3) and increase targets for indicators that consistently exceed expectations to make them more ambitious.</w:t>
            </w:r>
          </w:p>
          <w:p w14:paraId="40F1D7B1" w14:textId="536B3E4D" w:rsidR="00666E38" w:rsidRPr="008E5FC7" w:rsidRDefault="00666E38" w:rsidP="00657117">
            <w:pPr>
              <w:pStyle w:val="Paragraph"/>
              <w:numPr>
                <w:ilvl w:val="0"/>
                <w:numId w:val="32"/>
              </w:numPr>
              <w:spacing w:after="240"/>
              <w:rPr>
                <w:rFonts w:eastAsiaTheme="majorEastAsia"/>
                <w:color w:val="000000"/>
                <w:sz w:val="20"/>
                <w:szCs w:val="20"/>
                <w:shd w:val="clear" w:color="auto" w:fill="FFFFFF"/>
                <w:lang w:eastAsia="en-US"/>
              </w:rPr>
            </w:pPr>
            <w:r w:rsidRPr="008E5FC7">
              <w:rPr>
                <w:rFonts w:eastAsiaTheme="majorEastAsia"/>
                <w:sz w:val="20"/>
                <w:szCs w:val="20"/>
              </w:rPr>
              <w:t xml:space="preserve">Introduce new indicators to capture individual workstreams of the Research component. </w:t>
            </w:r>
          </w:p>
        </w:tc>
        <w:tc>
          <w:tcPr>
            <w:tcW w:w="8578" w:type="dxa"/>
          </w:tcPr>
          <w:p w14:paraId="18EC6BA2" w14:textId="77777777" w:rsidR="00666E38" w:rsidRPr="00D3137E" w:rsidRDefault="00666E38" w:rsidP="00D3137E">
            <w:pPr>
              <w:pStyle w:val="Paragraph"/>
              <w:spacing w:after="240"/>
              <w:rPr>
                <w:b/>
                <w:bCs/>
                <w:i/>
                <w:iCs/>
                <w:sz w:val="20"/>
                <w:szCs w:val="20"/>
              </w:rPr>
            </w:pPr>
            <w:r w:rsidRPr="00CE3487">
              <w:rPr>
                <w:b/>
                <w:i/>
                <w:sz w:val="20"/>
                <w:szCs w:val="20"/>
              </w:rPr>
              <w:t>Achieved</w:t>
            </w:r>
            <w:r w:rsidRPr="00D3137E">
              <w:rPr>
                <w:b/>
                <w:bCs/>
                <w:i/>
                <w:iCs/>
                <w:sz w:val="20"/>
                <w:szCs w:val="20"/>
              </w:rPr>
              <w:t>.</w:t>
            </w:r>
          </w:p>
          <w:p w14:paraId="5416F7F0" w14:textId="732AA77D" w:rsidR="004C4E0A" w:rsidRDefault="004C4E0A" w:rsidP="00657117">
            <w:pPr>
              <w:pStyle w:val="Paragraph"/>
              <w:spacing w:after="240"/>
              <w:rPr>
                <w:sz w:val="20"/>
                <w:szCs w:val="20"/>
              </w:rPr>
            </w:pPr>
            <w:r>
              <w:rPr>
                <w:sz w:val="20"/>
                <w:szCs w:val="20"/>
              </w:rPr>
              <w:t xml:space="preserve">There has been a </w:t>
            </w:r>
            <w:r w:rsidR="00451607">
              <w:rPr>
                <w:sz w:val="20"/>
                <w:szCs w:val="20"/>
              </w:rPr>
              <w:t>Logframe</w:t>
            </w:r>
            <w:r>
              <w:rPr>
                <w:sz w:val="20"/>
                <w:szCs w:val="20"/>
              </w:rPr>
              <w:t xml:space="preserve"> update in this reporting period. It covered:</w:t>
            </w:r>
          </w:p>
          <w:p w14:paraId="10328E6D" w14:textId="2F1E3C3C" w:rsidR="004C4E0A" w:rsidRPr="00723D20" w:rsidRDefault="004C4E0A" w:rsidP="00657117">
            <w:pPr>
              <w:pStyle w:val="Paragraph"/>
              <w:numPr>
                <w:ilvl w:val="0"/>
                <w:numId w:val="53"/>
              </w:numPr>
              <w:tabs>
                <w:tab w:val="left" w:pos="2091"/>
              </w:tabs>
              <w:spacing w:after="240"/>
              <w:rPr>
                <w:sz w:val="20"/>
                <w:szCs w:val="20"/>
              </w:rPr>
            </w:pPr>
            <w:r>
              <w:rPr>
                <w:sz w:val="20"/>
                <w:szCs w:val="20"/>
              </w:rPr>
              <w:t xml:space="preserve">Recalibrated </w:t>
            </w:r>
            <w:r w:rsidR="00451607">
              <w:rPr>
                <w:sz w:val="20"/>
                <w:szCs w:val="20"/>
              </w:rPr>
              <w:t>Logframe</w:t>
            </w:r>
            <w:r>
              <w:rPr>
                <w:sz w:val="20"/>
                <w:szCs w:val="20"/>
              </w:rPr>
              <w:t xml:space="preserve"> modelling for output indicato</w:t>
            </w:r>
            <w:r w:rsidRPr="00723D20">
              <w:rPr>
                <w:sz w:val="20"/>
                <w:szCs w:val="20"/>
              </w:rPr>
              <w:t xml:space="preserve">rs 1b.1.  – 1b.3.  </w:t>
            </w:r>
            <w:r>
              <w:rPr>
                <w:sz w:val="20"/>
                <w:szCs w:val="20"/>
              </w:rPr>
              <w:t xml:space="preserve">This work updated the model assumptions to capture the </w:t>
            </w:r>
            <w:r w:rsidRPr="00723D20">
              <w:rPr>
                <w:sz w:val="20"/>
                <w:szCs w:val="20"/>
              </w:rPr>
              <w:t>delay in disbursement of funds</w:t>
            </w:r>
            <w:r>
              <w:rPr>
                <w:sz w:val="20"/>
                <w:szCs w:val="20"/>
              </w:rPr>
              <w:t xml:space="preserve">, COVID-19 impacts on the construction sectors and other original out-of-date assumptions. </w:t>
            </w:r>
          </w:p>
          <w:p w14:paraId="7E8EB613" w14:textId="77777777" w:rsidR="004C4E0A" w:rsidRPr="00723D20" w:rsidRDefault="004C4E0A" w:rsidP="00657117">
            <w:pPr>
              <w:pStyle w:val="paragraph0"/>
              <w:numPr>
                <w:ilvl w:val="0"/>
                <w:numId w:val="53"/>
              </w:numPr>
              <w:spacing w:before="0" w:beforeAutospacing="0" w:after="240" w:afterAutospacing="0"/>
              <w:jc w:val="both"/>
              <w:textAlignment w:val="baseline"/>
              <w:rPr>
                <w:rStyle w:val="normaltextrun"/>
                <w:rFonts w:ascii="Arial" w:hAnsi="Arial" w:cs="Arial"/>
                <w:color w:val="000000" w:themeColor="text1"/>
                <w:kern w:val="2"/>
                <w:sz w:val="20"/>
                <w:szCs w:val="20"/>
                <w:lang w:eastAsia="en-US"/>
                <w14:ligatures w14:val="standardContextual"/>
              </w:rPr>
            </w:pPr>
            <w:r w:rsidRPr="00723D20">
              <w:rPr>
                <w:rStyle w:val="normaltextrun"/>
                <w:rFonts w:ascii="Arial" w:hAnsi="Arial" w:cs="Arial"/>
                <w:color w:val="000000" w:themeColor="text1"/>
                <w:sz w:val="20"/>
                <w:szCs w:val="20"/>
              </w:rPr>
              <w:t xml:space="preserve">As part of the March </w:t>
            </w:r>
            <w:r>
              <w:rPr>
                <w:rStyle w:val="normaltextrun"/>
                <w:rFonts w:ascii="Arial" w:hAnsi="Arial" w:cs="Arial"/>
                <w:color w:val="000000" w:themeColor="text1"/>
                <w:sz w:val="20"/>
                <w:szCs w:val="20"/>
              </w:rPr>
              <w:t xml:space="preserve">2023 </w:t>
            </w:r>
            <w:r w:rsidRPr="00723D20">
              <w:rPr>
                <w:rStyle w:val="normaltextrun"/>
                <w:rFonts w:ascii="Arial" w:hAnsi="Arial" w:cs="Arial"/>
                <w:color w:val="000000" w:themeColor="text1"/>
                <w:sz w:val="20"/>
                <w:szCs w:val="20"/>
              </w:rPr>
              <w:t xml:space="preserve">Change Request, amendments </w:t>
            </w:r>
            <w:r w:rsidRPr="002A0888">
              <w:rPr>
                <w:rStyle w:val="normaltextrun"/>
                <w:rFonts w:ascii="Arial" w:hAnsi="Arial" w:cs="Arial"/>
                <w:color w:val="000000" w:themeColor="text1"/>
                <w:sz w:val="20"/>
                <w:szCs w:val="20"/>
              </w:rPr>
              <w:t>and new indicators</w:t>
            </w:r>
            <w:r w:rsidRPr="00723D20">
              <w:rPr>
                <w:rStyle w:val="normaltextrun"/>
                <w:rFonts w:ascii="Arial" w:hAnsi="Arial" w:cs="Arial"/>
                <w:color w:val="000000" w:themeColor="text1"/>
                <w:sz w:val="20"/>
                <w:szCs w:val="20"/>
              </w:rPr>
              <w:t xml:space="preserve"> </w:t>
            </w:r>
            <w:r>
              <w:rPr>
                <w:rStyle w:val="normaltextrun"/>
                <w:rFonts w:ascii="Arial" w:hAnsi="Arial" w:cs="Arial"/>
                <w:color w:val="000000" w:themeColor="text1"/>
                <w:sz w:val="20"/>
                <w:szCs w:val="20"/>
              </w:rPr>
              <w:t>were</w:t>
            </w:r>
            <w:r w:rsidRPr="00723D20">
              <w:rPr>
                <w:rStyle w:val="normaltextrun"/>
                <w:rFonts w:ascii="Arial" w:hAnsi="Arial" w:cs="Arial"/>
                <w:color w:val="000000" w:themeColor="text1"/>
                <w:sz w:val="20"/>
                <w:szCs w:val="20"/>
              </w:rPr>
              <w:t xml:space="preserve"> required to capture the implementation of the activities that were agreed</w:t>
            </w:r>
            <w:r>
              <w:rPr>
                <w:rStyle w:val="normaltextrun"/>
                <w:rFonts w:ascii="Arial" w:hAnsi="Arial" w:cs="Arial"/>
                <w:color w:val="000000" w:themeColor="text1"/>
                <w:sz w:val="20"/>
                <w:szCs w:val="20"/>
              </w:rPr>
              <w:t>.</w:t>
            </w:r>
          </w:p>
          <w:p w14:paraId="43EBE5DF" w14:textId="77777777" w:rsidR="004C4E0A" w:rsidRPr="00770D48" w:rsidRDefault="004C4E0A" w:rsidP="00657117">
            <w:pPr>
              <w:pStyle w:val="Paragraph"/>
              <w:numPr>
                <w:ilvl w:val="0"/>
                <w:numId w:val="53"/>
              </w:numPr>
              <w:spacing w:after="240"/>
              <w:rPr>
                <w:rFonts w:eastAsiaTheme="majorEastAsia"/>
                <w:color w:val="000000"/>
                <w:sz w:val="20"/>
                <w:szCs w:val="20"/>
                <w:shd w:val="clear" w:color="auto" w:fill="FFFFFF"/>
                <w:lang w:eastAsia="en-US"/>
              </w:rPr>
            </w:pPr>
            <w:r>
              <w:rPr>
                <w:rFonts w:eastAsiaTheme="majorEastAsia"/>
                <w:sz w:val="20"/>
                <w:szCs w:val="20"/>
              </w:rPr>
              <w:t>New</w:t>
            </w:r>
            <w:r w:rsidRPr="000A2486">
              <w:rPr>
                <w:rFonts w:eastAsiaTheme="majorEastAsia"/>
                <w:sz w:val="20"/>
                <w:szCs w:val="20"/>
              </w:rPr>
              <w:t xml:space="preserve"> milestones for the qualitative indicators (Component 3) and increase targets for indicators that consistently exceed expectations to make them more ambitious.</w:t>
            </w:r>
          </w:p>
          <w:p w14:paraId="40E9E085" w14:textId="455ABDB9" w:rsidR="00666E38" w:rsidRPr="008E5FC7" w:rsidRDefault="008E5FC7" w:rsidP="00657117">
            <w:pPr>
              <w:pStyle w:val="Paragraph"/>
              <w:numPr>
                <w:ilvl w:val="0"/>
                <w:numId w:val="53"/>
              </w:numPr>
              <w:spacing w:after="240"/>
              <w:rPr>
                <w:sz w:val="20"/>
                <w:szCs w:val="20"/>
              </w:rPr>
            </w:pPr>
            <w:r w:rsidRPr="00770D48">
              <w:rPr>
                <w:rFonts w:eastAsiaTheme="majorEastAsia"/>
                <w:sz w:val="20"/>
                <w:szCs w:val="20"/>
              </w:rPr>
              <w:t>Introduc</w:t>
            </w:r>
            <w:r>
              <w:rPr>
                <w:rFonts w:eastAsiaTheme="majorEastAsia"/>
                <w:sz w:val="20"/>
                <w:szCs w:val="20"/>
              </w:rPr>
              <w:t>tion</w:t>
            </w:r>
            <w:r w:rsidR="004C4E0A">
              <w:rPr>
                <w:rFonts w:eastAsiaTheme="majorEastAsia"/>
                <w:sz w:val="20"/>
                <w:szCs w:val="20"/>
              </w:rPr>
              <w:t xml:space="preserve"> of </w:t>
            </w:r>
            <w:r w:rsidR="004C4E0A" w:rsidRPr="00770D48">
              <w:rPr>
                <w:rFonts w:eastAsiaTheme="majorEastAsia"/>
                <w:sz w:val="20"/>
                <w:szCs w:val="20"/>
              </w:rPr>
              <w:t>new indicators to capture individual workstreams of the Research component.</w:t>
            </w:r>
          </w:p>
        </w:tc>
      </w:tr>
      <w:tr w:rsidR="00666E38" w:rsidRPr="00CE3487" w14:paraId="03A99048" w14:textId="77777777" w:rsidTr="7934F405">
        <w:trPr>
          <w:trHeight w:val="2880"/>
        </w:trPr>
        <w:tc>
          <w:tcPr>
            <w:tcW w:w="495" w:type="dxa"/>
          </w:tcPr>
          <w:p w14:paraId="16F6E955" w14:textId="77777777" w:rsidR="00666E38" w:rsidRPr="00CE3487" w:rsidRDefault="00666E38" w:rsidP="00657117">
            <w:pPr>
              <w:spacing w:after="240"/>
              <w:rPr>
                <w:rFonts w:cs="Arial"/>
                <w:b/>
                <w:sz w:val="20"/>
                <w:szCs w:val="20"/>
              </w:rPr>
            </w:pPr>
            <w:r w:rsidRPr="00CE3487">
              <w:rPr>
                <w:rFonts w:cs="Arial"/>
                <w:sz w:val="20"/>
                <w:szCs w:val="20"/>
              </w:rPr>
              <w:lastRenderedPageBreak/>
              <w:t>4</w:t>
            </w:r>
          </w:p>
        </w:tc>
        <w:tc>
          <w:tcPr>
            <w:tcW w:w="5970" w:type="dxa"/>
          </w:tcPr>
          <w:p w14:paraId="1D5DDD3E" w14:textId="77777777" w:rsidR="00D3137E" w:rsidRDefault="00666E38" w:rsidP="00D3137E">
            <w:pPr>
              <w:pStyle w:val="Paragraph"/>
              <w:spacing w:after="240"/>
              <w:rPr>
                <w:b/>
                <w:bCs/>
                <w:sz w:val="20"/>
                <w:szCs w:val="20"/>
              </w:rPr>
            </w:pPr>
            <w:r w:rsidRPr="002A0888">
              <w:rPr>
                <w:b/>
                <w:bCs/>
                <w:sz w:val="20"/>
                <w:szCs w:val="20"/>
              </w:rPr>
              <w:t>Value for Money Assessment</w:t>
            </w:r>
            <w:r>
              <w:rPr>
                <w:b/>
                <w:bCs/>
                <w:sz w:val="20"/>
                <w:szCs w:val="20"/>
              </w:rPr>
              <w:t xml:space="preserve">. </w:t>
            </w:r>
          </w:p>
          <w:p w14:paraId="19622DB6" w14:textId="1F0EFF1E" w:rsidR="00666E38" w:rsidRPr="00CE3487" w:rsidRDefault="00666E38" w:rsidP="00D3137E">
            <w:pPr>
              <w:pStyle w:val="Paragraph"/>
              <w:spacing w:after="240"/>
              <w:rPr>
                <w:b/>
                <w:sz w:val="20"/>
                <w:szCs w:val="20"/>
              </w:rPr>
            </w:pPr>
            <w:r w:rsidRPr="00D3137E">
              <w:rPr>
                <w:rStyle w:val="normaltextrun"/>
                <w:rFonts w:eastAsiaTheme="majorEastAsia"/>
                <w:sz w:val="20"/>
                <w:szCs w:val="20"/>
              </w:rPr>
              <w:t>IFC to provide expected results data for closed investments from the October 2023 annual report. This would cover those investments approved to date, cost breakdowns and key expected results for areas such as GHGs, floor space created, and finance mobilised. DESNZ to then conduct assessment and establish benchmarking against some of the key business case assumed modelled assumptions to track progress.</w:t>
            </w:r>
            <w:r w:rsidRPr="00D3137E">
              <w:rPr>
                <w:rFonts w:eastAsiaTheme="minorHAnsi"/>
                <w:sz w:val="18"/>
                <w:szCs w:val="18"/>
              </w:rPr>
              <w:t xml:space="preserve"> </w:t>
            </w:r>
          </w:p>
        </w:tc>
        <w:tc>
          <w:tcPr>
            <w:tcW w:w="8578" w:type="dxa"/>
          </w:tcPr>
          <w:p w14:paraId="39C8B444" w14:textId="77777777" w:rsidR="008319D8" w:rsidRPr="00530BAC" w:rsidRDefault="008319D8" w:rsidP="00D3137E">
            <w:pPr>
              <w:pStyle w:val="Paragraph"/>
              <w:spacing w:after="240"/>
              <w:rPr>
                <w:b/>
                <w:i/>
                <w:sz w:val="20"/>
                <w:szCs w:val="20"/>
              </w:rPr>
            </w:pPr>
            <w:r w:rsidRPr="00530BAC">
              <w:rPr>
                <w:b/>
                <w:i/>
                <w:sz w:val="20"/>
                <w:szCs w:val="20"/>
              </w:rPr>
              <w:t>Not Achieved – Ongoing.</w:t>
            </w:r>
          </w:p>
          <w:p w14:paraId="62E4EEC9" w14:textId="7AF49477" w:rsidR="00666E38" w:rsidRPr="001F6530" w:rsidRDefault="001F6530" w:rsidP="73BD41DA">
            <w:pPr>
              <w:spacing w:after="240"/>
              <w:jc w:val="both"/>
              <w:rPr>
                <w:rFonts w:eastAsiaTheme="minorEastAsia" w:cs="Arial"/>
                <w:sz w:val="20"/>
                <w:szCs w:val="20"/>
              </w:rPr>
            </w:pPr>
            <w:r w:rsidRPr="73BD41DA">
              <w:rPr>
                <w:rFonts w:cs="Arial"/>
                <w:sz w:val="20"/>
                <w:szCs w:val="20"/>
              </w:rPr>
              <w:t>Due to data availability this analysis has not been possible. IFC have been able to provide DESNZ with some alternative information based on achieved results data only. This is currently being reviewed, but the type of analysis originally envisaged is not currently possible. DESNZ will explore different approaches based on the data provided. However, it is likely that more achieved results will need to be reported to ensure we have a sufficient data sample size to draw any meaningful conclusions. This recommendation should therefore be kept under review next year</w:t>
            </w:r>
            <w:r w:rsidR="006E0DE4" w:rsidRPr="73BD41DA">
              <w:rPr>
                <w:rFonts w:cs="Arial"/>
                <w:sz w:val="20"/>
                <w:szCs w:val="20"/>
              </w:rPr>
              <w:t>.</w:t>
            </w:r>
            <w:r w:rsidR="006E0DE4" w:rsidRPr="73BD41DA">
              <w:rPr>
                <w:rFonts w:cs="Arial"/>
                <w:i/>
                <w:iCs/>
                <w:sz w:val="20"/>
                <w:szCs w:val="20"/>
              </w:rPr>
              <w:t xml:space="preserve"> </w:t>
            </w:r>
          </w:p>
        </w:tc>
      </w:tr>
      <w:tr w:rsidR="00666E38" w:rsidRPr="00CE3487" w14:paraId="065776B2" w14:textId="77777777" w:rsidTr="7934F405">
        <w:trPr>
          <w:trHeight w:val="723"/>
        </w:trPr>
        <w:tc>
          <w:tcPr>
            <w:tcW w:w="495" w:type="dxa"/>
          </w:tcPr>
          <w:p w14:paraId="1B10C5EB" w14:textId="77777777" w:rsidR="00666E38" w:rsidRPr="00CE3487" w:rsidRDefault="00666E38" w:rsidP="00657117">
            <w:pPr>
              <w:spacing w:after="240"/>
              <w:rPr>
                <w:rFonts w:cs="Arial"/>
                <w:b/>
                <w:sz w:val="20"/>
                <w:szCs w:val="20"/>
              </w:rPr>
            </w:pPr>
            <w:r w:rsidRPr="00CE3487">
              <w:rPr>
                <w:rFonts w:cs="Arial"/>
                <w:sz w:val="20"/>
                <w:szCs w:val="20"/>
              </w:rPr>
              <w:t>5</w:t>
            </w:r>
          </w:p>
        </w:tc>
        <w:tc>
          <w:tcPr>
            <w:tcW w:w="5970" w:type="dxa"/>
          </w:tcPr>
          <w:p w14:paraId="56C4C808" w14:textId="77777777" w:rsidR="00D3137E" w:rsidRDefault="00666E38" w:rsidP="00D3137E">
            <w:pPr>
              <w:pStyle w:val="Paragraph"/>
              <w:spacing w:after="240"/>
              <w:rPr>
                <w:b/>
                <w:bCs/>
                <w:sz w:val="20"/>
                <w:szCs w:val="20"/>
              </w:rPr>
            </w:pPr>
            <w:r w:rsidRPr="002A0888">
              <w:rPr>
                <w:b/>
                <w:bCs/>
                <w:sz w:val="20"/>
                <w:szCs w:val="20"/>
              </w:rPr>
              <w:t>Update Administrative Arrangements</w:t>
            </w:r>
            <w:r>
              <w:rPr>
                <w:b/>
                <w:bCs/>
                <w:sz w:val="20"/>
                <w:szCs w:val="20"/>
              </w:rPr>
              <w:t xml:space="preserve">. </w:t>
            </w:r>
          </w:p>
          <w:p w14:paraId="6D857ED7" w14:textId="027ED52D" w:rsidR="00666E38" w:rsidRPr="00CE3487" w:rsidRDefault="00666E38" w:rsidP="00D3137E">
            <w:pPr>
              <w:pStyle w:val="Paragraph"/>
              <w:spacing w:after="240"/>
              <w:rPr>
                <w:b/>
                <w:sz w:val="20"/>
                <w:szCs w:val="20"/>
              </w:rPr>
            </w:pPr>
            <w:r w:rsidRPr="00D3137E">
              <w:rPr>
                <w:rStyle w:val="normaltextrun"/>
                <w:rFonts w:eastAsiaTheme="majorEastAsia"/>
                <w:sz w:val="20"/>
                <w:szCs w:val="20"/>
              </w:rPr>
              <w:t>DESNZ and IFC to review and update the programme’s arrangements to bring up to date with departmental/organisational regulation and national policy. This will likely include introducing policies on ESG/safeguarding and data protection.</w:t>
            </w:r>
            <w:r>
              <w:rPr>
                <w:sz w:val="20"/>
                <w:szCs w:val="20"/>
              </w:rPr>
              <w:t xml:space="preserve"> </w:t>
            </w:r>
          </w:p>
        </w:tc>
        <w:tc>
          <w:tcPr>
            <w:tcW w:w="8578" w:type="dxa"/>
          </w:tcPr>
          <w:p w14:paraId="35600055" w14:textId="2ECEB93E" w:rsidR="00666E38" w:rsidRPr="00CE3487" w:rsidRDefault="004C4E0A" w:rsidP="00D3137E">
            <w:pPr>
              <w:pStyle w:val="Paragraph"/>
              <w:spacing w:after="240"/>
              <w:rPr>
                <w:b/>
                <w:i/>
                <w:sz w:val="20"/>
                <w:szCs w:val="20"/>
              </w:rPr>
            </w:pPr>
            <w:r>
              <w:rPr>
                <w:b/>
                <w:i/>
                <w:sz w:val="20"/>
                <w:szCs w:val="20"/>
              </w:rPr>
              <w:t>Not Achieved – Ongoing</w:t>
            </w:r>
            <w:r w:rsidR="00666E38" w:rsidRPr="00CE3487">
              <w:rPr>
                <w:b/>
                <w:i/>
                <w:sz w:val="20"/>
                <w:szCs w:val="20"/>
              </w:rPr>
              <w:t>.</w:t>
            </w:r>
          </w:p>
          <w:p w14:paraId="3EF98B08" w14:textId="085DA065" w:rsidR="00666E38" w:rsidRPr="00CE3487" w:rsidRDefault="004C4E0A" w:rsidP="00657117">
            <w:pPr>
              <w:spacing w:after="240"/>
              <w:jc w:val="both"/>
              <w:rPr>
                <w:rFonts w:cs="Arial"/>
                <w:b/>
                <w:bCs/>
                <w:sz w:val="20"/>
                <w:szCs w:val="20"/>
              </w:rPr>
            </w:pPr>
            <w:r>
              <w:rPr>
                <w:rFonts w:cs="Arial"/>
                <w:sz w:val="20"/>
                <w:szCs w:val="20"/>
              </w:rPr>
              <w:t>Due to IFC Legal team capacity this work has been deprioritised until resourcing is available. Once available, DESNZ and IFC have agreed to finalise this work and sign off amendments to the existing Administration Arrangements</w:t>
            </w:r>
            <w:r w:rsidR="00666E38" w:rsidRPr="00CE3487">
              <w:rPr>
                <w:rFonts w:cs="Arial"/>
                <w:sz w:val="20"/>
                <w:szCs w:val="20"/>
              </w:rPr>
              <w:t xml:space="preserve">. </w:t>
            </w:r>
          </w:p>
        </w:tc>
      </w:tr>
    </w:tbl>
    <w:p w14:paraId="7D20C56A" w14:textId="69F52780" w:rsidR="0C5E225C" w:rsidRDefault="0C5E225C">
      <w:r>
        <w:br w:type="page"/>
      </w:r>
    </w:p>
    <w:p w14:paraId="3BC68AFA" w14:textId="3FF33674" w:rsidR="006A123D" w:rsidRPr="0040656D" w:rsidRDefault="00657117" w:rsidP="6F7722AE">
      <w:pPr>
        <w:tabs>
          <w:tab w:val="left" w:pos="6915"/>
          <w:tab w:val="left" w:pos="9495"/>
        </w:tabs>
        <w:spacing w:after="240"/>
        <w:rPr>
          <w:rFonts w:cs="Arial"/>
          <w:sz w:val="20"/>
          <w:szCs w:val="20"/>
        </w:rPr>
      </w:pPr>
      <w:r w:rsidRPr="6F7722AE">
        <w:rPr>
          <w:rFonts w:cs="Arial"/>
          <w:b/>
          <w:bCs/>
          <w:sz w:val="20"/>
          <w:szCs w:val="20"/>
        </w:rPr>
        <w:lastRenderedPageBreak/>
        <w:t>M</w:t>
      </w:r>
      <w:r w:rsidR="006A123D" w:rsidRPr="6F7722AE">
        <w:rPr>
          <w:rFonts w:cs="Arial"/>
          <w:b/>
          <w:bCs/>
          <w:sz w:val="20"/>
          <w:szCs w:val="20"/>
        </w:rPr>
        <w:t xml:space="preserve">ajor lessons and recommendations for the year ahead </w:t>
      </w:r>
    </w:p>
    <w:tbl>
      <w:tblPr>
        <w:tblStyle w:val="TableGrid"/>
        <w:tblW w:w="15205" w:type="dxa"/>
        <w:tblLook w:val="04A0" w:firstRow="1" w:lastRow="0" w:firstColumn="1" w:lastColumn="0" w:noHBand="0" w:noVBand="1"/>
      </w:tblPr>
      <w:tblGrid>
        <w:gridCol w:w="438"/>
        <w:gridCol w:w="5970"/>
        <w:gridCol w:w="5981"/>
        <w:gridCol w:w="1530"/>
        <w:gridCol w:w="1286"/>
      </w:tblGrid>
      <w:tr w:rsidR="00262DD6" w:rsidRPr="0040656D" w14:paraId="54D53346" w14:textId="77777777" w:rsidTr="68F9DFB8">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ACE7A14" w14:textId="77777777" w:rsidR="00262DD6" w:rsidRPr="0040656D" w:rsidRDefault="00262DD6" w:rsidP="00657117">
            <w:pPr>
              <w:pStyle w:val="Paragraph"/>
              <w:spacing w:after="240"/>
              <w:rPr>
                <w:b/>
                <w:bCs/>
                <w:sz w:val="20"/>
                <w:szCs w:val="20"/>
              </w:rPr>
            </w:pPr>
            <w:r w:rsidRPr="0040656D">
              <w:rPr>
                <w:b/>
                <w:bCs/>
                <w:sz w:val="20"/>
                <w:szCs w:val="20"/>
              </w:rPr>
              <w:t>ID</w:t>
            </w:r>
          </w:p>
        </w:tc>
        <w:tc>
          <w:tcPr>
            <w:tcW w:w="597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6E2E2243" w14:textId="77777777" w:rsidR="00262DD6" w:rsidRPr="0040656D" w:rsidRDefault="00262DD6" w:rsidP="00657117">
            <w:pPr>
              <w:pStyle w:val="Paragraph"/>
              <w:spacing w:after="240"/>
              <w:rPr>
                <w:b/>
                <w:bCs/>
                <w:sz w:val="20"/>
                <w:szCs w:val="20"/>
              </w:rPr>
            </w:pPr>
            <w:r w:rsidRPr="0040656D">
              <w:rPr>
                <w:b/>
                <w:bCs/>
                <w:sz w:val="20"/>
                <w:szCs w:val="20"/>
              </w:rPr>
              <w:t>Lesson learned</w:t>
            </w:r>
          </w:p>
        </w:tc>
        <w:tc>
          <w:tcPr>
            <w:tcW w:w="5981"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AE54BBD" w14:textId="77777777" w:rsidR="00262DD6" w:rsidRPr="0040656D" w:rsidRDefault="00262DD6" w:rsidP="00657117">
            <w:pPr>
              <w:pStyle w:val="Paragraph"/>
              <w:spacing w:after="240"/>
              <w:rPr>
                <w:b/>
                <w:bCs/>
                <w:sz w:val="20"/>
                <w:szCs w:val="20"/>
              </w:rPr>
            </w:pPr>
            <w:r w:rsidRPr="0040656D">
              <w:rPr>
                <w:b/>
                <w:bCs/>
                <w:sz w:val="20"/>
                <w:szCs w:val="20"/>
              </w:rPr>
              <w:t>Recommendation</w:t>
            </w:r>
          </w:p>
        </w:tc>
        <w:tc>
          <w:tcPr>
            <w:tcW w:w="1530"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6BE28476" w14:textId="77777777" w:rsidR="00262DD6" w:rsidRDefault="00262DD6" w:rsidP="00657117">
            <w:pPr>
              <w:pStyle w:val="Paragraph"/>
              <w:spacing w:after="240"/>
              <w:rPr>
                <w:b/>
                <w:bCs/>
                <w:sz w:val="20"/>
                <w:szCs w:val="20"/>
              </w:rPr>
            </w:pPr>
            <w:r>
              <w:rPr>
                <w:b/>
                <w:bCs/>
                <w:sz w:val="20"/>
                <w:szCs w:val="20"/>
              </w:rPr>
              <w:t>O</w:t>
            </w:r>
            <w:r w:rsidRPr="005900CA">
              <w:rPr>
                <w:b/>
                <w:bCs/>
                <w:sz w:val="20"/>
                <w:szCs w:val="20"/>
              </w:rPr>
              <w:t>wner</w:t>
            </w:r>
          </w:p>
          <w:p w14:paraId="03F194B5" w14:textId="106F09D4" w:rsidR="001E6C4C" w:rsidRPr="0040656D" w:rsidRDefault="001E6C4C" w:rsidP="00657117">
            <w:pPr>
              <w:pStyle w:val="Paragraph"/>
              <w:spacing w:after="240"/>
              <w:rPr>
                <w:b/>
                <w:bCs/>
                <w:sz w:val="20"/>
                <w:szCs w:val="20"/>
              </w:rPr>
            </w:pPr>
          </w:p>
        </w:tc>
        <w:tc>
          <w:tcPr>
            <w:tcW w:w="1286"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99784F9" w14:textId="429908C0" w:rsidR="00262DD6" w:rsidRPr="0040656D" w:rsidRDefault="00262DD6" w:rsidP="00657117">
            <w:pPr>
              <w:pStyle w:val="Paragraph"/>
              <w:spacing w:after="240"/>
              <w:rPr>
                <w:b/>
                <w:bCs/>
                <w:sz w:val="20"/>
                <w:szCs w:val="20"/>
              </w:rPr>
            </w:pPr>
            <w:r w:rsidRPr="0040656D">
              <w:rPr>
                <w:b/>
                <w:bCs/>
                <w:sz w:val="20"/>
                <w:szCs w:val="20"/>
              </w:rPr>
              <w:t>Delivery date</w:t>
            </w:r>
          </w:p>
        </w:tc>
      </w:tr>
      <w:tr w:rsidR="00262DD6" w:rsidRPr="0040656D" w14:paraId="5CC13CD6" w14:textId="77777777" w:rsidTr="68F9DFB8">
        <w:trPr>
          <w:trHeight w:val="300"/>
        </w:trPr>
        <w:tc>
          <w:tcPr>
            <w:tcW w:w="438" w:type="dxa"/>
            <w:tcBorders>
              <w:top w:val="single" w:sz="4" w:space="0" w:color="auto"/>
              <w:left w:val="single" w:sz="4" w:space="0" w:color="auto"/>
              <w:bottom w:val="single" w:sz="4" w:space="0" w:color="auto"/>
              <w:right w:val="single" w:sz="4" w:space="0" w:color="auto"/>
            </w:tcBorders>
          </w:tcPr>
          <w:p w14:paraId="69FE0D14" w14:textId="29FC2B13" w:rsidR="00262DD6" w:rsidRPr="0040656D" w:rsidRDefault="00E15B24" w:rsidP="00657117">
            <w:pPr>
              <w:pStyle w:val="Paragraph"/>
              <w:spacing w:after="240"/>
              <w:rPr>
                <w:sz w:val="20"/>
                <w:szCs w:val="20"/>
              </w:rPr>
            </w:pPr>
            <w:r>
              <w:rPr>
                <w:sz w:val="20"/>
                <w:szCs w:val="20"/>
              </w:rPr>
              <w:t>1</w:t>
            </w:r>
          </w:p>
        </w:tc>
        <w:tc>
          <w:tcPr>
            <w:tcW w:w="5970" w:type="dxa"/>
            <w:tcBorders>
              <w:top w:val="single" w:sz="4" w:space="0" w:color="auto"/>
              <w:left w:val="single" w:sz="4" w:space="0" w:color="auto"/>
              <w:bottom w:val="single" w:sz="4" w:space="0" w:color="auto"/>
              <w:right w:val="single" w:sz="4" w:space="0" w:color="auto"/>
            </w:tcBorders>
          </w:tcPr>
          <w:p w14:paraId="5248BB04" w14:textId="2EBD4851" w:rsidR="00B456CF" w:rsidRPr="0040656D" w:rsidRDefault="00B456CF" w:rsidP="00657117">
            <w:pPr>
              <w:pStyle w:val="Paragraph"/>
              <w:spacing w:after="240"/>
              <w:rPr>
                <w:sz w:val="20"/>
                <w:szCs w:val="20"/>
              </w:rPr>
            </w:pPr>
            <w:r>
              <w:rPr>
                <w:sz w:val="20"/>
                <w:szCs w:val="20"/>
              </w:rPr>
              <w:t xml:space="preserve">Following Recommendation </w:t>
            </w:r>
            <w:r w:rsidR="00690311">
              <w:rPr>
                <w:sz w:val="20"/>
                <w:szCs w:val="20"/>
              </w:rPr>
              <w:t>5</w:t>
            </w:r>
            <w:r>
              <w:rPr>
                <w:sz w:val="20"/>
                <w:szCs w:val="20"/>
              </w:rPr>
              <w:t xml:space="preserve"> from the last reporting period, which was missed. The </w:t>
            </w:r>
            <w:r w:rsidRPr="00B456CF">
              <w:rPr>
                <w:sz w:val="20"/>
                <w:szCs w:val="20"/>
              </w:rPr>
              <w:t>MAGC Administrative Arrangements have not been formally reviewed and updated since programme inception in 2018. The Arrangements have been updated, when required to capture programmatic changes, such as changes to the eligible country list. However, they have not been reviewed and updated to ensure the Arrangements remain aligned with DESNZ and IFC departmental regulation and national policy.  </w:t>
            </w:r>
          </w:p>
        </w:tc>
        <w:tc>
          <w:tcPr>
            <w:tcW w:w="5981" w:type="dxa"/>
            <w:tcBorders>
              <w:top w:val="single" w:sz="4" w:space="0" w:color="auto"/>
              <w:left w:val="single" w:sz="4" w:space="0" w:color="auto"/>
              <w:bottom w:val="single" w:sz="4" w:space="0" w:color="auto"/>
              <w:right w:val="single" w:sz="4" w:space="0" w:color="auto"/>
            </w:tcBorders>
          </w:tcPr>
          <w:p w14:paraId="6BE8156A" w14:textId="77777777" w:rsidR="00B456CF" w:rsidRDefault="00B456CF" w:rsidP="00657117">
            <w:pPr>
              <w:pStyle w:val="Paragraph"/>
              <w:spacing w:after="240"/>
              <w:rPr>
                <w:sz w:val="20"/>
                <w:szCs w:val="20"/>
              </w:rPr>
            </w:pPr>
            <w:r w:rsidRPr="002A0888">
              <w:rPr>
                <w:b/>
                <w:bCs/>
                <w:sz w:val="20"/>
                <w:szCs w:val="20"/>
              </w:rPr>
              <w:t>Update Administrative Arrangements</w:t>
            </w:r>
            <w:r>
              <w:rPr>
                <w:b/>
                <w:bCs/>
                <w:sz w:val="20"/>
                <w:szCs w:val="20"/>
              </w:rPr>
              <w:t xml:space="preserve">. </w:t>
            </w:r>
            <w:r>
              <w:rPr>
                <w:sz w:val="20"/>
                <w:szCs w:val="20"/>
              </w:rPr>
              <w:t xml:space="preserve">DESNZ and IFC to review and update the programme’s arrangements to bring up to date with departmental/organisational regulation and national policy. This will likely include introducing policies on ESG/safeguarding and data protection. </w:t>
            </w:r>
          </w:p>
          <w:p w14:paraId="4B3B60DE" w14:textId="409D78F1" w:rsidR="00262DD6" w:rsidRPr="00C266B4" w:rsidRDefault="00262DD6" w:rsidP="00657117">
            <w:pPr>
              <w:pStyle w:val="paragraph0"/>
              <w:spacing w:before="0" w:beforeAutospacing="0" w:after="240" w:afterAutospacing="0"/>
              <w:jc w:val="both"/>
              <w:textAlignment w:val="baseline"/>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34AC835" w14:textId="77777777" w:rsidR="00177ED3" w:rsidRDefault="32EF92F2" w:rsidP="68F9DFB8">
            <w:pPr>
              <w:pStyle w:val="Paragraph"/>
              <w:spacing w:after="240"/>
              <w:jc w:val="left"/>
              <w:rPr>
                <w:sz w:val="20"/>
                <w:szCs w:val="20"/>
                <w:highlight w:val="black"/>
              </w:rPr>
            </w:pPr>
            <w:r w:rsidRPr="68F9DFB8">
              <w:rPr>
                <w:sz w:val="20"/>
                <w:szCs w:val="20"/>
                <w:highlight w:val="black"/>
              </w:rPr>
              <w:t>Joe Walker</w:t>
            </w:r>
            <w:r w:rsidR="3632B1F3" w:rsidRPr="68F9DFB8">
              <w:rPr>
                <w:sz w:val="20"/>
                <w:szCs w:val="20"/>
                <w:highlight w:val="black"/>
              </w:rPr>
              <w:t xml:space="preserve"> (DESNZ)</w:t>
            </w:r>
            <w:r w:rsidRPr="68F9DFB8">
              <w:rPr>
                <w:sz w:val="20"/>
                <w:szCs w:val="20"/>
                <w:highlight w:val="black"/>
              </w:rPr>
              <w:t>,</w:t>
            </w:r>
            <w:r w:rsidRPr="68F9DFB8">
              <w:rPr>
                <w:sz w:val="20"/>
                <w:szCs w:val="20"/>
              </w:rPr>
              <w:t xml:space="preserve"> </w:t>
            </w:r>
          </w:p>
          <w:p w14:paraId="359EF2E7" w14:textId="7F5709B8" w:rsidR="00262DD6" w:rsidRDefault="2228B16B" w:rsidP="68F9DFB8">
            <w:pPr>
              <w:pStyle w:val="Paragraph"/>
              <w:spacing w:after="240"/>
              <w:jc w:val="left"/>
              <w:rPr>
                <w:sz w:val="20"/>
                <w:szCs w:val="20"/>
                <w:highlight w:val="black"/>
              </w:rPr>
            </w:pPr>
            <w:r w:rsidRPr="68F9DFB8">
              <w:rPr>
                <w:sz w:val="20"/>
                <w:szCs w:val="20"/>
                <w:highlight w:val="black"/>
              </w:rPr>
              <w:t xml:space="preserve">Elizabeth Burden </w:t>
            </w:r>
            <w:r w:rsidR="3632B1F3" w:rsidRPr="68F9DFB8">
              <w:rPr>
                <w:sz w:val="20"/>
                <w:szCs w:val="20"/>
                <w:highlight w:val="black"/>
              </w:rPr>
              <w:t>(</w:t>
            </w:r>
            <w:r w:rsidR="32EF92F2" w:rsidRPr="68F9DFB8">
              <w:rPr>
                <w:sz w:val="20"/>
                <w:szCs w:val="20"/>
                <w:highlight w:val="black"/>
              </w:rPr>
              <w:t>IFC</w:t>
            </w:r>
            <w:r w:rsidR="3632B1F3" w:rsidRPr="68F9DFB8">
              <w:rPr>
                <w:sz w:val="20"/>
                <w:szCs w:val="20"/>
                <w:highlight w:val="black"/>
              </w:rPr>
              <w:t>)</w:t>
            </w:r>
          </w:p>
        </w:tc>
        <w:tc>
          <w:tcPr>
            <w:tcW w:w="1286" w:type="dxa"/>
            <w:tcBorders>
              <w:top w:val="single" w:sz="4" w:space="0" w:color="auto"/>
              <w:left w:val="single" w:sz="4" w:space="0" w:color="auto"/>
              <w:bottom w:val="single" w:sz="4" w:space="0" w:color="auto"/>
              <w:right w:val="single" w:sz="4" w:space="0" w:color="auto"/>
            </w:tcBorders>
          </w:tcPr>
          <w:p w14:paraId="40000B60" w14:textId="4BA542C0" w:rsidR="00262DD6" w:rsidRPr="0040656D" w:rsidRDefault="00B456CF" w:rsidP="00657117">
            <w:pPr>
              <w:pStyle w:val="Paragraph"/>
              <w:spacing w:after="240"/>
              <w:rPr>
                <w:sz w:val="20"/>
                <w:szCs w:val="20"/>
              </w:rPr>
            </w:pPr>
            <w:r>
              <w:rPr>
                <w:sz w:val="20"/>
                <w:szCs w:val="20"/>
              </w:rPr>
              <w:t>December 2025</w:t>
            </w:r>
          </w:p>
        </w:tc>
      </w:tr>
      <w:tr w:rsidR="00262DD6" w:rsidRPr="0040656D" w14:paraId="7D25B82B" w14:textId="77777777" w:rsidTr="68F9DFB8">
        <w:trPr>
          <w:trHeight w:val="2565"/>
        </w:trPr>
        <w:tc>
          <w:tcPr>
            <w:tcW w:w="438" w:type="dxa"/>
            <w:tcBorders>
              <w:top w:val="single" w:sz="4" w:space="0" w:color="auto"/>
              <w:left w:val="single" w:sz="4" w:space="0" w:color="auto"/>
              <w:bottom w:val="single" w:sz="4" w:space="0" w:color="auto"/>
              <w:right w:val="single" w:sz="4" w:space="0" w:color="auto"/>
            </w:tcBorders>
          </w:tcPr>
          <w:p w14:paraId="20CC3A23" w14:textId="23EF7BB7" w:rsidR="00262DD6" w:rsidRPr="0040656D" w:rsidRDefault="00E15B24" w:rsidP="00657117">
            <w:pPr>
              <w:pStyle w:val="Paragraph"/>
              <w:spacing w:after="240"/>
              <w:rPr>
                <w:sz w:val="20"/>
                <w:szCs w:val="20"/>
              </w:rPr>
            </w:pPr>
            <w:r>
              <w:rPr>
                <w:sz w:val="20"/>
                <w:szCs w:val="20"/>
              </w:rPr>
              <w:t>2</w:t>
            </w:r>
          </w:p>
        </w:tc>
        <w:tc>
          <w:tcPr>
            <w:tcW w:w="5970" w:type="dxa"/>
            <w:tcBorders>
              <w:top w:val="single" w:sz="4" w:space="0" w:color="auto"/>
              <w:left w:val="single" w:sz="4" w:space="0" w:color="auto"/>
              <w:bottom w:val="single" w:sz="4" w:space="0" w:color="auto"/>
              <w:right w:val="single" w:sz="4" w:space="0" w:color="auto"/>
            </w:tcBorders>
          </w:tcPr>
          <w:p w14:paraId="18218CFB" w14:textId="22BA017B" w:rsidR="00B106B7" w:rsidRPr="00657117" w:rsidRDefault="00B106B7" w:rsidP="00657117">
            <w:pPr>
              <w:pStyle w:val="Paragraph"/>
              <w:spacing w:after="240"/>
              <w:rPr>
                <w:rFonts w:eastAsiaTheme="minorHAnsi"/>
                <w:sz w:val="20"/>
                <w:szCs w:val="20"/>
              </w:rPr>
            </w:pPr>
            <w:r w:rsidRPr="00657117">
              <w:rPr>
                <w:rFonts w:eastAsiaTheme="minorHAnsi"/>
                <w:sz w:val="20"/>
                <w:szCs w:val="20"/>
              </w:rPr>
              <w:t>It has not been possible</w:t>
            </w:r>
            <w:r w:rsidR="00940D95" w:rsidRPr="00657117">
              <w:rPr>
                <w:rFonts w:eastAsiaTheme="minorHAnsi"/>
                <w:sz w:val="20"/>
                <w:szCs w:val="20"/>
              </w:rPr>
              <w:t xml:space="preserve">, so far in MAGC’s lifetime, </w:t>
            </w:r>
            <w:r w:rsidRPr="00657117">
              <w:rPr>
                <w:rFonts w:eastAsiaTheme="minorHAnsi"/>
                <w:sz w:val="20"/>
                <w:szCs w:val="20"/>
              </w:rPr>
              <w:t>to fully assess performance of the programme’s outcomes</w:t>
            </w:r>
            <w:r w:rsidR="00940D95">
              <w:rPr>
                <w:rFonts w:eastAsiaTheme="minorHAnsi"/>
                <w:sz w:val="20"/>
                <w:szCs w:val="20"/>
              </w:rPr>
              <w:t xml:space="preserve"> </w:t>
            </w:r>
            <w:r w:rsidRPr="00657117">
              <w:rPr>
                <w:rFonts w:eastAsiaTheme="minorHAnsi"/>
                <w:sz w:val="20"/>
                <w:szCs w:val="20"/>
              </w:rPr>
              <w:t>due to lack of available data from IFC. This means we are still basing the programme’s overall delivery and impact on assumptions established during programme inception and not actual investment or learning from programming since delivery began.  </w:t>
            </w:r>
          </w:p>
          <w:p w14:paraId="55DF09F6" w14:textId="18EF977D" w:rsidR="00262DD6" w:rsidRPr="00657117" w:rsidRDefault="00B106B7" w:rsidP="00657117">
            <w:pPr>
              <w:pStyle w:val="Paragraph"/>
              <w:spacing w:after="240"/>
              <w:rPr>
                <w:rFonts w:eastAsiaTheme="minorHAnsi"/>
                <w:b/>
                <w:bCs/>
                <w:sz w:val="20"/>
                <w:szCs w:val="20"/>
              </w:rPr>
            </w:pPr>
            <w:r w:rsidRPr="00657117">
              <w:rPr>
                <w:rFonts w:eastAsiaTheme="minorHAnsi"/>
                <w:sz w:val="20"/>
                <w:szCs w:val="20"/>
              </w:rPr>
              <w:t>A recommendation was included in last year’s Annual Review</w:t>
            </w:r>
            <w:r w:rsidR="00CE61F1">
              <w:rPr>
                <w:rFonts w:eastAsiaTheme="minorHAnsi"/>
                <w:sz w:val="20"/>
                <w:szCs w:val="20"/>
              </w:rPr>
              <w:t xml:space="preserve">, but due to data availability </w:t>
            </w:r>
            <w:r w:rsidR="00CE61F1" w:rsidRPr="00690311">
              <w:rPr>
                <w:rFonts w:eastAsiaTheme="minorHAnsi"/>
                <w:sz w:val="20"/>
                <w:szCs w:val="20"/>
              </w:rPr>
              <w:t xml:space="preserve">Recommendation </w:t>
            </w:r>
            <w:r w:rsidR="00690311" w:rsidRPr="00690311">
              <w:rPr>
                <w:rFonts w:eastAsiaTheme="minorHAnsi"/>
                <w:sz w:val="20"/>
                <w:szCs w:val="20"/>
              </w:rPr>
              <w:t>4</w:t>
            </w:r>
            <w:r w:rsidR="00CE61F1">
              <w:rPr>
                <w:rFonts w:eastAsiaTheme="minorHAnsi"/>
                <w:sz w:val="20"/>
                <w:szCs w:val="20"/>
              </w:rPr>
              <w:t xml:space="preserve"> was only partially achieved and will be kept under review in the next reporting period.</w:t>
            </w:r>
            <w:r w:rsidRPr="00657117">
              <w:rPr>
                <w:rFonts w:eastAsiaTheme="minorHAnsi"/>
                <w:sz w:val="20"/>
                <w:szCs w:val="20"/>
              </w:rPr>
              <w:t xml:space="preserve"> </w:t>
            </w:r>
          </w:p>
        </w:tc>
        <w:tc>
          <w:tcPr>
            <w:tcW w:w="5981" w:type="dxa"/>
            <w:tcBorders>
              <w:top w:val="single" w:sz="4" w:space="0" w:color="auto"/>
              <w:left w:val="single" w:sz="4" w:space="0" w:color="auto"/>
              <w:bottom w:val="single" w:sz="4" w:space="0" w:color="auto"/>
              <w:right w:val="single" w:sz="4" w:space="0" w:color="auto"/>
            </w:tcBorders>
          </w:tcPr>
          <w:p w14:paraId="688DF383" w14:textId="738BF940" w:rsidR="00262DD6" w:rsidRPr="002A0888" w:rsidRDefault="00E15B24" w:rsidP="00657117">
            <w:pPr>
              <w:pStyle w:val="Paragraph"/>
              <w:spacing w:after="240"/>
              <w:rPr>
                <w:b/>
                <w:bCs/>
                <w:sz w:val="20"/>
                <w:szCs w:val="20"/>
              </w:rPr>
            </w:pPr>
            <w:r>
              <w:rPr>
                <w:b/>
                <w:bCs/>
                <w:sz w:val="20"/>
                <w:szCs w:val="20"/>
              </w:rPr>
              <w:t xml:space="preserve">Value for Money Assessment. </w:t>
            </w:r>
            <w:r w:rsidR="00CE61F1" w:rsidRPr="00530BAC">
              <w:rPr>
                <w:sz w:val="20"/>
                <w:szCs w:val="20"/>
              </w:rPr>
              <w:t>Due to data availability th</w:t>
            </w:r>
            <w:r>
              <w:rPr>
                <w:sz w:val="20"/>
                <w:szCs w:val="20"/>
              </w:rPr>
              <w:t>e anticipated VfM</w:t>
            </w:r>
            <w:r w:rsidR="00CE61F1" w:rsidRPr="00530BAC">
              <w:rPr>
                <w:sz w:val="20"/>
                <w:szCs w:val="20"/>
              </w:rPr>
              <w:t xml:space="preserve"> analysis has not been possible. IFC have been able to provide DESNZ with some alternative</w:t>
            </w:r>
            <w:r w:rsidR="00CE61F1" w:rsidRPr="00123471">
              <w:rPr>
                <w:sz w:val="20"/>
                <w:szCs w:val="20"/>
              </w:rPr>
              <w:t xml:space="preserve"> </w:t>
            </w:r>
            <w:r w:rsidR="00CE61F1" w:rsidRPr="00530BAC">
              <w:rPr>
                <w:sz w:val="20"/>
                <w:szCs w:val="20"/>
              </w:rPr>
              <w:t>information based on achieved results data</w:t>
            </w:r>
            <w:r w:rsidR="00CE61F1">
              <w:rPr>
                <w:sz w:val="20"/>
                <w:szCs w:val="20"/>
              </w:rPr>
              <w:t xml:space="preserve"> only. This</w:t>
            </w:r>
            <w:r w:rsidR="00CE61F1" w:rsidRPr="00530BAC">
              <w:rPr>
                <w:sz w:val="20"/>
                <w:szCs w:val="20"/>
              </w:rPr>
              <w:t xml:space="preserve"> is currently </w:t>
            </w:r>
            <w:r w:rsidR="00CE61F1">
              <w:rPr>
                <w:sz w:val="20"/>
                <w:szCs w:val="20"/>
              </w:rPr>
              <w:t>being reviewed</w:t>
            </w:r>
            <w:r w:rsidR="00CE61F1" w:rsidRPr="00530BAC">
              <w:rPr>
                <w:sz w:val="20"/>
                <w:szCs w:val="20"/>
              </w:rPr>
              <w:t>,</w:t>
            </w:r>
            <w:r w:rsidR="00CE61F1" w:rsidRPr="00123471">
              <w:rPr>
                <w:sz w:val="20"/>
                <w:szCs w:val="20"/>
              </w:rPr>
              <w:t xml:space="preserve"> but the type of analysis</w:t>
            </w:r>
            <w:r w:rsidR="00CE61F1" w:rsidRPr="00530BAC">
              <w:rPr>
                <w:sz w:val="20"/>
                <w:szCs w:val="20"/>
              </w:rPr>
              <w:t xml:space="preserve"> originally</w:t>
            </w:r>
            <w:r w:rsidR="00CE61F1" w:rsidRPr="00123471">
              <w:rPr>
                <w:sz w:val="20"/>
                <w:szCs w:val="20"/>
              </w:rPr>
              <w:t xml:space="preserve"> </w:t>
            </w:r>
            <w:r w:rsidR="00CE61F1" w:rsidRPr="00530BAC">
              <w:rPr>
                <w:sz w:val="20"/>
                <w:szCs w:val="20"/>
              </w:rPr>
              <w:t>envisaged is not currently</w:t>
            </w:r>
            <w:r w:rsidR="00CE61F1" w:rsidRPr="00123471">
              <w:rPr>
                <w:sz w:val="20"/>
                <w:szCs w:val="20"/>
              </w:rPr>
              <w:t xml:space="preserve"> possible. </w:t>
            </w:r>
            <w:r w:rsidR="00CE61F1" w:rsidRPr="00530BAC">
              <w:rPr>
                <w:sz w:val="20"/>
                <w:szCs w:val="20"/>
              </w:rPr>
              <w:t>DESNZ will explore</w:t>
            </w:r>
            <w:r w:rsidR="00CE61F1" w:rsidRPr="00123471">
              <w:rPr>
                <w:sz w:val="20"/>
                <w:szCs w:val="20"/>
              </w:rPr>
              <w:t xml:space="preserve"> different approach</w:t>
            </w:r>
            <w:r w:rsidR="00CE61F1">
              <w:rPr>
                <w:sz w:val="20"/>
                <w:szCs w:val="20"/>
              </w:rPr>
              <w:t>es</w:t>
            </w:r>
            <w:r w:rsidR="00CE61F1" w:rsidRPr="00530BAC">
              <w:rPr>
                <w:sz w:val="20"/>
                <w:szCs w:val="20"/>
              </w:rPr>
              <w:t xml:space="preserve"> based on </w:t>
            </w:r>
            <w:r w:rsidR="00CE61F1">
              <w:rPr>
                <w:sz w:val="20"/>
                <w:szCs w:val="20"/>
              </w:rPr>
              <w:t xml:space="preserve">the </w:t>
            </w:r>
            <w:r w:rsidR="00CE61F1" w:rsidRPr="00530BAC">
              <w:rPr>
                <w:sz w:val="20"/>
                <w:szCs w:val="20"/>
              </w:rPr>
              <w:t xml:space="preserve">data </w:t>
            </w:r>
            <w:r w:rsidR="00CE61F1">
              <w:rPr>
                <w:sz w:val="20"/>
                <w:szCs w:val="20"/>
              </w:rPr>
              <w:t>provided.</w:t>
            </w:r>
            <w:r w:rsidR="00CE61F1" w:rsidRPr="00530BAC">
              <w:rPr>
                <w:sz w:val="20"/>
                <w:szCs w:val="20"/>
              </w:rPr>
              <w:t xml:space="preserve"> </w:t>
            </w:r>
            <w:r w:rsidR="00CE61F1">
              <w:rPr>
                <w:sz w:val="20"/>
                <w:szCs w:val="20"/>
              </w:rPr>
              <w:t>H</w:t>
            </w:r>
            <w:r w:rsidR="00CE61F1" w:rsidRPr="00530BAC">
              <w:rPr>
                <w:sz w:val="20"/>
                <w:szCs w:val="20"/>
              </w:rPr>
              <w:t>owever, it is likely that more achieved results will need to be reported to ensure we have a sufficient data sample size to draw any meaningful conclusions. This recommendation should therefore be kept under review next year.</w:t>
            </w:r>
          </w:p>
        </w:tc>
        <w:tc>
          <w:tcPr>
            <w:tcW w:w="1530" w:type="dxa"/>
            <w:tcBorders>
              <w:top w:val="single" w:sz="4" w:space="0" w:color="auto"/>
              <w:left w:val="single" w:sz="4" w:space="0" w:color="auto"/>
              <w:bottom w:val="single" w:sz="4" w:space="0" w:color="auto"/>
              <w:right w:val="single" w:sz="4" w:space="0" w:color="auto"/>
            </w:tcBorders>
          </w:tcPr>
          <w:p w14:paraId="3AE237BE" w14:textId="7F83077F" w:rsidR="00262DD6" w:rsidRDefault="07586375" w:rsidP="68F9DFB8">
            <w:pPr>
              <w:pStyle w:val="Paragraph"/>
              <w:spacing w:after="240"/>
              <w:jc w:val="left"/>
              <w:rPr>
                <w:sz w:val="20"/>
                <w:szCs w:val="20"/>
                <w:highlight w:val="black"/>
              </w:rPr>
            </w:pPr>
            <w:r w:rsidRPr="68F9DFB8">
              <w:rPr>
                <w:sz w:val="20"/>
                <w:szCs w:val="20"/>
                <w:highlight w:val="black"/>
              </w:rPr>
              <w:t>Will Farmer</w:t>
            </w:r>
            <w:r w:rsidR="3632B1F3" w:rsidRPr="68F9DFB8">
              <w:rPr>
                <w:sz w:val="20"/>
                <w:szCs w:val="20"/>
                <w:highlight w:val="black"/>
              </w:rPr>
              <w:t xml:space="preserve"> (DESNZ)</w:t>
            </w:r>
            <w:r w:rsidRPr="68F9DFB8">
              <w:rPr>
                <w:sz w:val="20"/>
                <w:szCs w:val="20"/>
                <w:highlight w:val="black"/>
              </w:rPr>
              <w:t xml:space="preserve">, </w:t>
            </w:r>
            <w:r w:rsidR="00E15B24">
              <w:br/>
            </w:r>
            <w:r w:rsidRPr="68F9DFB8">
              <w:rPr>
                <w:sz w:val="20"/>
                <w:szCs w:val="20"/>
                <w:highlight w:val="black"/>
              </w:rPr>
              <w:t>Joe Walker</w:t>
            </w:r>
            <w:r w:rsidR="3632B1F3" w:rsidRPr="68F9DFB8">
              <w:rPr>
                <w:sz w:val="20"/>
                <w:szCs w:val="20"/>
                <w:highlight w:val="black"/>
              </w:rPr>
              <w:t xml:space="preserve"> (DESNZ)</w:t>
            </w:r>
          </w:p>
        </w:tc>
        <w:tc>
          <w:tcPr>
            <w:tcW w:w="1286" w:type="dxa"/>
            <w:tcBorders>
              <w:top w:val="single" w:sz="4" w:space="0" w:color="auto"/>
              <w:left w:val="single" w:sz="4" w:space="0" w:color="auto"/>
              <w:bottom w:val="single" w:sz="4" w:space="0" w:color="auto"/>
              <w:right w:val="single" w:sz="4" w:space="0" w:color="auto"/>
            </w:tcBorders>
          </w:tcPr>
          <w:p w14:paraId="28C3DDEE" w14:textId="217003E4" w:rsidR="00262DD6" w:rsidRPr="0040656D" w:rsidRDefault="00E15B24" w:rsidP="00657117">
            <w:pPr>
              <w:pStyle w:val="Paragraph"/>
              <w:spacing w:after="240"/>
              <w:jc w:val="left"/>
              <w:rPr>
                <w:sz w:val="20"/>
                <w:szCs w:val="20"/>
              </w:rPr>
            </w:pPr>
            <w:r>
              <w:rPr>
                <w:sz w:val="20"/>
                <w:szCs w:val="20"/>
              </w:rPr>
              <w:t>December 2025</w:t>
            </w:r>
          </w:p>
        </w:tc>
      </w:tr>
      <w:tr w:rsidR="00E15B24" w:rsidRPr="0040656D" w14:paraId="65411065" w14:textId="77777777" w:rsidTr="68F9DFB8">
        <w:trPr>
          <w:trHeight w:val="6465"/>
        </w:trPr>
        <w:tc>
          <w:tcPr>
            <w:tcW w:w="438" w:type="dxa"/>
            <w:tcBorders>
              <w:top w:val="single" w:sz="4" w:space="0" w:color="auto"/>
              <w:left w:val="single" w:sz="4" w:space="0" w:color="auto"/>
              <w:bottom w:val="single" w:sz="4" w:space="0" w:color="auto"/>
              <w:right w:val="single" w:sz="4" w:space="0" w:color="auto"/>
            </w:tcBorders>
          </w:tcPr>
          <w:p w14:paraId="3D64CB83" w14:textId="1683ED53" w:rsidR="00E15B24" w:rsidRDefault="00E15B24" w:rsidP="00657117">
            <w:pPr>
              <w:pStyle w:val="Paragraph"/>
              <w:spacing w:after="240"/>
              <w:rPr>
                <w:sz w:val="20"/>
                <w:szCs w:val="20"/>
              </w:rPr>
            </w:pPr>
            <w:r w:rsidRPr="2DEF8BFC">
              <w:rPr>
                <w:sz w:val="20"/>
                <w:szCs w:val="20"/>
              </w:rPr>
              <w:lastRenderedPageBreak/>
              <w:t>3</w:t>
            </w:r>
          </w:p>
        </w:tc>
        <w:tc>
          <w:tcPr>
            <w:tcW w:w="5970" w:type="dxa"/>
            <w:tcBorders>
              <w:top w:val="single" w:sz="4" w:space="0" w:color="auto"/>
              <w:left w:val="single" w:sz="4" w:space="0" w:color="auto"/>
              <w:bottom w:val="single" w:sz="4" w:space="0" w:color="auto"/>
              <w:right w:val="single" w:sz="4" w:space="0" w:color="auto"/>
            </w:tcBorders>
          </w:tcPr>
          <w:p w14:paraId="3317F639" w14:textId="40EE4517" w:rsidR="00E15B24" w:rsidRPr="00361215" w:rsidRDefault="00E15B24" w:rsidP="00657117">
            <w:pPr>
              <w:pStyle w:val="Paragraph"/>
              <w:spacing w:after="240"/>
              <w:rPr>
                <w:sz w:val="20"/>
                <w:szCs w:val="20"/>
              </w:rPr>
            </w:pPr>
            <w:r w:rsidRPr="2DEF8BFC">
              <w:rPr>
                <w:sz w:val="20"/>
                <w:szCs w:val="20"/>
              </w:rPr>
              <w:t xml:space="preserve">A </w:t>
            </w:r>
            <w:r w:rsidR="00451607" w:rsidRPr="2DEF8BFC">
              <w:rPr>
                <w:sz w:val="20"/>
                <w:szCs w:val="20"/>
              </w:rPr>
              <w:t>Logframe</w:t>
            </w:r>
            <w:r w:rsidRPr="2DEF8BFC">
              <w:rPr>
                <w:sz w:val="20"/>
                <w:szCs w:val="20"/>
              </w:rPr>
              <w:t xml:space="preserve"> update is required in this reporting period for several reasons, including:  </w:t>
            </w:r>
          </w:p>
          <w:p w14:paraId="394DBD01" w14:textId="3B6F6BC6" w:rsidR="00E15B24" w:rsidRDefault="00E15B24" w:rsidP="1E9FB25A">
            <w:pPr>
              <w:pStyle w:val="Paragraph"/>
              <w:numPr>
                <w:ilvl w:val="0"/>
                <w:numId w:val="64"/>
              </w:numPr>
              <w:spacing w:after="100"/>
              <w:rPr>
                <w:sz w:val="20"/>
                <w:szCs w:val="20"/>
              </w:rPr>
            </w:pPr>
            <w:r w:rsidRPr="1E9FB25A">
              <w:rPr>
                <w:sz w:val="20"/>
                <w:szCs w:val="20"/>
              </w:rPr>
              <w:t xml:space="preserve">In December 2023, DESNZ provided </w:t>
            </w:r>
            <w:r w:rsidR="003452FA" w:rsidRPr="1E9FB25A">
              <w:rPr>
                <w:sz w:val="20"/>
                <w:szCs w:val="20"/>
              </w:rPr>
              <w:t>£</w:t>
            </w:r>
            <w:r w:rsidR="11162717" w:rsidRPr="1E9FB25A">
              <w:rPr>
                <w:sz w:val="20"/>
                <w:szCs w:val="20"/>
              </w:rPr>
              <w:t>24</w:t>
            </w:r>
            <w:r w:rsidR="33B20844" w:rsidRPr="1E9FB25A">
              <w:rPr>
                <w:sz w:val="20"/>
                <w:szCs w:val="20"/>
              </w:rPr>
              <w:t xml:space="preserve"> million (US$</w:t>
            </w:r>
            <w:r w:rsidR="563FB6DB" w:rsidRPr="1E9FB25A">
              <w:rPr>
                <w:sz w:val="20"/>
                <w:szCs w:val="20"/>
              </w:rPr>
              <w:t>28.8</w:t>
            </w:r>
            <w:r w:rsidR="003452FA" w:rsidRPr="1E9FB25A">
              <w:rPr>
                <w:sz w:val="20"/>
                <w:szCs w:val="20"/>
              </w:rPr>
              <w:t xml:space="preserve"> million) </w:t>
            </w:r>
            <w:r w:rsidRPr="1E9FB25A">
              <w:rPr>
                <w:sz w:val="20"/>
                <w:szCs w:val="20"/>
              </w:rPr>
              <w:t xml:space="preserve">new funding to increase the scope of Component 1. The new activities will be delivered between </w:t>
            </w:r>
            <w:r w:rsidR="09A91064" w:rsidRPr="1E9FB25A">
              <w:rPr>
                <w:sz w:val="20"/>
                <w:szCs w:val="20"/>
              </w:rPr>
              <w:t xml:space="preserve">reporting periods </w:t>
            </w:r>
            <w:r w:rsidRPr="1E9FB25A">
              <w:rPr>
                <w:sz w:val="20"/>
                <w:szCs w:val="20"/>
              </w:rPr>
              <w:t xml:space="preserve">FY24-27. DESNZ and IFC need to agree updated </w:t>
            </w:r>
            <w:r w:rsidR="00451607" w:rsidRPr="1E9FB25A">
              <w:rPr>
                <w:sz w:val="20"/>
                <w:szCs w:val="20"/>
              </w:rPr>
              <w:t>Logframe</w:t>
            </w:r>
            <w:r w:rsidRPr="1E9FB25A">
              <w:rPr>
                <w:sz w:val="20"/>
                <w:szCs w:val="20"/>
              </w:rPr>
              <w:t xml:space="preserve"> indicators and targets where relevant, to capture the implementation of the activities that were agreed and ensure monitoring for the delivery of these activities. </w:t>
            </w:r>
          </w:p>
          <w:p w14:paraId="76589019" w14:textId="0BA0C20F" w:rsidR="00E15B24" w:rsidRPr="006F5B30" w:rsidRDefault="00E15B24" w:rsidP="00657117">
            <w:pPr>
              <w:pStyle w:val="Paragraph"/>
              <w:numPr>
                <w:ilvl w:val="0"/>
                <w:numId w:val="64"/>
              </w:numPr>
              <w:spacing w:after="240"/>
              <w:rPr>
                <w:sz w:val="20"/>
                <w:szCs w:val="20"/>
              </w:rPr>
            </w:pPr>
            <w:r w:rsidRPr="006F5B30">
              <w:rPr>
                <w:sz w:val="20"/>
                <w:szCs w:val="20"/>
              </w:rPr>
              <w:t xml:space="preserve">The </w:t>
            </w:r>
            <w:r w:rsidR="00451607" w:rsidRPr="006F5B30">
              <w:rPr>
                <w:sz w:val="20"/>
                <w:szCs w:val="20"/>
              </w:rPr>
              <w:t>Logframe</w:t>
            </w:r>
            <w:r w:rsidRPr="006F5B30">
              <w:rPr>
                <w:sz w:val="20"/>
                <w:szCs w:val="20"/>
              </w:rPr>
              <w:t xml:space="preserve"> model assumptions have not been reviewed or updated since programme inception. Revisions may be required to better represent historical performance and current market trends.</w:t>
            </w:r>
          </w:p>
          <w:p w14:paraId="3E9D0CE3" w14:textId="77777777" w:rsidR="00E15B24" w:rsidRPr="00361215" w:rsidRDefault="00E15B24" w:rsidP="00657117">
            <w:pPr>
              <w:pStyle w:val="Paragraph"/>
              <w:numPr>
                <w:ilvl w:val="0"/>
                <w:numId w:val="65"/>
              </w:numPr>
              <w:spacing w:after="240"/>
              <w:rPr>
                <w:sz w:val="20"/>
                <w:szCs w:val="20"/>
              </w:rPr>
            </w:pPr>
            <w:r w:rsidRPr="00361215">
              <w:rPr>
                <w:sz w:val="20"/>
                <w:szCs w:val="20"/>
              </w:rPr>
              <w:t>Several indicators</w:t>
            </w:r>
            <w:r w:rsidRPr="006F5B30">
              <w:rPr>
                <w:sz w:val="20"/>
                <w:szCs w:val="20"/>
              </w:rPr>
              <w:t xml:space="preserve">, relating to replicated finance, remain to have challenges in reporting. It is required to review these indicators and amend as appropriate. </w:t>
            </w:r>
          </w:p>
          <w:p w14:paraId="2A043968" w14:textId="77777777" w:rsidR="00E15B24" w:rsidRPr="00361215" w:rsidRDefault="00E15B24" w:rsidP="00657117">
            <w:pPr>
              <w:pStyle w:val="Paragraph"/>
              <w:spacing w:after="240"/>
              <w:rPr>
                <w:sz w:val="20"/>
                <w:szCs w:val="20"/>
              </w:rPr>
            </w:pPr>
          </w:p>
          <w:p w14:paraId="7F1B158E" w14:textId="77777777" w:rsidR="00E15B24" w:rsidRPr="00361215" w:rsidRDefault="00E15B24" w:rsidP="00657117">
            <w:pPr>
              <w:pStyle w:val="Paragraph"/>
              <w:spacing w:after="240"/>
              <w:rPr>
                <w:sz w:val="20"/>
                <w:szCs w:val="20"/>
              </w:rPr>
            </w:pPr>
          </w:p>
          <w:p w14:paraId="4D16F36D" w14:textId="77777777" w:rsidR="00E15B24" w:rsidRPr="00361215" w:rsidRDefault="00E15B24" w:rsidP="00657117">
            <w:pPr>
              <w:pStyle w:val="Paragraph"/>
              <w:spacing w:after="240"/>
              <w:rPr>
                <w:sz w:val="20"/>
                <w:szCs w:val="20"/>
              </w:rPr>
            </w:pPr>
          </w:p>
          <w:p w14:paraId="04858CC5" w14:textId="77777777" w:rsidR="00E15B24" w:rsidRPr="00361215" w:rsidRDefault="00E15B24" w:rsidP="00657117">
            <w:pPr>
              <w:pStyle w:val="Paragraph"/>
              <w:spacing w:after="240"/>
              <w:rPr>
                <w:sz w:val="20"/>
                <w:szCs w:val="20"/>
              </w:rPr>
            </w:pPr>
          </w:p>
          <w:p w14:paraId="127611D3" w14:textId="77777777" w:rsidR="00E15B24" w:rsidRPr="00361215" w:rsidRDefault="00E15B24" w:rsidP="00657117">
            <w:pPr>
              <w:pStyle w:val="Paragraph"/>
              <w:spacing w:after="240"/>
              <w:rPr>
                <w:sz w:val="20"/>
                <w:szCs w:val="20"/>
              </w:rPr>
            </w:pPr>
          </w:p>
          <w:p w14:paraId="5EE04837" w14:textId="56967E3A" w:rsidR="00E15B24" w:rsidRDefault="00E15B24" w:rsidP="00657117">
            <w:pPr>
              <w:pStyle w:val="Paragraph"/>
              <w:spacing w:after="240"/>
              <w:rPr>
                <w:b/>
                <w:bCs/>
                <w:sz w:val="20"/>
                <w:szCs w:val="20"/>
              </w:rPr>
            </w:pPr>
            <w:r w:rsidRPr="008D1785">
              <w:rPr>
                <w:sz w:val="20"/>
                <w:szCs w:val="20"/>
              </w:rPr>
              <w:t xml:space="preserve"> </w:t>
            </w:r>
          </w:p>
        </w:tc>
        <w:tc>
          <w:tcPr>
            <w:tcW w:w="5981" w:type="dxa"/>
            <w:tcBorders>
              <w:top w:val="single" w:sz="4" w:space="0" w:color="auto"/>
              <w:left w:val="single" w:sz="4" w:space="0" w:color="auto"/>
              <w:bottom w:val="single" w:sz="4" w:space="0" w:color="auto"/>
              <w:right w:val="single" w:sz="4" w:space="0" w:color="auto"/>
            </w:tcBorders>
          </w:tcPr>
          <w:p w14:paraId="66756836" w14:textId="381059D8" w:rsidR="00E15B24" w:rsidRPr="006F5B30" w:rsidRDefault="00E15B24" w:rsidP="00657117">
            <w:pPr>
              <w:pStyle w:val="paragraph0"/>
              <w:spacing w:after="240" w:afterAutospacing="0"/>
              <w:textAlignment w:val="baseline"/>
              <w:rPr>
                <w:rStyle w:val="normaltextrun"/>
                <w:rFonts w:ascii="Arial" w:hAnsi="Arial" w:cs="Arial"/>
                <w:color w:val="000000" w:themeColor="text1"/>
                <w:sz w:val="20"/>
                <w:szCs w:val="20"/>
              </w:rPr>
            </w:pPr>
            <w:r w:rsidRPr="006F5B30">
              <w:rPr>
                <w:rFonts w:ascii="Arial" w:hAnsi="Arial" w:cs="Arial"/>
                <w:b/>
                <w:bCs/>
                <w:color w:val="000000" w:themeColor="text1"/>
                <w:sz w:val="20"/>
                <w:szCs w:val="20"/>
              </w:rPr>
              <w:t xml:space="preserve">Logframe Model Recalibration and General Update. </w:t>
            </w:r>
            <w:r w:rsidRPr="006F5B30">
              <w:rPr>
                <w:rFonts w:ascii="Arial" w:hAnsi="Arial" w:cs="Arial"/>
                <w:color w:val="000000" w:themeColor="text1"/>
                <w:sz w:val="20"/>
                <w:szCs w:val="20"/>
              </w:rPr>
              <w:t xml:space="preserve">IFC and DESNZ to strengthen the programme’s </w:t>
            </w:r>
            <w:r w:rsidR="00451607" w:rsidRPr="006F5B30">
              <w:rPr>
                <w:rFonts w:ascii="Arial" w:hAnsi="Arial" w:cs="Arial"/>
                <w:color w:val="000000" w:themeColor="text1"/>
                <w:sz w:val="20"/>
                <w:szCs w:val="20"/>
              </w:rPr>
              <w:t>Logframe</w:t>
            </w:r>
            <w:r w:rsidRPr="006F5B30">
              <w:rPr>
                <w:rFonts w:ascii="Arial" w:hAnsi="Arial" w:cs="Arial"/>
                <w:color w:val="000000" w:themeColor="text1"/>
                <w:sz w:val="20"/>
                <w:szCs w:val="20"/>
              </w:rPr>
              <w:t>, updates will include: </w:t>
            </w:r>
          </w:p>
          <w:p w14:paraId="412BC419" w14:textId="0DBF414C" w:rsidR="00E15B24" w:rsidRPr="00361215" w:rsidRDefault="00E15B24" w:rsidP="00657117">
            <w:pPr>
              <w:pStyle w:val="Paragraph"/>
              <w:numPr>
                <w:ilvl w:val="0"/>
                <w:numId w:val="68"/>
              </w:numPr>
              <w:spacing w:after="240"/>
              <w:rPr>
                <w:sz w:val="20"/>
                <w:szCs w:val="20"/>
              </w:rPr>
            </w:pPr>
            <w:r w:rsidRPr="7EC7FF45">
              <w:rPr>
                <w:sz w:val="20"/>
                <w:szCs w:val="20"/>
              </w:rPr>
              <w:t xml:space="preserve">The December 2023 Change Request contribution from the UK of £24 million in additional funding, along with a two-year extension of the investment window. This new contribution includes £22 million for Blended Finance (BF) and £2 million for FI Advisory Services, with the investment period now extending from December 2025 to December 2027.  </w:t>
            </w:r>
          </w:p>
          <w:p w14:paraId="470EBCD0" w14:textId="2F0A79BE" w:rsidR="00E15B24" w:rsidRPr="00361215" w:rsidRDefault="00E15B24" w:rsidP="00657117">
            <w:pPr>
              <w:pStyle w:val="Paragraph"/>
              <w:numPr>
                <w:ilvl w:val="0"/>
                <w:numId w:val="68"/>
              </w:numPr>
              <w:spacing w:after="240"/>
              <w:rPr>
                <w:sz w:val="20"/>
                <w:szCs w:val="20"/>
              </w:rPr>
            </w:pPr>
            <w:r w:rsidRPr="00361215">
              <w:rPr>
                <w:sz w:val="20"/>
                <w:szCs w:val="20"/>
              </w:rPr>
              <w:t xml:space="preserve">A reassessment of the original assumptions and a revision of the </w:t>
            </w:r>
            <w:r w:rsidR="00451607" w:rsidRPr="00361215">
              <w:rPr>
                <w:sz w:val="20"/>
                <w:szCs w:val="20"/>
              </w:rPr>
              <w:t>Logframe</w:t>
            </w:r>
            <w:r w:rsidRPr="00361215">
              <w:rPr>
                <w:sz w:val="20"/>
                <w:szCs w:val="20"/>
              </w:rPr>
              <w:t xml:space="preserve"> targets to align with historical performance and current trends in addition to the update on the additional funding and extended tenure. This will relate to the assumed number of MAGC transactions, financial instrument splits, mobilisation assumptions and disbursements profiles. </w:t>
            </w:r>
          </w:p>
          <w:p w14:paraId="1B6E4737" w14:textId="0AE8321C" w:rsidR="00E15B24" w:rsidRPr="00361215" w:rsidRDefault="00E15B24" w:rsidP="00657117">
            <w:pPr>
              <w:pStyle w:val="Paragraph"/>
              <w:numPr>
                <w:ilvl w:val="0"/>
                <w:numId w:val="68"/>
              </w:numPr>
              <w:spacing w:after="240"/>
              <w:rPr>
                <w:sz w:val="20"/>
                <w:szCs w:val="20"/>
              </w:rPr>
            </w:pPr>
            <w:r w:rsidRPr="00361215">
              <w:rPr>
                <w:sz w:val="20"/>
                <w:szCs w:val="20"/>
              </w:rPr>
              <w:t xml:space="preserve">A review of indicators related to replicated finance and several outcome/impact indicators which have had challenges with reporting. This will include incorporating the full impact of private finance mobilised results in the </w:t>
            </w:r>
            <w:r w:rsidR="00451607" w:rsidRPr="00361215">
              <w:rPr>
                <w:sz w:val="20"/>
                <w:szCs w:val="20"/>
              </w:rPr>
              <w:t>Logframe</w:t>
            </w:r>
            <w:r w:rsidRPr="00361215">
              <w:rPr>
                <w:sz w:val="20"/>
                <w:szCs w:val="20"/>
              </w:rPr>
              <w:t xml:space="preserve"> to capture both private finance mobilised at commitment stage and private equity mobilised at the sub loan stage. </w:t>
            </w:r>
          </w:p>
          <w:p w14:paraId="5D3F47D6" w14:textId="3EBF369F" w:rsidR="00E15B24" w:rsidRPr="00A441E7" w:rsidDel="00F00D13" w:rsidRDefault="00E15B24" w:rsidP="00657117">
            <w:pPr>
              <w:pStyle w:val="Paragraph"/>
              <w:numPr>
                <w:ilvl w:val="0"/>
                <w:numId w:val="68"/>
              </w:numPr>
              <w:spacing w:after="240"/>
              <w:rPr>
                <w:sz w:val="20"/>
                <w:szCs w:val="20"/>
              </w:rPr>
            </w:pPr>
            <w:r w:rsidRPr="00361215">
              <w:rPr>
                <w:sz w:val="20"/>
                <w:szCs w:val="20"/>
              </w:rPr>
              <w:t xml:space="preserve">Reviewing indicators in the </w:t>
            </w:r>
            <w:r w:rsidR="00451607" w:rsidRPr="00361215">
              <w:rPr>
                <w:sz w:val="20"/>
                <w:szCs w:val="20"/>
              </w:rPr>
              <w:t>Logframe</w:t>
            </w:r>
            <w:r w:rsidRPr="00361215">
              <w:rPr>
                <w:sz w:val="20"/>
                <w:szCs w:val="20"/>
              </w:rPr>
              <w:t xml:space="preserve"> which have had reporting challenges such as those related to replicated finance, in particular output indicator 1b.3 given further missed targets in this reporting period.</w:t>
            </w:r>
          </w:p>
        </w:tc>
        <w:tc>
          <w:tcPr>
            <w:tcW w:w="1530" w:type="dxa"/>
            <w:tcBorders>
              <w:top w:val="single" w:sz="4" w:space="0" w:color="auto"/>
              <w:left w:val="single" w:sz="4" w:space="0" w:color="auto"/>
              <w:bottom w:val="single" w:sz="4" w:space="0" w:color="auto"/>
              <w:right w:val="single" w:sz="4" w:space="0" w:color="auto"/>
            </w:tcBorders>
          </w:tcPr>
          <w:p w14:paraId="4D808457" w14:textId="5D8AA0E5" w:rsidR="00177ED3" w:rsidRDefault="07586375" w:rsidP="68F9DFB8">
            <w:pPr>
              <w:pStyle w:val="Paragraph"/>
              <w:spacing w:after="240"/>
              <w:jc w:val="left"/>
              <w:rPr>
                <w:sz w:val="20"/>
                <w:szCs w:val="20"/>
                <w:highlight w:val="black"/>
              </w:rPr>
            </w:pPr>
            <w:r w:rsidRPr="68F9DFB8">
              <w:rPr>
                <w:sz w:val="20"/>
                <w:szCs w:val="20"/>
                <w:highlight w:val="black"/>
              </w:rPr>
              <w:t>Will Farmer</w:t>
            </w:r>
            <w:r w:rsidR="3632B1F3" w:rsidRPr="68F9DFB8">
              <w:rPr>
                <w:sz w:val="20"/>
                <w:szCs w:val="20"/>
                <w:highlight w:val="black"/>
              </w:rPr>
              <w:t xml:space="preserve"> (DESNZ)</w:t>
            </w:r>
            <w:r w:rsidRPr="68F9DFB8">
              <w:rPr>
                <w:sz w:val="20"/>
                <w:szCs w:val="20"/>
                <w:highlight w:val="black"/>
              </w:rPr>
              <w:t>,</w:t>
            </w:r>
            <w:r w:rsidRPr="68F9DFB8">
              <w:rPr>
                <w:sz w:val="20"/>
                <w:szCs w:val="20"/>
              </w:rPr>
              <w:t xml:space="preserve"> </w:t>
            </w:r>
          </w:p>
          <w:p w14:paraId="5FB3BF1F" w14:textId="7DD5BB4F" w:rsidR="00E15B24" w:rsidRDefault="1975203D" w:rsidP="68F9DFB8">
            <w:pPr>
              <w:pStyle w:val="Paragraph"/>
              <w:spacing w:after="240"/>
              <w:jc w:val="left"/>
              <w:rPr>
                <w:sz w:val="20"/>
                <w:szCs w:val="20"/>
                <w:highlight w:val="black"/>
              </w:rPr>
            </w:pPr>
            <w:r w:rsidRPr="68F9DFB8">
              <w:rPr>
                <w:sz w:val="20"/>
                <w:szCs w:val="20"/>
                <w:highlight w:val="black"/>
              </w:rPr>
              <w:t>Aishwarya Sanjay Geete</w:t>
            </w:r>
            <w:r w:rsidRPr="68F9DFB8">
              <w:rPr>
                <w:b/>
                <w:bCs/>
                <w:sz w:val="20"/>
                <w:szCs w:val="20"/>
                <w:highlight w:val="black"/>
              </w:rPr>
              <w:t xml:space="preserve"> </w:t>
            </w:r>
            <w:r w:rsidRPr="68F9DFB8">
              <w:rPr>
                <w:sz w:val="20"/>
                <w:szCs w:val="20"/>
                <w:highlight w:val="black"/>
              </w:rPr>
              <w:t>(</w:t>
            </w:r>
            <w:r w:rsidR="07586375" w:rsidRPr="68F9DFB8">
              <w:rPr>
                <w:sz w:val="20"/>
                <w:szCs w:val="20"/>
                <w:highlight w:val="black"/>
              </w:rPr>
              <w:t>IFC</w:t>
            </w:r>
            <w:r w:rsidR="26AF4692" w:rsidRPr="68F9DFB8">
              <w:rPr>
                <w:sz w:val="20"/>
                <w:szCs w:val="20"/>
                <w:highlight w:val="black"/>
              </w:rPr>
              <w:t>)</w:t>
            </w:r>
          </w:p>
        </w:tc>
        <w:tc>
          <w:tcPr>
            <w:tcW w:w="1286" w:type="dxa"/>
            <w:tcBorders>
              <w:top w:val="single" w:sz="4" w:space="0" w:color="auto"/>
              <w:left w:val="single" w:sz="4" w:space="0" w:color="auto"/>
              <w:bottom w:val="single" w:sz="4" w:space="0" w:color="auto"/>
              <w:right w:val="single" w:sz="4" w:space="0" w:color="auto"/>
            </w:tcBorders>
          </w:tcPr>
          <w:p w14:paraId="0DB7F510" w14:textId="1F9CC8BF" w:rsidR="00E15B24" w:rsidRPr="0040656D" w:rsidRDefault="00F27E30" w:rsidP="00657117">
            <w:pPr>
              <w:pStyle w:val="Paragraph"/>
              <w:spacing w:after="240"/>
              <w:jc w:val="left"/>
              <w:rPr>
                <w:sz w:val="20"/>
                <w:szCs w:val="20"/>
              </w:rPr>
            </w:pPr>
            <w:r>
              <w:rPr>
                <w:sz w:val="20"/>
                <w:szCs w:val="20"/>
              </w:rPr>
              <w:t>October</w:t>
            </w:r>
            <w:r w:rsidR="00E15B24">
              <w:rPr>
                <w:sz w:val="20"/>
                <w:szCs w:val="20"/>
              </w:rPr>
              <w:t xml:space="preserve"> 2025</w:t>
            </w:r>
          </w:p>
        </w:tc>
      </w:tr>
      <w:tr w:rsidR="00B35B48" w:rsidRPr="0040656D" w14:paraId="037ACB34" w14:textId="77777777" w:rsidTr="68F9DFB8">
        <w:trPr>
          <w:trHeight w:val="1275"/>
        </w:trPr>
        <w:tc>
          <w:tcPr>
            <w:tcW w:w="438" w:type="dxa"/>
            <w:tcBorders>
              <w:top w:val="single" w:sz="4" w:space="0" w:color="auto"/>
              <w:left w:val="single" w:sz="4" w:space="0" w:color="auto"/>
              <w:bottom w:val="single" w:sz="4" w:space="0" w:color="auto"/>
              <w:right w:val="single" w:sz="4" w:space="0" w:color="auto"/>
            </w:tcBorders>
          </w:tcPr>
          <w:p w14:paraId="4F1EC824" w14:textId="075FA5C7" w:rsidR="00B35B48" w:rsidRDefault="00B35B48" w:rsidP="00657117">
            <w:pPr>
              <w:pStyle w:val="Paragraph"/>
              <w:spacing w:after="240"/>
              <w:rPr>
                <w:sz w:val="20"/>
                <w:szCs w:val="20"/>
              </w:rPr>
            </w:pPr>
            <w:r>
              <w:rPr>
                <w:sz w:val="20"/>
                <w:szCs w:val="20"/>
              </w:rPr>
              <w:t>4</w:t>
            </w:r>
          </w:p>
        </w:tc>
        <w:tc>
          <w:tcPr>
            <w:tcW w:w="5970" w:type="dxa"/>
            <w:tcBorders>
              <w:top w:val="single" w:sz="4" w:space="0" w:color="auto"/>
              <w:left w:val="single" w:sz="4" w:space="0" w:color="auto"/>
              <w:bottom w:val="single" w:sz="4" w:space="0" w:color="auto"/>
              <w:right w:val="single" w:sz="4" w:space="0" w:color="auto"/>
            </w:tcBorders>
          </w:tcPr>
          <w:p w14:paraId="6AF0E232" w14:textId="2FA945C3" w:rsidR="00B35B48" w:rsidRDefault="00B35B48" w:rsidP="00657117">
            <w:pPr>
              <w:pStyle w:val="Paragraph"/>
              <w:spacing w:after="240"/>
              <w:rPr>
                <w:b/>
                <w:bCs/>
                <w:sz w:val="20"/>
                <w:szCs w:val="20"/>
              </w:rPr>
            </w:pPr>
            <w:r>
              <w:rPr>
                <w:sz w:val="20"/>
                <w:szCs w:val="20"/>
              </w:rPr>
              <w:t xml:space="preserve">Targets relating to </w:t>
            </w:r>
            <w:r w:rsidRPr="0040656D">
              <w:rPr>
                <w:bCs/>
                <w:sz w:val="20"/>
                <w:szCs w:val="20"/>
              </w:rPr>
              <w:t>survey respondents (attending MAGC Research events) reporting increased knowledge of certified green building</w:t>
            </w:r>
            <w:r>
              <w:rPr>
                <w:bCs/>
                <w:sz w:val="20"/>
                <w:szCs w:val="20"/>
              </w:rPr>
              <w:t>s were missed (Output indicator 4.8), due to in</w:t>
            </w:r>
            <w:r>
              <w:rPr>
                <w:sz w:val="20"/>
                <w:szCs w:val="20"/>
              </w:rPr>
              <w:t>sufficient survey data.</w:t>
            </w:r>
            <w:r w:rsidR="006F6B01">
              <w:rPr>
                <w:sz w:val="20"/>
                <w:szCs w:val="20"/>
              </w:rPr>
              <w:t xml:space="preserve"> Given the importance of this data in capturing the benefit of the MAGC Research workstream, it is </w:t>
            </w:r>
            <w:r w:rsidR="006F6B01">
              <w:rPr>
                <w:sz w:val="20"/>
                <w:szCs w:val="20"/>
              </w:rPr>
              <w:lastRenderedPageBreak/>
              <w:t xml:space="preserve">required that IFC make necessary steps to improve reporting in the next reporting period. </w:t>
            </w:r>
            <w:r>
              <w:rPr>
                <w:sz w:val="20"/>
                <w:szCs w:val="20"/>
              </w:rPr>
              <w:t xml:space="preserve"> </w:t>
            </w:r>
          </w:p>
        </w:tc>
        <w:tc>
          <w:tcPr>
            <w:tcW w:w="5981" w:type="dxa"/>
            <w:tcBorders>
              <w:top w:val="single" w:sz="4" w:space="0" w:color="auto"/>
              <w:left w:val="single" w:sz="4" w:space="0" w:color="auto"/>
              <w:bottom w:val="single" w:sz="4" w:space="0" w:color="auto"/>
              <w:right w:val="single" w:sz="4" w:space="0" w:color="auto"/>
            </w:tcBorders>
          </w:tcPr>
          <w:p w14:paraId="36227F31" w14:textId="73546415" w:rsidR="00B35B48" w:rsidRPr="002A0888" w:rsidDel="00F00D13" w:rsidRDefault="00B35B48" w:rsidP="00657117">
            <w:pPr>
              <w:pStyle w:val="Paragraph"/>
              <w:spacing w:after="240"/>
              <w:jc w:val="left"/>
              <w:rPr>
                <w:b/>
                <w:bCs/>
                <w:sz w:val="20"/>
                <w:szCs w:val="20"/>
              </w:rPr>
            </w:pPr>
            <w:r>
              <w:rPr>
                <w:b/>
                <w:bCs/>
                <w:sz w:val="20"/>
              </w:rPr>
              <w:lastRenderedPageBreak/>
              <w:t>MAGC Research Events Survey Responses.</w:t>
            </w:r>
            <w:r w:rsidR="00F27E30">
              <w:rPr>
                <w:sz w:val="20"/>
                <w:szCs w:val="20"/>
              </w:rPr>
              <w:t xml:space="preserve"> DESNZ will expect IFC to introduce necessary steps, such as co-hosting events to ensure satisfaction surveys are provided and the necessary data is captured.</w:t>
            </w:r>
          </w:p>
        </w:tc>
        <w:tc>
          <w:tcPr>
            <w:tcW w:w="1530" w:type="dxa"/>
            <w:tcBorders>
              <w:top w:val="single" w:sz="4" w:space="0" w:color="auto"/>
              <w:left w:val="single" w:sz="4" w:space="0" w:color="auto"/>
              <w:bottom w:val="single" w:sz="4" w:space="0" w:color="auto"/>
              <w:right w:val="single" w:sz="4" w:space="0" w:color="auto"/>
            </w:tcBorders>
          </w:tcPr>
          <w:p w14:paraId="64764B59" w14:textId="48AC7116" w:rsidR="00B35B48" w:rsidRDefault="1A4C0186" w:rsidP="68F9DFB8">
            <w:pPr>
              <w:pStyle w:val="Paragraph"/>
              <w:spacing w:after="240"/>
              <w:jc w:val="left"/>
              <w:rPr>
                <w:sz w:val="20"/>
                <w:szCs w:val="20"/>
                <w:highlight w:val="black"/>
              </w:rPr>
            </w:pPr>
            <w:r w:rsidRPr="68F9DFB8">
              <w:rPr>
                <w:sz w:val="20"/>
                <w:szCs w:val="20"/>
                <w:highlight w:val="black"/>
              </w:rPr>
              <w:t>Girum Abebe Tefera (</w:t>
            </w:r>
            <w:r w:rsidR="3E616FE0" w:rsidRPr="68F9DFB8">
              <w:rPr>
                <w:sz w:val="20"/>
                <w:szCs w:val="20"/>
                <w:highlight w:val="black"/>
              </w:rPr>
              <w:t>IFC</w:t>
            </w:r>
            <w:r w:rsidR="15508473" w:rsidRPr="68F9DFB8">
              <w:rPr>
                <w:sz w:val="20"/>
                <w:szCs w:val="20"/>
                <w:highlight w:val="black"/>
              </w:rPr>
              <w:t>)</w:t>
            </w:r>
          </w:p>
        </w:tc>
        <w:tc>
          <w:tcPr>
            <w:tcW w:w="1286" w:type="dxa"/>
            <w:tcBorders>
              <w:top w:val="single" w:sz="4" w:space="0" w:color="auto"/>
              <w:left w:val="single" w:sz="4" w:space="0" w:color="auto"/>
              <w:bottom w:val="single" w:sz="4" w:space="0" w:color="auto"/>
              <w:right w:val="single" w:sz="4" w:space="0" w:color="auto"/>
            </w:tcBorders>
          </w:tcPr>
          <w:p w14:paraId="2935794A" w14:textId="3909AD5B" w:rsidR="00B35B48" w:rsidRPr="0040656D" w:rsidRDefault="00F27E30" w:rsidP="00657117">
            <w:pPr>
              <w:pStyle w:val="Paragraph"/>
              <w:spacing w:after="240"/>
              <w:jc w:val="left"/>
              <w:rPr>
                <w:sz w:val="20"/>
                <w:szCs w:val="20"/>
              </w:rPr>
            </w:pPr>
            <w:r>
              <w:rPr>
                <w:sz w:val="20"/>
                <w:szCs w:val="20"/>
              </w:rPr>
              <w:t>October 2025</w:t>
            </w:r>
          </w:p>
        </w:tc>
      </w:tr>
      <w:tr w:rsidR="006F6B01" w:rsidRPr="0040656D" w14:paraId="509EE3A0" w14:textId="77777777" w:rsidTr="68F9DFB8">
        <w:trPr>
          <w:trHeight w:val="300"/>
        </w:trPr>
        <w:tc>
          <w:tcPr>
            <w:tcW w:w="438" w:type="dxa"/>
            <w:tcBorders>
              <w:top w:val="single" w:sz="4" w:space="0" w:color="auto"/>
              <w:left w:val="single" w:sz="4" w:space="0" w:color="auto"/>
              <w:bottom w:val="single" w:sz="4" w:space="0" w:color="auto"/>
              <w:right w:val="single" w:sz="4" w:space="0" w:color="auto"/>
            </w:tcBorders>
          </w:tcPr>
          <w:p w14:paraId="6C368126" w14:textId="4A45169D" w:rsidR="006F6B01" w:rsidRPr="0040656D" w:rsidRDefault="006F6B01" w:rsidP="00657117">
            <w:pPr>
              <w:pStyle w:val="Paragraph"/>
              <w:spacing w:after="240"/>
              <w:rPr>
                <w:sz w:val="20"/>
                <w:szCs w:val="20"/>
              </w:rPr>
            </w:pPr>
            <w:r>
              <w:rPr>
                <w:sz w:val="20"/>
                <w:szCs w:val="20"/>
              </w:rPr>
              <w:t>5</w:t>
            </w:r>
          </w:p>
        </w:tc>
        <w:tc>
          <w:tcPr>
            <w:tcW w:w="5970" w:type="dxa"/>
            <w:tcBorders>
              <w:top w:val="single" w:sz="4" w:space="0" w:color="auto"/>
              <w:left w:val="single" w:sz="4" w:space="0" w:color="auto"/>
              <w:bottom w:val="single" w:sz="4" w:space="0" w:color="auto"/>
              <w:right w:val="single" w:sz="4" w:space="0" w:color="auto"/>
            </w:tcBorders>
          </w:tcPr>
          <w:p w14:paraId="02057BD4" w14:textId="1B7BFD92" w:rsidR="006F6B01" w:rsidRPr="00657117" w:rsidRDefault="006F6B01" w:rsidP="00657117">
            <w:pPr>
              <w:spacing w:after="240"/>
              <w:jc w:val="both"/>
              <w:rPr>
                <w:sz w:val="20"/>
              </w:rPr>
            </w:pPr>
            <w:r>
              <w:rPr>
                <w:rFonts w:cs="Arial"/>
                <w:sz w:val="20"/>
              </w:rPr>
              <w:t xml:space="preserve">As part of MAGC’s External Evaluation, IPSOS reviewed the programme’s existing Theory of Change. </w:t>
            </w:r>
            <w:r w:rsidR="00386A91">
              <w:rPr>
                <w:rFonts w:cs="Arial"/>
                <w:sz w:val="20"/>
              </w:rPr>
              <w:t>It was concluded that the Theory of Change demonstrates</w:t>
            </w:r>
            <w:r w:rsidRPr="00657117">
              <w:rPr>
                <w:rFonts w:cs="Arial"/>
                <w:sz w:val="20"/>
              </w:rPr>
              <w:t xml:space="preserve"> several strengths, including clear long-term objectives, relevance to the policy context, and valid causal pathways, but there is room for improvement to enhance its effectiveness</w:t>
            </w:r>
            <w:r w:rsidR="00386A91">
              <w:rPr>
                <w:rFonts w:cs="Arial"/>
                <w:sz w:val="20"/>
              </w:rPr>
              <w:t xml:space="preserve">. </w:t>
            </w:r>
          </w:p>
        </w:tc>
        <w:tc>
          <w:tcPr>
            <w:tcW w:w="5981" w:type="dxa"/>
            <w:tcBorders>
              <w:top w:val="single" w:sz="4" w:space="0" w:color="auto"/>
              <w:left w:val="single" w:sz="4" w:space="0" w:color="auto"/>
              <w:bottom w:val="single" w:sz="4" w:space="0" w:color="auto"/>
              <w:right w:val="single" w:sz="4" w:space="0" w:color="auto"/>
            </w:tcBorders>
          </w:tcPr>
          <w:p w14:paraId="276C3295" w14:textId="39932403" w:rsidR="006F6B01" w:rsidRPr="002A0888" w:rsidDel="00F00D13" w:rsidRDefault="006F6B01" w:rsidP="1F485D53">
            <w:pPr>
              <w:spacing w:after="240"/>
              <w:jc w:val="both"/>
              <w:rPr>
                <w:rFonts w:cs="Arial"/>
                <w:sz w:val="20"/>
                <w:szCs w:val="20"/>
              </w:rPr>
            </w:pPr>
            <w:r w:rsidRPr="1F485D53">
              <w:rPr>
                <w:b/>
                <w:bCs/>
                <w:sz w:val="20"/>
                <w:szCs w:val="20"/>
              </w:rPr>
              <w:t xml:space="preserve">Update Programme’s Theory of Change. </w:t>
            </w:r>
            <w:r w:rsidR="000B40EC" w:rsidRPr="1F485D53">
              <w:rPr>
                <w:rFonts w:cs="Arial"/>
                <w:sz w:val="20"/>
                <w:szCs w:val="20"/>
              </w:rPr>
              <w:t>Following this review, DESNZ and IFC will work with IPSOS to update the Theory of Change to enhance its effectivenes</w:t>
            </w:r>
            <w:r w:rsidR="520624DD" w:rsidRPr="1F485D53">
              <w:rPr>
                <w:rFonts w:cs="Arial"/>
                <w:sz w:val="20"/>
                <w:szCs w:val="20"/>
              </w:rPr>
              <w:t>s.</w:t>
            </w:r>
          </w:p>
        </w:tc>
        <w:tc>
          <w:tcPr>
            <w:tcW w:w="1530" w:type="dxa"/>
            <w:tcBorders>
              <w:top w:val="single" w:sz="4" w:space="0" w:color="auto"/>
              <w:left w:val="single" w:sz="4" w:space="0" w:color="auto"/>
              <w:bottom w:val="single" w:sz="4" w:space="0" w:color="auto"/>
              <w:right w:val="single" w:sz="4" w:space="0" w:color="auto"/>
            </w:tcBorders>
          </w:tcPr>
          <w:p w14:paraId="71B2CE06" w14:textId="77777777" w:rsidR="00177ED3" w:rsidRDefault="6FC30516" w:rsidP="68F9DFB8">
            <w:pPr>
              <w:pStyle w:val="Paragraph"/>
              <w:spacing w:after="240"/>
              <w:jc w:val="left"/>
              <w:rPr>
                <w:sz w:val="20"/>
                <w:szCs w:val="20"/>
                <w:highlight w:val="black"/>
              </w:rPr>
            </w:pPr>
            <w:r w:rsidRPr="68F9DFB8">
              <w:rPr>
                <w:sz w:val="20"/>
                <w:szCs w:val="20"/>
                <w:highlight w:val="black"/>
              </w:rPr>
              <w:t>Monica Poletti</w:t>
            </w:r>
            <w:r w:rsidR="3632B1F3" w:rsidRPr="68F9DFB8">
              <w:rPr>
                <w:sz w:val="20"/>
                <w:szCs w:val="20"/>
                <w:highlight w:val="black"/>
              </w:rPr>
              <w:t xml:space="preserve"> (DESNZ)</w:t>
            </w:r>
            <w:r w:rsidRPr="68F9DFB8">
              <w:rPr>
                <w:sz w:val="20"/>
                <w:szCs w:val="20"/>
                <w:highlight w:val="black"/>
              </w:rPr>
              <w:t>,</w:t>
            </w:r>
            <w:r w:rsidRPr="68F9DFB8">
              <w:rPr>
                <w:sz w:val="20"/>
                <w:szCs w:val="20"/>
              </w:rPr>
              <w:t xml:space="preserve"> </w:t>
            </w:r>
          </w:p>
          <w:p w14:paraId="7CAB8535" w14:textId="4BB92396" w:rsidR="006F6B01" w:rsidRDefault="7B68E309" w:rsidP="68F9DFB8">
            <w:pPr>
              <w:pStyle w:val="Paragraph"/>
              <w:spacing w:after="240"/>
              <w:jc w:val="left"/>
              <w:rPr>
                <w:sz w:val="20"/>
                <w:szCs w:val="20"/>
                <w:highlight w:val="black"/>
              </w:rPr>
            </w:pPr>
            <w:r w:rsidRPr="68F9DFB8">
              <w:rPr>
                <w:sz w:val="20"/>
                <w:szCs w:val="20"/>
                <w:highlight w:val="black"/>
              </w:rPr>
              <w:t>Vanya Candia (</w:t>
            </w:r>
            <w:r w:rsidR="6FC30516" w:rsidRPr="68F9DFB8">
              <w:rPr>
                <w:sz w:val="20"/>
                <w:szCs w:val="20"/>
                <w:highlight w:val="black"/>
              </w:rPr>
              <w:t>IFC</w:t>
            </w:r>
            <w:r w:rsidR="163948DA" w:rsidRPr="68F9DFB8">
              <w:rPr>
                <w:sz w:val="20"/>
                <w:szCs w:val="20"/>
                <w:highlight w:val="black"/>
              </w:rPr>
              <w:t>)</w:t>
            </w:r>
            <w:r w:rsidR="6FC30516" w:rsidRPr="68F9DFB8">
              <w:rPr>
                <w:sz w:val="20"/>
                <w:szCs w:val="20"/>
                <w:highlight w:val="black"/>
              </w:rPr>
              <w:t>, IPSOS</w:t>
            </w:r>
          </w:p>
        </w:tc>
        <w:tc>
          <w:tcPr>
            <w:tcW w:w="1286" w:type="dxa"/>
            <w:tcBorders>
              <w:top w:val="single" w:sz="4" w:space="0" w:color="auto"/>
              <w:left w:val="single" w:sz="4" w:space="0" w:color="auto"/>
              <w:bottom w:val="single" w:sz="4" w:space="0" w:color="auto"/>
              <w:right w:val="single" w:sz="4" w:space="0" w:color="auto"/>
            </w:tcBorders>
          </w:tcPr>
          <w:p w14:paraId="7CDD4B4E" w14:textId="1BA86849" w:rsidR="006F6B01" w:rsidRPr="0040656D" w:rsidRDefault="000B40EC" w:rsidP="00657117">
            <w:pPr>
              <w:pStyle w:val="Paragraph"/>
              <w:spacing w:after="240"/>
              <w:jc w:val="left"/>
              <w:rPr>
                <w:sz w:val="20"/>
                <w:szCs w:val="20"/>
              </w:rPr>
            </w:pPr>
            <w:r>
              <w:rPr>
                <w:sz w:val="20"/>
                <w:szCs w:val="20"/>
              </w:rPr>
              <w:t>June 2025</w:t>
            </w:r>
          </w:p>
        </w:tc>
      </w:tr>
      <w:tr w:rsidR="006F6B01" w:rsidRPr="0040656D" w14:paraId="236E1D36" w14:textId="77777777" w:rsidTr="68F9DFB8">
        <w:trPr>
          <w:trHeight w:val="300"/>
        </w:trPr>
        <w:tc>
          <w:tcPr>
            <w:tcW w:w="438" w:type="dxa"/>
            <w:tcBorders>
              <w:top w:val="single" w:sz="4" w:space="0" w:color="auto"/>
              <w:left w:val="single" w:sz="4" w:space="0" w:color="auto"/>
              <w:bottom w:val="single" w:sz="4" w:space="0" w:color="auto"/>
              <w:right w:val="single" w:sz="4" w:space="0" w:color="auto"/>
            </w:tcBorders>
          </w:tcPr>
          <w:p w14:paraId="4AB8054F" w14:textId="7663076F" w:rsidR="006F6B01" w:rsidRDefault="006F6B01" w:rsidP="00657117">
            <w:pPr>
              <w:pStyle w:val="Paragraph"/>
              <w:spacing w:after="240"/>
              <w:rPr>
                <w:sz w:val="20"/>
                <w:szCs w:val="20"/>
              </w:rPr>
            </w:pPr>
            <w:r>
              <w:rPr>
                <w:sz w:val="20"/>
                <w:szCs w:val="20"/>
              </w:rPr>
              <w:t>6</w:t>
            </w:r>
          </w:p>
        </w:tc>
        <w:tc>
          <w:tcPr>
            <w:tcW w:w="5970" w:type="dxa"/>
            <w:tcBorders>
              <w:top w:val="single" w:sz="4" w:space="0" w:color="auto"/>
              <w:left w:val="single" w:sz="4" w:space="0" w:color="auto"/>
              <w:bottom w:val="single" w:sz="4" w:space="0" w:color="auto"/>
              <w:right w:val="single" w:sz="4" w:space="0" w:color="auto"/>
            </w:tcBorders>
          </w:tcPr>
          <w:p w14:paraId="2C46D6E8" w14:textId="12ADB07F" w:rsidR="000B40EC" w:rsidRDefault="000B40EC" w:rsidP="000C48FF">
            <w:pPr>
              <w:spacing w:after="240"/>
              <w:jc w:val="both"/>
              <w:textAlignment w:val="baseline"/>
              <w:rPr>
                <w:rFonts w:cs="Arial"/>
                <w:sz w:val="20"/>
                <w:szCs w:val="20"/>
              </w:rPr>
            </w:pPr>
            <w:r w:rsidRPr="08D7F225">
              <w:rPr>
                <w:rFonts w:cs="Arial"/>
                <w:sz w:val="20"/>
                <w:szCs w:val="20"/>
              </w:rPr>
              <w:t xml:space="preserve">A </w:t>
            </w:r>
            <w:r w:rsidR="006F4CF7" w:rsidRPr="08D7F225">
              <w:rPr>
                <w:rFonts w:cs="Arial"/>
                <w:sz w:val="20"/>
                <w:szCs w:val="20"/>
              </w:rPr>
              <w:t xml:space="preserve">combination of initial </w:t>
            </w:r>
            <w:r w:rsidRPr="08D7F225">
              <w:rPr>
                <w:rFonts w:cs="Arial"/>
                <w:sz w:val="20"/>
                <w:szCs w:val="20"/>
              </w:rPr>
              <w:t>delay</w:t>
            </w:r>
            <w:r w:rsidR="006F4CF7" w:rsidRPr="08D7F225">
              <w:rPr>
                <w:rFonts w:cs="Arial"/>
                <w:sz w:val="20"/>
                <w:szCs w:val="20"/>
              </w:rPr>
              <w:t>s</w:t>
            </w:r>
            <w:r w:rsidRPr="08D7F225">
              <w:rPr>
                <w:rFonts w:cs="Arial"/>
                <w:sz w:val="20"/>
                <w:szCs w:val="20"/>
              </w:rPr>
              <w:t xml:space="preserve"> in closure of investment projects</w:t>
            </w:r>
            <w:r w:rsidR="006F4CF7" w:rsidRPr="08D7F225">
              <w:rPr>
                <w:rFonts w:cs="Arial"/>
                <w:sz w:val="20"/>
                <w:szCs w:val="20"/>
              </w:rPr>
              <w:t xml:space="preserve"> (</w:t>
            </w:r>
            <w:r w:rsidRPr="08D7F225">
              <w:rPr>
                <w:rFonts w:cs="Arial"/>
                <w:sz w:val="20"/>
                <w:szCs w:val="20"/>
              </w:rPr>
              <w:t>especially due to COVID 19</w:t>
            </w:r>
            <w:r w:rsidR="006F4CF7" w:rsidRPr="08D7F225">
              <w:rPr>
                <w:rFonts w:cs="Arial"/>
                <w:sz w:val="20"/>
                <w:szCs w:val="20"/>
              </w:rPr>
              <w:t>)</w:t>
            </w:r>
            <w:r w:rsidRPr="08D7F225">
              <w:rPr>
                <w:rFonts w:cs="Arial"/>
                <w:sz w:val="20"/>
                <w:szCs w:val="20"/>
              </w:rPr>
              <w:t xml:space="preserve">, and </w:t>
            </w:r>
            <w:r w:rsidR="009F0D8B" w:rsidRPr="08D7F225">
              <w:rPr>
                <w:rFonts w:cs="Arial"/>
                <w:sz w:val="20"/>
                <w:szCs w:val="20"/>
              </w:rPr>
              <w:t xml:space="preserve">the use of highly-efficient Performance Based Incentives (PBIs) </w:t>
            </w:r>
            <w:r w:rsidRPr="08D7F225">
              <w:rPr>
                <w:rFonts w:cs="Arial"/>
                <w:sz w:val="20"/>
                <w:szCs w:val="20"/>
              </w:rPr>
              <w:t xml:space="preserve">leaves </w:t>
            </w:r>
            <w:r w:rsidR="009F0D8B" w:rsidRPr="08D7F225">
              <w:rPr>
                <w:rFonts w:cs="Arial"/>
                <w:sz w:val="20"/>
                <w:szCs w:val="20"/>
              </w:rPr>
              <w:t xml:space="preserve">an </w:t>
            </w:r>
            <w:r w:rsidRPr="08D7F225">
              <w:rPr>
                <w:rFonts w:cs="Arial"/>
                <w:sz w:val="20"/>
                <w:szCs w:val="20"/>
              </w:rPr>
              <w:t xml:space="preserve">outstanding </w:t>
            </w:r>
            <w:r w:rsidR="007C087C" w:rsidRPr="08D7F225">
              <w:rPr>
                <w:rFonts w:cs="Arial"/>
                <w:sz w:val="20"/>
                <w:szCs w:val="20"/>
              </w:rPr>
              <w:t xml:space="preserve">uncommitted </w:t>
            </w:r>
            <w:r w:rsidRPr="08D7F225">
              <w:rPr>
                <w:rFonts w:cs="Arial"/>
                <w:sz w:val="20"/>
                <w:szCs w:val="20"/>
              </w:rPr>
              <w:t xml:space="preserve">balance </w:t>
            </w:r>
            <w:r w:rsidR="009F0D8B" w:rsidRPr="08D7F225">
              <w:rPr>
                <w:rFonts w:cs="Arial"/>
                <w:sz w:val="20"/>
                <w:szCs w:val="20"/>
              </w:rPr>
              <w:t xml:space="preserve">of </w:t>
            </w:r>
            <w:r w:rsidRPr="08D7F225">
              <w:rPr>
                <w:rFonts w:cs="Arial"/>
                <w:sz w:val="20"/>
                <w:szCs w:val="20"/>
              </w:rPr>
              <w:t>£</w:t>
            </w:r>
            <w:r w:rsidR="1152218B" w:rsidRPr="08D7F225">
              <w:rPr>
                <w:rFonts w:cs="Arial"/>
                <w:sz w:val="20"/>
                <w:szCs w:val="20"/>
              </w:rPr>
              <w:t>58</w:t>
            </w:r>
            <w:r w:rsidRPr="08D7F225">
              <w:rPr>
                <w:rFonts w:cs="Arial"/>
                <w:sz w:val="20"/>
                <w:szCs w:val="20"/>
              </w:rPr>
              <w:t>m</w:t>
            </w:r>
            <w:r w:rsidR="009F0D8B" w:rsidRPr="08D7F225">
              <w:rPr>
                <w:rFonts w:cs="Arial"/>
                <w:sz w:val="20"/>
                <w:szCs w:val="20"/>
              </w:rPr>
              <w:t xml:space="preserve"> </w:t>
            </w:r>
            <w:r w:rsidR="00BA618B" w:rsidRPr="08D7F225">
              <w:rPr>
                <w:rFonts w:cs="Arial"/>
                <w:sz w:val="20"/>
                <w:szCs w:val="20"/>
              </w:rPr>
              <w:t>(</w:t>
            </w:r>
            <w:r w:rsidR="7FB7D662" w:rsidRPr="08D7F225">
              <w:rPr>
                <w:rFonts w:cs="Arial"/>
                <w:sz w:val="20"/>
                <w:szCs w:val="20"/>
              </w:rPr>
              <w:t>56</w:t>
            </w:r>
            <w:r w:rsidR="12D38EEB" w:rsidRPr="08D7F225">
              <w:rPr>
                <w:rFonts w:cs="Arial"/>
                <w:sz w:val="20"/>
                <w:szCs w:val="20"/>
              </w:rPr>
              <w:t>.8</w:t>
            </w:r>
            <w:r w:rsidR="00BA618B" w:rsidRPr="08D7F225">
              <w:rPr>
                <w:rFonts w:cs="Arial"/>
                <w:sz w:val="20"/>
                <w:szCs w:val="20"/>
              </w:rPr>
              <w:t>%)</w:t>
            </w:r>
            <w:r w:rsidR="779DC234" w:rsidRPr="08D7F225">
              <w:rPr>
                <w:rFonts w:cs="Arial"/>
                <w:sz w:val="20"/>
                <w:szCs w:val="20"/>
              </w:rPr>
              <w:t xml:space="preserve"> as of June 2024</w:t>
            </w:r>
            <w:r w:rsidRPr="08D7F225">
              <w:rPr>
                <w:rFonts w:cs="Arial"/>
                <w:sz w:val="20"/>
                <w:szCs w:val="20"/>
              </w:rPr>
              <w:t xml:space="preserve">. </w:t>
            </w:r>
            <w:r w:rsidR="00AA2BEC" w:rsidRPr="08D7F225">
              <w:rPr>
                <w:rFonts w:cs="Arial"/>
                <w:sz w:val="20"/>
                <w:szCs w:val="20"/>
              </w:rPr>
              <w:t>With just three-</w:t>
            </w:r>
            <w:r w:rsidRPr="08D7F225">
              <w:rPr>
                <w:rFonts w:cs="Arial"/>
                <w:sz w:val="20"/>
                <w:szCs w:val="20"/>
              </w:rPr>
              <w:t>years of programme delivery</w:t>
            </w:r>
            <w:r w:rsidR="00AA2BEC" w:rsidRPr="08D7F225">
              <w:rPr>
                <w:rFonts w:cs="Arial"/>
                <w:sz w:val="20"/>
                <w:szCs w:val="20"/>
              </w:rPr>
              <w:t xml:space="preserve"> remaining</w:t>
            </w:r>
            <w:r w:rsidRPr="08D7F225">
              <w:rPr>
                <w:rFonts w:cs="Arial"/>
                <w:sz w:val="20"/>
                <w:szCs w:val="20"/>
              </w:rPr>
              <w:t xml:space="preserve">, risks </w:t>
            </w:r>
            <w:r w:rsidR="001B6B10" w:rsidRPr="08D7F225">
              <w:rPr>
                <w:rFonts w:cs="Arial"/>
                <w:sz w:val="20"/>
                <w:szCs w:val="20"/>
              </w:rPr>
              <w:t xml:space="preserve">exist </w:t>
            </w:r>
            <w:r w:rsidRPr="08D7F225">
              <w:rPr>
                <w:rFonts w:cs="Arial"/>
                <w:sz w:val="20"/>
                <w:szCs w:val="20"/>
              </w:rPr>
              <w:t>regarding the full commitment of the remaining unallocated balance, including</w:t>
            </w:r>
            <w:r w:rsidR="00616BDA" w:rsidRPr="08D7F225">
              <w:rPr>
                <w:rFonts w:cs="Arial"/>
                <w:sz w:val="20"/>
                <w:szCs w:val="20"/>
              </w:rPr>
              <w:t>:</w:t>
            </w:r>
            <w:r w:rsidRPr="08D7F225">
              <w:rPr>
                <w:rFonts w:cs="Arial"/>
                <w:sz w:val="20"/>
                <w:szCs w:val="20"/>
              </w:rPr>
              <w:t xml:space="preserve"> </w:t>
            </w:r>
          </w:p>
          <w:p w14:paraId="43D5E4D3" w14:textId="4C9ED3C9" w:rsidR="000B40EC" w:rsidRDefault="000B40EC" w:rsidP="7430632D">
            <w:pPr>
              <w:pStyle w:val="Paragraph"/>
              <w:numPr>
                <w:ilvl w:val="0"/>
                <w:numId w:val="84"/>
              </w:numPr>
              <w:spacing w:after="240"/>
              <w:rPr>
                <w:sz w:val="20"/>
                <w:szCs w:val="20"/>
              </w:rPr>
            </w:pPr>
            <w:r w:rsidRPr="7430632D">
              <w:rPr>
                <w:sz w:val="20"/>
                <w:szCs w:val="20"/>
              </w:rPr>
              <w:t xml:space="preserve">the commitment target is not </w:t>
            </w:r>
            <w:r w:rsidR="00010D5B" w:rsidRPr="7430632D">
              <w:rPr>
                <w:sz w:val="20"/>
                <w:szCs w:val="20"/>
              </w:rPr>
              <w:t>met,</w:t>
            </w:r>
            <w:r w:rsidRPr="7430632D">
              <w:rPr>
                <w:sz w:val="20"/>
                <w:szCs w:val="20"/>
              </w:rPr>
              <w:t xml:space="preserve"> </w:t>
            </w:r>
            <w:r w:rsidR="000F34DE" w:rsidRPr="7430632D">
              <w:rPr>
                <w:sz w:val="20"/>
                <w:szCs w:val="20"/>
              </w:rPr>
              <w:t xml:space="preserve">presenting an opportunity cost on </w:t>
            </w:r>
            <w:r w:rsidR="005133F8" w:rsidRPr="7430632D">
              <w:rPr>
                <w:sz w:val="20"/>
                <w:szCs w:val="20"/>
              </w:rPr>
              <w:t>unused funds</w:t>
            </w:r>
            <w:r w:rsidRPr="7430632D">
              <w:rPr>
                <w:sz w:val="20"/>
                <w:szCs w:val="20"/>
              </w:rPr>
              <w:t>,</w:t>
            </w:r>
          </w:p>
          <w:p w14:paraId="544F413C" w14:textId="6FB9A3F5" w:rsidR="00690311" w:rsidRDefault="123A8BF1" w:rsidP="7430632D">
            <w:pPr>
              <w:pStyle w:val="Paragraph"/>
              <w:numPr>
                <w:ilvl w:val="0"/>
                <w:numId w:val="84"/>
              </w:numPr>
              <w:spacing w:after="240"/>
              <w:rPr>
                <w:sz w:val="20"/>
                <w:szCs w:val="20"/>
              </w:rPr>
            </w:pPr>
            <w:r w:rsidRPr="729F1C53">
              <w:rPr>
                <w:sz w:val="20"/>
                <w:szCs w:val="20"/>
              </w:rPr>
              <w:t xml:space="preserve">less favourable investment projects </w:t>
            </w:r>
            <w:r w:rsidR="2B07CB30" w:rsidRPr="729F1C53">
              <w:rPr>
                <w:sz w:val="20"/>
                <w:szCs w:val="20"/>
              </w:rPr>
              <w:t>are pursued</w:t>
            </w:r>
            <w:r w:rsidR="2918E7BD" w:rsidRPr="729F1C53">
              <w:rPr>
                <w:sz w:val="20"/>
                <w:szCs w:val="20"/>
              </w:rPr>
              <w:t xml:space="preserve"> </w:t>
            </w:r>
            <w:r w:rsidR="000B40EC" w:rsidRPr="729F1C53">
              <w:rPr>
                <w:sz w:val="20"/>
                <w:szCs w:val="20"/>
              </w:rPr>
              <w:t xml:space="preserve">to meet the commitment targets, and </w:t>
            </w:r>
          </w:p>
          <w:p w14:paraId="10B08FED" w14:textId="1BEBA731" w:rsidR="006F6B01" w:rsidRPr="00657117" w:rsidRDefault="000B40EC" w:rsidP="00A441E7">
            <w:pPr>
              <w:pStyle w:val="Paragraph"/>
              <w:numPr>
                <w:ilvl w:val="0"/>
                <w:numId w:val="84"/>
              </w:numPr>
              <w:spacing w:after="240"/>
              <w:rPr>
                <w:sz w:val="20"/>
              </w:rPr>
            </w:pPr>
            <w:r w:rsidRPr="00657117">
              <w:rPr>
                <w:sz w:val="20"/>
              </w:rPr>
              <w:t xml:space="preserve">commitment </w:t>
            </w:r>
            <w:r w:rsidR="00010D5B" w:rsidRPr="00657117">
              <w:rPr>
                <w:sz w:val="20"/>
              </w:rPr>
              <w:t>targets</w:t>
            </w:r>
            <w:r w:rsidRPr="00657117">
              <w:rPr>
                <w:sz w:val="20"/>
              </w:rPr>
              <w:t xml:space="preserve"> are met but this creates a cliff-edge between the current programme pipeline and a future programme extension pipeline. </w:t>
            </w:r>
          </w:p>
        </w:tc>
        <w:tc>
          <w:tcPr>
            <w:tcW w:w="5981" w:type="dxa"/>
            <w:tcBorders>
              <w:top w:val="single" w:sz="4" w:space="0" w:color="auto"/>
              <w:left w:val="single" w:sz="4" w:space="0" w:color="auto"/>
              <w:bottom w:val="single" w:sz="4" w:space="0" w:color="auto"/>
              <w:right w:val="single" w:sz="4" w:space="0" w:color="auto"/>
            </w:tcBorders>
          </w:tcPr>
          <w:p w14:paraId="608E43F9" w14:textId="5A0448AE" w:rsidR="006F6B01" w:rsidRPr="00657117" w:rsidDel="00F00D13" w:rsidRDefault="00690311" w:rsidP="00657117">
            <w:pPr>
              <w:pStyle w:val="Paragraph"/>
              <w:spacing w:after="240"/>
              <w:rPr>
                <w:sz w:val="20"/>
                <w:szCs w:val="20"/>
              </w:rPr>
            </w:pPr>
            <w:r>
              <w:rPr>
                <w:b/>
                <w:bCs/>
                <w:sz w:val="20"/>
              </w:rPr>
              <w:t>Risk of U</w:t>
            </w:r>
            <w:r w:rsidR="000B40EC">
              <w:rPr>
                <w:b/>
                <w:bCs/>
                <w:sz w:val="20"/>
              </w:rPr>
              <w:t>nallocated MAGC Finance for Investment Projects</w:t>
            </w:r>
            <w:r>
              <w:rPr>
                <w:b/>
                <w:bCs/>
                <w:sz w:val="20"/>
              </w:rPr>
              <w:t xml:space="preserve">. </w:t>
            </w:r>
            <w:r w:rsidRPr="00657117">
              <w:rPr>
                <w:sz w:val="20"/>
              </w:rPr>
              <w:t>To monitor, DESNZ require IFC to provide a full written assessment of this risk against future pipeline projections (inc. project size and likely commitment dates) as well as suggested risk solutions (i.e., country eligibility expansion to open investment opportunities in new markets).</w:t>
            </w:r>
          </w:p>
        </w:tc>
        <w:tc>
          <w:tcPr>
            <w:tcW w:w="1530" w:type="dxa"/>
            <w:tcBorders>
              <w:top w:val="single" w:sz="4" w:space="0" w:color="auto"/>
              <w:left w:val="single" w:sz="4" w:space="0" w:color="auto"/>
              <w:bottom w:val="single" w:sz="4" w:space="0" w:color="auto"/>
              <w:right w:val="single" w:sz="4" w:space="0" w:color="auto"/>
            </w:tcBorders>
          </w:tcPr>
          <w:p w14:paraId="385EBFB2" w14:textId="77777777" w:rsidR="00177ED3" w:rsidRDefault="6FC30516" w:rsidP="68F9DFB8">
            <w:pPr>
              <w:pStyle w:val="Paragraph"/>
              <w:spacing w:after="240"/>
              <w:jc w:val="left"/>
              <w:rPr>
                <w:sz w:val="20"/>
                <w:szCs w:val="20"/>
                <w:highlight w:val="black"/>
              </w:rPr>
            </w:pPr>
            <w:r w:rsidRPr="68F9DFB8">
              <w:rPr>
                <w:sz w:val="20"/>
                <w:szCs w:val="20"/>
                <w:highlight w:val="black"/>
              </w:rPr>
              <w:t>Dan Cattell</w:t>
            </w:r>
            <w:r w:rsidR="3632B1F3" w:rsidRPr="68F9DFB8">
              <w:rPr>
                <w:sz w:val="20"/>
                <w:szCs w:val="20"/>
                <w:highlight w:val="black"/>
              </w:rPr>
              <w:t xml:space="preserve"> (DESNZ)</w:t>
            </w:r>
            <w:r w:rsidRPr="68F9DFB8">
              <w:rPr>
                <w:sz w:val="20"/>
                <w:szCs w:val="20"/>
                <w:highlight w:val="black"/>
              </w:rPr>
              <w:t>,</w:t>
            </w:r>
          </w:p>
          <w:p w14:paraId="4CD28F3B" w14:textId="7BD5D596" w:rsidR="006F6B01" w:rsidRDefault="118EF3EA" w:rsidP="68F9DFB8">
            <w:pPr>
              <w:pStyle w:val="Paragraph"/>
              <w:spacing w:after="240"/>
              <w:jc w:val="left"/>
              <w:rPr>
                <w:sz w:val="20"/>
                <w:szCs w:val="20"/>
                <w:highlight w:val="black"/>
              </w:rPr>
            </w:pPr>
            <w:r w:rsidRPr="68F9DFB8">
              <w:rPr>
                <w:sz w:val="20"/>
                <w:szCs w:val="20"/>
                <w:highlight w:val="black"/>
              </w:rPr>
              <w:t xml:space="preserve">Elizabeth Burden </w:t>
            </w:r>
            <w:r w:rsidR="3632B1F3" w:rsidRPr="68F9DFB8">
              <w:rPr>
                <w:sz w:val="20"/>
                <w:szCs w:val="20"/>
                <w:highlight w:val="black"/>
              </w:rPr>
              <w:t>(</w:t>
            </w:r>
            <w:r w:rsidR="6FC30516" w:rsidRPr="68F9DFB8">
              <w:rPr>
                <w:sz w:val="20"/>
                <w:szCs w:val="20"/>
                <w:highlight w:val="black"/>
              </w:rPr>
              <w:t>IFC</w:t>
            </w:r>
            <w:r w:rsidR="3632B1F3" w:rsidRPr="68F9DFB8">
              <w:rPr>
                <w:sz w:val="20"/>
                <w:szCs w:val="20"/>
                <w:highlight w:val="black"/>
              </w:rPr>
              <w:t>)</w:t>
            </w:r>
          </w:p>
        </w:tc>
        <w:tc>
          <w:tcPr>
            <w:tcW w:w="1286" w:type="dxa"/>
            <w:tcBorders>
              <w:top w:val="single" w:sz="4" w:space="0" w:color="auto"/>
              <w:left w:val="single" w:sz="4" w:space="0" w:color="auto"/>
              <w:bottom w:val="single" w:sz="4" w:space="0" w:color="auto"/>
              <w:right w:val="single" w:sz="4" w:space="0" w:color="auto"/>
            </w:tcBorders>
          </w:tcPr>
          <w:p w14:paraId="44CDBA3A" w14:textId="2BE8F4D8" w:rsidR="006F6B01" w:rsidRPr="0040656D" w:rsidRDefault="000B40EC" w:rsidP="00657117">
            <w:pPr>
              <w:pStyle w:val="Paragraph"/>
              <w:spacing w:after="240"/>
              <w:jc w:val="left"/>
              <w:rPr>
                <w:sz w:val="20"/>
                <w:szCs w:val="20"/>
              </w:rPr>
            </w:pPr>
            <w:r>
              <w:rPr>
                <w:sz w:val="20"/>
                <w:szCs w:val="20"/>
              </w:rPr>
              <w:t>October 2025</w:t>
            </w:r>
          </w:p>
        </w:tc>
      </w:tr>
    </w:tbl>
    <w:p w14:paraId="2B17391E" w14:textId="77777777" w:rsidR="006A123D" w:rsidRPr="0040656D" w:rsidRDefault="006A123D" w:rsidP="00657117">
      <w:pPr>
        <w:tabs>
          <w:tab w:val="left" w:pos="6915"/>
          <w:tab w:val="left" w:pos="9495"/>
        </w:tabs>
        <w:spacing w:after="240"/>
        <w:rPr>
          <w:rFonts w:cs="Arial"/>
          <w:b/>
          <w:sz w:val="20"/>
          <w:szCs w:val="20"/>
        </w:rPr>
      </w:pPr>
    </w:p>
    <w:p w14:paraId="00B50CEE" w14:textId="041FF457" w:rsidR="006A123D" w:rsidRPr="0040656D" w:rsidRDefault="006A123D" w:rsidP="70152485">
      <w:pPr>
        <w:pStyle w:val="NoSpacing"/>
        <w:tabs>
          <w:tab w:val="left" w:pos="6915"/>
          <w:tab w:val="left" w:pos="9495"/>
        </w:tabs>
        <w:spacing w:after="240"/>
        <w:rPr>
          <w:rFonts w:cs="Arial"/>
          <w:b/>
          <w:bCs/>
          <w:sz w:val="20"/>
          <w:szCs w:val="20"/>
        </w:rPr>
        <w:sectPr w:rsidR="006A123D" w:rsidRPr="0040656D" w:rsidSect="00840DEE">
          <w:headerReference w:type="default" r:id="rId26"/>
          <w:pgSz w:w="16838" w:h="11906" w:orient="landscape"/>
          <w:pgMar w:top="1440" w:right="709" w:bottom="1440" w:left="709" w:header="708" w:footer="708" w:gutter="0"/>
          <w:cols w:space="708"/>
          <w:docGrid w:linePitch="360"/>
        </w:sectPr>
      </w:pPr>
    </w:p>
    <w:p w14:paraId="3CBDA781" w14:textId="77777777" w:rsidR="006A123D" w:rsidRPr="000C48FF" w:rsidRDefault="006A123D" w:rsidP="000C48FF">
      <w:pPr>
        <w:pBdr>
          <w:top w:val="single" w:sz="4" w:space="1" w:color="auto"/>
          <w:left w:val="single" w:sz="4" w:space="4" w:color="auto"/>
          <w:bottom w:val="single" w:sz="4" w:space="1" w:color="auto"/>
          <w:right w:val="single" w:sz="4" w:space="4" w:color="auto"/>
        </w:pBdr>
        <w:shd w:val="clear" w:color="auto" w:fill="A5C9EB" w:themeFill="text2" w:themeFillTint="40"/>
        <w:spacing w:after="240"/>
        <w:rPr>
          <w:rFonts w:cs="Arial"/>
          <w:b/>
          <w:sz w:val="20"/>
          <w:szCs w:val="20"/>
        </w:rPr>
      </w:pPr>
      <w:bookmarkStart w:id="1" w:name="_Toc163028416"/>
      <w:r w:rsidRPr="000C48FF">
        <w:rPr>
          <w:rFonts w:cs="Arial"/>
          <w:b/>
          <w:sz w:val="20"/>
          <w:szCs w:val="20"/>
        </w:rPr>
        <w:lastRenderedPageBreak/>
        <w:t>B: THEORY OF CHANGE AND PROGRESS TOWARDS OUTCOMES</w:t>
      </w:r>
      <w:bookmarkEnd w:id="1"/>
      <w:r w:rsidRPr="000C48FF">
        <w:rPr>
          <w:rFonts w:cs="Arial"/>
          <w:b/>
          <w:sz w:val="20"/>
          <w:szCs w:val="20"/>
        </w:rPr>
        <w:t xml:space="preserve"> </w:t>
      </w:r>
    </w:p>
    <w:p w14:paraId="52CFDDAD" w14:textId="77777777" w:rsidR="006A123D" w:rsidRPr="0040656D" w:rsidRDefault="006A123D" w:rsidP="00657117">
      <w:pPr>
        <w:spacing w:after="240"/>
        <w:rPr>
          <w:rFonts w:cs="Arial"/>
          <w:b/>
          <w:sz w:val="20"/>
          <w:szCs w:val="20"/>
        </w:rPr>
      </w:pPr>
      <w:r w:rsidRPr="0040656D">
        <w:rPr>
          <w:rFonts w:cs="Arial"/>
          <w:b/>
          <w:sz w:val="20"/>
          <w:szCs w:val="20"/>
        </w:rPr>
        <w:t>Summarise the programme’s theory of change, including any changes to outcome and impact indicators from the original business case.</w:t>
      </w:r>
    </w:p>
    <w:p w14:paraId="0B7804AD" w14:textId="2EA5B55C" w:rsidR="006A123D" w:rsidRPr="0040656D" w:rsidRDefault="006A123D" w:rsidP="00657117">
      <w:pPr>
        <w:spacing w:after="240"/>
        <w:jc w:val="both"/>
        <w:rPr>
          <w:rFonts w:cs="Arial"/>
          <w:bCs/>
          <w:sz w:val="20"/>
          <w:szCs w:val="20"/>
        </w:rPr>
      </w:pPr>
      <w:r w:rsidRPr="0040656D">
        <w:rPr>
          <w:rFonts w:cs="Arial"/>
          <w:bCs/>
          <w:sz w:val="20"/>
          <w:szCs w:val="20"/>
        </w:rPr>
        <w:t>MAGC aims to lower carbon emissions and improve resource efficiency in the construction sector in emerging economies. The programme works upstream to improve the enabling environment for green buildings, to raise awareness, build capacity and expand green lending by providing advisory and technical assistance to key market players. In addition, the programme provides support to those markets and key stakeholders through direct investments aimed at catalysing the creation of Financial Institutions (</w:t>
      </w:r>
      <w:r w:rsidR="00B2037D">
        <w:rPr>
          <w:rFonts w:cs="Arial"/>
          <w:bCs/>
          <w:sz w:val="20"/>
          <w:szCs w:val="20"/>
        </w:rPr>
        <w:t>“</w:t>
      </w:r>
      <w:r w:rsidRPr="0040656D">
        <w:rPr>
          <w:rFonts w:cs="Arial"/>
          <w:bCs/>
          <w:sz w:val="20"/>
          <w:szCs w:val="20"/>
        </w:rPr>
        <w:t>FI</w:t>
      </w:r>
      <w:r w:rsidR="00B2037D">
        <w:rPr>
          <w:rFonts w:cs="Arial"/>
          <w:bCs/>
          <w:sz w:val="20"/>
          <w:szCs w:val="20"/>
        </w:rPr>
        <w:t>”</w:t>
      </w:r>
      <w:r w:rsidRPr="0040656D">
        <w:rPr>
          <w:rFonts w:cs="Arial"/>
          <w:bCs/>
          <w:sz w:val="20"/>
          <w:szCs w:val="20"/>
        </w:rPr>
        <w:t>) investment portfolios of certified green buildings.</w:t>
      </w:r>
    </w:p>
    <w:p w14:paraId="165817A0" w14:textId="6D068780" w:rsidR="006A123D" w:rsidRDefault="006A123D" w:rsidP="70152485">
      <w:pPr>
        <w:spacing w:after="240"/>
        <w:jc w:val="both"/>
        <w:rPr>
          <w:rFonts w:cs="Arial"/>
          <w:sz w:val="20"/>
          <w:szCs w:val="20"/>
        </w:rPr>
      </w:pPr>
      <w:r w:rsidRPr="70152485">
        <w:rPr>
          <w:rFonts w:cs="Arial"/>
          <w:sz w:val="20"/>
          <w:szCs w:val="20"/>
        </w:rPr>
        <w:t xml:space="preserve">MAGC </w:t>
      </w:r>
      <w:r w:rsidR="00D019EE" w:rsidRPr="70152485">
        <w:rPr>
          <w:rFonts w:cs="Arial"/>
          <w:sz w:val="20"/>
          <w:szCs w:val="20"/>
        </w:rPr>
        <w:t xml:space="preserve">aims </w:t>
      </w:r>
      <w:r w:rsidRPr="70152485">
        <w:rPr>
          <w:rFonts w:cs="Arial"/>
          <w:sz w:val="20"/>
          <w:szCs w:val="20"/>
        </w:rPr>
        <w:t xml:space="preserve">to create a metrics-driven definition of a </w:t>
      </w:r>
      <w:r w:rsidR="000B398B" w:rsidRPr="70152485">
        <w:rPr>
          <w:rFonts w:cs="Arial"/>
          <w:sz w:val="20"/>
          <w:szCs w:val="20"/>
        </w:rPr>
        <w:t>‘</w:t>
      </w:r>
      <w:r w:rsidRPr="70152485">
        <w:rPr>
          <w:rFonts w:cs="Arial"/>
          <w:sz w:val="20"/>
          <w:szCs w:val="20"/>
        </w:rPr>
        <w:t>green building</w:t>
      </w:r>
      <w:r w:rsidR="000B398B" w:rsidRPr="70152485">
        <w:rPr>
          <w:rFonts w:cs="Arial"/>
          <w:sz w:val="20"/>
          <w:szCs w:val="20"/>
        </w:rPr>
        <w:t>’</w:t>
      </w:r>
      <w:r w:rsidRPr="70152485">
        <w:rPr>
          <w:rFonts w:cs="Arial"/>
          <w:sz w:val="20"/>
          <w:szCs w:val="20"/>
        </w:rPr>
        <w:t>, creating a mechanism to reward property developers and buyers through green building certification, improving the enabling environment by supporting public policies, including incentives for voluntary certification, and promoting direct investment by supporting ground-breaking developers and financial institutions with investment funding and technical assistance. Accelerating supply and demand in the market for certified green construction will help tackle climate change and promote green growth by locking in low emissions through efficient design, realising co-benefits of economic wellbeing for households and enterprises through lower utility bills and promoting energy and water security through resource efficiency.</w:t>
      </w:r>
    </w:p>
    <w:p w14:paraId="6374FFE2" w14:textId="54FAD386" w:rsidR="00087076" w:rsidRDefault="00EF49BB" w:rsidP="70152485">
      <w:pPr>
        <w:spacing w:after="240"/>
        <w:jc w:val="both"/>
        <w:rPr>
          <w:rFonts w:cs="Arial"/>
          <w:sz w:val="20"/>
          <w:szCs w:val="20"/>
        </w:rPr>
      </w:pPr>
      <w:r w:rsidRPr="70152485">
        <w:rPr>
          <w:rFonts w:cs="Arial"/>
          <w:sz w:val="20"/>
          <w:szCs w:val="20"/>
        </w:rPr>
        <w:t xml:space="preserve">As part of MAGC’s </w:t>
      </w:r>
      <w:r w:rsidR="000B398B" w:rsidRPr="70152485">
        <w:rPr>
          <w:rFonts w:cs="Arial"/>
          <w:sz w:val="20"/>
          <w:szCs w:val="20"/>
        </w:rPr>
        <w:t xml:space="preserve">external </w:t>
      </w:r>
      <w:r w:rsidRPr="70152485">
        <w:rPr>
          <w:rFonts w:cs="Arial"/>
          <w:sz w:val="20"/>
          <w:szCs w:val="20"/>
        </w:rPr>
        <w:t xml:space="preserve">Evaluation, the MEL-Partner </w:t>
      </w:r>
      <w:r w:rsidR="008E2338" w:rsidRPr="70152485">
        <w:rPr>
          <w:rFonts w:cs="Arial"/>
          <w:sz w:val="20"/>
          <w:szCs w:val="20"/>
        </w:rPr>
        <w:t xml:space="preserve">(IPSOS) </w:t>
      </w:r>
      <w:r w:rsidR="00087076" w:rsidRPr="70152485">
        <w:rPr>
          <w:rFonts w:cs="Arial"/>
          <w:sz w:val="20"/>
          <w:szCs w:val="20"/>
        </w:rPr>
        <w:t>recommended to adjust MAGC’s Theory of Change to enhance its accuracy and completeness and provide a more robust framework for the Programme, in particular:</w:t>
      </w:r>
    </w:p>
    <w:p w14:paraId="3A521ADB" w14:textId="2E461C49" w:rsidR="00087076" w:rsidRDefault="00841433" w:rsidP="00657117">
      <w:pPr>
        <w:pStyle w:val="ListParagraph"/>
        <w:numPr>
          <w:ilvl w:val="0"/>
          <w:numId w:val="55"/>
        </w:numPr>
        <w:spacing w:after="240"/>
        <w:jc w:val="both"/>
        <w:rPr>
          <w:rFonts w:cs="Arial"/>
          <w:bCs/>
          <w:sz w:val="20"/>
          <w:szCs w:val="20"/>
        </w:rPr>
      </w:pPr>
      <w:r>
        <w:rPr>
          <w:rFonts w:cs="Arial"/>
          <w:bCs/>
          <w:sz w:val="20"/>
          <w:szCs w:val="20"/>
        </w:rPr>
        <w:t>E</w:t>
      </w:r>
      <w:r w:rsidR="00087076" w:rsidRPr="00505D32">
        <w:rPr>
          <w:rFonts w:cs="Arial"/>
          <w:bCs/>
          <w:sz w:val="20"/>
          <w:szCs w:val="20"/>
        </w:rPr>
        <w:t xml:space="preserve">stablishing clearer links and feedback loops between </w:t>
      </w:r>
      <w:r w:rsidRPr="00841433">
        <w:rPr>
          <w:rFonts w:cs="Arial"/>
          <w:bCs/>
          <w:sz w:val="20"/>
          <w:szCs w:val="20"/>
        </w:rPr>
        <w:t>component</w:t>
      </w:r>
      <w:r>
        <w:rPr>
          <w:rFonts w:cs="Arial"/>
          <w:bCs/>
          <w:sz w:val="20"/>
          <w:szCs w:val="20"/>
        </w:rPr>
        <w:t>s.</w:t>
      </w:r>
    </w:p>
    <w:p w14:paraId="4589BFF8" w14:textId="6B8FC2D1" w:rsidR="00087076" w:rsidRDefault="00841433" w:rsidP="00657117">
      <w:pPr>
        <w:pStyle w:val="ListParagraph"/>
        <w:numPr>
          <w:ilvl w:val="0"/>
          <w:numId w:val="55"/>
        </w:numPr>
        <w:spacing w:after="240"/>
        <w:jc w:val="both"/>
        <w:rPr>
          <w:rFonts w:cs="Arial"/>
          <w:bCs/>
          <w:sz w:val="20"/>
          <w:szCs w:val="20"/>
        </w:rPr>
      </w:pPr>
      <w:r>
        <w:rPr>
          <w:rFonts w:cs="Arial"/>
          <w:bCs/>
          <w:sz w:val="20"/>
          <w:szCs w:val="20"/>
        </w:rPr>
        <w:t>S</w:t>
      </w:r>
      <w:r w:rsidR="00087076">
        <w:rPr>
          <w:rFonts w:cs="Arial"/>
          <w:bCs/>
          <w:sz w:val="20"/>
          <w:szCs w:val="20"/>
        </w:rPr>
        <w:t>pecifying outputs</w:t>
      </w:r>
      <w:r>
        <w:rPr>
          <w:rFonts w:cs="Arial"/>
          <w:bCs/>
          <w:sz w:val="20"/>
          <w:szCs w:val="20"/>
        </w:rPr>
        <w:t xml:space="preserve">, outcomes, and impacts. </w:t>
      </w:r>
    </w:p>
    <w:p w14:paraId="570D4655" w14:textId="36A2C4C5" w:rsidR="00841433" w:rsidRDefault="00841433" w:rsidP="00657117">
      <w:pPr>
        <w:pStyle w:val="ListParagraph"/>
        <w:numPr>
          <w:ilvl w:val="0"/>
          <w:numId w:val="55"/>
        </w:numPr>
        <w:spacing w:after="240"/>
        <w:jc w:val="both"/>
        <w:rPr>
          <w:rFonts w:cs="Arial"/>
          <w:bCs/>
          <w:sz w:val="20"/>
          <w:szCs w:val="20"/>
        </w:rPr>
      </w:pPr>
      <w:r>
        <w:rPr>
          <w:rFonts w:cs="Arial"/>
          <w:bCs/>
          <w:sz w:val="20"/>
          <w:szCs w:val="20"/>
        </w:rPr>
        <w:t xml:space="preserve">Clarifying times of the outcomes (longer term vs shorter term). </w:t>
      </w:r>
    </w:p>
    <w:p w14:paraId="5684FC6F" w14:textId="6847077F" w:rsidR="00841433" w:rsidRPr="00505D32" w:rsidRDefault="00841433" w:rsidP="00657117">
      <w:pPr>
        <w:spacing w:after="240"/>
        <w:jc w:val="both"/>
        <w:rPr>
          <w:rFonts w:cs="Arial"/>
          <w:bCs/>
          <w:sz w:val="20"/>
          <w:szCs w:val="20"/>
        </w:rPr>
      </w:pPr>
      <w:r>
        <w:rPr>
          <w:rFonts w:cs="Arial"/>
          <w:bCs/>
          <w:sz w:val="20"/>
          <w:szCs w:val="20"/>
        </w:rPr>
        <w:t xml:space="preserve">This </w:t>
      </w:r>
      <w:r w:rsidR="00C44EB5">
        <w:rPr>
          <w:rFonts w:cs="Arial"/>
          <w:bCs/>
          <w:sz w:val="20"/>
          <w:szCs w:val="20"/>
        </w:rPr>
        <w:t xml:space="preserve">work has begun in this reporting period and will continue into the next reporting period. </w:t>
      </w:r>
      <w:r w:rsidR="00157C28">
        <w:rPr>
          <w:rFonts w:cs="Arial"/>
          <w:bCs/>
          <w:sz w:val="20"/>
          <w:szCs w:val="20"/>
        </w:rPr>
        <w:t xml:space="preserve">A recommendation for the year ahead will be to support </w:t>
      </w:r>
      <w:r w:rsidR="00D21629">
        <w:rPr>
          <w:rFonts w:cs="Arial"/>
          <w:bCs/>
          <w:sz w:val="20"/>
          <w:szCs w:val="20"/>
        </w:rPr>
        <w:t xml:space="preserve">IPSOS in this workstream and sign-off an updated Theory of Change for MAGC. </w:t>
      </w:r>
    </w:p>
    <w:p w14:paraId="4B4D4225" w14:textId="77777777" w:rsidR="006A123D" w:rsidRPr="0040656D" w:rsidRDefault="006A123D" w:rsidP="00657117">
      <w:pPr>
        <w:spacing w:after="240"/>
        <w:rPr>
          <w:rFonts w:cs="Arial"/>
          <w:bCs/>
          <w:sz w:val="20"/>
          <w:szCs w:val="20"/>
        </w:rPr>
      </w:pPr>
      <w:r w:rsidRPr="0040656D">
        <w:rPr>
          <w:rFonts w:cs="Arial"/>
          <w:b/>
          <w:bCs/>
          <w:sz w:val="20"/>
          <w:szCs w:val="20"/>
        </w:rPr>
        <w:t xml:space="preserve">Describe where the programme is on/off track to contribute to the expected outcomes and impact. What action is planned in </w:t>
      </w:r>
      <w:r w:rsidRPr="0040656D">
        <w:rPr>
          <w:rFonts w:cs="Arial"/>
          <w:b/>
          <w:sz w:val="20"/>
          <w:szCs w:val="20"/>
        </w:rPr>
        <w:t>the year ahead?</w:t>
      </w:r>
      <w:r w:rsidRPr="0040656D">
        <w:rPr>
          <w:rFonts w:cs="Arial"/>
          <w:bCs/>
          <w:sz w:val="20"/>
          <w:szCs w:val="20"/>
        </w:rPr>
        <w:t xml:space="preserve"> </w:t>
      </w:r>
    </w:p>
    <w:p w14:paraId="78E962DE" w14:textId="39C6556A" w:rsidR="00CF1B22" w:rsidRDefault="006A123D" w:rsidP="00657117">
      <w:pPr>
        <w:spacing w:after="240"/>
        <w:jc w:val="both"/>
        <w:rPr>
          <w:rFonts w:eastAsiaTheme="minorHAnsi" w:cs="Arial"/>
          <w:sz w:val="20"/>
          <w:szCs w:val="20"/>
          <w:lang w:eastAsia="en-GB"/>
        </w:rPr>
      </w:pPr>
      <w:r w:rsidRPr="0040656D">
        <w:rPr>
          <w:rFonts w:eastAsiaTheme="minorHAnsi" w:cs="Arial"/>
          <w:sz w:val="20"/>
          <w:szCs w:val="20"/>
          <w:lang w:eastAsia="en-GB"/>
        </w:rPr>
        <w:t>Through its various components, MAGC could contribute to a significant impact in the growth of the certified energy efficient green buildings market</w:t>
      </w:r>
      <w:r>
        <w:rPr>
          <w:rFonts w:eastAsiaTheme="minorHAnsi" w:cs="Arial"/>
          <w:sz w:val="20"/>
          <w:szCs w:val="20"/>
          <w:lang w:eastAsia="en-GB"/>
        </w:rPr>
        <w:t>.</w:t>
      </w:r>
      <w:r w:rsidRPr="0040656D">
        <w:rPr>
          <w:rFonts w:eastAsiaTheme="minorHAnsi" w:cs="Arial"/>
          <w:sz w:val="20"/>
          <w:szCs w:val="20"/>
          <w:lang w:eastAsia="en-GB"/>
        </w:rPr>
        <w:t xml:space="preserve"> </w:t>
      </w:r>
      <w:r w:rsidR="00F44A16">
        <w:rPr>
          <w:rFonts w:eastAsiaTheme="minorHAnsi" w:cs="Arial"/>
          <w:sz w:val="20"/>
          <w:szCs w:val="20"/>
          <w:lang w:eastAsia="en-GB"/>
        </w:rPr>
        <w:t>Generally,</w:t>
      </w:r>
      <w:r w:rsidR="00AC5612">
        <w:rPr>
          <w:rFonts w:eastAsiaTheme="minorHAnsi" w:cs="Arial"/>
          <w:sz w:val="20"/>
          <w:szCs w:val="20"/>
          <w:lang w:eastAsia="en-GB"/>
        </w:rPr>
        <w:t xml:space="preserve"> </w:t>
      </w:r>
      <w:r w:rsidR="00357903">
        <w:rPr>
          <w:rFonts w:eastAsiaTheme="minorHAnsi" w:cs="Arial"/>
          <w:sz w:val="20"/>
          <w:szCs w:val="20"/>
          <w:lang w:eastAsia="en-GB"/>
        </w:rPr>
        <w:t xml:space="preserve">DESNZ is </w:t>
      </w:r>
      <w:r w:rsidR="00AC5612">
        <w:rPr>
          <w:rFonts w:eastAsiaTheme="minorHAnsi" w:cs="Arial"/>
          <w:sz w:val="20"/>
          <w:szCs w:val="20"/>
          <w:lang w:eastAsia="en-GB"/>
        </w:rPr>
        <w:t xml:space="preserve">satisfied </w:t>
      </w:r>
      <w:r w:rsidR="00C67E85">
        <w:rPr>
          <w:rFonts w:eastAsiaTheme="minorHAnsi" w:cs="Arial"/>
          <w:sz w:val="20"/>
          <w:szCs w:val="20"/>
          <w:lang w:eastAsia="en-GB"/>
        </w:rPr>
        <w:t>MAGC is delivering to the expected outcomes and impacts</w:t>
      </w:r>
      <w:r w:rsidR="001262D6">
        <w:rPr>
          <w:rFonts w:eastAsiaTheme="minorHAnsi" w:cs="Arial"/>
          <w:sz w:val="20"/>
          <w:szCs w:val="20"/>
          <w:lang w:eastAsia="en-GB"/>
        </w:rPr>
        <w:t xml:space="preserve">. </w:t>
      </w:r>
    </w:p>
    <w:p w14:paraId="74A5EC69" w14:textId="77777777" w:rsidR="00A43D00" w:rsidRDefault="001262D6" w:rsidP="00A43D00">
      <w:pPr>
        <w:spacing w:after="240"/>
        <w:jc w:val="both"/>
        <w:rPr>
          <w:rFonts w:cs="Arial"/>
          <w:sz w:val="20"/>
          <w:szCs w:val="20"/>
        </w:rPr>
      </w:pPr>
      <w:r w:rsidRPr="70152485">
        <w:rPr>
          <w:rFonts w:cs="Arial"/>
          <w:sz w:val="20"/>
          <w:szCs w:val="20"/>
        </w:rPr>
        <w:t xml:space="preserve">MAGC’s performance for this reporting period has </w:t>
      </w:r>
      <w:r w:rsidR="00377B14" w:rsidRPr="70152485">
        <w:rPr>
          <w:rFonts w:cs="Arial"/>
          <w:sz w:val="20"/>
          <w:szCs w:val="20"/>
        </w:rPr>
        <w:t>majority exceeded</w:t>
      </w:r>
      <w:r w:rsidRPr="70152485">
        <w:rPr>
          <w:rFonts w:cs="Arial"/>
          <w:sz w:val="20"/>
          <w:szCs w:val="20"/>
        </w:rPr>
        <w:t xml:space="preserve"> expectations across the different components</w:t>
      </w:r>
      <w:r w:rsidR="008D0010" w:rsidRPr="70152485">
        <w:rPr>
          <w:rFonts w:cs="Arial"/>
          <w:sz w:val="20"/>
          <w:szCs w:val="20"/>
        </w:rPr>
        <w:t xml:space="preserve">.  </w:t>
      </w:r>
      <w:r w:rsidR="00A43D00" w:rsidRPr="70152485">
        <w:rPr>
          <w:rFonts w:cs="Arial"/>
          <w:sz w:val="20"/>
          <w:szCs w:val="20"/>
        </w:rPr>
        <w:t>See below table for summary of delivery for each assessed indicator, with scores described as below:</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70"/>
        <w:gridCol w:w="7736"/>
      </w:tblGrid>
      <w:tr w:rsidR="00A43D00" w14:paraId="239B2ED5" w14:textId="77777777" w:rsidTr="0E4B4052">
        <w:trPr>
          <w:trHeight w:val="300"/>
        </w:trPr>
        <w:tc>
          <w:tcPr>
            <w:tcW w:w="1271" w:type="dxa"/>
          </w:tcPr>
          <w:p w14:paraId="2D04708B" w14:textId="07F18508" w:rsidR="00A43D00" w:rsidRPr="000C48FF" w:rsidRDefault="00A43D00" w:rsidP="000C48FF">
            <w:pPr>
              <w:jc w:val="both"/>
              <w:rPr>
                <w:rFonts w:cs="Arial"/>
                <w:b/>
                <w:bCs/>
                <w:sz w:val="20"/>
                <w:szCs w:val="20"/>
              </w:rPr>
            </w:pPr>
            <w:r w:rsidRPr="70152485">
              <w:rPr>
                <w:rFonts w:cs="Arial"/>
                <w:b/>
                <w:bCs/>
                <w:sz w:val="20"/>
                <w:szCs w:val="20"/>
              </w:rPr>
              <w:t>Score</w:t>
            </w:r>
          </w:p>
        </w:tc>
        <w:tc>
          <w:tcPr>
            <w:tcW w:w="7745" w:type="dxa"/>
          </w:tcPr>
          <w:p w14:paraId="1E5E52CC" w14:textId="7FC714FA" w:rsidR="00A43D00" w:rsidRPr="000C48FF" w:rsidRDefault="00A43D00" w:rsidP="000C48FF">
            <w:pPr>
              <w:jc w:val="both"/>
              <w:rPr>
                <w:rFonts w:cs="Arial"/>
                <w:b/>
                <w:bCs/>
                <w:sz w:val="20"/>
                <w:szCs w:val="20"/>
              </w:rPr>
            </w:pPr>
            <w:r w:rsidRPr="70152485">
              <w:rPr>
                <w:rFonts w:cs="Arial"/>
                <w:b/>
                <w:bCs/>
                <w:sz w:val="20"/>
                <w:szCs w:val="20"/>
              </w:rPr>
              <w:t>Description</w:t>
            </w:r>
          </w:p>
        </w:tc>
      </w:tr>
      <w:tr w:rsidR="00A43D00" w14:paraId="6C525E15" w14:textId="77777777" w:rsidTr="0E4B4052">
        <w:trPr>
          <w:trHeight w:val="300"/>
        </w:trPr>
        <w:tc>
          <w:tcPr>
            <w:tcW w:w="1271" w:type="dxa"/>
          </w:tcPr>
          <w:p w14:paraId="1360693D" w14:textId="2CF9D659" w:rsidR="00A43D00" w:rsidRDefault="00A43D00" w:rsidP="000C48FF">
            <w:pPr>
              <w:jc w:val="both"/>
              <w:rPr>
                <w:rFonts w:cs="Arial"/>
                <w:sz w:val="20"/>
                <w:szCs w:val="20"/>
              </w:rPr>
            </w:pPr>
            <w:r w:rsidRPr="70152485">
              <w:rPr>
                <w:rFonts w:cs="Arial"/>
                <w:sz w:val="20"/>
                <w:szCs w:val="20"/>
              </w:rPr>
              <w:t>A++</w:t>
            </w:r>
          </w:p>
        </w:tc>
        <w:tc>
          <w:tcPr>
            <w:tcW w:w="7745" w:type="dxa"/>
          </w:tcPr>
          <w:p w14:paraId="74B2040D" w14:textId="2A8069A2" w:rsidR="00A43D00" w:rsidRPr="00F66501" w:rsidRDefault="00A43D00" w:rsidP="000C48FF">
            <w:pPr>
              <w:jc w:val="both"/>
              <w:rPr>
                <w:rFonts w:cs="Arial"/>
                <w:sz w:val="20"/>
                <w:szCs w:val="20"/>
              </w:rPr>
            </w:pPr>
            <w:r w:rsidRPr="70152485">
              <w:rPr>
                <w:rStyle w:val="normaltextrun"/>
                <w:rFonts w:cs="Arial"/>
                <w:sz w:val="20"/>
                <w:szCs w:val="20"/>
              </w:rPr>
              <w:t>Substantially exceeded expectations</w:t>
            </w:r>
          </w:p>
        </w:tc>
      </w:tr>
      <w:tr w:rsidR="00A43D00" w14:paraId="2EA5B811" w14:textId="77777777" w:rsidTr="0E4B4052">
        <w:trPr>
          <w:trHeight w:val="300"/>
        </w:trPr>
        <w:tc>
          <w:tcPr>
            <w:tcW w:w="1271" w:type="dxa"/>
          </w:tcPr>
          <w:p w14:paraId="2EF0331B" w14:textId="796730D5" w:rsidR="00A43D00" w:rsidRDefault="00A43D00" w:rsidP="000C48FF">
            <w:pPr>
              <w:jc w:val="both"/>
              <w:rPr>
                <w:rFonts w:cs="Arial"/>
                <w:sz w:val="20"/>
                <w:szCs w:val="20"/>
              </w:rPr>
            </w:pPr>
            <w:r w:rsidRPr="70152485">
              <w:rPr>
                <w:rFonts w:cs="Arial"/>
                <w:sz w:val="20"/>
                <w:szCs w:val="20"/>
              </w:rPr>
              <w:t>A+</w:t>
            </w:r>
          </w:p>
        </w:tc>
        <w:tc>
          <w:tcPr>
            <w:tcW w:w="7745" w:type="dxa"/>
          </w:tcPr>
          <w:p w14:paraId="4FE566CD" w14:textId="506B6CFA" w:rsidR="00A43D00" w:rsidRPr="00F66501" w:rsidRDefault="00A43D00" w:rsidP="000C48FF">
            <w:pPr>
              <w:jc w:val="both"/>
              <w:rPr>
                <w:rFonts w:cs="Arial"/>
                <w:sz w:val="20"/>
                <w:szCs w:val="20"/>
              </w:rPr>
            </w:pPr>
            <w:r w:rsidRPr="70152485">
              <w:rPr>
                <w:rStyle w:val="normaltextrun"/>
                <w:rFonts w:cs="Arial"/>
                <w:sz w:val="20"/>
                <w:szCs w:val="20"/>
              </w:rPr>
              <w:t>Moderately exceeded expectations</w:t>
            </w:r>
          </w:p>
        </w:tc>
      </w:tr>
      <w:tr w:rsidR="00A43D00" w14:paraId="1C172D71" w14:textId="77777777" w:rsidTr="0E4B4052">
        <w:trPr>
          <w:trHeight w:val="300"/>
        </w:trPr>
        <w:tc>
          <w:tcPr>
            <w:tcW w:w="1271" w:type="dxa"/>
          </w:tcPr>
          <w:p w14:paraId="269325BD" w14:textId="7088696C" w:rsidR="00A43D00" w:rsidRDefault="00A43D00" w:rsidP="000C48FF">
            <w:pPr>
              <w:jc w:val="both"/>
              <w:rPr>
                <w:rFonts w:cs="Arial"/>
                <w:sz w:val="20"/>
                <w:szCs w:val="20"/>
              </w:rPr>
            </w:pPr>
            <w:r w:rsidRPr="70152485">
              <w:rPr>
                <w:rFonts w:cs="Arial"/>
                <w:sz w:val="20"/>
                <w:szCs w:val="20"/>
              </w:rPr>
              <w:t>A</w:t>
            </w:r>
          </w:p>
        </w:tc>
        <w:tc>
          <w:tcPr>
            <w:tcW w:w="7745" w:type="dxa"/>
          </w:tcPr>
          <w:p w14:paraId="761B9B06" w14:textId="3B7A02A1" w:rsidR="00A43D00" w:rsidRPr="00F66501" w:rsidRDefault="00A43D00" w:rsidP="000C48FF">
            <w:pPr>
              <w:jc w:val="both"/>
              <w:rPr>
                <w:rFonts w:cs="Arial"/>
                <w:sz w:val="20"/>
                <w:szCs w:val="20"/>
              </w:rPr>
            </w:pPr>
            <w:r w:rsidRPr="70152485">
              <w:rPr>
                <w:rStyle w:val="normaltextrun"/>
                <w:sz w:val="20"/>
                <w:szCs w:val="20"/>
              </w:rPr>
              <w:t>Met expectations</w:t>
            </w:r>
          </w:p>
        </w:tc>
      </w:tr>
      <w:tr w:rsidR="00A43D00" w14:paraId="2CC90AEA" w14:textId="77777777" w:rsidTr="0E4B4052">
        <w:trPr>
          <w:trHeight w:val="300"/>
        </w:trPr>
        <w:tc>
          <w:tcPr>
            <w:tcW w:w="1271" w:type="dxa"/>
          </w:tcPr>
          <w:p w14:paraId="4037100F" w14:textId="42A4A491" w:rsidR="00A43D00" w:rsidRDefault="00A43D00" w:rsidP="000C48FF">
            <w:pPr>
              <w:jc w:val="both"/>
              <w:rPr>
                <w:rFonts w:cs="Arial"/>
                <w:sz w:val="20"/>
                <w:szCs w:val="20"/>
              </w:rPr>
            </w:pPr>
            <w:r w:rsidRPr="70152485">
              <w:rPr>
                <w:rFonts w:cs="Arial"/>
                <w:sz w:val="20"/>
                <w:szCs w:val="20"/>
              </w:rPr>
              <w:t>B</w:t>
            </w:r>
          </w:p>
        </w:tc>
        <w:tc>
          <w:tcPr>
            <w:tcW w:w="7745" w:type="dxa"/>
          </w:tcPr>
          <w:p w14:paraId="1B6FD848" w14:textId="6740E497" w:rsidR="00A43D00" w:rsidRPr="00F66501" w:rsidRDefault="00AC45BB" w:rsidP="000C48FF">
            <w:pPr>
              <w:jc w:val="both"/>
              <w:rPr>
                <w:rFonts w:cs="Arial"/>
                <w:sz w:val="20"/>
                <w:szCs w:val="20"/>
              </w:rPr>
            </w:pPr>
            <w:r w:rsidRPr="295530E4">
              <w:rPr>
                <w:rFonts w:cs="Arial"/>
                <w:sz w:val="20"/>
                <w:szCs w:val="20"/>
              </w:rPr>
              <w:t>Progress did not meet expectation</w:t>
            </w:r>
          </w:p>
        </w:tc>
      </w:tr>
      <w:tr w:rsidR="00A43D00" w14:paraId="707C6D7E" w14:textId="77777777" w:rsidTr="0E4B4052">
        <w:trPr>
          <w:trHeight w:val="300"/>
        </w:trPr>
        <w:tc>
          <w:tcPr>
            <w:tcW w:w="1271" w:type="dxa"/>
          </w:tcPr>
          <w:p w14:paraId="5DF54C9D" w14:textId="31477855" w:rsidR="00A43D00" w:rsidRDefault="00A43D00" w:rsidP="000C48FF">
            <w:pPr>
              <w:jc w:val="both"/>
              <w:rPr>
                <w:rFonts w:cs="Arial"/>
                <w:sz w:val="20"/>
                <w:szCs w:val="20"/>
              </w:rPr>
            </w:pPr>
            <w:r w:rsidRPr="70152485">
              <w:rPr>
                <w:rFonts w:cs="Arial"/>
                <w:sz w:val="20"/>
                <w:szCs w:val="20"/>
              </w:rPr>
              <w:t>C</w:t>
            </w:r>
          </w:p>
        </w:tc>
        <w:tc>
          <w:tcPr>
            <w:tcW w:w="7745" w:type="dxa"/>
          </w:tcPr>
          <w:p w14:paraId="2688FDC6" w14:textId="747C3F55" w:rsidR="00A43D00" w:rsidRDefault="00F66501" w:rsidP="000C48FF">
            <w:pPr>
              <w:jc w:val="both"/>
              <w:rPr>
                <w:rFonts w:cs="Arial"/>
                <w:sz w:val="20"/>
                <w:szCs w:val="20"/>
              </w:rPr>
            </w:pPr>
            <w:r w:rsidRPr="08D7F225">
              <w:rPr>
                <w:rFonts w:cs="Arial"/>
                <w:sz w:val="20"/>
                <w:szCs w:val="20"/>
              </w:rPr>
              <w:t>Progress substantially did not meet expectation</w:t>
            </w:r>
          </w:p>
        </w:tc>
      </w:tr>
    </w:tbl>
    <w:p w14:paraId="15048477" w14:textId="0A8EFD62" w:rsidR="00A43D00" w:rsidRDefault="00A43D00" w:rsidP="00657117">
      <w:pPr>
        <w:spacing w:after="240"/>
        <w:jc w:val="both"/>
        <w:rPr>
          <w:rFonts w:cs="Arial"/>
          <w:sz w:val="20"/>
          <w:szCs w:val="20"/>
        </w:rPr>
      </w:pPr>
    </w:p>
    <w:p w14:paraId="2866BE69" w14:textId="314F41B2" w:rsidR="2F8D22E3" w:rsidRDefault="2F8D22E3">
      <w:r>
        <w:br w:type="page"/>
      </w:r>
    </w:p>
    <w:p w14:paraId="011342D3" w14:textId="759FB660" w:rsidR="00F30999" w:rsidRPr="004177B0" w:rsidRDefault="00F30999" w:rsidP="00657117">
      <w:pPr>
        <w:spacing w:after="240"/>
        <w:jc w:val="both"/>
        <w:rPr>
          <w:rFonts w:cs="Arial"/>
          <w:i/>
          <w:iCs/>
          <w:sz w:val="20"/>
          <w:szCs w:val="20"/>
        </w:rPr>
      </w:pPr>
      <w:r>
        <w:rPr>
          <w:rFonts w:cs="Arial"/>
          <w:i/>
          <w:iCs/>
          <w:sz w:val="20"/>
          <w:szCs w:val="20"/>
        </w:rPr>
        <w:lastRenderedPageBreak/>
        <w:t xml:space="preserve">Table </w:t>
      </w:r>
      <w:r w:rsidR="007E2025">
        <w:rPr>
          <w:rFonts w:cs="Arial"/>
          <w:i/>
          <w:iCs/>
          <w:sz w:val="20"/>
          <w:szCs w:val="20"/>
        </w:rPr>
        <w:t>1</w:t>
      </w:r>
      <w:r>
        <w:rPr>
          <w:rFonts w:cs="Arial"/>
          <w:i/>
          <w:iCs/>
          <w:sz w:val="20"/>
          <w:szCs w:val="20"/>
        </w:rPr>
        <w:t>: Summary of assessed indicators performance in this Reporting Period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6"/>
        <w:gridCol w:w="1417"/>
        <w:gridCol w:w="2073"/>
      </w:tblGrid>
      <w:tr w:rsidR="00DC5EDC" w:rsidRPr="005A6359" w14:paraId="7B07421A" w14:textId="77777777" w:rsidTr="68212E82">
        <w:trPr>
          <w:trHeight w:val="300"/>
        </w:trPr>
        <w:tc>
          <w:tcPr>
            <w:tcW w:w="5526" w:type="dxa"/>
            <w:shd w:val="clear" w:color="auto" w:fill="A5C9EB" w:themeFill="text2" w:themeFillTint="40"/>
            <w:vAlign w:val="center"/>
          </w:tcPr>
          <w:p w14:paraId="72C68A9A" w14:textId="3E889188" w:rsidR="00DC5EDC" w:rsidRPr="005A6359" w:rsidRDefault="00F30999" w:rsidP="3D3FDCD8">
            <w:pPr>
              <w:pStyle w:val="paragraph0"/>
              <w:spacing w:before="0" w:beforeAutospacing="0" w:after="0" w:afterAutospacing="0"/>
              <w:textAlignment w:val="baseline"/>
              <w:rPr>
                <w:rStyle w:val="normaltextrun"/>
                <w:rFonts w:ascii="Arial" w:hAnsi="Arial" w:cs="Arial"/>
                <w:b/>
                <w:bCs/>
                <w:sz w:val="20"/>
                <w:szCs w:val="20"/>
                <w:lang w:eastAsia="en-US"/>
              </w:rPr>
            </w:pPr>
            <w:r w:rsidRPr="3D3FDCD8">
              <w:rPr>
                <w:rStyle w:val="normaltextrun"/>
                <w:rFonts w:ascii="Arial" w:hAnsi="Arial" w:cs="Arial"/>
                <w:b/>
                <w:bCs/>
                <w:sz w:val="20"/>
                <w:szCs w:val="20"/>
              </w:rPr>
              <w:t>OUTPUT INDICATOR</w:t>
            </w:r>
          </w:p>
        </w:tc>
        <w:tc>
          <w:tcPr>
            <w:tcW w:w="1417" w:type="dxa"/>
            <w:shd w:val="clear" w:color="auto" w:fill="A5C9EB" w:themeFill="text2" w:themeFillTint="40"/>
            <w:vAlign w:val="center"/>
          </w:tcPr>
          <w:p w14:paraId="3C9A784B" w14:textId="5CE1837C" w:rsidR="3D3FDCD8" w:rsidRDefault="3D3FDCD8" w:rsidP="3D3FDCD8">
            <w:pPr>
              <w:pStyle w:val="paragraph0"/>
              <w:spacing w:before="0" w:beforeAutospacing="0" w:after="0" w:afterAutospacing="0"/>
              <w:rPr>
                <w:rStyle w:val="normaltextrun"/>
                <w:rFonts w:ascii="Arial" w:hAnsi="Arial" w:cs="Arial"/>
                <w:b/>
                <w:bCs/>
                <w:sz w:val="20"/>
                <w:szCs w:val="20"/>
              </w:rPr>
            </w:pPr>
          </w:p>
          <w:p w14:paraId="45C02B82" w14:textId="065FE681" w:rsidR="00DC5EDC" w:rsidRPr="005A6359" w:rsidRDefault="00F30999" w:rsidP="3D3FDCD8">
            <w:pPr>
              <w:pStyle w:val="paragraph0"/>
              <w:spacing w:before="0" w:beforeAutospacing="0" w:after="0" w:afterAutospacing="0"/>
              <w:textAlignment w:val="baseline"/>
              <w:rPr>
                <w:rStyle w:val="normaltextrun"/>
                <w:rFonts w:ascii="Arial" w:hAnsi="Arial" w:cs="Arial"/>
                <w:b/>
                <w:bCs/>
                <w:sz w:val="20"/>
                <w:szCs w:val="20"/>
                <w:lang w:eastAsia="en-US"/>
              </w:rPr>
            </w:pPr>
            <w:r w:rsidRPr="3D3FDCD8">
              <w:rPr>
                <w:rStyle w:val="normaltextrun"/>
                <w:rFonts w:ascii="Arial" w:hAnsi="Arial" w:cs="Arial"/>
                <w:b/>
                <w:bCs/>
                <w:sz w:val="20"/>
                <w:szCs w:val="20"/>
              </w:rPr>
              <w:t>WEIGHTING</w:t>
            </w:r>
          </w:p>
        </w:tc>
        <w:tc>
          <w:tcPr>
            <w:tcW w:w="2073" w:type="dxa"/>
            <w:shd w:val="clear" w:color="auto" w:fill="A5C9EB" w:themeFill="text2" w:themeFillTint="40"/>
            <w:vAlign w:val="center"/>
          </w:tcPr>
          <w:p w14:paraId="7851F3EA" w14:textId="44B80D0E" w:rsidR="00DC5EDC" w:rsidRPr="005A6359" w:rsidRDefault="00F30999" w:rsidP="13DCA55D">
            <w:pPr>
              <w:pStyle w:val="paragraph0"/>
              <w:spacing w:before="0" w:beforeAutospacing="0" w:after="0" w:afterAutospacing="0"/>
              <w:jc w:val="center"/>
              <w:textAlignment w:val="baseline"/>
              <w:rPr>
                <w:rStyle w:val="normaltextrun"/>
                <w:rFonts w:ascii="Arial" w:hAnsi="Arial" w:cs="Arial"/>
                <w:b/>
                <w:bCs/>
                <w:sz w:val="20"/>
                <w:szCs w:val="20"/>
                <w:lang w:eastAsia="en-US"/>
              </w:rPr>
            </w:pPr>
            <w:r w:rsidRPr="13DCA55D">
              <w:rPr>
                <w:rStyle w:val="normaltextrun"/>
                <w:rFonts w:ascii="Arial" w:hAnsi="Arial" w:cs="Arial"/>
                <w:b/>
                <w:bCs/>
                <w:sz w:val="20"/>
                <w:szCs w:val="20"/>
              </w:rPr>
              <w:t>SCORE</w:t>
            </w:r>
          </w:p>
        </w:tc>
      </w:tr>
      <w:tr w:rsidR="00B07259" w:rsidRPr="005A6359" w14:paraId="027F48D3" w14:textId="77777777" w:rsidTr="68212E82">
        <w:trPr>
          <w:trHeight w:val="550"/>
        </w:trPr>
        <w:tc>
          <w:tcPr>
            <w:tcW w:w="5526" w:type="dxa"/>
            <w:shd w:val="clear" w:color="auto" w:fill="DAE9F7" w:themeFill="text2" w:themeFillTint="1A"/>
            <w:vAlign w:val="center"/>
          </w:tcPr>
          <w:p w14:paraId="607FE770" w14:textId="73D4AEDE" w:rsidR="00B07259" w:rsidRPr="005A6359" w:rsidRDefault="00B07259" w:rsidP="000C48FF">
            <w:pPr>
              <w:pStyle w:val="paragraph0"/>
              <w:spacing w:before="0" w:beforeAutospacing="0" w:after="240" w:afterAutospacing="0"/>
              <w:textAlignment w:val="baseline"/>
              <w:rPr>
                <w:rStyle w:val="normaltextrun"/>
                <w:rFonts w:ascii="Arial" w:hAnsi="Arial" w:cs="Arial"/>
                <w:b/>
                <w:bCs/>
                <w:sz w:val="20"/>
                <w:szCs w:val="20"/>
                <w:lang w:eastAsia="en-US"/>
              </w:rPr>
            </w:pPr>
            <w:r w:rsidRPr="295530E4">
              <w:rPr>
                <w:rStyle w:val="normaltextrun"/>
                <w:rFonts w:ascii="Arial" w:hAnsi="Arial" w:cs="Arial"/>
                <w:b/>
                <w:bCs/>
                <w:sz w:val="20"/>
                <w:szCs w:val="20"/>
              </w:rPr>
              <w:t>1</w:t>
            </w:r>
            <w:r w:rsidR="00471DD9" w:rsidRPr="295530E4">
              <w:rPr>
                <w:rStyle w:val="normaltextrun"/>
                <w:rFonts w:ascii="Arial" w:hAnsi="Arial" w:cs="Arial"/>
                <w:b/>
                <w:bCs/>
                <w:sz w:val="20"/>
                <w:szCs w:val="20"/>
              </w:rPr>
              <w:t>.</w:t>
            </w:r>
            <w:r w:rsidRPr="295530E4">
              <w:rPr>
                <w:rStyle w:val="normaltextrun"/>
                <w:rFonts w:ascii="Arial" w:hAnsi="Arial" w:cs="Arial"/>
                <w:b/>
                <w:bCs/>
                <w:sz w:val="20"/>
                <w:szCs w:val="20"/>
              </w:rPr>
              <w:t>a</w:t>
            </w:r>
            <w:r w:rsidR="00471DD9" w:rsidRPr="295530E4">
              <w:rPr>
                <w:rStyle w:val="normaltextrun"/>
                <w:rFonts w:ascii="Arial" w:hAnsi="Arial" w:cs="Arial"/>
                <w:b/>
                <w:bCs/>
                <w:sz w:val="20"/>
                <w:szCs w:val="20"/>
              </w:rPr>
              <w:t>.</w:t>
            </w:r>
            <w:r w:rsidRPr="295530E4">
              <w:rPr>
                <w:rStyle w:val="normaltextrun"/>
                <w:rFonts w:ascii="Arial" w:hAnsi="Arial" w:cs="Arial"/>
                <w:b/>
                <w:bCs/>
                <w:sz w:val="20"/>
                <w:szCs w:val="20"/>
              </w:rPr>
              <w:t xml:space="preserve"> MAGC finance is secured for green buildings</w:t>
            </w:r>
          </w:p>
        </w:tc>
        <w:tc>
          <w:tcPr>
            <w:tcW w:w="1417" w:type="dxa"/>
            <w:shd w:val="clear" w:color="auto" w:fill="DAE9F7" w:themeFill="text2" w:themeFillTint="1A"/>
            <w:vAlign w:val="center"/>
          </w:tcPr>
          <w:p w14:paraId="25DEA79A" w14:textId="4DE56F78"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lang w:eastAsia="en-US"/>
              </w:rPr>
            </w:pPr>
            <w:r w:rsidRPr="295530E4">
              <w:rPr>
                <w:rStyle w:val="normaltextrun"/>
                <w:rFonts w:ascii="Arial" w:hAnsi="Arial" w:cs="Arial"/>
                <w:b/>
                <w:bCs/>
                <w:sz w:val="20"/>
                <w:szCs w:val="20"/>
              </w:rPr>
              <w:t>30%</w:t>
            </w:r>
          </w:p>
        </w:tc>
        <w:tc>
          <w:tcPr>
            <w:tcW w:w="2073" w:type="dxa"/>
            <w:shd w:val="clear" w:color="auto" w:fill="DAE9F7" w:themeFill="text2" w:themeFillTint="1A"/>
            <w:vAlign w:val="center"/>
          </w:tcPr>
          <w:p w14:paraId="69D098B5" w14:textId="480059B8"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lang w:eastAsia="en-US"/>
              </w:rPr>
            </w:pPr>
            <w:r w:rsidRPr="295530E4">
              <w:rPr>
                <w:rStyle w:val="normaltextrun"/>
                <w:rFonts w:ascii="Arial" w:hAnsi="Arial" w:cs="Arial"/>
                <w:b/>
                <w:bCs/>
                <w:sz w:val="20"/>
                <w:szCs w:val="20"/>
              </w:rPr>
              <w:t xml:space="preserve">A++ </w:t>
            </w:r>
          </w:p>
        </w:tc>
      </w:tr>
      <w:tr w:rsidR="00B07259" w:rsidRPr="005A6359" w14:paraId="2057387B" w14:textId="77777777" w:rsidTr="68212E82">
        <w:trPr>
          <w:trHeight w:val="300"/>
        </w:trPr>
        <w:tc>
          <w:tcPr>
            <w:tcW w:w="5526" w:type="dxa"/>
            <w:vAlign w:val="center"/>
          </w:tcPr>
          <w:p w14:paraId="68197DCC" w14:textId="70719F95"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000C48FF">
              <w:rPr>
                <w:rFonts w:ascii="Arial" w:hAnsi="Arial" w:cs="Arial"/>
                <w:i/>
                <w:iCs/>
                <w:sz w:val="20"/>
                <w:szCs w:val="20"/>
              </w:rPr>
              <w:t>1a.1</w:t>
            </w:r>
            <w:r w:rsidR="00106FBC" w:rsidRPr="08D7F225">
              <w:rPr>
                <w:rFonts w:ascii="Arial" w:hAnsi="Arial" w:cs="Arial"/>
                <w:i/>
                <w:iCs/>
                <w:sz w:val="20"/>
                <w:szCs w:val="20"/>
              </w:rPr>
              <w:t>.</w:t>
            </w:r>
            <w:r w:rsidRPr="000C48FF">
              <w:rPr>
                <w:rFonts w:ascii="Arial" w:hAnsi="Arial" w:cs="Arial"/>
                <w:i/>
                <w:iCs/>
                <w:sz w:val="20"/>
                <w:szCs w:val="20"/>
              </w:rPr>
              <w:t xml:space="preserve"> Cumulative number of financial intermediaries with MAGC blended finance commitments.</w:t>
            </w:r>
          </w:p>
        </w:tc>
        <w:tc>
          <w:tcPr>
            <w:tcW w:w="1417" w:type="dxa"/>
            <w:vAlign w:val="center"/>
          </w:tcPr>
          <w:p w14:paraId="34FBEF54" w14:textId="4A626544"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7.5%</w:t>
            </w:r>
          </w:p>
        </w:tc>
        <w:tc>
          <w:tcPr>
            <w:tcW w:w="2073" w:type="dxa"/>
            <w:vAlign w:val="center"/>
          </w:tcPr>
          <w:p w14:paraId="4019296E" w14:textId="271DE757"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A6359" w14:paraId="4AD9B69F" w14:textId="77777777" w:rsidTr="68212E82">
        <w:trPr>
          <w:trHeight w:val="300"/>
        </w:trPr>
        <w:tc>
          <w:tcPr>
            <w:tcW w:w="5526" w:type="dxa"/>
            <w:vAlign w:val="center"/>
          </w:tcPr>
          <w:p w14:paraId="4D1E8027" w14:textId="249A521D"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000C48FF">
              <w:rPr>
                <w:rFonts w:ascii="Arial" w:hAnsi="Arial" w:cs="Arial"/>
                <w:i/>
                <w:iCs/>
                <w:sz w:val="20"/>
                <w:szCs w:val="20"/>
              </w:rPr>
              <w:t>1a.2</w:t>
            </w:r>
            <w:r w:rsidR="00106FBC" w:rsidRPr="08D7F225">
              <w:rPr>
                <w:rFonts w:ascii="Arial" w:hAnsi="Arial" w:cs="Arial"/>
                <w:i/>
                <w:iCs/>
                <w:sz w:val="20"/>
                <w:szCs w:val="20"/>
              </w:rPr>
              <w:t>.</w:t>
            </w:r>
            <w:r w:rsidRPr="000C48FF">
              <w:rPr>
                <w:rFonts w:ascii="Arial" w:hAnsi="Arial" w:cs="Arial"/>
                <w:i/>
                <w:iCs/>
                <w:sz w:val="20"/>
                <w:szCs w:val="20"/>
              </w:rPr>
              <w:t xml:space="preserve"> Cumulative number of financial intermediaries only receiving advisory services.</w:t>
            </w:r>
          </w:p>
        </w:tc>
        <w:tc>
          <w:tcPr>
            <w:tcW w:w="1417" w:type="dxa"/>
            <w:vAlign w:val="center"/>
          </w:tcPr>
          <w:p w14:paraId="26273E39" w14:textId="1228D295"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7.5%</w:t>
            </w:r>
          </w:p>
        </w:tc>
        <w:tc>
          <w:tcPr>
            <w:tcW w:w="2073" w:type="dxa"/>
            <w:vAlign w:val="center"/>
          </w:tcPr>
          <w:p w14:paraId="4A8AD351" w14:textId="536CE7E0"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A6359" w14:paraId="2F88E39E" w14:textId="77777777" w:rsidTr="68212E82">
        <w:trPr>
          <w:trHeight w:val="300"/>
        </w:trPr>
        <w:tc>
          <w:tcPr>
            <w:tcW w:w="5526" w:type="dxa"/>
            <w:vAlign w:val="center"/>
          </w:tcPr>
          <w:p w14:paraId="1D3FD6B1" w14:textId="4B689954"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000C48FF">
              <w:rPr>
                <w:rFonts w:ascii="Arial" w:hAnsi="Arial" w:cs="Arial"/>
                <w:i/>
                <w:iCs/>
                <w:sz w:val="20"/>
                <w:szCs w:val="20"/>
              </w:rPr>
              <w:t>1a.3</w:t>
            </w:r>
            <w:r w:rsidR="00106FBC" w:rsidRPr="08D7F225">
              <w:rPr>
                <w:rFonts w:ascii="Arial" w:hAnsi="Arial" w:cs="Arial"/>
                <w:i/>
                <w:iCs/>
                <w:sz w:val="20"/>
                <w:szCs w:val="20"/>
              </w:rPr>
              <w:t>.</w:t>
            </w:r>
            <w:r w:rsidRPr="000C48FF">
              <w:rPr>
                <w:rFonts w:ascii="Arial" w:hAnsi="Arial" w:cs="Arial"/>
                <w:i/>
                <w:iCs/>
                <w:sz w:val="20"/>
                <w:szCs w:val="20"/>
              </w:rPr>
              <w:t xml:space="preserve"> Cumulative total public sector financing committed to MAGC funded green building projects.</w:t>
            </w:r>
          </w:p>
        </w:tc>
        <w:tc>
          <w:tcPr>
            <w:tcW w:w="1417" w:type="dxa"/>
            <w:vAlign w:val="center"/>
          </w:tcPr>
          <w:p w14:paraId="351C117A" w14:textId="51325F9C"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7.5%</w:t>
            </w:r>
          </w:p>
        </w:tc>
        <w:tc>
          <w:tcPr>
            <w:tcW w:w="2073" w:type="dxa"/>
            <w:vAlign w:val="center"/>
          </w:tcPr>
          <w:p w14:paraId="10D7529C" w14:textId="05FD4759"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A6359" w14:paraId="4C105FA8" w14:textId="77777777" w:rsidTr="68212E82">
        <w:trPr>
          <w:trHeight w:val="300"/>
        </w:trPr>
        <w:tc>
          <w:tcPr>
            <w:tcW w:w="5526" w:type="dxa"/>
            <w:vAlign w:val="center"/>
          </w:tcPr>
          <w:p w14:paraId="31910009" w14:textId="67B5B6AD"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000C48FF">
              <w:rPr>
                <w:rFonts w:ascii="Arial" w:hAnsi="Arial" w:cs="Arial"/>
                <w:i/>
                <w:iCs/>
                <w:sz w:val="20"/>
                <w:szCs w:val="20"/>
              </w:rPr>
              <w:t>1a.4</w:t>
            </w:r>
            <w:r w:rsidR="00106FBC" w:rsidRPr="08D7F225">
              <w:rPr>
                <w:rFonts w:ascii="Arial" w:hAnsi="Arial" w:cs="Arial"/>
                <w:i/>
                <w:iCs/>
                <w:sz w:val="20"/>
                <w:szCs w:val="20"/>
              </w:rPr>
              <w:t>.</w:t>
            </w:r>
            <w:r w:rsidRPr="000C48FF">
              <w:rPr>
                <w:rFonts w:ascii="Arial" w:hAnsi="Arial" w:cs="Arial"/>
                <w:i/>
                <w:iCs/>
                <w:sz w:val="20"/>
                <w:szCs w:val="20"/>
              </w:rPr>
              <w:t xml:space="preserve"> Cumulative volume of UK finance committed to Financial Intermediaries.</w:t>
            </w:r>
          </w:p>
        </w:tc>
        <w:tc>
          <w:tcPr>
            <w:tcW w:w="1417" w:type="dxa"/>
            <w:vAlign w:val="center"/>
          </w:tcPr>
          <w:p w14:paraId="22BB38BB" w14:textId="62E1572E"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i/>
                <w:iCs/>
                <w:sz w:val="20"/>
                <w:szCs w:val="20"/>
              </w:rPr>
              <w:t>N/A</w:t>
            </w:r>
          </w:p>
        </w:tc>
        <w:tc>
          <w:tcPr>
            <w:tcW w:w="2073" w:type="dxa"/>
            <w:vAlign w:val="center"/>
          </w:tcPr>
          <w:p w14:paraId="037C2126" w14:textId="0E095256"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Monitoring Only</w:t>
            </w:r>
          </w:p>
        </w:tc>
      </w:tr>
      <w:tr w:rsidR="00B07259" w:rsidRPr="005A6359" w14:paraId="16421191" w14:textId="77777777" w:rsidTr="68212E82">
        <w:trPr>
          <w:trHeight w:val="300"/>
        </w:trPr>
        <w:tc>
          <w:tcPr>
            <w:tcW w:w="5526" w:type="dxa"/>
            <w:vAlign w:val="center"/>
          </w:tcPr>
          <w:p w14:paraId="2B329A5B" w14:textId="1F4FB440"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000C48FF">
              <w:rPr>
                <w:rFonts w:ascii="Arial" w:hAnsi="Arial" w:cs="Arial"/>
                <w:i/>
                <w:iCs/>
                <w:sz w:val="20"/>
                <w:szCs w:val="20"/>
              </w:rPr>
              <w:t>1a.5</w:t>
            </w:r>
            <w:r w:rsidR="00106FBC" w:rsidRPr="08D7F225">
              <w:rPr>
                <w:rFonts w:ascii="Arial" w:hAnsi="Arial" w:cs="Arial"/>
                <w:i/>
                <w:iCs/>
                <w:sz w:val="20"/>
                <w:szCs w:val="20"/>
              </w:rPr>
              <w:t>.</w:t>
            </w:r>
            <w:r w:rsidRPr="000C48FF">
              <w:rPr>
                <w:rFonts w:ascii="Arial" w:hAnsi="Arial" w:cs="Arial"/>
                <w:i/>
                <w:iCs/>
                <w:sz w:val="20"/>
                <w:szCs w:val="20"/>
              </w:rPr>
              <w:t xml:space="preserve"> Cumulative number of key stakeholders in workshops, trainings, seminars, conferences from financial intermediary level activities.</w:t>
            </w:r>
          </w:p>
        </w:tc>
        <w:tc>
          <w:tcPr>
            <w:tcW w:w="1417" w:type="dxa"/>
            <w:vAlign w:val="center"/>
          </w:tcPr>
          <w:p w14:paraId="4F58653B" w14:textId="3C885EAE"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7.5%</w:t>
            </w:r>
          </w:p>
        </w:tc>
        <w:tc>
          <w:tcPr>
            <w:tcW w:w="2073" w:type="dxa"/>
            <w:vAlign w:val="center"/>
          </w:tcPr>
          <w:p w14:paraId="0D306FEA" w14:textId="4FEB48F8"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A6359" w14:paraId="259FA886" w14:textId="77777777" w:rsidTr="68212E82">
        <w:trPr>
          <w:trHeight w:val="300"/>
        </w:trPr>
        <w:tc>
          <w:tcPr>
            <w:tcW w:w="5526" w:type="dxa"/>
            <w:shd w:val="clear" w:color="auto" w:fill="DAE9F7" w:themeFill="text2" w:themeFillTint="1A"/>
            <w:vAlign w:val="center"/>
          </w:tcPr>
          <w:p w14:paraId="7FA8ABEF" w14:textId="34C90726" w:rsidR="00B07259" w:rsidRPr="005A6359" w:rsidRDefault="00B07259" w:rsidP="000C48FF">
            <w:pPr>
              <w:pStyle w:val="paragraph0"/>
              <w:spacing w:before="0" w:beforeAutospacing="0" w:after="240" w:afterAutospacing="0"/>
              <w:textAlignment w:val="baseline"/>
              <w:rPr>
                <w:rStyle w:val="normaltextrun"/>
                <w:rFonts w:ascii="Arial" w:hAnsi="Arial" w:cs="Arial"/>
                <w:b/>
                <w:bCs/>
                <w:sz w:val="20"/>
                <w:szCs w:val="20"/>
                <w:lang w:eastAsia="en-US"/>
              </w:rPr>
            </w:pPr>
            <w:r w:rsidRPr="295530E4">
              <w:rPr>
                <w:rStyle w:val="normaltextrun"/>
                <w:rFonts w:ascii="Arial" w:hAnsi="Arial" w:cs="Arial"/>
                <w:b/>
                <w:bCs/>
                <w:sz w:val="20"/>
                <w:szCs w:val="20"/>
              </w:rPr>
              <w:t>1</w:t>
            </w:r>
            <w:r w:rsidR="00471DD9" w:rsidRPr="295530E4">
              <w:rPr>
                <w:rStyle w:val="normaltextrun"/>
                <w:rFonts w:ascii="Arial" w:hAnsi="Arial" w:cs="Arial"/>
                <w:b/>
                <w:bCs/>
                <w:sz w:val="20"/>
                <w:szCs w:val="20"/>
              </w:rPr>
              <w:t>.</w:t>
            </w:r>
            <w:r w:rsidRPr="295530E4">
              <w:rPr>
                <w:rStyle w:val="normaltextrun"/>
                <w:rFonts w:ascii="Arial" w:hAnsi="Arial" w:cs="Arial"/>
                <w:b/>
                <w:bCs/>
                <w:sz w:val="20"/>
                <w:szCs w:val="20"/>
              </w:rPr>
              <w:t>b</w:t>
            </w:r>
            <w:r w:rsidR="00471DD9" w:rsidRPr="295530E4">
              <w:rPr>
                <w:rStyle w:val="normaltextrun"/>
                <w:rFonts w:ascii="Arial" w:hAnsi="Arial" w:cs="Arial"/>
                <w:b/>
                <w:bCs/>
                <w:sz w:val="20"/>
                <w:szCs w:val="20"/>
              </w:rPr>
              <w:t>.</w:t>
            </w:r>
            <w:r w:rsidRPr="295530E4">
              <w:rPr>
                <w:rStyle w:val="normaltextrun"/>
                <w:rFonts w:ascii="Arial" w:hAnsi="Arial" w:cs="Arial"/>
                <w:b/>
                <w:bCs/>
                <w:sz w:val="20"/>
                <w:szCs w:val="20"/>
              </w:rPr>
              <w:t xml:space="preserve"> Finance is secured for green buildings</w:t>
            </w:r>
          </w:p>
        </w:tc>
        <w:tc>
          <w:tcPr>
            <w:tcW w:w="1417" w:type="dxa"/>
            <w:shd w:val="clear" w:color="auto" w:fill="DAE9F7" w:themeFill="text2" w:themeFillTint="1A"/>
            <w:vAlign w:val="center"/>
          </w:tcPr>
          <w:p w14:paraId="04D8DBE0" w14:textId="0E1FC6C3"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30%</w:t>
            </w:r>
          </w:p>
        </w:tc>
        <w:tc>
          <w:tcPr>
            <w:tcW w:w="2073" w:type="dxa"/>
            <w:shd w:val="clear" w:color="auto" w:fill="DAE9F7" w:themeFill="text2" w:themeFillTint="1A"/>
            <w:vAlign w:val="center"/>
          </w:tcPr>
          <w:p w14:paraId="0E77D128" w14:textId="10EF36BB"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A</w:t>
            </w:r>
          </w:p>
        </w:tc>
      </w:tr>
      <w:tr w:rsidR="00B07259" w:rsidRPr="005A6359" w14:paraId="6BA9C531" w14:textId="77777777" w:rsidTr="68212E82">
        <w:trPr>
          <w:trHeight w:val="300"/>
        </w:trPr>
        <w:tc>
          <w:tcPr>
            <w:tcW w:w="5526" w:type="dxa"/>
            <w:vAlign w:val="center"/>
          </w:tcPr>
          <w:p w14:paraId="7910F0F9" w14:textId="616FC4E1"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000C48FF">
              <w:rPr>
                <w:rFonts w:ascii="Arial" w:hAnsi="Arial" w:cs="Arial"/>
                <w:i/>
                <w:iCs/>
                <w:sz w:val="20"/>
                <w:szCs w:val="20"/>
              </w:rPr>
              <w:t>1b.1</w:t>
            </w:r>
            <w:r w:rsidR="00106FBC" w:rsidRPr="08D7F225">
              <w:rPr>
                <w:rFonts w:ascii="Arial" w:hAnsi="Arial" w:cs="Arial"/>
                <w:i/>
                <w:iCs/>
                <w:sz w:val="20"/>
                <w:szCs w:val="20"/>
              </w:rPr>
              <w:t>.</w:t>
            </w:r>
            <w:r w:rsidRPr="000C48FF">
              <w:rPr>
                <w:rFonts w:ascii="Arial" w:hAnsi="Arial" w:cs="Arial"/>
                <w:i/>
                <w:iCs/>
                <w:sz w:val="20"/>
                <w:szCs w:val="20"/>
              </w:rPr>
              <w:t xml:space="preserve"> Cumulative total project cost of green buildings financed related to sub-loans financed with MAGC blended finance.</w:t>
            </w:r>
          </w:p>
        </w:tc>
        <w:tc>
          <w:tcPr>
            <w:tcW w:w="1417" w:type="dxa"/>
            <w:vAlign w:val="center"/>
          </w:tcPr>
          <w:p w14:paraId="19F96790" w14:textId="3A0ACC57"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7.5%</w:t>
            </w:r>
          </w:p>
        </w:tc>
        <w:tc>
          <w:tcPr>
            <w:tcW w:w="2073" w:type="dxa"/>
            <w:vAlign w:val="center"/>
          </w:tcPr>
          <w:p w14:paraId="1006B065" w14:textId="2FB1B82F"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r w:rsidRPr="295530E4">
              <w:rPr>
                <w:rStyle w:val="normaltextrun"/>
                <w:rFonts w:ascii="Arial" w:hAnsi="Arial"/>
                <w:i/>
                <w:iCs/>
              </w:rPr>
              <w:t>++</w:t>
            </w:r>
          </w:p>
        </w:tc>
      </w:tr>
      <w:tr w:rsidR="00B07259" w:rsidRPr="005A6359" w14:paraId="4FA8BEC4" w14:textId="77777777" w:rsidTr="68212E82">
        <w:trPr>
          <w:trHeight w:val="300"/>
        </w:trPr>
        <w:tc>
          <w:tcPr>
            <w:tcW w:w="5526" w:type="dxa"/>
            <w:vAlign w:val="center"/>
          </w:tcPr>
          <w:p w14:paraId="6AFED2F9" w14:textId="3B9AD6A2"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000C48FF">
              <w:rPr>
                <w:rFonts w:ascii="Arial" w:hAnsi="Arial" w:cs="Arial"/>
                <w:i/>
                <w:iCs/>
                <w:sz w:val="20"/>
                <w:szCs w:val="20"/>
              </w:rPr>
              <w:t>1b.2</w:t>
            </w:r>
            <w:r w:rsidR="00106FBC" w:rsidRPr="08D7F225">
              <w:rPr>
                <w:rFonts w:ascii="Arial" w:hAnsi="Arial" w:cs="Arial"/>
                <w:i/>
                <w:iCs/>
                <w:sz w:val="20"/>
                <w:szCs w:val="20"/>
              </w:rPr>
              <w:t>.</w:t>
            </w:r>
            <w:r w:rsidRPr="000C48FF">
              <w:rPr>
                <w:rFonts w:ascii="Arial" w:hAnsi="Arial" w:cs="Arial"/>
                <w:i/>
                <w:iCs/>
                <w:sz w:val="20"/>
                <w:szCs w:val="20"/>
              </w:rPr>
              <w:t xml:space="preserve"> Cumulative total private sector financing provided to MAGC funded green building projects.</w:t>
            </w:r>
          </w:p>
        </w:tc>
        <w:tc>
          <w:tcPr>
            <w:tcW w:w="1417" w:type="dxa"/>
            <w:vAlign w:val="center"/>
          </w:tcPr>
          <w:p w14:paraId="4CF08322" w14:textId="7B774B1C"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7.5%</w:t>
            </w:r>
          </w:p>
        </w:tc>
        <w:tc>
          <w:tcPr>
            <w:tcW w:w="2073" w:type="dxa"/>
            <w:vAlign w:val="center"/>
          </w:tcPr>
          <w:p w14:paraId="41E37FC0" w14:textId="49D2828F"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r w:rsidRPr="295530E4">
              <w:rPr>
                <w:rStyle w:val="normaltextrun"/>
                <w:rFonts w:ascii="Arial" w:hAnsi="Arial"/>
                <w:i/>
                <w:iCs/>
              </w:rPr>
              <w:t>++</w:t>
            </w:r>
          </w:p>
        </w:tc>
      </w:tr>
      <w:tr w:rsidR="00B07259" w:rsidRPr="005A6359" w14:paraId="03BB0529" w14:textId="77777777" w:rsidTr="68212E82">
        <w:trPr>
          <w:trHeight w:val="300"/>
        </w:trPr>
        <w:tc>
          <w:tcPr>
            <w:tcW w:w="5526" w:type="dxa"/>
            <w:vAlign w:val="center"/>
          </w:tcPr>
          <w:p w14:paraId="17AB5320" w14:textId="1A0D4F9E"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000C48FF">
              <w:rPr>
                <w:rFonts w:ascii="Arial" w:hAnsi="Arial" w:cs="Arial"/>
                <w:i/>
                <w:iCs/>
                <w:sz w:val="20"/>
                <w:szCs w:val="20"/>
              </w:rPr>
              <w:t>1b.3</w:t>
            </w:r>
            <w:r w:rsidR="00106FBC" w:rsidRPr="08D7F225">
              <w:rPr>
                <w:rFonts w:ascii="Arial" w:hAnsi="Arial" w:cs="Arial"/>
                <w:i/>
                <w:iCs/>
                <w:sz w:val="20"/>
                <w:szCs w:val="20"/>
              </w:rPr>
              <w:t>.</w:t>
            </w:r>
            <w:r w:rsidRPr="000C48FF">
              <w:rPr>
                <w:rFonts w:ascii="Arial" w:hAnsi="Arial" w:cs="Arial"/>
                <w:i/>
                <w:iCs/>
                <w:sz w:val="20"/>
                <w:szCs w:val="20"/>
              </w:rPr>
              <w:t xml:space="preserve"> Cumulative total green building project cost financed achieved by replicated finance.</w:t>
            </w:r>
          </w:p>
        </w:tc>
        <w:tc>
          <w:tcPr>
            <w:tcW w:w="1417" w:type="dxa"/>
            <w:vAlign w:val="center"/>
          </w:tcPr>
          <w:p w14:paraId="22A0B803" w14:textId="2A682BCE"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i/>
                <w:iCs/>
                <w:sz w:val="20"/>
                <w:szCs w:val="20"/>
              </w:rPr>
              <w:t>7.5%</w:t>
            </w:r>
          </w:p>
        </w:tc>
        <w:tc>
          <w:tcPr>
            <w:tcW w:w="2073" w:type="dxa"/>
            <w:vAlign w:val="center"/>
          </w:tcPr>
          <w:p w14:paraId="0AC00636" w14:textId="2BB810F8"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C</w:t>
            </w:r>
          </w:p>
        </w:tc>
      </w:tr>
      <w:tr w:rsidR="00B07259" w:rsidRPr="005A6359" w14:paraId="0059C5C7" w14:textId="77777777" w:rsidTr="68212E82">
        <w:trPr>
          <w:trHeight w:val="300"/>
        </w:trPr>
        <w:tc>
          <w:tcPr>
            <w:tcW w:w="5526" w:type="dxa"/>
            <w:vAlign w:val="center"/>
          </w:tcPr>
          <w:p w14:paraId="38C1AA92" w14:textId="1504B626" w:rsidR="00B07259" w:rsidRPr="000C48FF" w:rsidRDefault="00B07259" w:rsidP="000C48FF">
            <w:pPr>
              <w:pStyle w:val="paragraph0"/>
              <w:spacing w:before="0" w:beforeAutospacing="0" w:after="240" w:afterAutospacing="0"/>
              <w:textAlignment w:val="baseline"/>
              <w:rPr>
                <w:rStyle w:val="normaltextrun"/>
                <w:rFonts w:ascii="Arial" w:hAnsi="Arial" w:cs="Arial"/>
                <w:i/>
                <w:iCs/>
                <w:sz w:val="20"/>
                <w:szCs w:val="20"/>
              </w:rPr>
            </w:pPr>
            <w:r w:rsidRPr="295530E4">
              <w:rPr>
                <w:rFonts w:ascii="Arial" w:hAnsi="Arial" w:cs="Arial"/>
                <w:i/>
                <w:iCs/>
                <w:sz w:val="20"/>
                <w:szCs w:val="20"/>
              </w:rPr>
              <w:t>1b.4</w:t>
            </w:r>
            <w:r w:rsidR="00106FBC" w:rsidRPr="295530E4">
              <w:rPr>
                <w:rFonts w:ascii="Arial" w:hAnsi="Arial" w:cs="Arial"/>
                <w:i/>
                <w:iCs/>
                <w:sz w:val="20"/>
                <w:szCs w:val="20"/>
              </w:rPr>
              <w:t>.</w:t>
            </w:r>
            <w:r w:rsidRPr="295530E4">
              <w:rPr>
                <w:rFonts w:ascii="Arial" w:hAnsi="Arial" w:cs="Arial"/>
                <w:i/>
                <w:iCs/>
                <w:sz w:val="20"/>
                <w:szCs w:val="20"/>
              </w:rPr>
              <w:t xml:space="preserve"> Cumulative number of financial intermediaries receiving MAGC blended finance capturing and reporting its full disbursement through the CAFI tool.</w:t>
            </w:r>
          </w:p>
        </w:tc>
        <w:tc>
          <w:tcPr>
            <w:tcW w:w="1417" w:type="dxa"/>
            <w:vAlign w:val="center"/>
          </w:tcPr>
          <w:p w14:paraId="78B9711C" w14:textId="6274A79A"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7.5%</w:t>
            </w:r>
          </w:p>
        </w:tc>
        <w:tc>
          <w:tcPr>
            <w:tcW w:w="2073" w:type="dxa"/>
            <w:vAlign w:val="center"/>
          </w:tcPr>
          <w:p w14:paraId="7D3549B6" w14:textId="42412534"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B</w:t>
            </w:r>
          </w:p>
        </w:tc>
      </w:tr>
      <w:tr w:rsidR="00B07259" w:rsidRPr="005A6359" w14:paraId="68A688C2" w14:textId="77777777" w:rsidTr="68212E82">
        <w:trPr>
          <w:trHeight w:val="300"/>
        </w:trPr>
        <w:tc>
          <w:tcPr>
            <w:tcW w:w="5526" w:type="dxa"/>
            <w:shd w:val="clear" w:color="auto" w:fill="DAE9F7" w:themeFill="text2" w:themeFillTint="1A"/>
            <w:vAlign w:val="center"/>
          </w:tcPr>
          <w:p w14:paraId="0F05241C" w14:textId="71FD0D2B" w:rsidR="00B07259" w:rsidRPr="005A6359" w:rsidRDefault="00B07259" w:rsidP="000C48FF">
            <w:pPr>
              <w:pStyle w:val="paragraph0"/>
              <w:spacing w:before="0" w:beforeAutospacing="0" w:after="240" w:afterAutospacing="0"/>
              <w:textAlignment w:val="baseline"/>
              <w:rPr>
                <w:rStyle w:val="normaltextrun"/>
                <w:rFonts w:ascii="Arial" w:hAnsi="Arial" w:cs="Arial"/>
                <w:b/>
                <w:bCs/>
                <w:sz w:val="20"/>
                <w:szCs w:val="20"/>
                <w:lang w:eastAsia="en-US"/>
              </w:rPr>
            </w:pPr>
            <w:r w:rsidRPr="08D7F225">
              <w:rPr>
                <w:rStyle w:val="normaltextrun"/>
                <w:rFonts w:ascii="Arial" w:hAnsi="Arial" w:cs="Arial"/>
                <w:b/>
                <w:bCs/>
                <w:sz w:val="20"/>
                <w:szCs w:val="20"/>
              </w:rPr>
              <w:t>2</w:t>
            </w:r>
            <w:r w:rsidR="00471DD9" w:rsidRPr="08D7F225">
              <w:rPr>
                <w:rStyle w:val="normaltextrun"/>
                <w:rFonts w:ascii="Arial" w:hAnsi="Arial" w:cs="Arial"/>
                <w:b/>
                <w:bCs/>
                <w:sz w:val="20"/>
                <w:szCs w:val="20"/>
              </w:rPr>
              <w:t>.</w:t>
            </w:r>
            <w:r w:rsidR="00471DD9" w:rsidRPr="08D7F225">
              <w:rPr>
                <w:rStyle w:val="normaltextrun"/>
                <w:b/>
                <w:bCs/>
              </w:rPr>
              <w:t xml:space="preserve"> </w:t>
            </w:r>
            <w:r w:rsidR="00471DD9" w:rsidRPr="08D7F225">
              <w:rPr>
                <w:rStyle w:val="normaltextrun"/>
                <w:rFonts w:ascii="Arial" w:hAnsi="Arial" w:cs="Arial"/>
                <w:b/>
                <w:bCs/>
                <w:sz w:val="20"/>
                <w:szCs w:val="20"/>
              </w:rPr>
              <w:t>Capacity is strengthened at the country-level to support greener construction</w:t>
            </w:r>
          </w:p>
        </w:tc>
        <w:tc>
          <w:tcPr>
            <w:tcW w:w="1417" w:type="dxa"/>
            <w:shd w:val="clear" w:color="auto" w:fill="DAE9F7" w:themeFill="text2" w:themeFillTint="1A"/>
            <w:vAlign w:val="center"/>
          </w:tcPr>
          <w:p w14:paraId="5346FE38" w14:textId="4CB5E658"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15%</w:t>
            </w:r>
          </w:p>
        </w:tc>
        <w:tc>
          <w:tcPr>
            <w:tcW w:w="2073" w:type="dxa"/>
            <w:shd w:val="clear" w:color="auto" w:fill="DAE9F7" w:themeFill="text2" w:themeFillTint="1A"/>
            <w:vAlign w:val="center"/>
          </w:tcPr>
          <w:p w14:paraId="65938D74" w14:textId="7ADEE5BC"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 xml:space="preserve">A+ </w:t>
            </w:r>
          </w:p>
        </w:tc>
      </w:tr>
      <w:tr w:rsidR="00B07259" w:rsidRPr="005A6359" w14:paraId="0408E609" w14:textId="77777777" w:rsidTr="68212E82">
        <w:trPr>
          <w:trHeight w:val="300"/>
        </w:trPr>
        <w:tc>
          <w:tcPr>
            <w:tcW w:w="5526" w:type="dxa"/>
            <w:vAlign w:val="center"/>
          </w:tcPr>
          <w:p w14:paraId="57D970B6" w14:textId="5F13E3FE"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2.1</w:t>
            </w:r>
            <w:r w:rsidR="00106FBC" w:rsidRPr="08D7F225">
              <w:rPr>
                <w:rFonts w:ascii="Arial" w:hAnsi="Arial" w:cs="Arial"/>
                <w:i/>
                <w:iCs/>
                <w:sz w:val="20"/>
                <w:szCs w:val="20"/>
              </w:rPr>
              <w:t>.</w:t>
            </w:r>
            <w:r w:rsidRPr="000C48FF">
              <w:rPr>
                <w:rFonts w:ascii="Arial" w:hAnsi="Arial" w:cs="Arial"/>
                <w:i/>
                <w:iCs/>
                <w:sz w:val="20"/>
                <w:szCs w:val="20"/>
              </w:rPr>
              <w:t xml:space="preserve"> Cumulative number of market-level engagement plans in implementation.</w:t>
            </w:r>
          </w:p>
        </w:tc>
        <w:tc>
          <w:tcPr>
            <w:tcW w:w="1417" w:type="dxa"/>
            <w:vAlign w:val="center"/>
          </w:tcPr>
          <w:p w14:paraId="4BC5E815" w14:textId="01D55076"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1.5%</w:t>
            </w:r>
          </w:p>
        </w:tc>
        <w:tc>
          <w:tcPr>
            <w:tcW w:w="2073" w:type="dxa"/>
            <w:vAlign w:val="center"/>
          </w:tcPr>
          <w:p w14:paraId="02655209" w14:textId="73319361"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A6359" w14:paraId="12253428" w14:textId="77777777" w:rsidTr="68212E82">
        <w:trPr>
          <w:trHeight w:val="300"/>
        </w:trPr>
        <w:tc>
          <w:tcPr>
            <w:tcW w:w="5526" w:type="dxa"/>
            <w:vAlign w:val="center"/>
          </w:tcPr>
          <w:p w14:paraId="646D94AD" w14:textId="3284F6AD"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2.2</w:t>
            </w:r>
            <w:r w:rsidR="00106FBC" w:rsidRPr="08D7F225">
              <w:rPr>
                <w:rFonts w:ascii="Arial" w:hAnsi="Arial" w:cs="Arial"/>
                <w:i/>
                <w:iCs/>
                <w:sz w:val="20"/>
                <w:szCs w:val="20"/>
              </w:rPr>
              <w:t>.</w:t>
            </w:r>
            <w:r w:rsidRPr="000C48FF">
              <w:rPr>
                <w:rFonts w:ascii="Arial" w:hAnsi="Arial" w:cs="Arial"/>
                <w:i/>
                <w:iCs/>
                <w:sz w:val="20"/>
                <w:szCs w:val="20"/>
              </w:rPr>
              <w:t xml:space="preserve"> Cumulative floor space that received post-design EDGE Preliminary Certification (m2)</w:t>
            </w:r>
          </w:p>
        </w:tc>
        <w:tc>
          <w:tcPr>
            <w:tcW w:w="1417" w:type="dxa"/>
            <w:vAlign w:val="center"/>
          </w:tcPr>
          <w:p w14:paraId="5AEDA487" w14:textId="4ED1AB04"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1.5%</w:t>
            </w:r>
          </w:p>
        </w:tc>
        <w:tc>
          <w:tcPr>
            <w:tcW w:w="2073" w:type="dxa"/>
            <w:vAlign w:val="center"/>
          </w:tcPr>
          <w:p w14:paraId="69CDAAFA" w14:textId="425CA03D"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A6359" w14:paraId="6F92979C" w14:textId="77777777" w:rsidTr="68212E82">
        <w:trPr>
          <w:trHeight w:val="300"/>
        </w:trPr>
        <w:tc>
          <w:tcPr>
            <w:tcW w:w="5526" w:type="dxa"/>
            <w:vAlign w:val="center"/>
          </w:tcPr>
          <w:p w14:paraId="384E9542" w14:textId="079E24B5"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2.3</w:t>
            </w:r>
            <w:r w:rsidR="00106FBC" w:rsidRPr="08D7F225">
              <w:rPr>
                <w:rFonts w:ascii="Arial" w:hAnsi="Arial" w:cs="Arial"/>
                <w:i/>
                <w:iCs/>
                <w:sz w:val="20"/>
                <w:szCs w:val="20"/>
              </w:rPr>
              <w:t>.</w:t>
            </w:r>
            <w:r w:rsidRPr="000C48FF">
              <w:rPr>
                <w:rFonts w:ascii="Arial" w:hAnsi="Arial" w:cs="Arial"/>
                <w:i/>
                <w:iCs/>
                <w:sz w:val="20"/>
                <w:szCs w:val="20"/>
              </w:rPr>
              <w:t xml:space="preserve"> Cumulative number of EDGE Auditors and Experts</w:t>
            </w:r>
          </w:p>
        </w:tc>
        <w:tc>
          <w:tcPr>
            <w:tcW w:w="1417" w:type="dxa"/>
            <w:vAlign w:val="center"/>
          </w:tcPr>
          <w:p w14:paraId="39C0DDB1" w14:textId="408FC175"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1.5%</w:t>
            </w:r>
          </w:p>
        </w:tc>
        <w:tc>
          <w:tcPr>
            <w:tcW w:w="2073" w:type="dxa"/>
            <w:vAlign w:val="center"/>
          </w:tcPr>
          <w:p w14:paraId="3705AB8A" w14:textId="7BC8924B"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A6359" w14:paraId="0B56C23C" w14:textId="77777777" w:rsidTr="68212E82">
        <w:trPr>
          <w:trHeight w:val="300"/>
        </w:trPr>
        <w:tc>
          <w:tcPr>
            <w:tcW w:w="5526" w:type="dxa"/>
            <w:vAlign w:val="center"/>
          </w:tcPr>
          <w:p w14:paraId="65CF2AA4" w14:textId="5532BAAE"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2.4</w:t>
            </w:r>
            <w:r w:rsidR="00106FBC" w:rsidRPr="08D7F225">
              <w:rPr>
                <w:rFonts w:ascii="Arial" w:hAnsi="Arial" w:cs="Arial"/>
                <w:i/>
                <w:iCs/>
                <w:sz w:val="20"/>
                <w:szCs w:val="20"/>
              </w:rPr>
              <w:t>.</w:t>
            </w:r>
            <w:r w:rsidRPr="000C48FF">
              <w:rPr>
                <w:rFonts w:ascii="Arial" w:hAnsi="Arial" w:cs="Arial"/>
                <w:i/>
                <w:iCs/>
                <w:sz w:val="20"/>
                <w:szCs w:val="20"/>
              </w:rPr>
              <w:t xml:space="preserve"> Global number of active EDGE Users.</w:t>
            </w:r>
          </w:p>
        </w:tc>
        <w:tc>
          <w:tcPr>
            <w:tcW w:w="1417" w:type="dxa"/>
            <w:vAlign w:val="center"/>
          </w:tcPr>
          <w:p w14:paraId="57A3AFDE" w14:textId="33C33C66"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i/>
                <w:iCs/>
                <w:sz w:val="20"/>
                <w:szCs w:val="20"/>
              </w:rPr>
              <w:t>1.5%</w:t>
            </w:r>
          </w:p>
        </w:tc>
        <w:tc>
          <w:tcPr>
            <w:tcW w:w="2073" w:type="dxa"/>
            <w:vAlign w:val="center"/>
          </w:tcPr>
          <w:p w14:paraId="3D9EACC4" w14:textId="5E14F3C2"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i/>
                <w:iCs/>
                <w:sz w:val="20"/>
                <w:szCs w:val="20"/>
              </w:rPr>
              <w:t>A+</w:t>
            </w:r>
          </w:p>
        </w:tc>
      </w:tr>
      <w:tr w:rsidR="00B07259" w:rsidRPr="005A6359" w14:paraId="02699AA0" w14:textId="77777777" w:rsidTr="68212E82">
        <w:trPr>
          <w:trHeight w:val="300"/>
        </w:trPr>
        <w:tc>
          <w:tcPr>
            <w:tcW w:w="5526" w:type="dxa"/>
            <w:vAlign w:val="center"/>
          </w:tcPr>
          <w:p w14:paraId="1A6621E9" w14:textId="6CB14837"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2.5</w:t>
            </w:r>
            <w:r w:rsidR="00106FBC" w:rsidRPr="08D7F225">
              <w:rPr>
                <w:rFonts w:ascii="Arial" w:hAnsi="Arial" w:cs="Arial"/>
                <w:i/>
                <w:iCs/>
                <w:sz w:val="20"/>
                <w:szCs w:val="20"/>
              </w:rPr>
              <w:t>.</w:t>
            </w:r>
            <w:r w:rsidRPr="000C48FF">
              <w:rPr>
                <w:rFonts w:ascii="Arial" w:hAnsi="Arial" w:cs="Arial"/>
                <w:i/>
                <w:iCs/>
                <w:sz w:val="20"/>
                <w:szCs w:val="20"/>
              </w:rPr>
              <w:t xml:space="preserve"> Number of entities that implement recommended changes.</w:t>
            </w:r>
          </w:p>
        </w:tc>
        <w:tc>
          <w:tcPr>
            <w:tcW w:w="1417" w:type="dxa"/>
            <w:vAlign w:val="center"/>
          </w:tcPr>
          <w:p w14:paraId="5B2F9E44" w14:textId="3E430D8F"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i/>
                <w:iCs/>
                <w:sz w:val="20"/>
                <w:szCs w:val="20"/>
              </w:rPr>
              <w:t>1.5%</w:t>
            </w:r>
          </w:p>
        </w:tc>
        <w:tc>
          <w:tcPr>
            <w:tcW w:w="2073" w:type="dxa"/>
            <w:vAlign w:val="center"/>
          </w:tcPr>
          <w:p w14:paraId="4CD78080" w14:textId="63AE09DA"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i/>
                <w:iCs/>
                <w:sz w:val="20"/>
                <w:szCs w:val="20"/>
              </w:rPr>
              <w:t>A+</w:t>
            </w:r>
          </w:p>
        </w:tc>
      </w:tr>
      <w:tr w:rsidR="00B07259" w:rsidRPr="005455EE" w14:paraId="41775D0F" w14:textId="77777777" w:rsidTr="68212E82">
        <w:trPr>
          <w:trHeight w:val="300"/>
        </w:trPr>
        <w:tc>
          <w:tcPr>
            <w:tcW w:w="5526" w:type="dxa"/>
            <w:vAlign w:val="center"/>
          </w:tcPr>
          <w:p w14:paraId="285DA3B9" w14:textId="2D25A969"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2.6</w:t>
            </w:r>
            <w:r w:rsidR="00106FBC" w:rsidRPr="08D7F225">
              <w:rPr>
                <w:rFonts w:ascii="Arial" w:hAnsi="Arial" w:cs="Arial"/>
                <w:i/>
                <w:iCs/>
                <w:sz w:val="20"/>
                <w:szCs w:val="20"/>
              </w:rPr>
              <w:t>.</w:t>
            </w:r>
            <w:r w:rsidRPr="000C48FF">
              <w:rPr>
                <w:rFonts w:ascii="Arial" w:hAnsi="Arial" w:cs="Arial"/>
                <w:i/>
                <w:iCs/>
                <w:sz w:val="20"/>
                <w:szCs w:val="20"/>
              </w:rPr>
              <w:t xml:space="preserve"> Percent of survey respondents (attending MAGC TA events) reporting increased knowledge of certified green buildings.</w:t>
            </w:r>
          </w:p>
        </w:tc>
        <w:tc>
          <w:tcPr>
            <w:tcW w:w="1417" w:type="dxa"/>
            <w:vAlign w:val="center"/>
          </w:tcPr>
          <w:p w14:paraId="2B5EC182" w14:textId="26463866" w:rsidR="00B07259" w:rsidRPr="005455EE"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i/>
                <w:iCs/>
                <w:sz w:val="20"/>
                <w:szCs w:val="20"/>
              </w:rPr>
              <w:t>1.5%</w:t>
            </w:r>
          </w:p>
        </w:tc>
        <w:tc>
          <w:tcPr>
            <w:tcW w:w="2073" w:type="dxa"/>
            <w:vAlign w:val="center"/>
          </w:tcPr>
          <w:p w14:paraId="6D3265C6" w14:textId="3E4DA110" w:rsidR="00B07259" w:rsidRPr="005455EE"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i/>
                <w:iCs/>
                <w:sz w:val="20"/>
                <w:szCs w:val="20"/>
              </w:rPr>
              <w:t>A+</w:t>
            </w:r>
          </w:p>
        </w:tc>
      </w:tr>
      <w:tr w:rsidR="00B07259" w:rsidRPr="005455EE" w14:paraId="25EA50DD" w14:textId="77777777" w:rsidTr="68212E82">
        <w:trPr>
          <w:trHeight w:val="300"/>
        </w:trPr>
        <w:tc>
          <w:tcPr>
            <w:tcW w:w="5526" w:type="dxa"/>
            <w:vAlign w:val="center"/>
          </w:tcPr>
          <w:p w14:paraId="118299CD" w14:textId="42A44A60" w:rsidR="00B07259" w:rsidRPr="00B07259" w:rsidRDefault="00B07259" w:rsidP="000C48FF">
            <w:pPr>
              <w:pStyle w:val="paragraph0"/>
              <w:spacing w:before="0" w:beforeAutospacing="0" w:after="240" w:afterAutospacing="0"/>
              <w:textAlignment w:val="baseline"/>
              <w:rPr>
                <w:rStyle w:val="normaltextrun"/>
                <w:rFonts w:ascii="Arial" w:hAnsi="Arial"/>
                <w:i/>
                <w:iCs/>
                <w:sz w:val="20"/>
                <w:szCs w:val="20"/>
                <w:lang w:eastAsia="en-US"/>
              </w:rPr>
            </w:pPr>
            <w:r w:rsidRPr="000C48FF">
              <w:rPr>
                <w:rFonts w:ascii="Arial" w:hAnsi="Arial" w:cs="Arial"/>
                <w:i/>
                <w:iCs/>
                <w:sz w:val="20"/>
                <w:szCs w:val="20"/>
              </w:rPr>
              <w:lastRenderedPageBreak/>
              <w:t>2.7</w:t>
            </w:r>
            <w:r w:rsidR="00106FBC" w:rsidRPr="08D7F225">
              <w:rPr>
                <w:rFonts w:ascii="Arial" w:hAnsi="Arial" w:cs="Arial"/>
                <w:i/>
                <w:iCs/>
                <w:sz w:val="20"/>
                <w:szCs w:val="20"/>
              </w:rPr>
              <w:t>.</w:t>
            </w:r>
            <w:r w:rsidRPr="000C48FF">
              <w:rPr>
                <w:rFonts w:ascii="Arial" w:hAnsi="Arial" w:cs="Arial"/>
                <w:i/>
                <w:iCs/>
                <w:sz w:val="20"/>
                <w:szCs w:val="20"/>
              </w:rPr>
              <w:t xml:space="preserve"> Cumulative number of cities receiving advisory services by APEX</w:t>
            </w:r>
          </w:p>
        </w:tc>
        <w:tc>
          <w:tcPr>
            <w:tcW w:w="1417" w:type="dxa"/>
            <w:vAlign w:val="center"/>
          </w:tcPr>
          <w:p w14:paraId="5A5312A1" w14:textId="61F3F99F" w:rsidR="00B07259" w:rsidRPr="00AE2141"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1.5%</w:t>
            </w:r>
          </w:p>
        </w:tc>
        <w:tc>
          <w:tcPr>
            <w:tcW w:w="2073" w:type="dxa"/>
            <w:vAlign w:val="center"/>
          </w:tcPr>
          <w:p w14:paraId="3FFE9D6E" w14:textId="0608E549" w:rsidR="00B07259" w:rsidRPr="00D56430"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23D3E445" w14:textId="77777777" w:rsidTr="68212E82">
        <w:trPr>
          <w:trHeight w:val="300"/>
        </w:trPr>
        <w:tc>
          <w:tcPr>
            <w:tcW w:w="5526" w:type="dxa"/>
            <w:vAlign w:val="center"/>
          </w:tcPr>
          <w:p w14:paraId="7EC80D2C" w14:textId="7157589E" w:rsidR="00B07259" w:rsidRPr="00B07259" w:rsidRDefault="00B07259" w:rsidP="000C48FF">
            <w:pPr>
              <w:pStyle w:val="paragraph0"/>
              <w:spacing w:before="0" w:beforeAutospacing="0" w:after="240" w:afterAutospacing="0"/>
              <w:textAlignment w:val="baseline"/>
              <w:rPr>
                <w:rStyle w:val="normaltextrun"/>
                <w:rFonts w:ascii="Arial" w:hAnsi="Arial"/>
                <w:i/>
                <w:iCs/>
                <w:sz w:val="20"/>
                <w:szCs w:val="20"/>
                <w:lang w:eastAsia="en-US"/>
              </w:rPr>
            </w:pPr>
            <w:r w:rsidRPr="000C48FF">
              <w:rPr>
                <w:rFonts w:ascii="Arial" w:hAnsi="Arial" w:cs="Arial"/>
                <w:i/>
                <w:iCs/>
                <w:sz w:val="20"/>
                <w:szCs w:val="20"/>
              </w:rPr>
              <w:t>2.8</w:t>
            </w:r>
            <w:r w:rsidR="00106FBC" w:rsidRPr="08D7F225">
              <w:rPr>
                <w:rFonts w:ascii="Arial" w:hAnsi="Arial" w:cs="Arial"/>
                <w:i/>
                <w:iCs/>
                <w:sz w:val="20"/>
                <w:szCs w:val="20"/>
              </w:rPr>
              <w:t>.</w:t>
            </w:r>
            <w:r w:rsidRPr="000C48FF">
              <w:rPr>
                <w:rFonts w:ascii="Arial" w:hAnsi="Arial" w:cs="Arial"/>
                <w:i/>
                <w:iCs/>
                <w:sz w:val="20"/>
                <w:szCs w:val="20"/>
              </w:rPr>
              <w:t xml:space="preserve"> Cumulative Number of cities verified as APEX green cities according to APEX standard</w:t>
            </w:r>
          </w:p>
        </w:tc>
        <w:tc>
          <w:tcPr>
            <w:tcW w:w="1417" w:type="dxa"/>
            <w:vAlign w:val="center"/>
          </w:tcPr>
          <w:p w14:paraId="5BAE578E" w14:textId="1A57200A" w:rsidR="00B07259" w:rsidRPr="00AE2141"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1.5%</w:t>
            </w:r>
          </w:p>
        </w:tc>
        <w:tc>
          <w:tcPr>
            <w:tcW w:w="2073" w:type="dxa"/>
            <w:vAlign w:val="center"/>
          </w:tcPr>
          <w:p w14:paraId="4A61C51E" w14:textId="40BE7F70" w:rsidR="00B072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1A9384D6" w14:textId="77777777" w:rsidTr="68212E82">
        <w:trPr>
          <w:trHeight w:val="300"/>
        </w:trPr>
        <w:tc>
          <w:tcPr>
            <w:tcW w:w="5526" w:type="dxa"/>
            <w:vAlign w:val="center"/>
          </w:tcPr>
          <w:p w14:paraId="3E36950C" w14:textId="60E12C68" w:rsidR="00B07259" w:rsidRPr="00B07259" w:rsidRDefault="00B07259" w:rsidP="000C48FF">
            <w:pPr>
              <w:pStyle w:val="paragraph0"/>
              <w:spacing w:before="0" w:beforeAutospacing="0" w:after="240" w:afterAutospacing="0"/>
              <w:textAlignment w:val="baseline"/>
              <w:rPr>
                <w:rStyle w:val="normaltextrun"/>
                <w:rFonts w:ascii="Arial" w:hAnsi="Arial"/>
                <w:i/>
                <w:iCs/>
                <w:sz w:val="20"/>
                <w:szCs w:val="20"/>
                <w:lang w:eastAsia="en-US"/>
              </w:rPr>
            </w:pPr>
            <w:r w:rsidRPr="000C48FF">
              <w:rPr>
                <w:rFonts w:ascii="Arial" w:hAnsi="Arial" w:cs="Arial"/>
                <w:i/>
                <w:iCs/>
                <w:sz w:val="20"/>
                <w:szCs w:val="20"/>
              </w:rPr>
              <w:t>2.9</w:t>
            </w:r>
            <w:r w:rsidR="00106FBC" w:rsidRPr="08D7F225">
              <w:rPr>
                <w:rFonts w:ascii="Arial" w:hAnsi="Arial" w:cs="Arial"/>
                <w:i/>
                <w:iCs/>
                <w:sz w:val="20"/>
                <w:szCs w:val="20"/>
              </w:rPr>
              <w:t>.</w:t>
            </w:r>
            <w:r w:rsidRPr="000C48FF">
              <w:rPr>
                <w:rFonts w:ascii="Arial" w:hAnsi="Arial" w:cs="Arial"/>
                <w:i/>
                <w:iCs/>
                <w:sz w:val="20"/>
                <w:szCs w:val="20"/>
              </w:rPr>
              <w:t xml:space="preserve"> Cumulative Number of financial institutions trained by APEX</w:t>
            </w:r>
          </w:p>
        </w:tc>
        <w:tc>
          <w:tcPr>
            <w:tcW w:w="1417" w:type="dxa"/>
            <w:vAlign w:val="center"/>
          </w:tcPr>
          <w:p w14:paraId="4F00BF08" w14:textId="5A2B6BBE" w:rsidR="00B07259" w:rsidRPr="00AE2141"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1.5%</w:t>
            </w:r>
          </w:p>
        </w:tc>
        <w:tc>
          <w:tcPr>
            <w:tcW w:w="2073" w:type="dxa"/>
            <w:vAlign w:val="center"/>
          </w:tcPr>
          <w:p w14:paraId="6AAD6F4B" w14:textId="1656F607" w:rsidR="00B07259" w:rsidRPr="00D56430"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3E691B64" w14:textId="77777777" w:rsidTr="68212E82">
        <w:trPr>
          <w:trHeight w:val="300"/>
        </w:trPr>
        <w:tc>
          <w:tcPr>
            <w:tcW w:w="5526" w:type="dxa"/>
            <w:vAlign w:val="center"/>
          </w:tcPr>
          <w:p w14:paraId="285BD17F" w14:textId="0ACDF35F"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2.10</w:t>
            </w:r>
            <w:r w:rsidR="00106FBC" w:rsidRPr="08D7F225">
              <w:rPr>
                <w:rFonts w:ascii="Arial" w:hAnsi="Arial" w:cs="Arial"/>
                <w:i/>
                <w:iCs/>
                <w:sz w:val="20"/>
                <w:szCs w:val="20"/>
              </w:rPr>
              <w:t>.</w:t>
            </w:r>
            <w:r w:rsidRPr="000C48FF">
              <w:rPr>
                <w:rFonts w:ascii="Arial" w:hAnsi="Arial" w:cs="Arial"/>
                <w:i/>
                <w:iCs/>
                <w:sz w:val="20"/>
                <w:szCs w:val="20"/>
              </w:rPr>
              <w:t xml:space="preserve"> Cumulative floor space that received post-design EDGE Advanced Preliminary Certification (m2) (9 MAGC countries)</w:t>
            </w:r>
          </w:p>
        </w:tc>
        <w:tc>
          <w:tcPr>
            <w:tcW w:w="1417" w:type="dxa"/>
            <w:vAlign w:val="center"/>
          </w:tcPr>
          <w:p w14:paraId="6580C11D" w14:textId="63CC49E8" w:rsidR="00B07259" w:rsidRPr="00AE2141"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1.5%</w:t>
            </w:r>
          </w:p>
        </w:tc>
        <w:tc>
          <w:tcPr>
            <w:tcW w:w="2073" w:type="dxa"/>
            <w:vAlign w:val="center"/>
          </w:tcPr>
          <w:p w14:paraId="177D566C" w14:textId="35BC8DDB" w:rsidR="00B07259" w:rsidRPr="00D56430"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7E77CE7D" w14:textId="77777777" w:rsidTr="68212E82">
        <w:trPr>
          <w:trHeight w:val="435"/>
        </w:trPr>
        <w:tc>
          <w:tcPr>
            <w:tcW w:w="5526" w:type="dxa"/>
            <w:shd w:val="clear" w:color="auto" w:fill="DAE9F7" w:themeFill="text2" w:themeFillTint="1A"/>
            <w:vAlign w:val="center"/>
          </w:tcPr>
          <w:p w14:paraId="1B39D34E" w14:textId="04465FB8" w:rsidR="00B07259" w:rsidRDefault="00B07259" w:rsidP="000C48FF">
            <w:pPr>
              <w:pStyle w:val="paragraph0"/>
              <w:spacing w:before="0" w:beforeAutospacing="0" w:after="240" w:afterAutospacing="0"/>
              <w:textAlignment w:val="baseline"/>
              <w:rPr>
                <w:rStyle w:val="normaltextrun"/>
                <w:rFonts w:ascii="Arial" w:hAnsi="Arial" w:cs="Arial"/>
                <w:b/>
                <w:bCs/>
                <w:sz w:val="20"/>
                <w:szCs w:val="20"/>
                <w:lang w:eastAsia="en-US"/>
              </w:rPr>
            </w:pPr>
            <w:r w:rsidRPr="295530E4">
              <w:rPr>
                <w:rStyle w:val="normaltextrun"/>
                <w:rFonts w:ascii="Arial" w:hAnsi="Arial" w:cs="Arial"/>
                <w:b/>
                <w:bCs/>
                <w:sz w:val="20"/>
                <w:szCs w:val="20"/>
              </w:rPr>
              <w:t>3</w:t>
            </w:r>
            <w:r w:rsidR="00471DD9" w:rsidRPr="295530E4">
              <w:rPr>
                <w:rStyle w:val="normaltextrun"/>
                <w:rFonts w:ascii="Arial" w:hAnsi="Arial" w:cs="Arial"/>
                <w:b/>
                <w:bCs/>
                <w:sz w:val="20"/>
                <w:szCs w:val="20"/>
              </w:rPr>
              <w:t>.</w:t>
            </w:r>
            <w:r w:rsidRPr="295530E4">
              <w:rPr>
                <w:rStyle w:val="normaltextrun"/>
                <w:rFonts w:ascii="Arial" w:hAnsi="Arial" w:cs="Arial"/>
                <w:b/>
                <w:bCs/>
                <w:sz w:val="20"/>
                <w:szCs w:val="20"/>
              </w:rPr>
              <w:t xml:space="preserve"> The EDGE system is strengthened, and green construction standards encouraged.</w:t>
            </w:r>
          </w:p>
        </w:tc>
        <w:tc>
          <w:tcPr>
            <w:tcW w:w="1417" w:type="dxa"/>
            <w:shd w:val="clear" w:color="auto" w:fill="DAE9F7" w:themeFill="text2" w:themeFillTint="1A"/>
            <w:vAlign w:val="center"/>
          </w:tcPr>
          <w:p w14:paraId="146C1C6C" w14:textId="11B85BEB" w:rsidR="00B07259" w:rsidRPr="005455EE"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15%</w:t>
            </w:r>
          </w:p>
        </w:tc>
        <w:tc>
          <w:tcPr>
            <w:tcW w:w="2073" w:type="dxa"/>
            <w:shd w:val="clear" w:color="auto" w:fill="DAE9F7" w:themeFill="text2" w:themeFillTint="1A"/>
            <w:vAlign w:val="center"/>
          </w:tcPr>
          <w:p w14:paraId="128B20D9" w14:textId="1C153717" w:rsidR="00B07259" w:rsidRPr="005455EE"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 xml:space="preserve">A+ </w:t>
            </w:r>
          </w:p>
        </w:tc>
      </w:tr>
      <w:tr w:rsidR="00B07259" w:rsidRPr="005455EE" w14:paraId="3B8BE4BF" w14:textId="77777777" w:rsidTr="68212E82">
        <w:trPr>
          <w:trHeight w:val="300"/>
        </w:trPr>
        <w:tc>
          <w:tcPr>
            <w:tcW w:w="5526" w:type="dxa"/>
            <w:vAlign w:val="center"/>
          </w:tcPr>
          <w:p w14:paraId="55399150" w14:textId="4FB7CAA1" w:rsidR="00B07259" w:rsidRPr="000C48FF" w:rsidRDefault="00B07259" w:rsidP="000C48FF">
            <w:pPr>
              <w:pStyle w:val="paragraph0"/>
              <w:spacing w:before="0" w:beforeAutospacing="0" w:after="240" w:afterAutospacing="0"/>
              <w:textAlignment w:val="baseline"/>
              <w:rPr>
                <w:rFonts w:ascii="Arial" w:hAnsi="Arial" w:cs="Arial"/>
                <w:i/>
                <w:iCs/>
                <w:sz w:val="20"/>
                <w:szCs w:val="20"/>
              </w:rPr>
            </w:pPr>
            <w:r w:rsidRPr="000C48FF">
              <w:rPr>
                <w:rFonts w:ascii="Arial" w:hAnsi="Arial" w:cs="Arial"/>
                <w:i/>
                <w:iCs/>
                <w:sz w:val="20"/>
                <w:szCs w:val="20"/>
              </w:rPr>
              <w:t>3.1</w:t>
            </w:r>
            <w:r w:rsidR="00106FBC" w:rsidRPr="000C48FF">
              <w:rPr>
                <w:rFonts w:ascii="Arial" w:hAnsi="Arial" w:cs="Arial"/>
                <w:i/>
                <w:iCs/>
                <w:sz w:val="20"/>
                <w:szCs w:val="20"/>
              </w:rPr>
              <w:t>.</w:t>
            </w:r>
            <w:r w:rsidRPr="000C48FF">
              <w:rPr>
                <w:rFonts w:ascii="Arial" w:hAnsi="Arial" w:cs="Arial"/>
                <w:i/>
                <w:iCs/>
                <w:sz w:val="20"/>
                <w:szCs w:val="20"/>
              </w:rPr>
              <w:t xml:space="preserve"> Development and launch of EDGE tool improvements.</w:t>
            </w:r>
          </w:p>
        </w:tc>
        <w:tc>
          <w:tcPr>
            <w:tcW w:w="1417" w:type="dxa"/>
            <w:vAlign w:val="center"/>
          </w:tcPr>
          <w:p w14:paraId="1C88864D" w14:textId="267CA2D2" w:rsidR="00B07259" w:rsidRPr="005455EE" w:rsidRDefault="00CF329C" w:rsidP="000C48FF">
            <w:pPr>
              <w:pStyle w:val="paragraph0"/>
              <w:spacing w:before="0" w:beforeAutospacing="0" w:after="240" w:afterAutospacing="0"/>
              <w:jc w:val="center"/>
              <w:textAlignment w:val="baseline"/>
              <w:rPr>
                <w:rStyle w:val="normaltextrun"/>
                <w:rFonts w:ascii="Arial" w:eastAsia="Arial" w:hAnsi="Arial" w:cs="Arial"/>
                <w:b/>
                <w:bCs/>
                <w:i/>
                <w:iCs/>
                <w:sz w:val="20"/>
                <w:szCs w:val="20"/>
              </w:rPr>
            </w:pPr>
            <w:r w:rsidRPr="0FD3AE76">
              <w:rPr>
                <w:rStyle w:val="normaltextrun"/>
                <w:rFonts w:ascii="Arial" w:eastAsia="Arial" w:hAnsi="Arial" w:cs="Arial"/>
                <w:i/>
                <w:iCs/>
                <w:sz w:val="20"/>
                <w:szCs w:val="20"/>
              </w:rPr>
              <w:t>3.75</w:t>
            </w:r>
            <w:r w:rsidR="00B07259" w:rsidRPr="0FD3AE76">
              <w:rPr>
                <w:rStyle w:val="normaltextrun"/>
                <w:rFonts w:ascii="Arial" w:eastAsia="Arial" w:hAnsi="Arial" w:cs="Arial"/>
                <w:i/>
                <w:iCs/>
                <w:sz w:val="20"/>
                <w:szCs w:val="20"/>
              </w:rPr>
              <w:t>%</w:t>
            </w:r>
          </w:p>
        </w:tc>
        <w:tc>
          <w:tcPr>
            <w:tcW w:w="2073" w:type="dxa"/>
            <w:vAlign w:val="center"/>
          </w:tcPr>
          <w:p w14:paraId="3C950274" w14:textId="01CB6C4D" w:rsidR="00B07259" w:rsidRPr="005A6359" w:rsidRDefault="00B07259" w:rsidP="000C48FF">
            <w:pPr>
              <w:pStyle w:val="paragraph0"/>
              <w:spacing w:before="0" w:beforeAutospacing="0" w:after="240" w:afterAutospacing="0"/>
              <w:jc w:val="center"/>
              <w:textAlignment w:val="baseline"/>
              <w:rPr>
                <w:rStyle w:val="normaltextrun"/>
                <w:rFonts w:ascii="Arial" w:eastAsia="Arial" w:hAnsi="Arial" w:cs="Arial"/>
                <w:i/>
                <w:iCs/>
                <w:sz w:val="20"/>
                <w:szCs w:val="20"/>
              </w:rPr>
            </w:pPr>
            <w:r w:rsidRPr="0FD3AE76">
              <w:rPr>
                <w:rStyle w:val="normaltextrun"/>
                <w:rFonts w:ascii="Arial" w:eastAsia="Arial" w:hAnsi="Arial" w:cs="Arial"/>
                <w:i/>
                <w:iCs/>
                <w:sz w:val="20"/>
                <w:szCs w:val="20"/>
              </w:rPr>
              <w:t>A</w:t>
            </w:r>
          </w:p>
        </w:tc>
      </w:tr>
      <w:tr w:rsidR="00B07259" w:rsidRPr="005455EE" w14:paraId="5DEEAA36" w14:textId="77777777" w:rsidTr="68212E82">
        <w:trPr>
          <w:trHeight w:val="300"/>
        </w:trPr>
        <w:tc>
          <w:tcPr>
            <w:tcW w:w="5526" w:type="dxa"/>
            <w:vAlign w:val="center"/>
          </w:tcPr>
          <w:p w14:paraId="00D34D9B" w14:textId="4E030363" w:rsidR="00B07259" w:rsidRPr="000C48FF" w:rsidRDefault="00B07259" w:rsidP="000C48FF">
            <w:pPr>
              <w:pStyle w:val="paragraph0"/>
              <w:spacing w:before="0" w:beforeAutospacing="0" w:after="240" w:afterAutospacing="0"/>
              <w:textAlignment w:val="baseline"/>
              <w:rPr>
                <w:rFonts w:ascii="Arial" w:hAnsi="Arial" w:cs="Arial"/>
                <w:i/>
                <w:iCs/>
                <w:sz w:val="20"/>
                <w:szCs w:val="20"/>
              </w:rPr>
            </w:pPr>
            <w:r w:rsidRPr="000C48FF">
              <w:rPr>
                <w:rFonts w:ascii="Arial" w:hAnsi="Arial" w:cs="Arial"/>
                <w:i/>
                <w:iCs/>
                <w:sz w:val="20"/>
                <w:szCs w:val="20"/>
              </w:rPr>
              <w:t>3.2</w:t>
            </w:r>
            <w:r w:rsidR="00106FBC" w:rsidRPr="000C48FF">
              <w:rPr>
                <w:rFonts w:ascii="Arial" w:hAnsi="Arial" w:cs="Arial"/>
                <w:i/>
                <w:iCs/>
                <w:sz w:val="20"/>
                <w:szCs w:val="20"/>
              </w:rPr>
              <w:t>.</w:t>
            </w:r>
            <w:r w:rsidRPr="000C48FF">
              <w:rPr>
                <w:rFonts w:ascii="Arial" w:hAnsi="Arial" w:cs="Arial"/>
                <w:i/>
                <w:iCs/>
                <w:sz w:val="20"/>
                <w:szCs w:val="20"/>
              </w:rPr>
              <w:t xml:space="preserve"> Number of EDGE Self-Build case studies/protocols published</w:t>
            </w:r>
          </w:p>
        </w:tc>
        <w:tc>
          <w:tcPr>
            <w:tcW w:w="1417" w:type="dxa"/>
            <w:vAlign w:val="center"/>
          </w:tcPr>
          <w:p w14:paraId="4554DB18" w14:textId="58C1F977" w:rsidR="00B07259" w:rsidRPr="005455EE" w:rsidRDefault="00CF329C" w:rsidP="000C48FF">
            <w:pPr>
              <w:pStyle w:val="paragraph0"/>
              <w:spacing w:before="0" w:beforeAutospacing="0" w:after="240" w:afterAutospacing="0"/>
              <w:jc w:val="center"/>
              <w:textAlignment w:val="baseline"/>
              <w:rPr>
                <w:rStyle w:val="normaltextrun"/>
                <w:rFonts w:ascii="Arial" w:eastAsia="Arial" w:hAnsi="Arial" w:cs="Arial"/>
                <w:b/>
                <w:bCs/>
                <w:i/>
                <w:iCs/>
                <w:sz w:val="20"/>
                <w:szCs w:val="20"/>
              </w:rPr>
            </w:pPr>
            <w:r w:rsidRPr="0FD3AE76">
              <w:rPr>
                <w:rStyle w:val="normaltextrun"/>
                <w:rFonts w:ascii="Arial" w:eastAsia="Arial" w:hAnsi="Arial" w:cs="Arial"/>
                <w:i/>
                <w:iCs/>
                <w:sz w:val="20"/>
                <w:szCs w:val="20"/>
              </w:rPr>
              <w:t>3.75</w:t>
            </w:r>
            <w:r w:rsidR="00B07259" w:rsidRPr="0FD3AE76">
              <w:rPr>
                <w:rStyle w:val="normaltextrun"/>
                <w:rFonts w:ascii="Arial" w:eastAsia="Arial" w:hAnsi="Arial" w:cs="Arial"/>
                <w:i/>
                <w:iCs/>
                <w:sz w:val="20"/>
                <w:szCs w:val="20"/>
              </w:rPr>
              <w:t>%</w:t>
            </w:r>
          </w:p>
        </w:tc>
        <w:tc>
          <w:tcPr>
            <w:tcW w:w="2073" w:type="dxa"/>
            <w:vAlign w:val="center"/>
          </w:tcPr>
          <w:p w14:paraId="636612DE" w14:textId="3F345BF8" w:rsidR="00B07259" w:rsidRPr="005A6359" w:rsidRDefault="00B07259" w:rsidP="000C48FF">
            <w:pPr>
              <w:pStyle w:val="paragraph0"/>
              <w:spacing w:before="0" w:beforeAutospacing="0" w:after="240" w:afterAutospacing="0"/>
              <w:jc w:val="center"/>
              <w:textAlignment w:val="baseline"/>
              <w:rPr>
                <w:rStyle w:val="normaltextrun"/>
                <w:rFonts w:ascii="Arial" w:eastAsia="Arial" w:hAnsi="Arial" w:cs="Arial"/>
                <w:i/>
                <w:iCs/>
                <w:sz w:val="20"/>
                <w:szCs w:val="20"/>
              </w:rPr>
            </w:pPr>
            <w:r w:rsidRPr="0FD3AE76">
              <w:rPr>
                <w:rStyle w:val="normaltextrun"/>
                <w:rFonts w:ascii="Arial" w:eastAsia="Arial" w:hAnsi="Arial" w:cs="Arial"/>
                <w:i/>
                <w:iCs/>
                <w:sz w:val="20"/>
                <w:szCs w:val="20"/>
              </w:rPr>
              <w:t>A</w:t>
            </w:r>
          </w:p>
        </w:tc>
      </w:tr>
      <w:tr w:rsidR="00B07259" w:rsidRPr="005455EE" w14:paraId="1F5F861A" w14:textId="77777777" w:rsidTr="68212E82">
        <w:trPr>
          <w:trHeight w:val="300"/>
        </w:trPr>
        <w:tc>
          <w:tcPr>
            <w:tcW w:w="5526" w:type="dxa"/>
            <w:vAlign w:val="center"/>
          </w:tcPr>
          <w:p w14:paraId="502B65F0" w14:textId="27FE75A3" w:rsidR="00B07259" w:rsidRPr="000C48FF" w:rsidRDefault="00B07259" w:rsidP="000C48FF">
            <w:pPr>
              <w:pStyle w:val="paragraph0"/>
              <w:spacing w:before="0" w:beforeAutospacing="0" w:after="240" w:afterAutospacing="0"/>
              <w:textAlignment w:val="baseline"/>
              <w:rPr>
                <w:rFonts w:ascii="Arial" w:hAnsi="Arial" w:cs="Arial"/>
                <w:i/>
                <w:iCs/>
                <w:sz w:val="20"/>
                <w:szCs w:val="20"/>
              </w:rPr>
            </w:pPr>
            <w:r w:rsidRPr="000C48FF">
              <w:rPr>
                <w:rFonts w:ascii="Arial" w:hAnsi="Arial" w:cs="Arial"/>
                <w:i/>
                <w:iCs/>
                <w:sz w:val="20"/>
                <w:szCs w:val="20"/>
              </w:rPr>
              <w:t>3.3</w:t>
            </w:r>
            <w:r w:rsidR="00106FBC" w:rsidRPr="000C48FF">
              <w:rPr>
                <w:rFonts w:ascii="Arial" w:hAnsi="Arial" w:cs="Arial"/>
                <w:i/>
                <w:iCs/>
                <w:sz w:val="20"/>
                <w:szCs w:val="20"/>
              </w:rPr>
              <w:t>.</w:t>
            </w:r>
            <w:r w:rsidR="00C9388B" w:rsidRPr="000C48FF">
              <w:rPr>
                <w:rFonts w:ascii="Arial" w:hAnsi="Arial" w:cs="Arial"/>
                <w:i/>
                <w:iCs/>
                <w:sz w:val="20"/>
                <w:szCs w:val="20"/>
              </w:rPr>
              <w:t xml:space="preserve"> Development of the EDGE v.4.0 software, online app, and training materials</w:t>
            </w:r>
          </w:p>
        </w:tc>
        <w:tc>
          <w:tcPr>
            <w:tcW w:w="1417" w:type="dxa"/>
            <w:vAlign w:val="center"/>
          </w:tcPr>
          <w:p w14:paraId="2BF27690" w14:textId="05B5714E" w:rsidR="00B07259" w:rsidRPr="00A05F99" w:rsidRDefault="00CF329C"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w:t>
            </w:r>
          </w:p>
        </w:tc>
        <w:tc>
          <w:tcPr>
            <w:tcW w:w="2073" w:type="dxa"/>
            <w:vAlign w:val="center"/>
          </w:tcPr>
          <w:p w14:paraId="0FBB4C01" w14:textId="30018291" w:rsidR="00B07259" w:rsidRDefault="00CF329C"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w:t>
            </w:r>
          </w:p>
        </w:tc>
      </w:tr>
      <w:tr w:rsidR="00B07259" w:rsidRPr="005455EE" w14:paraId="1263934D" w14:textId="77777777" w:rsidTr="68212E82">
        <w:trPr>
          <w:trHeight w:val="300"/>
        </w:trPr>
        <w:tc>
          <w:tcPr>
            <w:tcW w:w="5526" w:type="dxa"/>
            <w:vAlign w:val="center"/>
          </w:tcPr>
          <w:p w14:paraId="2EA84EB7" w14:textId="2DD2765F" w:rsidR="00B07259" w:rsidRPr="000C48FF" w:rsidRDefault="00B07259" w:rsidP="000C48FF">
            <w:pPr>
              <w:pStyle w:val="paragraph0"/>
              <w:spacing w:before="0" w:beforeAutospacing="0" w:after="240" w:afterAutospacing="0"/>
              <w:textAlignment w:val="baseline"/>
              <w:rPr>
                <w:rFonts w:ascii="Arial" w:hAnsi="Arial" w:cs="Arial"/>
                <w:i/>
                <w:iCs/>
                <w:sz w:val="20"/>
                <w:szCs w:val="20"/>
              </w:rPr>
            </w:pPr>
            <w:r w:rsidRPr="000C48FF">
              <w:rPr>
                <w:rFonts w:ascii="Arial" w:hAnsi="Arial" w:cs="Arial"/>
                <w:i/>
                <w:iCs/>
                <w:sz w:val="20"/>
                <w:szCs w:val="20"/>
              </w:rPr>
              <w:t>3.4</w:t>
            </w:r>
            <w:r w:rsidR="00106FBC" w:rsidRPr="000C48FF">
              <w:rPr>
                <w:rFonts w:ascii="Arial" w:hAnsi="Arial" w:cs="Arial"/>
                <w:i/>
                <w:iCs/>
                <w:sz w:val="20"/>
                <w:szCs w:val="20"/>
              </w:rPr>
              <w:t>.</w:t>
            </w:r>
            <w:r w:rsidR="00113AD6" w:rsidRPr="000C48FF">
              <w:rPr>
                <w:rFonts w:ascii="Arial" w:hAnsi="Arial" w:cs="Arial"/>
                <w:i/>
                <w:iCs/>
                <w:sz w:val="20"/>
                <w:szCs w:val="20"/>
              </w:rPr>
              <w:t xml:space="preserve"> Provide support to the different stakeholders on EDGE v. 4.0</w:t>
            </w:r>
          </w:p>
        </w:tc>
        <w:tc>
          <w:tcPr>
            <w:tcW w:w="1417" w:type="dxa"/>
            <w:vAlign w:val="center"/>
          </w:tcPr>
          <w:p w14:paraId="09E08FF6" w14:textId="7EB03EBF" w:rsidR="00B07259" w:rsidRPr="00A05F99" w:rsidRDefault="00CF329C"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w:t>
            </w:r>
          </w:p>
        </w:tc>
        <w:tc>
          <w:tcPr>
            <w:tcW w:w="2073" w:type="dxa"/>
            <w:vAlign w:val="center"/>
          </w:tcPr>
          <w:p w14:paraId="06FF7CCE" w14:textId="7A410B1D" w:rsidR="00B07259" w:rsidRDefault="00CF329C"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w:t>
            </w:r>
          </w:p>
        </w:tc>
      </w:tr>
      <w:tr w:rsidR="00B07259" w:rsidRPr="005455EE" w14:paraId="20CA5897" w14:textId="77777777" w:rsidTr="68212E82">
        <w:trPr>
          <w:trHeight w:val="300"/>
        </w:trPr>
        <w:tc>
          <w:tcPr>
            <w:tcW w:w="5526" w:type="dxa"/>
            <w:vAlign w:val="center"/>
          </w:tcPr>
          <w:p w14:paraId="35ECC951" w14:textId="11578B61" w:rsidR="00B07259" w:rsidRPr="000C48FF" w:rsidRDefault="00B07259" w:rsidP="000C48FF">
            <w:pPr>
              <w:pStyle w:val="paragraph0"/>
              <w:spacing w:before="0" w:beforeAutospacing="0" w:after="240" w:afterAutospacing="0"/>
              <w:textAlignment w:val="baseline"/>
              <w:rPr>
                <w:rFonts w:ascii="Arial" w:hAnsi="Arial" w:cs="Arial"/>
                <w:i/>
                <w:iCs/>
                <w:sz w:val="20"/>
                <w:szCs w:val="20"/>
              </w:rPr>
            </w:pPr>
            <w:r w:rsidRPr="000C48FF">
              <w:rPr>
                <w:rFonts w:ascii="Arial" w:hAnsi="Arial" w:cs="Arial"/>
                <w:i/>
                <w:iCs/>
                <w:sz w:val="20"/>
                <w:szCs w:val="20"/>
              </w:rPr>
              <w:t>3.5</w:t>
            </w:r>
            <w:r w:rsidR="00106FBC" w:rsidRPr="000C48FF">
              <w:rPr>
                <w:rFonts w:ascii="Arial" w:hAnsi="Arial" w:cs="Arial"/>
                <w:i/>
                <w:iCs/>
                <w:sz w:val="20"/>
                <w:szCs w:val="20"/>
              </w:rPr>
              <w:t>.</w:t>
            </w:r>
            <w:r w:rsidRPr="000C48FF">
              <w:rPr>
                <w:rFonts w:ascii="Arial" w:hAnsi="Arial" w:cs="Arial"/>
                <w:i/>
                <w:iCs/>
                <w:sz w:val="20"/>
                <w:szCs w:val="20"/>
              </w:rPr>
              <w:t xml:space="preserve"> Cumulative number of self-build home units certified with EDGE (India and other two countries from FY26 approved in the proposal)</w:t>
            </w:r>
          </w:p>
        </w:tc>
        <w:tc>
          <w:tcPr>
            <w:tcW w:w="1417" w:type="dxa"/>
            <w:vAlign w:val="center"/>
          </w:tcPr>
          <w:p w14:paraId="57F3F873" w14:textId="23592585" w:rsidR="00B07259" w:rsidRPr="00A05F99" w:rsidRDefault="00CF329C"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3.75%</w:t>
            </w:r>
          </w:p>
        </w:tc>
        <w:tc>
          <w:tcPr>
            <w:tcW w:w="2073" w:type="dxa"/>
            <w:vAlign w:val="center"/>
          </w:tcPr>
          <w:p w14:paraId="458F2D51" w14:textId="182D1D07" w:rsidR="00B072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66342CA7" w14:textId="77777777" w:rsidTr="68212E82">
        <w:trPr>
          <w:trHeight w:val="300"/>
        </w:trPr>
        <w:tc>
          <w:tcPr>
            <w:tcW w:w="5526" w:type="dxa"/>
            <w:vAlign w:val="center"/>
          </w:tcPr>
          <w:p w14:paraId="0DB55C5F" w14:textId="2776616A" w:rsidR="00B07259" w:rsidRPr="000C48FF" w:rsidRDefault="00B07259" w:rsidP="000C48FF">
            <w:pPr>
              <w:pStyle w:val="paragraph0"/>
              <w:spacing w:before="0" w:beforeAutospacing="0" w:after="240" w:afterAutospacing="0"/>
              <w:textAlignment w:val="baseline"/>
            </w:pPr>
            <w:r w:rsidRPr="000C48FF">
              <w:rPr>
                <w:rFonts w:ascii="Arial" w:hAnsi="Arial" w:cs="Arial"/>
                <w:i/>
                <w:iCs/>
                <w:sz w:val="20"/>
                <w:szCs w:val="20"/>
              </w:rPr>
              <w:t>3.6</w:t>
            </w:r>
            <w:r w:rsidR="00106FBC" w:rsidRPr="08D7F225">
              <w:rPr>
                <w:rFonts w:ascii="Arial" w:hAnsi="Arial" w:cs="Arial"/>
                <w:i/>
                <w:iCs/>
                <w:sz w:val="20"/>
                <w:szCs w:val="20"/>
              </w:rPr>
              <w:t>.</w:t>
            </w:r>
            <w:r w:rsidRPr="000C48FF">
              <w:rPr>
                <w:rFonts w:ascii="Arial" w:hAnsi="Arial" w:cs="Arial"/>
                <w:i/>
                <w:iCs/>
                <w:sz w:val="20"/>
                <w:szCs w:val="20"/>
              </w:rPr>
              <w:t xml:space="preserve"> Cumulative number of people benefited from EDGE Self-Build certified homes. (India and other two countries from FY26 approved in the proposal)</w:t>
            </w:r>
          </w:p>
        </w:tc>
        <w:tc>
          <w:tcPr>
            <w:tcW w:w="1417" w:type="dxa"/>
            <w:vAlign w:val="center"/>
          </w:tcPr>
          <w:p w14:paraId="01A54EE1" w14:textId="1389C0BA" w:rsidR="00B07259" w:rsidRPr="00A05F99" w:rsidRDefault="00CF329C"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3.75</w:t>
            </w:r>
            <w:r w:rsidR="00B07259" w:rsidRPr="295530E4">
              <w:rPr>
                <w:rStyle w:val="normaltextrun"/>
                <w:rFonts w:ascii="Arial" w:hAnsi="Arial" w:cs="Arial"/>
                <w:i/>
                <w:iCs/>
                <w:sz w:val="20"/>
                <w:szCs w:val="20"/>
              </w:rPr>
              <w:t>%</w:t>
            </w:r>
          </w:p>
        </w:tc>
        <w:tc>
          <w:tcPr>
            <w:tcW w:w="2073" w:type="dxa"/>
            <w:vAlign w:val="center"/>
          </w:tcPr>
          <w:p w14:paraId="3DCFC137" w14:textId="3458E8CF" w:rsidR="00B072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7489813C" w14:textId="77777777" w:rsidTr="68212E82">
        <w:trPr>
          <w:trHeight w:val="300"/>
        </w:trPr>
        <w:tc>
          <w:tcPr>
            <w:tcW w:w="5526" w:type="dxa"/>
            <w:shd w:val="clear" w:color="auto" w:fill="DAE9F7" w:themeFill="text2" w:themeFillTint="1A"/>
            <w:vAlign w:val="center"/>
          </w:tcPr>
          <w:p w14:paraId="2804B21C" w14:textId="4390C00A" w:rsidR="00B07259" w:rsidRDefault="00B07259" w:rsidP="000C48FF">
            <w:pPr>
              <w:pStyle w:val="paragraph0"/>
              <w:spacing w:before="0" w:beforeAutospacing="0" w:after="240" w:afterAutospacing="0"/>
              <w:textAlignment w:val="baseline"/>
              <w:rPr>
                <w:rStyle w:val="normaltextrun"/>
                <w:rFonts w:ascii="Arial" w:hAnsi="Arial" w:cs="Arial"/>
                <w:b/>
                <w:bCs/>
                <w:sz w:val="20"/>
                <w:szCs w:val="20"/>
                <w:lang w:eastAsia="en-US"/>
              </w:rPr>
            </w:pPr>
            <w:r w:rsidRPr="295530E4">
              <w:rPr>
                <w:rStyle w:val="normaltextrun"/>
                <w:rFonts w:ascii="Arial" w:hAnsi="Arial" w:cs="Arial"/>
                <w:b/>
                <w:bCs/>
                <w:sz w:val="20"/>
                <w:szCs w:val="20"/>
              </w:rPr>
              <w:t>4</w:t>
            </w:r>
            <w:r w:rsidR="00471DD9" w:rsidRPr="295530E4">
              <w:rPr>
                <w:rStyle w:val="normaltextrun"/>
                <w:rFonts w:ascii="Arial" w:hAnsi="Arial" w:cs="Arial"/>
                <w:b/>
                <w:bCs/>
                <w:sz w:val="20"/>
                <w:szCs w:val="20"/>
              </w:rPr>
              <w:t>.</w:t>
            </w:r>
            <w:r w:rsidRPr="295530E4">
              <w:rPr>
                <w:rStyle w:val="normaltextrun"/>
                <w:rFonts w:ascii="Arial" w:hAnsi="Arial" w:cs="Arial"/>
                <w:b/>
                <w:bCs/>
                <w:sz w:val="20"/>
                <w:szCs w:val="20"/>
              </w:rPr>
              <w:t xml:space="preserve"> Key stakeholders in participating countries understand and value certified green buildings.</w:t>
            </w:r>
          </w:p>
        </w:tc>
        <w:tc>
          <w:tcPr>
            <w:tcW w:w="1417" w:type="dxa"/>
            <w:shd w:val="clear" w:color="auto" w:fill="DAE9F7" w:themeFill="text2" w:themeFillTint="1A"/>
            <w:vAlign w:val="center"/>
          </w:tcPr>
          <w:p w14:paraId="5731A381" w14:textId="53545A42" w:rsidR="00B07259" w:rsidRPr="005455EE"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10%</w:t>
            </w:r>
          </w:p>
        </w:tc>
        <w:tc>
          <w:tcPr>
            <w:tcW w:w="2073" w:type="dxa"/>
            <w:shd w:val="clear" w:color="auto" w:fill="DAE9F7" w:themeFill="text2" w:themeFillTint="1A"/>
            <w:vAlign w:val="center"/>
          </w:tcPr>
          <w:p w14:paraId="265A62B5" w14:textId="0AD8B0EB" w:rsidR="00B07259" w:rsidRPr="005455EE" w:rsidRDefault="00B07259"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A</w:t>
            </w:r>
          </w:p>
        </w:tc>
      </w:tr>
      <w:tr w:rsidR="00B07259" w:rsidRPr="005455EE" w14:paraId="34604248" w14:textId="77777777" w:rsidTr="68212E82">
        <w:trPr>
          <w:trHeight w:val="300"/>
        </w:trPr>
        <w:tc>
          <w:tcPr>
            <w:tcW w:w="5526" w:type="dxa"/>
            <w:vAlign w:val="center"/>
          </w:tcPr>
          <w:p w14:paraId="5A2FBF93" w14:textId="47A6F43E"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4.4</w:t>
            </w:r>
            <w:r w:rsidR="00106FBC" w:rsidRPr="08D7F225">
              <w:rPr>
                <w:rFonts w:ascii="Arial" w:hAnsi="Arial" w:cs="Arial"/>
                <w:i/>
                <w:iCs/>
                <w:sz w:val="20"/>
                <w:szCs w:val="20"/>
              </w:rPr>
              <w:t>.</w:t>
            </w:r>
            <w:r w:rsidRPr="000C48FF">
              <w:rPr>
                <w:rFonts w:ascii="Arial" w:hAnsi="Arial" w:cs="Arial"/>
                <w:i/>
                <w:iCs/>
                <w:sz w:val="20"/>
                <w:szCs w:val="20"/>
              </w:rPr>
              <w:t xml:space="preserve"> Percent of MAGC Research Panel recommendations satisfactorily addressed by MAGC team and actioned. </w:t>
            </w:r>
          </w:p>
        </w:tc>
        <w:tc>
          <w:tcPr>
            <w:tcW w:w="1417" w:type="dxa"/>
            <w:vAlign w:val="center"/>
          </w:tcPr>
          <w:p w14:paraId="74D55014" w14:textId="3EF556E0"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N/A</w:t>
            </w:r>
          </w:p>
        </w:tc>
        <w:tc>
          <w:tcPr>
            <w:tcW w:w="2073" w:type="dxa"/>
            <w:vAlign w:val="center"/>
          </w:tcPr>
          <w:p w14:paraId="366DFBC3" w14:textId="7A24C09A" w:rsidR="00B07259" w:rsidRPr="00BA6BF1"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sz w:val="20"/>
                <w:szCs w:val="20"/>
              </w:rPr>
              <w:t>Monitoring Only</w:t>
            </w:r>
          </w:p>
        </w:tc>
      </w:tr>
      <w:tr w:rsidR="00B07259" w:rsidRPr="005455EE" w14:paraId="2F208A94" w14:textId="77777777" w:rsidTr="68212E82">
        <w:trPr>
          <w:trHeight w:val="300"/>
        </w:trPr>
        <w:tc>
          <w:tcPr>
            <w:tcW w:w="5526" w:type="dxa"/>
            <w:vAlign w:val="center"/>
          </w:tcPr>
          <w:p w14:paraId="6BDB80D9" w14:textId="47CE7F2E"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4.5</w:t>
            </w:r>
            <w:r w:rsidR="00106FBC" w:rsidRPr="08D7F225">
              <w:rPr>
                <w:rFonts w:ascii="Arial" w:hAnsi="Arial" w:cs="Arial"/>
                <w:i/>
                <w:iCs/>
                <w:sz w:val="20"/>
                <w:szCs w:val="20"/>
              </w:rPr>
              <w:t>.</w:t>
            </w:r>
            <w:r w:rsidRPr="000C48FF">
              <w:rPr>
                <w:rFonts w:ascii="Arial" w:hAnsi="Arial" w:cs="Arial"/>
                <w:i/>
                <w:iCs/>
                <w:sz w:val="20"/>
                <w:szCs w:val="20"/>
              </w:rPr>
              <w:t xml:space="preserve"> Cumulative number of core reports quality assured and published. </w:t>
            </w:r>
          </w:p>
        </w:tc>
        <w:tc>
          <w:tcPr>
            <w:tcW w:w="1417" w:type="dxa"/>
            <w:vAlign w:val="center"/>
          </w:tcPr>
          <w:p w14:paraId="5EEAE39D" w14:textId="5C8FBC82" w:rsidR="00B07259" w:rsidRPr="005A6359" w:rsidRDefault="00A27B51"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2.5</w:t>
            </w:r>
            <w:r w:rsidR="00B07259" w:rsidRPr="295530E4">
              <w:rPr>
                <w:rStyle w:val="normaltextrun"/>
                <w:rFonts w:ascii="Arial" w:hAnsi="Arial" w:cs="Arial"/>
                <w:i/>
                <w:iCs/>
                <w:sz w:val="20"/>
                <w:szCs w:val="20"/>
              </w:rPr>
              <w:t>%</w:t>
            </w:r>
          </w:p>
        </w:tc>
        <w:tc>
          <w:tcPr>
            <w:tcW w:w="2073" w:type="dxa"/>
            <w:vAlign w:val="center"/>
          </w:tcPr>
          <w:p w14:paraId="742AF5B1" w14:textId="04E58657"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08CA5426" w14:textId="77777777" w:rsidTr="68212E82">
        <w:trPr>
          <w:trHeight w:val="300"/>
        </w:trPr>
        <w:tc>
          <w:tcPr>
            <w:tcW w:w="5526" w:type="dxa"/>
            <w:vAlign w:val="center"/>
          </w:tcPr>
          <w:p w14:paraId="0E710C3C" w14:textId="1D80DFC9"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4.6</w:t>
            </w:r>
            <w:r w:rsidR="00106FBC" w:rsidRPr="08D7F225">
              <w:rPr>
                <w:rFonts w:ascii="Arial" w:hAnsi="Arial" w:cs="Arial"/>
                <w:i/>
                <w:iCs/>
                <w:sz w:val="20"/>
                <w:szCs w:val="20"/>
              </w:rPr>
              <w:t>.</w:t>
            </w:r>
            <w:r w:rsidRPr="000C48FF">
              <w:rPr>
                <w:rFonts w:ascii="Arial" w:hAnsi="Arial" w:cs="Arial"/>
                <w:i/>
                <w:iCs/>
                <w:sz w:val="20"/>
                <w:szCs w:val="20"/>
              </w:rPr>
              <w:t xml:space="preserve"> Cumulative number of stakeholders interacting with MAGC Research outputs (by download, access to link, comments, likes and shares in social media). </w:t>
            </w:r>
          </w:p>
        </w:tc>
        <w:tc>
          <w:tcPr>
            <w:tcW w:w="1417" w:type="dxa"/>
            <w:vAlign w:val="center"/>
          </w:tcPr>
          <w:p w14:paraId="21EF23AE" w14:textId="31C71645" w:rsidR="00B07259" w:rsidRPr="005A6359" w:rsidRDefault="00A27B51"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2.5</w:t>
            </w:r>
            <w:r w:rsidR="00B07259" w:rsidRPr="295530E4">
              <w:rPr>
                <w:rStyle w:val="normaltextrun"/>
                <w:rFonts w:ascii="Arial" w:hAnsi="Arial" w:cs="Arial"/>
                <w:i/>
                <w:iCs/>
                <w:sz w:val="20"/>
                <w:szCs w:val="20"/>
              </w:rPr>
              <w:t>%</w:t>
            </w:r>
          </w:p>
        </w:tc>
        <w:tc>
          <w:tcPr>
            <w:tcW w:w="2073" w:type="dxa"/>
            <w:vAlign w:val="center"/>
          </w:tcPr>
          <w:p w14:paraId="6E38816E" w14:textId="301950CE"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258EA244" w14:textId="77777777" w:rsidTr="68212E82">
        <w:trPr>
          <w:trHeight w:val="300"/>
        </w:trPr>
        <w:tc>
          <w:tcPr>
            <w:tcW w:w="5526" w:type="dxa"/>
            <w:vAlign w:val="center"/>
          </w:tcPr>
          <w:p w14:paraId="550ADA98" w14:textId="08F3B2CE"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4.7</w:t>
            </w:r>
            <w:r w:rsidR="00106FBC" w:rsidRPr="08D7F225">
              <w:rPr>
                <w:rFonts w:ascii="Arial" w:hAnsi="Arial" w:cs="Arial"/>
                <w:i/>
                <w:iCs/>
                <w:sz w:val="20"/>
                <w:szCs w:val="20"/>
              </w:rPr>
              <w:t>.</w:t>
            </w:r>
            <w:r w:rsidRPr="000C48FF">
              <w:rPr>
                <w:rFonts w:ascii="Arial" w:hAnsi="Arial" w:cs="Arial"/>
                <w:i/>
                <w:iCs/>
                <w:sz w:val="20"/>
                <w:szCs w:val="20"/>
              </w:rPr>
              <w:t xml:space="preserve"> Cumulative number of key  stakeholders participating in MAGC Research dissemination events </w:t>
            </w:r>
          </w:p>
        </w:tc>
        <w:tc>
          <w:tcPr>
            <w:tcW w:w="1417" w:type="dxa"/>
            <w:vAlign w:val="center"/>
          </w:tcPr>
          <w:p w14:paraId="1C70DA2E" w14:textId="6C6C3338" w:rsidR="00B07259" w:rsidRPr="005A6359" w:rsidRDefault="00A27B51"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2.5</w:t>
            </w:r>
            <w:r w:rsidR="00B07259" w:rsidRPr="295530E4">
              <w:rPr>
                <w:rStyle w:val="normaltextrun"/>
                <w:rFonts w:ascii="Arial" w:hAnsi="Arial" w:cs="Arial"/>
                <w:i/>
                <w:iCs/>
                <w:sz w:val="20"/>
                <w:szCs w:val="20"/>
              </w:rPr>
              <w:t>%</w:t>
            </w:r>
          </w:p>
        </w:tc>
        <w:tc>
          <w:tcPr>
            <w:tcW w:w="2073" w:type="dxa"/>
            <w:vAlign w:val="center"/>
          </w:tcPr>
          <w:p w14:paraId="306ECBD6" w14:textId="47A60083"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A+</w:t>
            </w:r>
          </w:p>
        </w:tc>
      </w:tr>
      <w:tr w:rsidR="00B07259" w:rsidRPr="005455EE" w14:paraId="65D7E320" w14:textId="77777777" w:rsidTr="68212E82">
        <w:trPr>
          <w:trHeight w:val="300"/>
        </w:trPr>
        <w:tc>
          <w:tcPr>
            <w:tcW w:w="5526" w:type="dxa"/>
            <w:vAlign w:val="center"/>
          </w:tcPr>
          <w:p w14:paraId="6BF3D627" w14:textId="6F7F1CD9"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00C48FF">
              <w:rPr>
                <w:rFonts w:ascii="Arial" w:hAnsi="Arial" w:cs="Arial"/>
                <w:i/>
                <w:iCs/>
                <w:sz w:val="20"/>
                <w:szCs w:val="20"/>
              </w:rPr>
              <w:t>4.8</w:t>
            </w:r>
            <w:r w:rsidR="00106FBC" w:rsidRPr="08D7F225">
              <w:rPr>
                <w:rFonts w:ascii="Arial" w:hAnsi="Arial" w:cs="Arial"/>
                <w:i/>
                <w:iCs/>
                <w:sz w:val="20"/>
                <w:szCs w:val="20"/>
              </w:rPr>
              <w:t>.</w:t>
            </w:r>
            <w:r w:rsidRPr="000C48FF">
              <w:rPr>
                <w:rFonts w:ascii="Arial" w:hAnsi="Arial" w:cs="Arial"/>
                <w:i/>
                <w:iCs/>
                <w:sz w:val="20"/>
                <w:szCs w:val="20"/>
              </w:rPr>
              <w:t xml:space="preserve"> Percent of survey respondents (attending MAGC Research events) reporting increased knowledge of certified green buildings.</w:t>
            </w:r>
          </w:p>
        </w:tc>
        <w:tc>
          <w:tcPr>
            <w:tcW w:w="1417" w:type="dxa"/>
            <w:vAlign w:val="center"/>
          </w:tcPr>
          <w:p w14:paraId="046B9301" w14:textId="16E8EDDC" w:rsidR="00B07259" w:rsidRPr="005A6359" w:rsidRDefault="00A27B51"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2.5</w:t>
            </w:r>
            <w:r w:rsidR="00B07259" w:rsidRPr="295530E4">
              <w:rPr>
                <w:rStyle w:val="normaltextrun"/>
                <w:rFonts w:ascii="Arial" w:hAnsi="Arial" w:cs="Arial"/>
                <w:i/>
                <w:iCs/>
                <w:sz w:val="20"/>
                <w:szCs w:val="20"/>
              </w:rPr>
              <w:t>%</w:t>
            </w:r>
          </w:p>
        </w:tc>
        <w:tc>
          <w:tcPr>
            <w:tcW w:w="2073" w:type="dxa"/>
            <w:vAlign w:val="center"/>
          </w:tcPr>
          <w:p w14:paraId="2DF33228" w14:textId="40DD4468" w:rsidR="00B07259" w:rsidRPr="005A6359" w:rsidRDefault="00B07259"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B</w:t>
            </w:r>
          </w:p>
        </w:tc>
      </w:tr>
      <w:tr w:rsidR="00B07259" w:rsidRPr="005455EE" w14:paraId="7794C474" w14:textId="77777777" w:rsidTr="68212E82">
        <w:trPr>
          <w:trHeight w:val="300"/>
        </w:trPr>
        <w:tc>
          <w:tcPr>
            <w:tcW w:w="5526" w:type="dxa"/>
            <w:vAlign w:val="center"/>
          </w:tcPr>
          <w:p w14:paraId="7857036E" w14:textId="1AEA0D56"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8D7F225">
              <w:rPr>
                <w:rStyle w:val="normaltextrun"/>
                <w:rFonts w:ascii="Arial" w:hAnsi="Arial" w:cs="Arial"/>
                <w:i/>
                <w:iCs/>
                <w:sz w:val="20"/>
                <w:szCs w:val="20"/>
              </w:rPr>
              <w:t>4.9</w:t>
            </w:r>
            <w:r w:rsidR="00106FBC" w:rsidRPr="08D7F225">
              <w:rPr>
                <w:rStyle w:val="normaltextrun"/>
                <w:rFonts w:ascii="Arial" w:hAnsi="Arial" w:cs="Arial"/>
                <w:i/>
                <w:iCs/>
                <w:sz w:val="20"/>
                <w:szCs w:val="20"/>
              </w:rPr>
              <w:t>.</w:t>
            </w:r>
            <w:r w:rsidR="009B24AA">
              <w:t xml:space="preserve"> </w:t>
            </w:r>
            <w:r w:rsidR="009B24AA" w:rsidRPr="08D7F225">
              <w:rPr>
                <w:rStyle w:val="normaltextrun"/>
                <w:rFonts w:ascii="Arial" w:hAnsi="Arial" w:cs="Arial"/>
                <w:i/>
                <w:iCs/>
                <w:sz w:val="20"/>
                <w:szCs w:val="20"/>
              </w:rPr>
              <w:t>Smart Metering Expansion (cumulative)</w:t>
            </w:r>
          </w:p>
        </w:tc>
        <w:tc>
          <w:tcPr>
            <w:tcW w:w="1417" w:type="dxa"/>
            <w:vAlign w:val="center"/>
          </w:tcPr>
          <w:p w14:paraId="3D2B9B7B" w14:textId="2628A044" w:rsidR="00B07259" w:rsidRPr="00776C8F" w:rsidRDefault="009B24AA"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w:t>
            </w:r>
          </w:p>
        </w:tc>
        <w:tc>
          <w:tcPr>
            <w:tcW w:w="2073" w:type="dxa"/>
            <w:vAlign w:val="center"/>
          </w:tcPr>
          <w:p w14:paraId="4CF895B9" w14:textId="0DE2CDA8" w:rsidR="009B24AA" w:rsidRDefault="009B24AA"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w:t>
            </w:r>
          </w:p>
        </w:tc>
      </w:tr>
      <w:tr w:rsidR="00B07259" w:rsidRPr="005455EE" w14:paraId="568AC832" w14:textId="77777777" w:rsidTr="68212E82">
        <w:trPr>
          <w:trHeight w:val="300"/>
        </w:trPr>
        <w:tc>
          <w:tcPr>
            <w:tcW w:w="5526" w:type="dxa"/>
            <w:vAlign w:val="center"/>
          </w:tcPr>
          <w:p w14:paraId="214185B6" w14:textId="6FCA26CC" w:rsidR="00B07259" w:rsidRPr="00B07259" w:rsidRDefault="00B07259" w:rsidP="000C48FF">
            <w:pPr>
              <w:pStyle w:val="paragraph0"/>
              <w:spacing w:before="0" w:beforeAutospacing="0" w:after="240" w:afterAutospacing="0"/>
              <w:textAlignment w:val="baseline"/>
              <w:rPr>
                <w:rStyle w:val="normaltextrun"/>
                <w:rFonts w:ascii="Arial" w:hAnsi="Arial" w:cs="Arial"/>
                <w:i/>
                <w:iCs/>
                <w:sz w:val="20"/>
                <w:szCs w:val="20"/>
                <w:lang w:eastAsia="en-US"/>
              </w:rPr>
            </w:pPr>
            <w:r w:rsidRPr="08D7F225">
              <w:rPr>
                <w:rStyle w:val="normaltextrun"/>
                <w:rFonts w:ascii="Arial" w:hAnsi="Arial" w:cs="Arial"/>
                <w:i/>
                <w:iCs/>
                <w:sz w:val="20"/>
                <w:szCs w:val="20"/>
              </w:rPr>
              <w:t>4.10</w:t>
            </w:r>
            <w:r w:rsidR="00106FBC" w:rsidRPr="08D7F225">
              <w:rPr>
                <w:rStyle w:val="normaltextrun"/>
                <w:rFonts w:ascii="Arial" w:hAnsi="Arial" w:cs="Arial"/>
                <w:i/>
                <w:iCs/>
                <w:sz w:val="20"/>
                <w:szCs w:val="20"/>
              </w:rPr>
              <w:t>.</w:t>
            </w:r>
            <w:r w:rsidR="003B1CFE">
              <w:t xml:space="preserve"> </w:t>
            </w:r>
            <w:r w:rsidR="003B1CFE" w:rsidRPr="08D7F225">
              <w:rPr>
                <w:rStyle w:val="normaltextrun"/>
                <w:rFonts w:ascii="Arial" w:hAnsi="Arial" w:cs="Arial"/>
                <w:i/>
                <w:iCs/>
                <w:sz w:val="20"/>
                <w:szCs w:val="20"/>
              </w:rPr>
              <w:t xml:space="preserve">Number of EDGE tool users incorporating new, less carbon-intensive materials on their designs  </w:t>
            </w:r>
          </w:p>
        </w:tc>
        <w:tc>
          <w:tcPr>
            <w:tcW w:w="1417" w:type="dxa"/>
            <w:vAlign w:val="center"/>
          </w:tcPr>
          <w:p w14:paraId="69B35C6C" w14:textId="02344873" w:rsidR="00B07259" w:rsidRPr="00776C8F" w:rsidRDefault="001317BB"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w:t>
            </w:r>
          </w:p>
        </w:tc>
        <w:tc>
          <w:tcPr>
            <w:tcW w:w="2073" w:type="dxa"/>
            <w:vAlign w:val="center"/>
          </w:tcPr>
          <w:p w14:paraId="20ED9C1D" w14:textId="1526C36D" w:rsidR="00B07259" w:rsidRDefault="001317BB" w:rsidP="000C48FF">
            <w:pPr>
              <w:pStyle w:val="paragraph0"/>
              <w:spacing w:before="0" w:beforeAutospacing="0" w:after="240" w:afterAutospacing="0"/>
              <w:jc w:val="center"/>
              <w:textAlignment w:val="baseline"/>
              <w:rPr>
                <w:rStyle w:val="normaltextrun"/>
                <w:rFonts w:ascii="Arial" w:hAnsi="Arial" w:cs="Arial"/>
                <w:i/>
                <w:iCs/>
                <w:sz w:val="20"/>
                <w:szCs w:val="20"/>
              </w:rPr>
            </w:pPr>
            <w:r w:rsidRPr="295530E4">
              <w:rPr>
                <w:rStyle w:val="normaltextrun"/>
                <w:rFonts w:ascii="Arial" w:hAnsi="Arial" w:cs="Arial"/>
                <w:i/>
                <w:iCs/>
                <w:sz w:val="20"/>
                <w:szCs w:val="20"/>
              </w:rPr>
              <w:t>/</w:t>
            </w:r>
          </w:p>
        </w:tc>
      </w:tr>
      <w:tr w:rsidR="004033A0" w:rsidRPr="005A6359" w14:paraId="4603A663" w14:textId="77777777" w:rsidTr="68212E82">
        <w:trPr>
          <w:trHeight w:val="300"/>
        </w:trPr>
        <w:tc>
          <w:tcPr>
            <w:tcW w:w="5526" w:type="dxa"/>
            <w:shd w:val="clear" w:color="auto" w:fill="A5C9EB" w:themeFill="text2" w:themeFillTint="40"/>
            <w:vAlign w:val="center"/>
          </w:tcPr>
          <w:p w14:paraId="26311E1D" w14:textId="3866BE86" w:rsidR="004033A0" w:rsidRPr="005A6359" w:rsidRDefault="004033A0" w:rsidP="000C48FF">
            <w:pPr>
              <w:pStyle w:val="paragraph0"/>
              <w:spacing w:before="0" w:beforeAutospacing="0" w:after="240" w:afterAutospacing="0"/>
              <w:textAlignment w:val="baseline"/>
              <w:rPr>
                <w:rStyle w:val="normaltextrun"/>
                <w:rFonts w:ascii="Arial" w:hAnsi="Arial" w:cs="Arial"/>
                <w:b/>
                <w:bCs/>
                <w:sz w:val="20"/>
                <w:szCs w:val="20"/>
                <w:lang w:eastAsia="en-US"/>
              </w:rPr>
            </w:pPr>
            <w:r w:rsidRPr="295530E4">
              <w:rPr>
                <w:rStyle w:val="normaltextrun"/>
                <w:rFonts w:ascii="Arial" w:hAnsi="Arial" w:cs="Arial"/>
                <w:b/>
                <w:bCs/>
                <w:sz w:val="20"/>
                <w:szCs w:val="20"/>
              </w:rPr>
              <w:lastRenderedPageBreak/>
              <w:t>Overall</w:t>
            </w:r>
          </w:p>
        </w:tc>
        <w:tc>
          <w:tcPr>
            <w:tcW w:w="1417" w:type="dxa"/>
            <w:shd w:val="clear" w:color="auto" w:fill="A5C9EB" w:themeFill="text2" w:themeFillTint="40"/>
            <w:vAlign w:val="center"/>
          </w:tcPr>
          <w:p w14:paraId="455D100F" w14:textId="02EC366C" w:rsidR="004033A0" w:rsidRPr="005A6359" w:rsidRDefault="004033A0"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100%</w:t>
            </w:r>
          </w:p>
        </w:tc>
        <w:tc>
          <w:tcPr>
            <w:tcW w:w="2073" w:type="dxa"/>
            <w:shd w:val="clear" w:color="auto" w:fill="A5C9EB" w:themeFill="text2" w:themeFillTint="40"/>
            <w:vAlign w:val="center"/>
          </w:tcPr>
          <w:p w14:paraId="1E3DDAE8" w14:textId="450E3068" w:rsidR="004033A0" w:rsidRPr="005A6359" w:rsidRDefault="004033A0" w:rsidP="000C48FF">
            <w:pPr>
              <w:pStyle w:val="paragraph0"/>
              <w:spacing w:before="0" w:beforeAutospacing="0" w:after="240" w:afterAutospacing="0"/>
              <w:jc w:val="center"/>
              <w:textAlignment w:val="baseline"/>
              <w:rPr>
                <w:rStyle w:val="normaltextrun"/>
                <w:rFonts w:ascii="Arial" w:hAnsi="Arial" w:cs="Arial"/>
                <w:b/>
                <w:bCs/>
                <w:sz w:val="20"/>
                <w:szCs w:val="20"/>
              </w:rPr>
            </w:pPr>
            <w:r w:rsidRPr="295530E4">
              <w:rPr>
                <w:rStyle w:val="normaltextrun"/>
                <w:rFonts w:ascii="Arial" w:hAnsi="Arial" w:cs="Arial"/>
                <w:b/>
                <w:bCs/>
                <w:sz w:val="20"/>
                <w:szCs w:val="20"/>
              </w:rPr>
              <w:t>A</w:t>
            </w:r>
            <w:r w:rsidR="00ED5D18" w:rsidRPr="295530E4">
              <w:rPr>
                <w:rStyle w:val="normaltextrun"/>
                <w:rFonts w:ascii="Arial" w:hAnsi="Arial" w:cs="Arial"/>
                <w:b/>
                <w:bCs/>
                <w:sz w:val="20"/>
                <w:szCs w:val="20"/>
              </w:rPr>
              <w:t>+</w:t>
            </w:r>
          </w:p>
        </w:tc>
      </w:tr>
    </w:tbl>
    <w:p w14:paraId="538F1D59" w14:textId="42D3F898" w:rsidR="68212E82" w:rsidRDefault="68212E82" w:rsidP="68212E82">
      <w:pPr>
        <w:spacing w:after="240"/>
        <w:jc w:val="both"/>
        <w:rPr>
          <w:rFonts w:cs="Arial"/>
          <w:sz w:val="20"/>
          <w:szCs w:val="20"/>
        </w:rPr>
      </w:pPr>
    </w:p>
    <w:p w14:paraId="07B62FA8" w14:textId="699B2008" w:rsidR="001262D6" w:rsidRPr="009103E5" w:rsidRDefault="6667E991" w:rsidP="68212E82">
      <w:pPr>
        <w:spacing w:after="240"/>
        <w:jc w:val="both"/>
        <w:rPr>
          <w:rFonts w:cs="Arial"/>
          <w:sz w:val="20"/>
          <w:szCs w:val="20"/>
        </w:rPr>
      </w:pPr>
      <w:r w:rsidRPr="68212E82">
        <w:rPr>
          <w:rFonts w:cs="Arial"/>
          <w:sz w:val="20"/>
          <w:szCs w:val="20"/>
        </w:rPr>
        <w:t xml:space="preserve">The Investment Services (outputs 1a and 1b) are on track and in several cases ahead of schedule. </w:t>
      </w:r>
      <w:r w:rsidR="69B3A55F" w:rsidRPr="68212E82">
        <w:rPr>
          <w:rFonts w:cs="Arial"/>
          <w:sz w:val="20"/>
          <w:szCs w:val="20"/>
        </w:rPr>
        <w:t xml:space="preserve">This is following a </w:t>
      </w:r>
      <w:r w:rsidR="00451607" w:rsidRPr="68212E82">
        <w:rPr>
          <w:rFonts w:cs="Arial"/>
          <w:sz w:val="20"/>
          <w:szCs w:val="20"/>
        </w:rPr>
        <w:t>Logframe</w:t>
      </w:r>
      <w:r w:rsidR="69B3A55F" w:rsidRPr="68212E82">
        <w:rPr>
          <w:rFonts w:cs="Arial"/>
          <w:sz w:val="20"/>
          <w:szCs w:val="20"/>
        </w:rPr>
        <w:t xml:space="preserve"> model recalibration that has updated the model to be more in line with real-world assumptions.</w:t>
      </w:r>
      <w:r w:rsidR="01F13CF8" w:rsidRPr="68212E82">
        <w:rPr>
          <w:rFonts w:cs="Arial"/>
          <w:sz w:val="20"/>
          <w:szCs w:val="20"/>
        </w:rPr>
        <w:t xml:space="preserve"> </w:t>
      </w:r>
    </w:p>
    <w:p w14:paraId="36A9F65B" w14:textId="16B5B89B" w:rsidR="001262D6" w:rsidRDefault="001262D6" w:rsidP="00657117">
      <w:pPr>
        <w:spacing w:after="240"/>
        <w:jc w:val="both"/>
        <w:rPr>
          <w:rFonts w:eastAsiaTheme="minorEastAsia" w:cs="Arial"/>
          <w:color w:val="000000" w:themeColor="text1"/>
          <w:sz w:val="20"/>
          <w:szCs w:val="20"/>
          <w:lang w:val="en-US"/>
        </w:rPr>
      </w:pPr>
      <w:r w:rsidRPr="009103E5">
        <w:rPr>
          <w:rFonts w:cs="Arial"/>
          <w:sz w:val="20"/>
          <w:szCs w:val="20"/>
        </w:rPr>
        <w:t>The Advisory Services (outputs 2 and 3) are on track and in several cases ahead of schedule. The</w:t>
      </w:r>
      <w:r w:rsidRPr="0040656D">
        <w:rPr>
          <w:rFonts w:cs="Arial"/>
          <w:sz w:val="20"/>
          <w:szCs w:val="20"/>
        </w:rPr>
        <w:t xml:space="preserve"> MAGC Research component (output 4) is now fully in implementation phase and </w:t>
      </w:r>
      <w:r>
        <w:rPr>
          <w:rFonts w:cs="Arial"/>
          <w:sz w:val="20"/>
          <w:szCs w:val="20"/>
        </w:rPr>
        <w:t xml:space="preserve">on most workstreams is delivering as </w:t>
      </w:r>
      <w:r w:rsidRPr="009103E5">
        <w:rPr>
          <w:rFonts w:cs="Arial"/>
          <w:sz w:val="20"/>
          <w:szCs w:val="20"/>
        </w:rPr>
        <w:t>anticipated.</w:t>
      </w:r>
    </w:p>
    <w:p w14:paraId="315CDC19" w14:textId="291E5C4D" w:rsidR="001262D6" w:rsidRDefault="007241D9" w:rsidP="00657117">
      <w:pPr>
        <w:spacing w:after="240"/>
        <w:jc w:val="both"/>
        <w:rPr>
          <w:rFonts w:cs="Arial"/>
          <w:sz w:val="20"/>
          <w:szCs w:val="20"/>
        </w:rPr>
      </w:pPr>
      <w:r>
        <w:rPr>
          <w:rFonts w:eastAsiaTheme="minorEastAsia" w:cs="Arial"/>
          <w:color w:val="000000" w:themeColor="text1"/>
          <w:sz w:val="20"/>
          <w:szCs w:val="20"/>
          <w:lang w:val="en-US"/>
        </w:rPr>
        <w:t xml:space="preserve">Outcome indicators are also broadly meeting or exceeding expectations. </w:t>
      </w:r>
      <w:r w:rsidR="001262D6" w:rsidRPr="009103E5">
        <w:rPr>
          <w:rFonts w:cs="Arial"/>
          <w:sz w:val="20"/>
          <w:szCs w:val="20"/>
        </w:rPr>
        <w:t>Results expected for Outcome indicator</w:t>
      </w:r>
      <w:r w:rsidR="006774D8">
        <w:rPr>
          <w:rFonts w:cs="Arial"/>
          <w:sz w:val="20"/>
          <w:szCs w:val="20"/>
        </w:rPr>
        <w:t xml:space="preserve"> 4</w:t>
      </w:r>
      <w:r w:rsidR="001262D6" w:rsidRPr="009103E5">
        <w:rPr>
          <w:rFonts w:cs="Arial"/>
          <w:sz w:val="20"/>
          <w:szCs w:val="20"/>
        </w:rPr>
        <w:t xml:space="preserve">, </w:t>
      </w:r>
      <w:r w:rsidR="006774D8">
        <w:rPr>
          <w:rFonts w:cs="Arial"/>
          <w:sz w:val="20"/>
          <w:szCs w:val="20"/>
        </w:rPr>
        <w:t>was</w:t>
      </w:r>
      <w:r w:rsidR="006774D8" w:rsidRPr="009103E5">
        <w:rPr>
          <w:rFonts w:cs="Arial"/>
          <w:sz w:val="20"/>
          <w:szCs w:val="20"/>
        </w:rPr>
        <w:t xml:space="preserve"> </w:t>
      </w:r>
      <w:r w:rsidR="001262D6" w:rsidRPr="009103E5">
        <w:rPr>
          <w:rFonts w:cs="Arial"/>
          <w:sz w:val="20"/>
          <w:szCs w:val="20"/>
        </w:rPr>
        <w:t>not achieved</w:t>
      </w:r>
      <w:r w:rsidR="007E2025" w:rsidRPr="009103E5">
        <w:rPr>
          <w:rFonts w:cs="Arial"/>
          <w:sz w:val="20"/>
          <w:szCs w:val="20"/>
        </w:rPr>
        <w:t xml:space="preserve"> (see table below for summary)</w:t>
      </w:r>
      <w:r w:rsidR="001262D6" w:rsidRPr="009103E5">
        <w:rPr>
          <w:rFonts w:cs="Arial"/>
          <w:sz w:val="20"/>
          <w:szCs w:val="20"/>
        </w:rPr>
        <w:t>. This is because</w:t>
      </w:r>
      <w:r w:rsidR="00BE5D38">
        <w:rPr>
          <w:rFonts w:cs="Arial"/>
          <w:sz w:val="20"/>
          <w:szCs w:val="20"/>
        </w:rPr>
        <w:t xml:space="preserve">, despite the </w:t>
      </w:r>
      <w:r w:rsidR="00451607">
        <w:rPr>
          <w:rFonts w:cs="Arial"/>
          <w:sz w:val="20"/>
          <w:szCs w:val="20"/>
        </w:rPr>
        <w:t>Logframe</w:t>
      </w:r>
      <w:r w:rsidR="00BE5D38">
        <w:rPr>
          <w:rFonts w:cs="Arial"/>
          <w:sz w:val="20"/>
          <w:szCs w:val="20"/>
        </w:rPr>
        <w:t xml:space="preserve"> recalibration, challenges remain relating to reporting</w:t>
      </w:r>
      <w:r w:rsidR="0093286E">
        <w:rPr>
          <w:rFonts w:cs="Arial"/>
          <w:sz w:val="20"/>
          <w:szCs w:val="20"/>
        </w:rPr>
        <w:t xml:space="preserve">. </w:t>
      </w:r>
      <w:r w:rsidR="0093286E" w:rsidRPr="00361215">
        <w:rPr>
          <w:sz w:val="20"/>
        </w:rPr>
        <w:t>So far, in the programme lifetime ‘replicated finance’ has been defined at the individual FI level which prevents subsequent transactions by the same FI from being reported. As part of the Logframe update anticipated in the next reporting period</w:t>
      </w:r>
      <w:r w:rsidR="0093286E">
        <w:rPr>
          <w:sz w:val="20"/>
        </w:rPr>
        <w:t xml:space="preserve"> </w:t>
      </w:r>
      <w:r w:rsidR="0093286E" w:rsidRPr="00690311">
        <w:rPr>
          <w:sz w:val="20"/>
        </w:rPr>
        <w:t xml:space="preserve">(Recommendation </w:t>
      </w:r>
      <w:r w:rsidR="00690311" w:rsidRPr="00657117">
        <w:rPr>
          <w:sz w:val="20"/>
        </w:rPr>
        <w:t>3</w:t>
      </w:r>
      <w:r w:rsidR="0093286E" w:rsidRPr="00690311">
        <w:rPr>
          <w:sz w:val="20"/>
        </w:rPr>
        <w:t>),</w:t>
      </w:r>
      <w:r w:rsidR="0093286E" w:rsidRPr="00361215">
        <w:rPr>
          <w:sz w:val="20"/>
        </w:rPr>
        <w:t xml:space="preserve"> this definition will be updated to ensure accurate reporting in future years of the programme</w:t>
      </w:r>
      <w:r w:rsidR="0093286E">
        <w:rPr>
          <w:sz w:val="20"/>
        </w:rPr>
        <w:t xml:space="preserve"> and should ease underperformance against this indicator</w:t>
      </w:r>
      <w:r w:rsidR="0093286E" w:rsidRPr="00361215">
        <w:rPr>
          <w:sz w:val="20"/>
        </w:rPr>
        <w:t>.</w:t>
      </w:r>
    </w:p>
    <w:p w14:paraId="604DCBAD" w14:textId="6634AA7C" w:rsidR="00FC262C" w:rsidRDefault="000B4800" w:rsidP="00657117">
      <w:pPr>
        <w:spacing w:after="240"/>
        <w:jc w:val="both"/>
        <w:rPr>
          <w:rFonts w:cs="Arial"/>
          <w:sz w:val="20"/>
          <w:szCs w:val="20"/>
        </w:rPr>
      </w:pPr>
      <w:r>
        <w:rPr>
          <w:rFonts w:cs="Arial"/>
          <w:sz w:val="20"/>
          <w:szCs w:val="20"/>
        </w:rPr>
        <w:t>Further</w:t>
      </w:r>
      <w:r w:rsidR="00C56F60">
        <w:rPr>
          <w:rFonts w:cs="Arial"/>
          <w:sz w:val="20"/>
          <w:szCs w:val="20"/>
        </w:rPr>
        <w:t>,</w:t>
      </w:r>
      <w:r>
        <w:rPr>
          <w:rFonts w:cs="Arial"/>
          <w:sz w:val="20"/>
          <w:szCs w:val="20"/>
        </w:rPr>
        <w:t xml:space="preserve"> results relating to </w:t>
      </w:r>
      <w:r w:rsidR="00C56F60">
        <w:rPr>
          <w:rFonts w:cs="Arial"/>
          <w:sz w:val="20"/>
          <w:szCs w:val="20"/>
        </w:rPr>
        <w:t xml:space="preserve">Outcome indicator 1 were not reported and consequently the target was not met. </w:t>
      </w:r>
      <w:r w:rsidR="002F6907">
        <w:rPr>
          <w:rFonts w:cs="Arial"/>
          <w:sz w:val="20"/>
          <w:szCs w:val="20"/>
        </w:rPr>
        <w:t>Due to challenges in data collection, IFC provided an estimate value for this indicator (£185,361,149; $237,</w:t>
      </w:r>
      <w:r w:rsidR="00551554">
        <w:rPr>
          <w:rFonts w:cs="Arial"/>
          <w:sz w:val="20"/>
          <w:szCs w:val="20"/>
        </w:rPr>
        <w:t>642,449)</w:t>
      </w:r>
      <w:r w:rsidR="004632F6">
        <w:rPr>
          <w:rFonts w:cs="Arial"/>
          <w:sz w:val="20"/>
          <w:szCs w:val="20"/>
        </w:rPr>
        <w:t>. Howeve</w:t>
      </w:r>
      <w:r w:rsidR="0094592A">
        <w:rPr>
          <w:rFonts w:cs="Arial"/>
          <w:sz w:val="20"/>
          <w:szCs w:val="20"/>
        </w:rPr>
        <w:t xml:space="preserve">r, given the magnitude of this result relative to the expected milestone and issues relating to the methodology proposed by IFC for this estimated, DESNZ took a decision to </w:t>
      </w:r>
      <w:r w:rsidR="000B5D35">
        <w:rPr>
          <w:rFonts w:cs="Arial"/>
          <w:sz w:val="20"/>
          <w:szCs w:val="20"/>
        </w:rPr>
        <w:t xml:space="preserve">exclude this result from the </w:t>
      </w:r>
      <w:r w:rsidR="00451607">
        <w:rPr>
          <w:rFonts w:cs="Arial"/>
          <w:sz w:val="20"/>
          <w:szCs w:val="20"/>
        </w:rPr>
        <w:t>Logframe</w:t>
      </w:r>
      <w:r w:rsidR="000B5D35">
        <w:rPr>
          <w:rFonts w:cs="Arial"/>
          <w:sz w:val="20"/>
          <w:szCs w:val="20"/>
        </w:rPr>
        <w:t xml:space="preserve">. Efforts are underway to better capture this data point through EDGE, with quality-assured reporting expected to being in the next fiscal year. It is expected that results for this indicator will be reported in the next Annual Review. </w:t>
      </w:r>
    </w:p>
    <w:p w14:paraId="47F6D781" w14:textId="0B93A6C0" w:rsidR="007E2025" w:rsidRDefault="007E2025" w:rsidP="00657117">
      <w:pPr>
        <w:spacing w:after="240"/>
        <w:jc w:val="both"/>
        <w:rPr>
          <w:rFonts w:cs="Arial"/>
          <w:sz w:val="20"/>
          <w:szCs w:val="20"/>
        </w:rPr>
      </w:pPr>
      <w:r>
        <w:rPr>
          <w:rFonts w:cs="Arial"/>
          <w:i/>
          <w:iCs/>
          <w:sz w:val="20"/>
          <w:szCs w:val="20"/>
        </w:rPr>
        <w:t>Table 2: Summary of Outcome indicators</w:t>
      </w:r>
    </w:p>
    <w:tbl>
      <w:tblPr>
        <w:tblStyle w:val="TableGrid"/>
        <w:tblW w:w="89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290"/>
        <w:gridCol w:w="1147"/>
        <w:gridCol w:w="1148"/>
        <w:gridCol w:w="2395"/>
      </w:tblGrid>
      <w:tr w:rsidR="00582F54" w14:paraId="00C14013" w14:textId="77777777" w:rsidTr="0E4B4052">
        <w:trPr>
          <w:trHeight w:val="721"/>
        </w:trPr>
        <w:tc>
          <w:tcPr>
            <w:tcW w:w="4290" w:type="dxa"/>
            <w:shd w:val="clear" w:color="auto" w:fill="A5C9EB" w:themeFill="text2" w:themeFillTint="40"/>
          </w:tcPr>
          <w:p w14:paraId="685E5CB8" w14:textId="7F3435F6" w:rsidR="00582F54" w:rsidRPr="000C48FF" w:rsidRDefault="00582F54" w:rsidP="00657117">
            <w:pPr>
              <w:spacing w:after="240"/>
              <w:rPr>
                <w:rFonts w:cs="Arial"/>
                <w:b/>
                <w:bCs/>
                <w:sz w:val="20"/>
                <w:szCs w:val="20"/>
              </w:rPr>
            </w:pPr>
            <w:r w:rsidRPr="027658D4">
              <w:rPr>
                <w:rFonts w:cs="Arial"/>
                <w:b/>
                <w:bCs/>
                <w:sz w:val="20"/>
                <w:szCs w:val="20"/>
              </w:rPr>
              <w:t>OUTCOME INDICATOR</w:t>
            </w:r>
          </w:p>
        </w:tc>
        <w:tc>
          <w:tcPr>
            <w:tcW w:w="2295" w:type="dxa"/>
            <w:gridSpan w:val="2"/>
            <w:shd w:val="clear" w:color="auto" w:fill="A5C9EB" w:themeFill="text2" w:themeFillTint="40"/>
          </w:tcPr>
          <w:p w14:paraId="3AB50E2B" w14:textId="2234AC0B" w:rsidR="00582F54" w:rsidRPr="000C48FF" w:rsidRDefault="00582F54" w:rsidP="00657117">
            <w:pPr>
              <w:spacing w:after="240"/>
              <w:rPr>
                <w:rFonts w:cs="Arial"/>
                <w:b/>
                <w:bCs/>
                <w:sz w:val="20"/>
                <w:szCs w:val="20"/>
              </w:rPr>
            </w:pPr>
            <w:r w:rsidRPr="027658D4">
              <w:rPr>
                <w:rFonts w:cs="Arial"/>
                <w:b/>
                <w:bCs/>
                <w:sz w:val="20"/>
                <w:szCs w:val="20"/>
              </w:rPr>
              <w:t>TARGET</w:t>
            </w:r>
          </w:p>
        </w:tc>
        <w:tc>
          <w:tcPr>
            <w:tcW w:w="2395" w:type="dxa"/>
            <w:shd w:val="clear" w:color="auto" w:fill="A5C9EB" w:themeFill="text2" w:themeFillTint="40"/>
          </w:tcPr>
          <w:p w14:paraId="4EED4D74" w14:textId="0564DD33" w:rsidR="00582F54" w:rsidRPr="000C48FF" w:rsidRDefault="00157353" w:rsidP="00657117">
            <w:pPr>
              <w:spacing w:after="240"/>
              <w:rPr>
                <w:rFonts w:cs="Arial"/>
                <w:b/>
                <w:bCs/>
                <w:sz w:val="20"/>
                <w:szCs w:val="20"/>
              </w:rPr>
            </w:pPr>
            <w:r w:rsidRPr="295530E4">
              <w:rPr>
                <w:rFonts w:cs="Arial"/>
                <w:b/>
                <w:bCs/>
                <w:sz w:val="20"/>
                <w:szCs w:val="20"/>
              </w:rPr>
              <w:t>DELIVERED</w:t>
            </w:r>
          </w:p>
        </w:tc>
      </w:tr>
      <w:tr w:rsidR="00582F54" w14:paraId="2B1211D0" w14:textId="77777777" w:rsidTr="0E4B4052">
        <w:trPr>
          <w:trHeight w:val="492"/>
        </w:trPr>
        <w:tc>
          <w:tcPr>
            <w:tcW w:w="4290" w:type="dxa"/>
          </w:tcPr>
          <w:p w14:paraId="55C79AF2" w14:textId="77777777" w:rsidR="00582F54" w:rsidRDefault="00582F54" w:rsidP="00657117">
            <w:pPr>
              <w:spacing w:after="240"/>
              <w:rPr>
                <w:rFonts w:cs="Arial"/>
                <w:b/>
                <w:bCs/>
                <w:sz w:val="20"/>
                <w:szCs w:val="20"/>
              </w:rPr>
            </w:pPr>
            <w:r>
              <w:rPr>
                <w:rFonts w:cs="Arial"/>
                <w:b/>
                <w:bCs/>
                <w:sz w:val="20"/>
                <w:szCs w:val="20"/>
              </w:rPr>
              <w:t xml:space="preserve">Outcome Indicator 1 </w:t>
            </w:r>
          </w:p>
          <w:p w14:paraId="10C3BFB8" w14:textId="2AF3D2F4" w:rsidR="00582F54" w:rsidRPr="00E34F9E" w:rsidRDefault="00582F54" w:rsidP="00657117">
            <w:pPr>
              <w:spacing w:after="240"/>
              <w:rPr>
                <w:rFonts w:cs="Arial"/>
                <w:sz w:val="20"/>
                <w:szCs w:val="20"/>
              </w:rPr>
            </w:pPr>
            <w:r w:rsidRPr="00E34F9E">
              <w:rPr>
                <w:rFonts w:cs="Arial"/>
                <w:sz w:val="20"/>
                <w:szCs w:val="20"/>
              </w:rPr>
              <w:t>Cumulative cost expected to be avoided from design certified green buildings financed with MAGC blended finance.</w:t>
            </w:r>
          </w:p>
        </w:tc>
        <w:tc>
          <w:tcPr>
            <w:tcW w:w="2295" w:type="dxa"/>
            <w:gridSpan w:val="2"/>
          </w:tcPr>
          <w:p w14:paraId="2256C604" w14:textId="3A926C5B" w:rsidR="00582F54" w:rsidRPr="004177B0" w:rsidRDefault="00582F54" w:rsidP="00657117">
            <w:pPr>
              <w:spacing w:after="240"/>
              <w:rPr>
                <w:rFonts w:cs="Arial"/>
                <w:i/>
                <w:iCs/>
                <w:sz w:val="20"/>
                <w:szCs w:val="20"/>
              </w:rPr>
            </w:pPr>
            <w:r>
              <w:rPr>
                <w:rFonts w:cs="Arial"/>
                <w:sz w:val="20"/>
                <w:szCs w:val="20"/>
              </w:rPr>
              <w:t>£</w:t>
            </w:r>
            <w:r w:rsidR="007A067E">
              <w:rPr>
                <w:rFonts w:cs="Arial"/>
                <w:sz w:val="20"/>
                <w:szCs w:val="20"/>
              </w:rPr>
              <w:t>771,225</w:t>
            </w:r>
            <w:r>
              <w:rPr>
                <w:rFonts w:cs="Arial"/>
                <w:sz w:val="20"/>
                <w:szCs w:val="20"/>
              </w:rPr>
              <w:br/>
            </w:r>
            <w:r>
              <w:rPr>
                <w:rFonts w:cs="Arial"/>
                <w:i/>
                <w:iCs/>
                <w:sz w:val="20"/>
                <w:szCs w:val="20"/>
              </w:rPr>
              <w:t>$</w:t>
            </w:r>
            <w:r w:rsidR="003F4E0D">
              <w:rPr>
                <w:rFonts w:cs="Arial"/>
                <w:i/>
                <w:iCs/>
                <w:sz w:val="20"/>
                <w:szCs w:val="20"/>
              </w:rPr>
              <w:t>988,750</w:t>
            </w:r>
          </w:p>
        </w:tc>
        <w:tc>
          <w:tcPr>
            <w:tcW w:w="2395" w:type="dxa"/>
            <w:shd w:val="clear" w:color="auto" w:fill="FFABAB"/>
          </w:tcPr>
          <w:p w14:paraId="75F74B56" w14:textId="3BFEF795" w:rsidR="00C82E92" w:rsidRPr="00C82E92" w:rsidDel="000A6D2C" w:rsidRDefault="00C82E92" w:rsidP="027658D4">
            <w:pPr>
              <w:shd w:val="clear" w:color="auto" w:fill="FFABAB"/>
              <w:spacing w:after="240"/>
              <w:rPr>
                <w:rFonts w:cs="Arial"/>
                <w:sz w:val="20"/>
                <w:szCs w:val="20"/>
              </w:rPr>
            </w:pPr>
            <w:r w:rsidRPr="00505D32">
              <w:rPr>
                <w:rFonts w:cs="Arial"/>
                <w:sz w:val="20"/>
                <w:szCs w:val="20"/>
                <w:shd w:val="clear" w:color="auto" w:fill="FFABAB"/>
              </w:rPr>
              <w:t>Not</w:t>
            </w:r>
            <w:r w:rsidR="0096283E">
              <w:rPr>
                <w:rFonts w:cs="Arial"/>
                <w:sz w:val="20"/>
                <w:szCs w:val="20"/>
                <w:shd w:val="clear" w:color="auto" w:fill="FFABAB"/>
              </w:rPr>
              <w:t xml:space="preserve"> </w:t>
            </w:r>
            <w:r w:rsidRPr="00505D32">
              <w:rPr>
                <w:rFonts w:cs="Arial"/>
                <w:sz w:val="20"/>
                <w:szCs w:val="20"/>
                <w:shd w:val="clear" w:color="auto" w:fill="FFABAB"/>
              </w:rPr>
              <w:t>reported</w:t>
            </w:r>
            <w:r w:rsidR="009E451B">
              <w:rPr>
                <w:rStyle w:val="FootnoteReference"/>
                <w:rFonts w:cs="Arial"/>
                <w:sz w:val="20"/>
                <w:szCs w:val="20"/>
                <w:shd w:val="clear" w:color="auto" w:fill="FFABAB"/>
              </w:rPr>
              <w:footnoteReference w:id="3"/>
            </w:r>
          </w:p>
        </w:tc>
      </w:tr>
      <w:tr w:rsidR="00582F54" w14:paraId="27E062AF" w14:textId="77777777" w:rsidTr="0E4B4052">
        <w:trPr>
          <w:trHeight w:val="480"/>
        </w:trPr>
        <w:tc>
          <w:tcPr>
            <w:tcW w:w="4290" w:type="dxa"/>
          </w:tcPr>
          <w:p w14:paraId="43D5AFA7" w14:textId="77777777" w:rsidR="00582F54" w:rsidRDefault="00582F54" w:rsidP="00657117">
            <w:pPr>
              <w:spacing w:after="240"/>
              <w:rPr>
                <w:rFonts w:cs="Arial"/>
                <w:b/>
                <w:bCs/>
                <w:sz w:val="20"/>
                <w:szCs w:val="20"/>
              </w:rPr>
            </w:pPr>
            <w:r>
              <w:rPr>
                <w:rFonts w:cs="Arial"/>
                <w:b/>
                <w:bCs/>
                <w:sz w:val="20"/>
                <w:szCs w:val="20"/>
              </w:rPr>
              <w:t>Outcome Indicator 2</w:t>
            </w:r>
          </w:p>
          <w:p w14:paraId="6F421DDE" w14:textId="3648680C" w:rsidR="00582F54" w:rsidRPr="00ED76DD" w:rsidRDefault="00582F54" w:rsidP="00657117">
            <w:pPr>
              <w:spacing w:after="240"/>
              <w:rPr>
                <w:rFonts w:cs="Arial"/>
                <w:sz w:val="20"/>
                <w:szCs w:val="20"/>
              </w:rPr>
            </w:pPr>
            <w:r w:rsidRPr="00ED76DD">
              <w:rPr>
                <w:rFonts w:cs="Arial"/>
                <w:sz w:val="20"/>
                <w:szCs w:val="20"/>
              </w:rPr>
              <w:t>The proportion of financial intermediaries supported with MAGC blended finance which report that non-performing loans (NPLs) for green building finance are no worse than for traditional building finance.</w:t>
            </w:r>
          </w:p>
        </w:tc>
        <w:tc>
          <w:tcPr>
            <w:tcW w:w="2295" w:type="dxa"/>
            <w:gridSpan w:val="2"/>
          </w:tcPr>
          <w:p w14:paraId="267FD4B5" w14:textId="2889B442" w:rsidR="00582F54" w:rsidRPr="004177B0" w:rsidRDefault="00582F54" w:rsidP="00657117">
            <w:pPr>
              <w:spacing w:after="240"/>
              <w:rPr>
                <w:rFonts w:cs="Arial"/>
                <w:i/>
                <w:iCs/>
                <w:sz w:val="20"/>
                <w:szCs w:val="20"/>
              </w:rPr>
            </w:pPr>
            <w:r>
              <w:rPr>
                <w:rFonts w:cs="Arial"/>
                <w:sz w:val="20"/>
                <w:szCs w:val="20"/>
              </w:rPr>
              <w:t>N/A (</w:t>
            </w:r>
            <w:r>
              <w:rPr>
                <w:rFonts w:cs="Arial"/>
                <w:i/>
                <w:iCs/>
                <w:sz w:val="20"/>
                <w:szCs w:val="20"/>
              </w:rPr>
              <w:t>monitoring only)</w:t>
            </w:r>
          </w:p>
        </w:tc>
        <w:tc>
          <w:tcPr>
            <w:tcW w:w="2395" w:type="dxa"/>
          </w:tcPr>
          <w:p w14:paraId="110FD80F" w14:textId="3D5E72BC" w:rsidR="00582F54" w:rsidRPr="000C48FF" w:rsidRDefault="00582F54" w:rsidP="00657117">
            <w:pPr>
              <w:spacing w:after="240"/>
              <w:rPr>
                <w:rFonts w:cs="Arial"/>
                <w:sz w:val="20"/>
                <w:szCs w:val="20"/>
              </w:rPr>
            </w:pPr>
            <w:r w:rsidRPr="027658D4">
              <w:rPr>
                <w:rFonts w:cs="Arial"/>
                <w:sz w:val="20"/>
                <w:szCs w:val="20"/>
              </w:rPr>
              <w:t xml:space="preserve">N/A </w:t>
            </w:r>
            <w:r>
              <w:br/>
            </w:r>
            <w:r w:rsidRPr="027658D4">
              <w:rPr>
                <w:rFonts w:cs="Arial"/>
                <w:i/>
                <w:iCs/>
                <w:sz w:val="20"/>
                <w:szCs w:val="20"/>
              </w:rPr>
              <w:t>(monitoring only)</w:t>
            </w:r>
          </w:p>
        </w:tc>
      </w:tr>
      <w:tr w:rsidR="00582F54" w14:paraId="54CA3EB5" w14:textId="77777777" w:rsidTr="0E4B4052">
        <w:trPr>
          <w:trHeight w:val="480"/>
        </w:trPr>
        <w:tc>
          <w:tcPr>
            <w:tcW w:w="4290" w:type="dxa"/>
          </w:tcPr>
          <w:p w14:paraId="0E557B7D" w14:textId="77777777" w:rsidR="00582F54" w:rsidRDefault="00582F54" w:rsidP="00657117">
            <w:pPr>
              <w:spacing w:after="240"/>
              <w:rPr>
                <w:rFonts w:cs="Arial"/>
                <w:b/>
                <w:bCs/>
                <w:sz w:val="20"/>
                <w:szCs w:val="20"/>
              </w:rPr>
            </w:pPr>
            <w:r>
              <w:rPr>
                <w:rFonts w:cs="Arial"/>
                <w:b/>
                <w:bCs/>
                <w:sz w:val="20"/>
                <w:szCs w:val="20"/>
              </w:rPr>
              <w:t>Outcome Indicator 3</w:t>
            </w:r>
          </w:p>
          <w:p w14:paraId="6636A5FE" w14:textId="2851F2C3" w:rsidR="00582F54" w:rsidRPr="00ED76DD" w:rsidRDefault="00582F54" w:rsidP="00657117">
            <w:pPr>
              <w:spacing w:after="240"/>
              <w:rPr>
                <w:rFonts w:cs="Arial"/>
                <w:sz w:val="20"/>
                <w:szCs w:val="20"/>
              </w:rPr>
            </w:pPr>
            <w:r w:rsidRPr="00D2163F">
              <w:rPr>
                <w:rFonts w:cs="Arial"/>
                <w:sz w:val="20"/>
                <w:szCs w:val="20"/>
              </w:rPr>
              <w:t>The number of additional financial intermediaries entering green building markets (cumulative)</w:t>
            </w:r>
          </w:p>
        </w:tc>
        <w:tc>
          <w:tcPr>
            <w:tcW w:w="2295" w:type="dxa"/>
            <w:gridSpan w:val="2"/>
          </w:tcPr>
          <w:p w14:paraId="43A503ED" w14:textId="25FDFA5C" w:rsidR="00582F54" w:rsidRDefault="00582F54" w:rsidP="00657117">
            <w:pPr>
              <w:spacing w:after="240"/>
              <w:rPr>
                <w:rFonts w:cs="Arial"/>
                <w:sz w:val="20"/>
                <w:szCs w:val="20"/>
              </w:rPr>
            </w:pPr>
            <w:r>
              <w:rPr>
                <w:rFonts w:cs="Arial"/>
                <w:sz w:val="20"/>
                <w:szCs w:val="20"/>
              </w:rPr>
              <w:t>0</w:t>
            </w:r>
          </w:p>
        </w:tc>
        <w:tc>
          <w:tcPr>
            <w:tcW w:w="2395" w:type="dxa"/>
            <w:shd w:val="clear" w:color="auto" w:fill="D9F2D0" w:themeFill="accent6" w:themeFillTint="33"/>
          </w:tcPr>
          <w:p w14:paraId="2C946A99" w14:textId="43B5CFAB" w:rsidR="00582F54" w:rsidRDefault="003F4E0D" w:rsidP="00657117">
            <w:pPr>
              <w:spacing w:after="240"/>
              <w:rPr>
                <w:rFonts w:cs="Arial"/>
                <w:sz w:val="20"/>
                <w:szCs w:val="20"/>
              </w:rPr>
            </w:pPr>
            <w:r>
              <w:rPr>
                <w:rFonts w:cs="Arial"/>
                <w:sz w:val="20"/>
                <w:szCs w:val="20"/>
              </w:rPr>
              <w:t>2</w:t>
            </w:r>
          </w:p>
        </w:tc>
      </w:tr>
      <w:tr w:rsidR="00582F54" w14:paraId="2962B227" w14:textId="77777777" w:rsidTr="0E4B4052">
        <w:trPr>
          <w:trHeight w:val="480"/>
        </w:trPr>
        <w:tc>
          <w:tcPr>
            <w:tcW w:w="4290" w:type="dxa"/>
          </w:tcPr>
          <w:p w14:paraId="7231432F" w14:textId="77777777" w:rsidR="00582F54" w:rsidRDefault="00582F54" w:rsidP="00657117">
            <w:pPr>
              <w:spacing w:after="240"/>
              <w:rPr>
                <w:rFonts w:cs="Arial"/>
                <w:b/>
                <w:bCs/>
                <w:sz w:val="20"/>
                <w:szCs w:val="20"/>
              </w:rPr>
            </w:pPr>
            <w:r>
              <w:rPr>
                <w:rFonts w:cs="Arial"/>
                <w:b/>
                <w:bCs/>
                <w:sz w:val="20"/>
                <w:szCs w:val="20"/>
              </w:rPr>
              <w:lastRenderedPageBreak/>
              <w:t>Outcome indicator 4</w:t>
            </w:r>
          </w:p>
          <w:p w14:paraId="6DD47866" w14:textId="75C129B9" w:rsidR="00582F54" w:rsidRPr="00D2163F" w:rsidRDefault="00582F54" w:rsidP="00657117">
            <w:pPr>
              <w:spacing w:after="240"/>
              <w:rPr>
                <w:rFonts w:cs="Arial"/>
                <w:sz w:val="20"/>
                <w:szCs w:val="20"/>
              </w:rPr>
            </w:pPr>
            <w:r w:rsidRPr="004177B0">
              <w:rPr>
                <w:rFonts w:cs="Arial"/>
                <w:sz w:val="20"/>
                <w:szCs w:val="20"/>
              </w:rPr>
              <w:t>Cumulative GHG emissions expected to be avoided from post-design certified buildings financed with other capital after exhausting MAGC blended finance (tons CO2 per year).</w:t>
            </w:r>
          </w:p>
        </w:tc>
        <w:tc>
          <w:tcPr>
            <w:tcW w:w="2295" w:type="dxa"/>
            <w:gridSpan w:val="2"/>
          </w:tcPr>
          <w:p w14:paraId="43E03DDD" w14:textId="30ECB3C8" w:rsidR="00582F54" w:rsidRDefault="003F4E0D" w:rsidP="00657117">
            <w:pPr>
              <w:spacing w:after="240"/>
              <w:rPr>
                <w:rFonts w:cs="Arial"/>
                <w:sz w:val="20"/>
                <w:szCs w:val="20"/>
              </w:rPr>
            </w:pPr>
            <w:r>
              <w:rPr>
                <w:rFonts w:cs="Arial"/>
                <w:sz w:val="20"/>
                <w:szCs w:val="20"/>
              </w:rPr>
              <w:t>83</w:t>
            </w:r>
          </w:p>
        </w:tc>
        <w:tc>
          <w:tcPr>
            <w:tcW w:w="2395" w:type="dxa"/>
            <w:shd w:val="clear" w:color="auto" w:fill="FFABAB"/>
          </w:tcPr>
          <w:p w14:paraId="0CB225D9" w14:textId="350DF7D0" w:rsidR="00582F54" w:rsidRDefault="003F4E0D" w:rsidP="00657117">
            <w:pPr>
              <w:spacing w:after="240"/>
              <w:rPr>
                <w:rFonts w:cs="Arial"/>
                <w:sz w:val="20"/>
                <w:szCs w:val="20"/>
              </w:rPr>
            </w:pPr>
            <w:r>
              <w:rPr>
                <w:rFonts w:cs="Arial"/>
                <w:sz w:val="20"/>
                <w:szCs w:val="20"/>
              </w:rPr>
              <w:t>0</w:t>
            </w:r>
            <w:r w:rsidR="00C450EC">
              <w:rPr>
                <w:rStyle w:val="FootnoteReference"/>
                <w:rFonts w:cs="Arial"/>
                <w:sz w:val="20"/>
                <w:szCs w:val="20"/>
              </w:rPr>
              <w:footnoteReference w:id="4"/>
            </w:r>
          </w:p>
        </w:tc>
      </w:tr>
      <w:tr w:rsidR="00582F54" w14:paraId="0C2DBF0C" w14:textId="77777777" w:rsidTr="0E4B4052">
        <w:trPr>
          <w:trHeight w:val="480"/>
        </w:trPr>
        <w:tc>
          <w:tcPr>
            <w:tcW w:w="4290" w:type="dxa"/>
          </w:tcPr>
          <w:p w14:paraId="5654CD72" w14:textId="77777777" w:rsidR="00582F54" w:rsidRDefault="00582F54" w:rsidP="00657117">
            <w:pPr>
              <w:spacing w:after="240"/>
              <w:rPr>
                <w:rFonts w:cs="Arial"/>
                <w:b/>
                <w:bCs/>
                <w:sz w:val="20"/>
                <w:szCs w:val="20"/>
              </w:rPr>
            </w:pPr>
            <w:r>
              <w:rPr>
                <w:rFonts w:cs="Arial"/>
                <w:b/>
                <w:bCs/>
                <w:sz w:val="20"/>
                <w:szCs w:val="20"/>
              </w:rPr>
              <w:t>Outcome indicator 5 (KPI 16)</w:t>
            </w:r>
          </w:p>
          <w:p w14:paraId="100A8145" w14:textId="762208F7" w:rsidR="00582F54" w:rsidRPr="00D2163F" w:rsidRDefault="00582F54" w:rsidP="00657117">
            <w:pPr>
              <w:spacing w:after="240"/>
              <w:rPr>
                <w:rFonts w:cs="Arial"/>
                <w:sz w:val="20"/>
                <w:szCs w:val="20"/>
              </w:rPr>
            </w:pPr>
            <w:r w:rsidRPr="00D74AAF">
              <w:rPr>
                <w:rFonts w:cs="Arial"/>
                <w:sz w:val="20"/>
                <w:szCs w:val="20"/>
              </w:rPr>
              <w:t>Cumulative energy use expected to be avoided from post design certified buildings (MWh per year).</w:t>
            </w:r>
          </w:p>
        </w:tc>
        <w:tc>
          <w:tcPr>
            <w:tcW w:w="2295" w:type="dxa"/>
            <w:gridSpan w:val="2"/>
          </w:tcPr>
          <w:p w14:paraId="7E0DEF1B" w14:textId="07EB9C14" w:rsidR="00582F54" w:rsidRDefault="0041450E" w:rsidP="00657117">
            <w:pPr>
              <w:spacing w:after="240"/>
              <w:rPr>
                <w:rFonts w:cs="Arial"/>
                <w:sz w:val="20"/>
                <w:szCs w:val="20"/>
              </w:rPr>
            </w:pPr>
            <w:r>
              <w:rPr>
                <w:rFonts w:cs="Arial"/>
                <w:sz w:val="20"/>
                <w:szCs w:val="20"/>
              </w:rPr>
              <w:t>8,259</w:t>
            </w:r>
          </w:p>
        </w:tc>
        <w:tc>
          <w:tcPr>
            <w:tcW w:w="2395" w:type="dxa"/>
            <w:shd w:val="clear" w:color="auto" w:fill="D9F2D0" w:themeFill="accent6" w:themeFillTint="33"/>
          </w:tcPr>
          <w:p w14:paraId="779AE41A" w14:textId="509A53AC" w:rsidR="00582F54" w:rsidRDefault="0041450E" w:rsidP="00657117">
            <w:pPr>
              <w:spacing w:after="240"/>
              <w:rPr>
                <w:rFonts w:cs="Arial"/>
                <w:sz w:val="20"/>
                <w:szCs w:val="20"/>
              </w:rPr>
            </w:pPr>
            <w:r>
              <w:rPr>
                <w:rFonts w:cs="Arial"/>
                <w:sz w:val="20"/>
                <w:szCs w:val="20"/>
              </w:rPr>
              <w:t>8,563</w:t>
            </w:r>
          </w:p>
        </w:tc>
      </w:tr>
      <w:tr w:rsidR="00582F54" w14:paraId="6FA38C10" w14:textId="77777777" w:rsidTr="0E4B4052">
        <w:trPr>
          <w:trHeight w:val="1074"/>
        </w:trPr>
        <w:tc>
          <w:tcPr>
            <w:tcW w:w="4290" w:type="dxa"/>
            <w:vMerge w:val="restart"/>
          </w:tcPr>
          <w:p w14:paraId="756059F5" w14:textId="77777777" w:rsidR="00582F54" w:rsidRDefault="00582F54" w:rsidP="00657117">
            <w:pPr>
              <w:spacing w:after="240"/>
              <w:rPr>
                <w:rFonts w:cs="Arial"/>
                <w:b/>
                <w:bCs/>
                <w:sz w:val="20"/>
                <w:szCs w:val="20"/>
              </w:rPr>
            </w:pPr>
            <w:r>
              <w:rPr>
                <w:rFonts w:cs="Arial"/>
                <w:b/>
                <w:bCs/>
                <w:sz w:val="20"/>
                <w:szCs w:val="20"/>
              </w:rPr>
              <w:t>Outcome indicator 6 (KPI 6)</w:t>
            </w:r>
          </w:p>
          <w:p w14:paraId="7769C714" w14:textId="77777777" w:rsidR="00582F54" w:rsidRPr="00AC5EC2" w:rsidRDefault="00582F54" w:rsidP="00657117">
            <w:pPr>
              <w:spacing w:after="240"/>
              <w:rPr>
                <w:rFonts w:cs="Arial"/>
                <w:sz w:val="20"/>
                <w:szCs w:val="20"/>
              </w:rPr>
            </w:pPr>
            <w:r w:rsidRPr="00AC5EC2">
              <w:rPr>
                <w:rFonts w:cs="Arial"/>
                <w:sz w:val="20"/>
                <w:szCs w:val="20"/>
              </w:rPr>
              <w:t xml:space="preserve">Cumulative GHG emissions expected to be avoided from post-design certified buildings (tons CO2 per year). </w:t>
            </w:r>
          </w:p>
          <w:p w14:paraId="5206DDBD" w14:textId="21595F95" w:rsidR="00582F54" w:rsidRPr="004177B0" w:rsidRDefault="00582F54" w:rsidP="00657117">
            <w:pPr>
              <w:spacing w:after="240"/>
              <w:rPr>
                <w:rFonts w:cs="Arial"/>
                <w:i/>
                <w:iCs/>
                <w:sz w:val="20"/>
                <w:szCs w:val="20"/>
              </w:rPr>
            </w:pPr>
            <w:r w:rsidRPr="004177B0">
              <w:rPr>
                <w:rFonts w:cs="Arial"/>
                <w:i/>
                <w:iCs/>
                <w:sz w:val="20"/>
                <w:szCs w:val="20"/>
              </w:rPr>
              <w:t>Disaggregated by MAGC blended finance and by MAGC advisory services</w:t>
            </w:r>
          </w:p>
        </w:tc>
        <w:tc>
          <w:tcPr>
            <w:tcW w:w="1147" w:type="dxa"/>
          </w:tcPr>
          <w:p w14:paraId="463D5270" w14:textId="23A7C922" w:rsidR="00582F54" w:rsidRPr="004177B0" w:rsidRDefault="00582F54" w:rsidP="00657117">
            <w:pPr>
              <w:spacing w:after="240"/>
              <w:rPr>
                <w:rFonts w:cs="Arial"/>
                <w:i/>
                <w:iCs/>
                <w:sz w:val="18"/>
                <w:szCs w:val="18"/>
              </w:rPr>
            </w:pPr>
            <w:r w:rsidRPr="004177B0">
              <w:rPr>
                <w:rFonts w:cs="Arial"/>
                <w:i/>
                <w:iCs/>
                <w:sz w:val="18"/>
                <w:szCs w:val="18"/>
              </w:rPr>
              <w:t>Advisory Services</w:t>
            </w:r>
          </w:p>
        </w:tc>
        <w:tc>
          <w:tcPr>
            <w:tcW w:w="1148" w:type="dxa"/>
          </w:tcPr>
          <w:p w14:paraId="6C758635" w14:textId="50110C1D" w:rsidR="00582F54" w:rsidRDefault="00A261C2" w:rsidP="00657117">
            <w:pPr>
              <w:spacing w:after="240"/>
              <w:rPr>
                <w:rFonts w:cs="Arial"/>
                <w:sz w:val="20"/>
                <w:szCs w:val="20"/>
              </w:rPr>
            </w:pPr>
            <w:r>
              <w:rPr>
                <w:rFonts w:cs="Arial"/>
                <w:sz w:val="20"/>
                <w:szCs w:val="20"/>
              </w:rPr>
              <w:t>125</w:t>
            </w:r>
          </w:p>
        </w:tc>
        <w:tc>
          <w:tcPr>
            <w:tcW w:w="2395" w:type="dxa"/>
            <w:shd w:val="clear" w:color="auto" w:fill="D9F2D0" w:themeFill="accent6" w:themeFillTint="33"/>
          </w:tcPr>
          <w:p w14:paraId="73AA8454" w14:textId="47C3252D" w:rsidR="00582F54" w:rsidRDefault="000B5D35" w:rsidP="00657117">
            <w:pPr>
              <w:spacing w:after="240"/>
              <w:rPr>
                <w:rFonts w:cs="Arial"/>
                <w:sz w:val="20"/>
                <w:szCs w:val="20"/>
              </w:rPr>
            </w:pPr>
            <w:r>
              <w:rPr>
                <w:rFonts w:cs="Arial"/>
                <w:sz w:val="20"/>
                <w:szCs w:val="20"/>
              </w:rPr>
              <w:t xml:space="preserve">4,142 </w:t>
            </w:r>
          </w:p>
        </w:tc>
      </w:tr>
      <w:tr w:rsidR="00582F54" w14:paraId="49C201B3" w14:textId="77777777" w:rsidTr="0E4B4052">
        <w:trPr>
          <w:trHeight w:val="480"/>
        </w:trPr>
        <w:tc>
          <w:tcPr>
            <w:tcW w:w="4290" w:type="dxa"/>
            <w:vMerge/>
          </w:tcPr>
          <w:p w14:paraId="5C747AC2" w14:textId="77777777" w:rsidR="00582F54" w:rsidRDefault="00582F54" w:rsidP="00657117">
            <w:pPr>
              <w:spacing w:after="240"/>
              <w:jc w:val="both"/>
              <w:rPr>
                <w:rFonts w:cs="Arial"/>
                <w:sz w:val="20"/>
                <w:szCs w:val="20"/>
              </w:rPr>
            </w:pPr>
          </w:p>
        </w:tc>
        <w:tc>
          <w:tcPr>
            <w:tcW w:w="1147" w:type="dxa"/>
          </w:tcPr>
          <w:p w14:paraId="25AC7ADE" w14:textId="44AA55CF" w:rsidR="00582F54" w:rsidRPr="004177B0" w:rsidRDefault="00582F54" w:rsidP="00657117">
            <w:pPr>
              <w:spacing w:after="240"/>
              <w:jc w:val="both"/>
              <w:rPr>
                <w:rFonts w:cs="Arial"/>
                <w:i/>
                <w:iCs/>
                <w:sz w:val="18"/>
                <w:szCs w:val="18"/>
              </w:rPr>
            </w:pPr>
            <w:r w:rsidRPr="004177B0">
              <w:rPr>
                <w:rFonts w:cs="Arial"/>
                <w:i/>
                <w:iCs/>
                <w:sz w:val="18"/>
                <w:szCs w:val="18"/>
              </w:rPr>
              <w:t>Blended Finances</w:t>
            </w:r>
          </w:p>
        </w:tc>
        <w:tc>
          <w:tcPr>
            <w:tcW w:w="1148" w:type="dxa"/>
          </w:tcPr>
          <w:p w14:paraId="7B965DC8" w14:textId="63ABDA10" w:rsidR="00582F54" w:rsidRDefault="006F140B" w:rsidP="00657117">
            <w:pPr>
              <w:spacing w:after="240"/>
              <w:jc w:val="both"/>
              <w:rPr>
                <w:rFonts w:cs="Arial"/>
                <w:sz w:val="20"/>
                <w:szCs w:val="20"/>
              </w:rPr>
            </w:pPr>
            <w:r>
              <w:rPr>
                <w:rFonts w:cs="Arial"/>
                <w:sz w:val="20"/>
                <w:szCs w:val="20"/>
              </w:rPr>
              <w:t>4,778</w:t>
            </w:r>
          </w:p>
        </w:tc>
        <w:tc>
          <w:tcPr>
            <w:tcW w:w="2395" w:type="dxa"/>
            <w:shd w:val="clear" w:color="auto" w:fill="D9F2D0" w:themeFill="accent6" w:themeFillTint="33"/>
          </w:tcPr>
          <w:p w14:paraId="3082FBEE" w14:textId="630E62F5" w:rsidR="00582F54" w:rsidRDefault="006F140B" w:rsidP="00657117">
            <w:pPr>
              <w:spacing w:after="240"/>
              <w:rPr>
                <w:rFonts w:cs="Arial"/>
                <w:sz w:val="20"/>
                <w:szCs w:val="20"/>
              </w:rPr>
            </w:pPr>
            <w:r>
              <w:rPr>
                <w:rFonts w:cs="Arial"/>
                <w:sz w:val="20"/>
                <w:szCs w:val="20"/>
              </w:rPr>
              <w:t>5,275</w:t>
            </w:r>
          </w:p>
          <w:p w14:paraId="5298C4C8" w14:textId="5E86B567" w:rsidR="00582F54" w:rsidRPr="00582F54" w:rsidRDefault="00582F54" w:rsidP="00657117">
            <w:pPr>
              <w:spacing w:after="240"/>
              <w:jc w:val="center"/>
              <w:rPr>
                <w:rFonts w:cs="Arial"/>
                <w:sz w:val="20"/>
                <w:szCs w:val="20"/>
              </w:rPr>
            </w:pPr>
          </w:p>
        </w:tc>
      </w:tr>
      <w:tr w:rsidR="00582F54" w14:paraId="3782DDC4" w14:textId="77777777" w:rsidTr="0E4B4052">
        <w:trPr>
          <w:trHeight w:val="480"/>
        </w:trPr>
        <w:tc>
          <w:tcPr>
            <w:tcW w:w="4290" w:type="dxa"/>
          </w:tcPr>
          <w:p w14:paraId="301B989F" w14:textId="77777777" w:rsidR="00582F54" w:rsidRDefault="00582F54" w:rsidP="00657117">
            <w:pPr>
              <w:spacing w:after="240"/>
              <w:rPr>
                <w:rFonts w:cs="Arial"/>
                <w:b/>
                <w:bCs/>
                <w:sz w:val="20"/>
                <w:szCs w:val="20"/>
              </w:rPr>
            </w:pPr>
            <w:r>
              <w:rPr>
                <w:rFonts w:cs="Arial"/>
                <w:b/>
                <w:bCs/>
                <w:sz w:val="20"/>
                <w:szCs w:val="20"/>
              </w:rPr>
              <w:t xml:space="preserve">Outcome indicator 7 </w:t>
            </w:r>
          </w:p>
          <w:p w14:paraId="32C81016" w14:textId="1C9673D6" w:rsidR="00582F54" w:rsidRPr="00AD1B19" w:rsidRDefault="00582F54" w:rsidP="00657117">
            <w:pPr>
              <w:spacing w:after="240"/>
              <w:rPr>
                <w:rFonts w:cs="Arial"/>
                <w:sz w:val="20"/>
                <w:szCs w:val="20"/>
              </w:rPr>
            </w:pPr>
            <w:r w:rsidRPr="005D34BD">
              <w:rPr>
                <w:rFonts w:cs="Arial"/>
                <w:sz w:val="20"/>
                <w:szCs w:val="20"/>
              </w:rPr>
              <w:t>Cumulative green building floor space with EDGE post construction certification (m2).</w:t>
            </w:r>
          </w:p>
        </w:tc>
        <w:tc>
          <w:tcPr>
            <w:tcW w:w="2295" w:type="dxa"/>
            <w:gridSpan w:val="2"/>
          </w:tcPr>
          <w:p w14:paraId="401DF096" w14:textId="2C33F8BE" w:rsidR="00582F54" w:rsidRPr="004177B0" w:rsidRDefault="00582F54" w:rsidP="00657117">
            <w:pPr>
              <w:spacing w:after="240"/>
              <w:rPr>
                <w:rFonts w:cs="Arial"/>
                <w:i/>
                <w:iCs/>
                <w:sz w:val="20"/>
                <w:szCs w:val="20"/>
              </w:rPr>
            </w:pPr>
            <w:r>
              <w:rPr>
                <w:rFonts w:cs="Arial"/>
                <w:sz w:val="20"/>
                <w:szCs w:val="20"/>
              </w:rPr>
              <w:t xml:space="preserve">N/A </w:t>
            </w:r>
            <w:r w:rsidR="000A6D2C">
              <w:rPr>
                <w:rFonts w:cs="Arial"/>
                <w:sz w:val="20"/>
                <w:szCs w:val="20"/>
              </w:rPr>
              <w:br/>
            </w:r>
            <w:r>
              <w:rPr>
                <w:rFonts w:cs="Arial"/>
                <w:i/>
                <w:iCs/>
                <w:sz w:val="20"/>
                <w:szCs w:val="20"/>
              </w:rPr>
              <w:t>(monitoring only)</w:t>
            </w:r>
          </w:p>
        </w:tc>
        <w:tc>
          <w:tcPr>
            <w:tcW w:w="2395" w:type="dxa"/>
          </w:tcPr>
          <w:p w14:paraId="57A3871A" w14:textId="2200E72F" w:rsidR="00582F54" w:rsidRDefault="006F140B" w:rsidP="00657117">
            <w:pPr>
              <w:spacing w:after="240"/>
              <w:rPr>
                <w:rFonts w:cs="Arial"/>
                <w:sz w:val="20"/>
                <w:szCs w:val="20"/>
              </w:rPr>
            </w:pPr>
            <w:r>
              <w:rPr>
                <w:rFonts w:cs="Arial"/>
                <w:sz w:val="20"/>
                <w:szCs w:val="20"/>
              </w:rPr>
              <w:t>31,166,327</w:t>
            </w:r>
          </w:p>
        </w:tc>
      </w:tr>
      <w:tr w:rsidR="00582F54" w14:paraId="446883B7" w14:textId="77777777" w:rsidTr="0E4B4052">
        <w:trPr>
          <w:trHeight w:val="480"/>
        </w:trPr>
        <w:tc>
          <w:tcPr>
            <w:tcW w:w="4290" w:type="dxa"/>
          </w:tcPr>
          <w:p w14:paraId="5FEA3F98" w14:textId="77777777" w:rsidR="00582F54" w:rsidRDefault="00582F54" w:rsidP="00657117">
            <w:pPr>
              <w:spacing w:after="240"/>
              <w:rPr>
                <w:rFonts w:cs="Arial"/>
                <w:b/>
                <w:bCs/>
                <w:sz w:val="20"/>
                <w:szCs w:val="20"/>
              </w:rPr>
            </w:pPr>
            <w:r>
              <w:rPr>
                <w:rFonts w:cs="Arial"/>
                <w:b/>
                <w:bCs/>
                <w:sz w:val="20"/>
                <w:szCs w:val="20"/>
              </w:rPr>
              <w:t xml:space="preserve">Outcome indicator 8 </w:t>
            </w:r>
          </w:p>
          <w:p w14:paraId="77CE4EEF" w14:textId="78EFC39E" w:rsidR="00582F54" w:rsidRPr="005D34BD" w:rsidRDefault="00582F54" w:rsidP="00657117">
            <w:pPr>
              <w:spacing w:after="240"/>
              <w:rPr>
                <w:rFonts w:cs="Arial"/>
                <w:sz w:val="20"/>
                <w:szCs w:val="20"/>
              </w:rPr>
            </w:pPr>
            <w:r w:rsidRPr="005D34BD">
              <w:rPr>
                <w:rFonts w:cs="Arial"/>
                <w:sz w:val="20"/>
                <w:szCs w:val="20"/>
              </w:rPr>
              <w:t xml:space="preserve">Cumulative number of green building initiatives (internal IFC and external) using MAGC Research products. </w:t>
            </w:r>
          </w:p>
        </w:tc>
        <w:tc>
          <w:tcPr>
            <w:tcW w:w="2295" w:type="dxa"/>
            <w:gridSpan w:val="2"/>
          </w:tcPr>
          <w:p w14:paraId="40B71AF7" w14:textId="17B1BCF6" w:rsidR="00582F54" w:rsidRDefault="006F140B" w:rsidP="00657117">
            <w:pPr>
              <w:spacing w:after="240"/>
              <w:rPr>
                <w:rFonts w:cs="Arial"/>
                <w:sz w:val="20"/>
                <w:szCs w:val="20"/>
              </w:rPr>
            </w:pPr>
            <w:r>
              <w:rPr>
                <w:rFonts w:cs="Arial"/>
                <w:sz w:val="20"/>
                <w:szCs w:val="20"/>
              </w:rPr>
              <w:t>8</w:t>
            </w:r>
          </w:p>
        </w:tc>
        <w:tc>
          <w:tcPr>
            <w:tcW w:w="2395" w:type="dxa"/>
            <w:shd w:val="clear" w:color="auto" w:fill="D9F2D0" w:themeFill="accent6" w:themeFillTint="33"/>
          </w:tcPr>
          <w:p w14:paraId="4B923E30" w14:textId="18AAD667" w:rsidR="00582F54" w:rsidRDefault="006F140B" w:rsidP="00657117">
            <w:pPr>
              <w:spacing w:after="240"/>
              <w:rPr>
                <w:rFonts w:cs="Arial"/>
                <w:sz w:val="20"/>
                <w:szCs w:val="20"/>
              </w:rPr>
            </w:pPr>
            <w:r>
              <w:rPr>
                <w:rFonts w:cs="Arial"/>
                <w:sz w:val="20"/>
                <w:szCs w:val="20"/>
              </w:rPr>
              <w:t>11</w:t>
            </w:r>
          </w:p>
        </w:tc>
      </w:tr>
    </w:tbl>
    <w:p w14:paraId="6DEF4FB1" w14:textId="1F509833" w:rsidR="006A123D" w:rsidRPr="0040656D" w:rsidRDefault="006A123D" w:rsidP="00657117">
      <w:pPr>
        <w:spacing w:before="120" w:after="240"/>
        <w:jc w:val="both"/>
        <w:rPr>
          <w:rFonts w:cs="Arial"/>
          <w:bCs/>
          <w:sz w:val="20"/>
        </w:rPr>
      </w:pPr>
      <w:r w:rsidRPr="0040656D">
        <w:rPr>
          <w:rFonts w:cs="Arial"/>
          <w:bCs/>
          <w:sz w:val="20"/>
        </w:rPr>
        <w:t xml:space="preserve">It </w:t>
      </w:r>
      <w:r w:rsidR="00CC35DC">
        <w:rPr>
          <w:rFonts w:cs="Arial"/>
          <w:bCs/>
          <w:sz w:val="20"/>
        </w:rPr>
        <w:t>was not possible to</w:t>
      </w:r>
      <w:r w:rsidRPr="0040656D">
        <w:rPr>
          <w:rFonts w:cs="Arial"/>
          <w:bCs/>
          <w:sz w:val="20"/>
        </w:rPr>
        <w:t xml:space="preserve"> fully assess performance of the programme’s outcomes</w:t>
      </w:r>
      <w:r w:rsidR="00CC35DC">
        <w:rPr>
          <w:rFonts w:cs="Arial"/>
          <w:bCs/>
          <w:sz w:val="20"/>
        </w:rPr>
        <w:t xml:space="preserve"> due to lack of available data from IFC. This </w:t>
      </w:r>
      <w:r w:rsidRPr="0040656D">
        <w:rPr>
          <w:rFonts w:cs="Arial"/>
          <w:bCs/>
          <w:sz w:val="20"/>
        </w:rPr>
        <w:t>concern</w:t>
      </w:r>
      <w:r w:rsidR="00CC35DC">
        <w:rPr>
          <w:rFonts w:cs="Arial"/>
          <w:bCs/>
          <w:sz w:val="20"/>
        </w:rPr>
        <w:t>s</w:t>
      </w:r>
      <w:r w:rsidRPr="0040656D">
        <w:rPr>
          <w:rFonts w:cs="Arial"/>
          <w:bCs/>
          <w:sz w:val="20"/>
        </w:rPr>
        <w:t xml:space="preserve"> long-term behavioural and structural change in the finance and construction sectors</w:t>
      </w:r>
      <w:r w:rsidR="00CC35DC">
        <w:rPr>
          <w:rFonts w:cs="Arial"/>
          <w:bCs/>
          <w:sz w:val="20"/>
        </w:rPr>
        <w:t xml:space="preserve">, and means </w:t>
      </w:r>
      <w:r>
        <w:rPr>
          <w:rFonts w:cs="Arial"/>
          <w:bCs/>
          <w:sz w:val="20"/>
        </w:rPr>
        <w:t xml:space="preserve">we are still basing the programme’s overall delivery and impact on assumptions </w:t>
      </w:r>
      <w:r w:rsidR="00444E77">
        <w:rPr>
          <w:rFonts w:cs="Arial"/>
          <w:bCs/>
          <w:sz w:val="20"/>
        </w:rPr>
        <w:t xml:space="preserve">established </w:t>
      </w:r>
      <w:r>
        <w:rPr>
          <w:rFonts w:cs="Arial"/>
          <w:bCs/>
          <w:sz w:val="20"/>
        </w:rPr>
        <w:t>during programme inception and not actual investment or learning from programming since delivery began.</w:t>
      </w:r>
      <w:r w:rsidR="00FD1465">
        <w:rPr>
          <w:rFonts w:cs="Arial"/>
          <w:bCs/>
          <w:sz w:val="20"/>
        </w:rPr>
        <w:t xml:space="preserve"> This continues to be an ongoing discussion with IFC, </w:t>
      </w:r>
      <w:r w:rsidR="00D64694">
        <w:rPr>
          <w:rFonts w:cs="Arial"/>
          <w:bCs/>
          <w:sz w:val="20"/>
        </w:rPr>
        <w:t xml:space="preserve">regarding receiving more granular data to conduct this assessment. However, for this Annual Review </w:t>
      </w:r>
      <w:r w:rsidR="005114C6">
        <w:rPr>
          <w:rFonts w:cs="Arial"/>
          <w:bCs/>
          <w:sz w:val="20"/>
        </w:rPr>
        <w:t>this risk remains.</w:t>
      </w:r>
      <w:r w:rsidR="00C55D8B">
        <w:rPr>
          <w:rFonts w:cs="Arial"/>
          <w:bCs/>
          <w:sz w:val="20"/>
        </w:rPr>
        <w:t xml:space="preserve"> </w:t>
      </w:r>
    </w:p>
    <w:p w14:paraId="526B64E3" w14:textId="1B5B3181" w:rsidR="006A123D" w:rsidRPr="0040656D" w:rsidRDefault="006A123D" w:rsidP="00657117">
      <w:pPr>
        <w:spacing w:after="240"/>
        <w:rPr>
          <w:rFonts w:cs="Arial"/>
          <w:sz w:val="20"/>
          <w:szCs w:val="20"/>
          <w:shd w:val="clear" w:color="auto" w:fill="FFFFFF"/>
        </w:rPr>
      </w:pPr>
      <w:r w:rsidRPr="0040656D">
        <w:rPr>
          <w:rFonts w:cs="Arial"/>
          <w:b/>
          <w:bCs/>
          <w:sz w:val="20"/>
          <w:szCs w:val="20"/>
        </w:rPr>
        <w:t xml:space="preserve">Has the </w:t>
      </w:r>
      <w:r w:rsidR="00451607" w:rsidRPr="0040656D">
        <w:rPr>
          <w:rFonts w:cs="Arial"/>
          <w:b/>
          <w:bCs/>
          <w:sz w:val="20"/>
          <w:szCs w:val="20"/>
        </w:rPr>
        <w:t>Logframe</w:t>
      </w:r>
      <w:r w:rsidRPr="0040656D">
        <w:rPr>
          <w:rFonts w:cs="Arial"/>
          <w:b/>
          <w:bCs/>
          <w:sz w:val="20"/>
          <w:szCs w:val="20"/>
        </w:rPr>
        <w:t xml:space="preserve"> been</w:t>
      </w:r>
      <w:r w:rsidRPr="0040656D">
        <w:rPr>
          <w:rFonts w:cs="Arial"/>
          <w:sz w:val="20"/>
          <w:szCs w:val="20"/>
        </w:rPr>
        <w:t xml:space="preserve"> </w:t>
      </w:r>
      <w:r w:rsidRPr="0040656D">
        <w:rPr>
          <w:rFonts w:cs="Arial"/>
          <w:b/>
          <w:sz w:val="20"/>
          <w:szCs w:val="20"/>
        </w:rPr>
        <w:t xml:space="preserve">updated since the last review? </w:t>
      </w:r>
    </w:p>
    <w:p w14:paraId="5467E8B5" w14:textId="153D0A90" w:rsidR="005243C6" w:rsidRDefault="00F666B2" w:rsidP="00657117">
      <w:pPr>
        <w:pStyle w:val="Paragraph"/>
        <w:spacing w:after="240"/>
        <w:rPr>
          <w:sz w:val="20"/>
          <w:szCs w:val="20"/>
        </w:rPr>
      </w:pPr>
      <w:r>
        <w:rPr>
          <w:sz w:val="20"/>
          <w:szCs w:val="20"/>
        </w:rPr>
        <w:t xml:space="preserve">There </w:t>
      </w:r>
      <w:r w:rsidR="007C0172">
        <w:rPr>
          <w:sz w:val="20"/>
          <w:szCs w:val="20"/>
        </w:rPr>
        <w:t xml:space="preserve">has </w:t>
      </w:r>
      <w:r>
        <w:rPr>
          <w:sz w:val="20"/>
          <w:szCs w:val="20"/>
        </w:rPr>
        <w:t xml:space="preserve">been </w:t>
      </w:r>
      <w:r w:rsidR="007C0172">
        <w:rPr>
          <w:sz w:val="20"/>
          <w:szCs w:val="20"/>
        </w:rPr>
        <w:t xml:space="preserve">a </w:t>
      </w:r>
      <w:r w:rsidR="00451607">
        <w:rPr>
          <w:sz w:val="20"/>
          <w:szCs w:val="20"/>
        </w:rPr>
        <w:t>Logframe</w:t>
      </w:r>
      <w:r w:rsidR="007C0172">
        <w:rPr>
          <w:sz w:val="20"/>
          <w:szCs w:val="20"/>
        </w:rPr>
        <w:t xml:space="preserve"> update in </w:t>
      </w:r>
      <w:r>
        <w:rPr>
          <w:sz w:val="20"/>
          <w:szCs w:val="20"/>
        </w:rPr>
        <w:t>this reporting period</w:t>
      </w:r>
      <w:r w:rsidR="006A123D">
        <w:rPr>
          <w:sz w:val="20"/>
          <w:szCs w:val="20"/>
        </w:rPr>
        <w:t xml:space="preserve">. </w:t>
      </w:r>
      <w:r w:rsidR="007C0172">
        <w:rPr>
          <w:sz w:val="20"/>
          <w:szCs w:val="20"/>
        </w:rPr>
        <w:t>It covered:</w:t>
      </w:r>
    </w:p>
    <w:p w14:paraId="0F640AF4" w14:textId="42074A14" w:rsidR="007C0172" w:rsidRPr="00723D20" w:rsidRDefault="007C0172" w:rsidP="00657117">
      <w:pPr>
        <w:pStyle w:val="Paragraph"/>
        <w:numPr>
          <w:ilvl w:val="0"/>
          <w:numId w:val="52"/>
        </w:numPr>
        <w:tabs>
          <w:tab w:val="left" w:pos="2091"/>
        </w:tabs>
        <w:spacing w:after="240"/>
        <w:rPr>
          <w:sz w:val="20"/>
          <w:szCs w:val="20"/>
        </w:rPr>
      </w:pPr>
      <w:r>
        <w:rPr>
          <w:sz w:val="20"/>
          <w:szCs w:val="20"/>
        </w:rPr>
        <w:t xml:space="preserve">Recalibrated </w:t>
      </w:r>
      <w:r w:rsidR="00451607">
        <w:rPr>
          <w:sz w:val="20"/>
          <w:szCs w:val="20"/>
        </w:rPr>
        <w:t>Logframe</w:t>
      </w:r>
      <w:r>
        <w:rPr>
          <w:sz w:val="20"/>
          <w:szCs w:val="20"/>
        </w:rPr>
        <w:t xml:space="preserve"> modelling for output indicato</w:t>
      </w:r>
      <w:r w:rsidRPr="00723D20">
        <w:rPr>
          <w:sz w:val="20"/>
          <w:szCs w:val="20"/>
        </w:rPr>
        <w:t xml:space="preserve">rs 1b.1.  – 1b.3.  </w:t>
      </w:r>
      <w:r>
        <w:rPr>
          <w:sz w:val="20"/>
          <w:szCs w:val="20"/>
        </w:rPr>
        <w:t xml:space="preserve">This work updated the model assumptions to capture the </w:t>
      </w:r>
      <w:r w:rsidRPr="00723D20">
        <w:rPr>
          <w:sz w:val="20"/>
          <w:szCs w:val="20"/>
        </w:rPr>
        <w:t>delay in disbursement of funds</w:t>
      </w:r>
      <w:r>
        <w:rPr>
          <w:sz w:val="20"/>
          <w:szCs w:val="20"/>
        </w:rPr>
        <w:t xml:space="preserve">, COVID-19 impacts on the construction sectors and other original out-of-date assumptions. </w:t>
      </w:r>
    </w:p>
    <w:p w14:paraId="0C04E047" w14:textId="4CF45122" w:rsidR="007C0172" w:rsidRPr="00723D20" w:rsidRDefault="007C0172" w:rsidP="00657117">
      <w:pPr>
        <w:pStyle w:val="paragraph0"/>
        <w:numPr>
          <w:ilvl w:val="0"/>
          <w:numId w:val="52"/>
        </w:numPr>
        <w:spacing w:before="0" w:beforeAutospacing="0" w:after="240" w:afterAutospacing="0"/>
        <w:jc w:val="both"/>
        <w:textAlignment w:val="baseline"/>
        <w:rPr>
          <w:rStyle w:val="normaltextrun"/>
          <w:rFonts w:ascii="Arial" w:hAnsi="Arial" w:cs="Arial"/>
          <w:color w:val="000000" w:themeColor="text1"/>
          <w:kern w:val="2"/>
          <w:sz w:val="20"/>
          <w:szCs w:val="20"/>
          <w:lang w:eastAsia="en-US"/>
          <w14:ligatures w14:val="standardContextual"/>
        </w:rPr>
      </w:pPr>
      <w:r w:rsidRPr="00723D20">
        <w:rPr>
          <w:rStyle w:val="normaltextrun"/>
          <w:rFonts w:ascii="Arial" w:hAnsi="Arial" w:cs="Arial"/>
          <w:color w:val="000000" w:themeColor="text1"/>
          <w:sz w:val="20"/>
          <w:szCs w:val="20"/>
        </w:rPr>
        <w:t xml:space="preserve">As part of the March </w:t>
      </w:r>
      <w:r>
        <w:rPr>
          <w:rStyle w:val="normaltextrun"/>
          <w:rFonts w:ascii="Arial" w:hAnsi="Arial" w:cs="Arial"/>
          <w:color w:val="000000" w:themeColor="text1"/>
          <w:sz w:val="20"/>
          <w:szCs w:val="20"/>
        </w:rPr>
        <w:t xml:space="preserve">2023 </w:t>
      </w:r>
      <w:r w:rsidRPr="00723D20">
        <w:rPr>
          <w:rStyle w:val="normaltextrun"/>
          <w:rFonts w:ascii="Arial" w:hAnsi="Arial" w:cs="Arial"/>
          <w:color w:val="000000" w:themeColor="text1"/>
          <w:sz w:val="20"/>
          <w:szCs w:val="20"/>
        </w:rPr>
        <w:t xml:space="preserve">Change Request, amendments </w:t>
      </w:r>
      <w:r w:rsidRPr="002A0888">
        <w:rPr>
          <w:rStyle w:val="normaltextrun"/>
          <w:rFonts w:ascii="Arial" w:hAnsi="Arial" w:cs="Arial"/>
          <w:color w:val="000000" w:themeColor="text1"/>
          <w:sz w:val="20"/>
          <w:szCs w:val="20"/>
        </w:rPr>
        <w:t>and new indicators</w:t>
      </w:r>
      <w:r w:rsidRPr="00723D20">
        <w:rPr>
          <w:rStyle w:val="normaltextrun"/>
          <w:rFonts w:ascii="Arial" w:hAnsi="Arial" w:cs="Arial"/>
          <w:color w:val="000000" w:themeColor="text1"/>
          <w:sz w:val="20"/>
          <w:szCs w:val="20"/>
        </w:rPr>
        <w:t xml:space="preserve"> </w:t>
      </w:r>
      <w:r>
        <w:rPr>
          <w:rStyle w:val="normaltextrun"/>
          <w:rFonts w:ascii="Arial" w:hAnsi="Arial" w:cs="Arial"/>
          <w:color w:val="000000" w:themeColor="text1"/>
          <w:sz w:val="20"/>
          <w:szCs w:val="20"/>
        </w:rPr>
        <w:t>were</w:t>
      </w:r>
      <w:r w:rsidRPr="00723D20">
        <w:rPr>
          <w:rStyle w:val="normaltextrun"/>
          <w:rFonts w:ascii="Arial" w:hAnsi="Arial" w:cs="Arial"/>
          <w:color w:val="000000" w:themeColor="text1"/>
          <w:sz w:val="20"/>
          <w:szCs w:val="20"/>
        </w:rPr>
        <w:t xml:space="preserve"> required to capture the implementation of the activities that were agreed</w:t>
      </w:r>
      <w:r>
        <w:rPr>
          <w:rStyle w:val="normaltextrun"/>
          <w:rFonts w:ascii="Arial" w:hAnsi="Arial" w:cs="Arial"/>
          <w:color w:val="000000" w:themeColor="text1"/>
          <w:sz w:val="20"/>
          <w:szCs w:val="20"/>
        </w:rPr>
        <w:t>.</w:t>
      </w:r>
    </w:p>
    <w:p w14:paraId="321CA8A9" w14:textId="4D1AC39B" w:rsidR="007C0172" w:rsidRPr="00770D48" w:rsidRDefault="007C0172" w:rsidP="00657117">
      <w:pPr>
        <w:pStyle w:val="Paragraph"/>
        <w:numPr>
          <w:ilvl w:val="0"/>
          <w:numId w:val="52"/>
        </w:numPr>
        <w:spacing w:after="240"/>
        <w:rPr>
          <w:rFonts w:eastAsiaTheme="majorEastAsia"/>
          <w:color w:val="000000"/>
          <w:sz w:val="20"/>
          <w:szCs w:val="20"/>
          <w:shd w:val="clear" w:color="auto" w:fill="FFFFFF"/>
        </w:rPr>
      </w:pPr>
      <w:r>
        <w:rPr>
          <w:rFonts w:eastAsiaTheme="majorEastAsia"/>
          <w:sz w:val="20"/>
          <w:szCs w:val="20"/>
        </w:rPr>
        <w:lastRenderedPageBreak/>
        <w:t>New</w:t>
      </w:r>
      <w:r w:rsidRPr="000A2486">
        <w:rPr>
          <w:rFonts w:eastAsiaTheme="majorEastAsia"/>
          <w:sz w:val="20"/>
          <w:szCs w:val="20"/>
        </w:rPr>
        <w:t xml:space="preserve"> milestones for the qualitative indicators (Component 3) and increase targets for indicators that consistently exceed expectations to make them more ambitious.</w:t>
      </w:r>
    </w:p>
    <w:p w14:paraId="71E6EAFA" w14:textId="70E746BD" w:rsidR="007C0172" w:rsidRDefault="008E5FC7" w:rsidP="00657117">
      <w:pPr>
        <w:pStyle w:val="Paragraph"/>
        <w:numPr>
          <w:ilvl w:val="0"/>
          <w:numId w:val="52"/>
        </w:numPr>
        <w:spacing w:after="240"/>
        <w:rPr>
          <w:sz w:val="20"/>
          <w:szCs w:val="20"/>
        </w:rPr>
      </w:pPr>
      <w:r w:rsidRPr="00770D48">
        <w:rPr>
          <w:rFonts w:eastAsiaTheme="majorEastAsia"/>
          <w:sz w:val="20"/>
          <w:szCs w:val="20"/>
          <w:lang w:eastAsia="en-GB"/>
        </w:rPr>
        <w:t>Introduc</w:t>
      </w:r>
      <w:r>
        <w:rPr>
          <w:rFonts w:eastAsiaTheme="majorEastAsia"/>
          <w:sz w:val="20"/>
          <w:szCs w:val="20"/>
          <w:lang w:eastAsia="en-GB"/>
        </w:rPr>
        <w:t>tion</w:t>
      </w:r>
      <w:r w:rsidR="007C0172">
        <w:rPr>
          <w:rFonts w:eastAsiaTheme="majorEastAsia"/>
          <w:sz w:val="20"/>
          <w:szCs w:val="20"/>
          <w:lang w:eastAsia="en-GB"/>
        </w:rPr>
        <w:t xml:space="preserve"> of </w:t>
      </w:r>
      <w:r w:rsidR="007C0172" w:rsidRPr="00770D48">
        <w:rPr>
          <w:rFonts w:eastAsiaTheme="majorEastAsia"/>
          <w:sz w:val="20"/>
          <w:szCs w:val="20"/>
          <w:lang w:eastAsia="en-GB"/>
        </w:rPr>
        <w:t>new indicators to capture individual workstreams of the Research component.</w:t>
      </w:r>
    </w:p>
    <w:p w14:paraId="0CB13B12" w14:textId="77777777" w:rsidR="006A123D" w:rsidRPr="0040656D" w:rsidRDefault="006A123D" w:rsidP="00657117">
      <w:pPr>
        <w:spacing w:after="240"/>
        <w:rPr>
          <w:rFonts w:cs="Arial"/>
          <w:sz w:val="20"/>
          <w:szCs w:val="20"/>
        </w:rPr>
      </w:pPr>
      <w:r w:rsidRPr="0040656D">
        <w:rPr>
          <w:rFonts w:cs="Arial"/>
          <w:b/>
          <w:sz w:val="20"/>
          <w:szCs w:val="20"/>
          <w:lang w:val="en" w:eastAsia="en-GB"/>
        </w:rPr>
        <w:t xml:space="preserve">Justify whether the Programme should continue, based on its own merits and in the context of the wider portfolio. </w:t>
      </w:r>
    </w:p>
    <w:p w14:paraId="0633D1DF" w14:textId="77777777" w:rsidR="006A123D" w:rsidRPr="0040656D" w:rsidRDefault="006A123D" w:rsidP="00657117">
      <w:pPr>
        <w:spacing w:after="240"/>
        <w:jc w:val="both"/>
        <w:rPr>
          <w:rFonts w:cs="Arial"/>
          <w:sz w:val="20"/>
          <w:szCs w:val="20"/>
        </w:rPr>
      </w:pPr>
      <w:r w:rsidRPr="0040656D">
        <w:rPr>
          <w:rFonts w:cs="Arial"/>
          <w:sz w:val="20"/>
          <w:szCs w:val="20"/>
        </w:rPr>
        <w:t xml:space="preserve">Based on the </w:t>
      </w:r>
      <w:r>
        <w:rPr>
          <w:rFonts w:cs="Arial"/>
          <w:sz w:val="20"/>
          <w:szCs w:val="20"/>
        </w:rPr>
        <w:t>performance in this reporting period</w:t>
      </w:r>
      <w:r w:rsidRPr="0040656D">
        <w:rPr>
          <w:rFonts w:cs="Arial"/>
          <w:sz w:val="20"/>
          <w:szCs w:val="20"/>
        </w:rPr>
        <w:t xml:space="preserve">, theory of change validity and value for money assessments, DESNZ considers that the programme should continue. </w:t>
      </w:r>
    </w:p>
    <w:p w14:paraId="0D07118F" w14:textId="77777777" w:rsidR="006A123D" w:rsidRPr="0040656D" w:rsidRDefault="006A123D" w:rsidP="00657117">
      <w:pPr>
        <w:spacing w:after="240"/>
        <w:jc w:val="both"/>
        <w:rPr>
          <w:rFonts w:cs="Arial"/>
          <w:sz w:val="20"/>
          <w:szCs w:val="20"/>
        </w:rPr>
      </w:pPr>
      <w:r w:rsidRPr="0040656D">
        <w:rPr>
          <w:rFonts w:cs="Arial"/>
          <w:sz w:val="20"/>
          <w:szCs w:val="20"/>
        </w:rPr>
        <w:t>MAGC is a unique offering in DESNZ (and cross-Whitehall) ICF, the only ODA funded programme focussed solely on the uptake of sustainable and energy-efficient buildings. Despite its uniqueness, the focus on energy efficiency complements DESNZ ICF energy supply-side programmes and the UK’s overall international strategy (by supporting the Buildings Breakthrough agreed at COP27, which seeks to make zero carbon homes the norm by 2030). It also directly supports ICF country strategies with a focus on energy efficiency in key countries like Colombia, Mexico and India and has fed into the Just Energy Transition Partnership in South Africa.</w:t>
      </w:r>
    </w:p>
    <w:p w14:paraId="6339619B" w14:textId="77777777" w:rsidR="006A123D" w:rsidRPr="0040656D" w:rsidRDefault="006A123D" w:rsidP="00657117">
      <w:pPr>
        <w:spacing w:after="240"/>
        <w:jc w:val="both"/>
        <w:rPr>
          <w:rFonts w:cs="Arial"/>
          <w:sz w:val="20"/>
          <w:szCs w:val="20"/>
        </w:rPr>
      </w:pPr>
      <w:r w:rsidRPr="0040656D">
        <w:rPr>
          <w:rFonts w:cs="Arial"/>
          <w:sz w:val="20"/>
          <w:szCs w:val="20"/>
        </w:rPr>
        <w:t xml:space="preserve">MAGC continues to contribute to DESNZ ICF strategic priorities and DESNZ departmental objectives, although recognising MAGC lacks inclusion of D&amp;I considerations within the programme. We have acknowledged more could be done and will assess opportunities to enhance D&amp;I considerations in the independent evaluation. </w:t>
      </w:r>
    </w:p>
    <w:p w14:paraId="2B625C2A" w14:textId="235F100C" w:rsidR="006A123D" w:rsidRPr="0040656D" w:rsidRDefault="006A123D" w:rsidP="00657117">
      <w:pPr>
        <w:spacing w:after="240"/>
        <w:jc w:val="both"/>
        <w:rPr>
          <w:rFonts w:cs="Arial"/>
          <w:sz w:val="20"/>
          <w:szCs w:val="20"/>
          <w:lang w:val="en" w:eastAsia="en-GB"/>
        </w:rPr>
      </w:pPr>
      <w:r w:rsidRPr="0040656D">
        <w:rPr>
          <w:rFonts w:cs="Arial"/>
          <w:sz w:val="20"/>
          <w:szCs w:val="20"/>
        </w:rPr>
        <w:t>In this reporting period, we have seen significant growth in the investment portfolio</w:t>
      </w:r>
      <w:r>
        <w:rPr>
          <w:rFonts w:cs="Arial"/>
          <w:sz w:val="20"/>
          <w:szCs w:val="20"/>
        </w:rPr>
        <w:t xml:space="preserve"> and delivery </w:t>
      </w:r>
      <w:r w:rsidRPr="0040656D">
        <w:rPr>
          <w:rFonts w:cs="Arial"/>
          <w:sz w:val="20"/>
          <w:szCs w:val="20"/>
        </w:rPr>
        <w:t>exceed</w:t>
      </w:r>
      <w:r>
        <w:rPr>
          <w:rFonts w:cs="Arial"/>
          <w:sz w:val="20"/>
          <w:szCs w:val="20"/>
        </w:rPr>
        <w:t xml:space="preserve"> expectations</w:t>
      </w:r>
      <w:r w:rsidRPr="0040656D">
        <w:rPr>
          <w:rFonts w:cs="Arial"/>
          <w:sz w:val="20"/>
          <w:szCs w:val="20"/>
        </w:rPr>
        <w:t xml:space="preserve"> in its advisory services and technical assistance delivery</w:t>
      </w:r>
      <w:r>
        <w:rPr>
          <w:rFonts w:cs="Arial"/>
          <w:sz w:val="20"/>
          <w:szCs w:val="20"/>
        </w:rPr>
        <w:t xml:space="preserve">. </w:t>
      </w:r>
      <w:r w:rsidRPr="0040656D">
        <w:rPr>
          <w:rFonts w:cs="Arial"/>
          <w:sz w:val="20"/>
          <w:szCs w:val="20"/>
        </w:rPr>
        <w:t>However, MAGC needs to show improved</w:t>
      </w:r>
      <w:r>
        <w:rPr>
          <w:rFonts w:cs="Arial"/>
          <w:sz w:val="20"/>
          <w:szCs w:val="20"/>
        </w:rPr>
        <w:t xml:space="preserve"> results for indicators </w:t>
      </w:r>
      <w:r w:rsidRPr="00D86C91">
        <w:rPr>
          <w:rFonts w:cs="Arial"/>
          <w:sz w:val="20"/>
          <w:szCs w:val="20"/>
        </w:rPr>
        <w:t>dependent on the disbursement of green building loans by Financial Institutions</w:t>
      </w:r>
      <w:r w:rsidRPr="0040656D">
        <w:rPr>
          <w:rFonts w:cs="Arial"/>
          <w:sz w:val="20"/>
          <w:szCs w:val="20"/>
        </w:rPr>
        <w:t xml:space="preserve"> </w:t>
      </w:r>
      <w:r>
        <w:rPr>
          <w:rFonts w:cs="Arial"/>
          <w:sz w:val="20"/>
          <w:szCs w:val="20"/>
        </w:rPr>
        <w:t xml:space="preserve">and additional private sector financing. </w:t>
      </w:r>
    </w:p>
    <w:p w14:paraId="77767D76" w14:textId="42462C73" w:rsidR="006A123D" w:rsidRPr="0040656D" w:rsidRDefault="006A123D" w:rsidP="00657117">
      <w:pPr>
        <w:spacing w:after="240" w:line="259" w:lineRule="auto"/>
        <w:rPr>
          <w:rFonts w:cs="Arial"/>
          <w:b/>
          <w:color w:val="FF0000"/>
          <w:kern w:val="28"/>
          <w:sz w:val="20"/>
          <w:szCs w:val="20"/>
        </w:rPr>
      </w:pPr>
      <w:r w:rsidRPr="0040656D">
        <w:rPr>
          <w:rFonts w:cs="Arial"/>
          <w:i/>
          <w:color w:val="FF0000"/>
          <w:sz w:val="20"/>
          <w:szCs w:val="20"/>
        </w:rPr>
        <w:br w:type="page"/>
      </w:r>
    </w:p>
    <w:p w14:paraId="17B81FA4" w14:textId="0D3D7A5A" w:rsidR="006A123D" w:rsidRPr="000C48FF" w:rsidRDefault="006A123D" w:rsidP="000C48FF">
      <w:pPr>
        <w:pBdr>
          <w:top w:val="single" w:sz="4" w:space="1" w:color="000000"/>
          <w:left w:val="single" w:sz="4" w:space="4" w:color="000000"/>
          <w:bottom w:val="single" w:sz="4" w:space="1" w:color="000000"/>
          <w:right w:val="single" w:sz="4" w:space="4" w:color="000000"/>
        </w:pBdr>
        <w:shd w:val="clear" w:color="auto" w:fill="C1E4F5" w:themeFill="accent1" w:themeFillTint="33"/>
        <w:spacing w:after="240"/>
        <w:rPr>
          <w:rFonts w:cs="Arial"/>
          <w:b/>
          <w:bCs/>
          <w:sz w:val="20"/>
          <w:szCs w:val="20"/>
        </w:rPr>
      </w:pPr>
      <w:bookmarkStart w:id="2" w:name="_Toc163028417"/>
      <w:r w:rsidRPr="08D7F225">
        <w:rPr>
          <w:rFonts w:cs="Arial"/>
          <w:b/>
          <w:bCs/>
          <w:sz w:val="20"/>
          <w:szCs w:val="20"/>
        </w:rPr>
        <w:lastRenderedPageBreak/>
        <w:t>C. DETAILED OUTPUT SCORING</w:t>
      </w:r>
      <w:bookmarkEnd w:id="2"/>
      <w:r w:rsidRPr="08D7F225">
        <w:rPr>
          <w:rFonts w:cs="Arial"/>
          <w:b/>
          <w:bCs/>
          <w:sz w:val="20"/>
          <w:szCs w:val="20"/>
        </w:rPr>
        <w:t xml:space="preserve"> </w:t>
      </w:r>
    </w:p>
    <w:tbl>
      <w:tblPr>
        <w:tblStyle w:val="TableGrid"/>
        <w:tblW w:w="9303" w:type="dxa"/>
        <w:tblInd w:w="-147" w:type="dxa"/>
        <w:tblLook w:val="04A0" w:firstRow="1" w:lastRow="0" w:firstColumn="1" w:lastColumn="0" w:noHBand="0" w:noVBand="1"/>
      </w:tblPr>
      <w:tblGrid>
        <w:gridCol w:w="2055"/>
        <w:gridCol w:w="355"/>
        <w:gridCol w:w="993"/>
        <w:gridCol w:w="3402"/>
        <w:gridCol w:w="2498"/>
      </w:tblGrid>
      <w:tr w:rsidR="00113AD6" w:rsidRPr="0040656D" w14:paraId="1B85686F" w14:textId="77777777" w:rsidTr="62D56F1D">
        <w:trPr>
          <w:trHeight w:val="379"/>
        </w:trPr>
        <w:tc>
          <w:tcPr>
            <w:tcW w:w="2055"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DA28F27" w14:textId="77777777" w:rsidR="006A123D" w:rsidRPr="0040656D" w:rsidRDefault="006A123D" w:rsidP="00657117">
            <w:pPr>
              <w:spacing w:after="240"/>
              <w:rPr>
                <w:rFonts w:cs="Arial"/>
                <w:b/>
                <w:bCs/>
                <w:sz w:val="20"/>
                <w:szCs w:val="20"/>
              </w:rPr>
            </w:pPr>
            <w:r w:rsidRPr="0040656D">
              <w:rPr>
                <w:rFonts w:cs="Arial"/>
                <w:b/>
                <w:bCs/>
                <w:sz w:val="20"/>
                <w:szCs w:val="20"/>
              </w:rPr>
              <w:t xml:space="preserve">Output Title </w:t>
            </w:r>
          </w:p>
        </w:tc>
        <w:tc>
          <w:tcPr>
            <w:tcW w:w="72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5A83F7" w14:textId="77777777" w:rsidR="006A123D" w:rsidRPr="0040656D" w:rsidRDefault="006A123D" w:rsidP="00657117">
            <w:pPr>
              <w:spacing w:after="240"/>
              <w:rPr>
                <w:rFonts w:cs="Arial"/>
                <w:bCs/>
                <w:i/>
                <w:color w:val="FF0000"/>
                <w:sz w:val="20"/>
                <w:szCs w:val="20"/>
              </w:rPr>
            </w:pPr>
            <w:r w:rsidRPr="0040656D">
              <w:rPr>
                <w:rFonts w:cs="Arial"/>
                <w:sz w:val="20"/>
                <w:szCs w:val="20"/>
              </w:rPr>
              <w:t>MAGC finance is secured for green buildings</w:t>
            </w:r>
          </w:p>
        </w:tc>
      </w:tr>
      <w:tr w:rsidR="00CE06BD" w:rsidRPr="0040656D" w14:paraId="5609D854" w14:textId="77777777" w:rsidTr="62D56F1D">
        <w:trPr>
          <w:trHeight w:val="379"/>
        </w:trPr>
        <w:tc>
          <w:tcPr>
            <w:tcW w:w="241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8042BA9" w14:textId="77777777" w:rsidR="006A123D" w:rsidRPr="0040656D" w:rsidRDefault="006A123D" w:rsidP="00657117">
            <w:pPr>
              <w:spacing w:after="240"/>
              <w:rPr>
                <w:rFonts w:cs="Arial"/>
                <w:b/>
                <w:bCs/>
                <w:sz w:val="20"/>
                <w:szCs w:val="20"/>
              </w:rPr>
            </w:pPr>
            <w:r w:rsidRPr="0040656D">
              <w:rPr>
                <w:rFonts w:cs="Arial"/>
                <w:bCs/>
                <w:sz w:val="20"/>
                <w:szCs w:val="20"/>
              </w:rPr>
              <w:t xml:space="preserve">Output number: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30BDB39" w14:textId="77777777" w:rsidR="006A123D" w:rsidRPr="0040656D" w:rsidRDefault="006A123D" w:rsidP="00657117">
            <w:pPr>
              <w:spacing w:after="240"/>
              <w:rPr>
                <w:rFonts w:cs="Arial"/>
                <w:sz w:val="20"/>
                <w:szCs w:val="20"/>
              </w:rPr>
            </w:pPr>
            <w:r w:rsidRPr="0040656D">
              <w:rPr>
                <w:rFonts w:cs="Arial"/>
                <w:sz w:val="20"/>
                <w:szCs w:val="20"/>
              </w:rPr>
              <w:t>1a</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8E5D19A" w14:textId="77777777" w:rsidR="006A123D" w:rsidRPr="0040656D" w:rsidRDefault="006A123D" w:rsidP="00657117">
            <w:pPr>
              <w:spacing w:after="240"/>
              <w:rPr>
                <w:rFonts w:cs="Arial"/>
                <w:sz w:val="20"/>
                <w:szCs w:val="20"/>
              </w:rPr>
            </w:pPr>
            <w:r w:rsidRPr="0040656D">
              <w:rPr>
                <w:rFonts w:cs="Arial"/>
                <w:bCs/>
                <w:sz w:val="20"/>
                <w:szCs w:val="20"/>
              </w:rPr>
              <w:t xml:space="preserve">Output Score: </w:t>
            </w:r>
          </w:p>
        </w:tc>
        <w:tc>
          <w:tcPr>
            <w:tcW w:w="2498" w:type="dxa"/>
            <w:tcBorders>
              <w:top w:val="single" w:sz="4" w:space="0" w:color="auto"/>
              <w:left w:val="single" w:sz="4" w:space="0" w:color="auto"/>
              <w:bottom w:val="single" w:sz="4" w:space="0" w:color="auto"/>
              <w:right w:val="single" w:sz="4" w:space="0" w:color="auto"/>
            </w:tcBorders>
            <w:shd w:val="clear" w:color="auto" w:fill="FFFFFF" w:themeFill="background1"/>
          </w:tcPr>
          <w:p w14:paraId="23A6EE1F" w14:textId="77777777" w:rsidR="006A123D" w:rsidRPr="0040656D" w:rsidRDefault="006A123D" w:rsidP="00657117">
            <w:pPr>
              <w:spacing w:after="240"/>
              <w:rPr>
                <w:rFonts w:cs="Arial"/>
                <w:b/>
                <w:bCs/>
                <w:sz w:val="20"/>
                <w:szCs w:val="20"/>
              </w:rPr>
            </w:pPr>
            <w:r w:rsidRPr="0040656D">
              <w:rPr>
                <w:rFonts w:cs="Arial"/>
                <w:b/>
                <w:bCs/>
                <w:sz w:val="20"/>
                <w:szCs w:val="20"/>
              </w:rPr>
              <w:t>A++</w:t>
            </w:r>
          </w:p>
        </w:tc>
      </w:tr>
      <w:tr w:rsidR="00CE06BD" w:rsidRPr="0040656D" w14:paraId="6CDA9A00" w14:textId="77777777" w:rsidTr="62D56F1D">
        <w:trPr>
          <w:trHeight w:val="379"/>
        </w:trPr>
        <w:tc>
          <w:tcPr>
            <w:tcW w:w="241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2BCE9C7" w14:textId="77777777" w:rsidR="006A123D" w:rsidRPr="0040656D" w:rsidRDefault="006A123D" w:rsidP="00657117">
            <w:pPr>
              <w:spacing w:after="240"/>
              <w:rPr>
                <w:rFonts w:cs="Arial"/>
                <w:b/>
                <w:bCs/>
                <w:sz w:val="20"/>
                <w:szCs w:val="20"/>
              </w:rPr>
            </w:pPr>
            <w:r w:rsidRPr="0040656D">
              <w:rPr>
                <w:rFonts w:cs="Arial"/>
                <w:bCs/>
                <w:sz w:val="20"/>
                <w:szCs w:val="20"/>
              </w:rPr>
              <w:t xml:space="preserve">Impact weighting (%):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15A46" w14:textId="77777777" w:rsidR="006A123D" w:rsidRPr="0040656D" w:rsidRDefault="006A123D" w:rsidP="00657117">
            <w:pPr>
              <w:spacing w:after="240"/>
              <w:rPr>
                <w:rFonts w:cs="Arial"/>
                <w:sz w:val="20"/>
                <w:szCs w:val="20"/>
              </w:rPr>
            </w:pPr>
            <w:r w:rsidRPr="0040656D">
              <w:rPr>
                <w:rFonts w:cs="Arial"/>
                <w:bCs/>
                <w:sz w:val="20"/>
                <w:szCs w:val="20"/>
              </w:rPr>
              <w:t>30%</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5D10740" w14:textId="77777777" w:rsidR="006A123D" w:rsidRPr="0040656D" w:rsidRDefault="006A123D" w:rsidP="00657117">
            <w:pPr>
              <w:spacing w:after="240"/>
              <w:rPr>
                <w:rFonts w:cs="Arial"/>
                <w:sz w:val="20"/>
                <w:szCs w:val="20"/>
              </w:rPr>
            </w:pPr>
            <w:r w:rsidRPr="0040656D">
              <w:rPr>
                <w:rFonts w:cs="Arial"/>
                <w:bCs/>
                <w:sz w:val="20"/>
                <w:szCs w:val="20"/>
              </w:rPr>
              <w:t xml:space="preserve">Weighting revised since last AR. </w:t>
            </w:r>
          </w:p>
        </w:tc>
        <w:tc>
          <w:tcPr>
            <w:tcW w:w="2498" w:type="dxa"/>
            <w:tcBorders>
              <w:top w:val="single" w:sz="4" w:space="0" w:color="auto"/>
              <w:left w:val="single" w:sz="4" w:space="0" w:color="auto"/>
              <w:bottom w:val="single" w:sz="4" w:space="0" w:color="auto"/>
              <w:right w:val="single" w:sz="4" w:space="0" w:color="auto"/>
            </w:tcBorders>
            <w:shd w:val="clear" w:color="auto" w:fill="FFFFFF" w:themeFill="background1"/>
          </w:tcPr>
          <w:p w14:paraId="0F0FD13C" w14:textId="77777777" w:rsidR="006A123D" w:rsidRPr="0040656D" w:rsidRDefault="006A123D" w:rsidP="00657117">
            <w:pPr>
              <w:spacing w:after="240"/>
              <w:rPr>
                <w:rFonts w:cs="Arial"/>
                <w:sz w:val="20"/>
                <w:szCs w:val="20"/>
              </w:rPr>
            </w:pPr>
            <w:r w:rsidRPr="0040656D">
              <w:rPr>
                <w:rFonts w:cs="Arial"/>
                <w:bCs/>
                <w:sz w:val="20"/>
                <w:szCs w:val="20"/>
              </w:rPr>
              <w:t>No</w:t>
            </w:r>
          </w:p>
        </w:tc>
      </w:tr>
      <w:tr w:rsidR="00CE06BD" w:rsidRPr="0040656D" w14:paraId="6E174E58" w14:textId="77777777" w:rsidTr="62D56F1D">
        <w:trPr>
          <w:trHeight w:val="480"/>
        </w:trPr>
        <w:tc>
          <w:tcPr>
            <w:tcW w:w="241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952DC7A" w14:textId="77777777" w:rsidR="006A123D" w:rsidRPr="0040656D" w:rsidRDefault="006A123D" w:rsidP="00657117">
            <w:pPr>
              <w:spacing w:after="240"/>
              <w:rPr>
                <w:rFonts w:cs="Arial"/>
                <w:b/>
                <w:bCs/>
                <w:sz w:val="20"/>
                <w:szCs w:val="20"/>
              </w:rPr>
            </w:pPr>
            <w:r w:rsidRPr="0040656D">
              <w:rPr>
                <w:rFonts w:cs="Arial"/>
                <w:bCs/>
                <w:sz w:val="20"/>
                <w:szCs w:val="20"/>
              </w:rPr>
              <w:t>Risk rating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AE0EC25" w14:textId="77777777" w:rsidR="006A123D" w:rsidRPr="0040656D" w:rsidRDefault="006A123D" w:rsidP="00657117">
            <w:pPr>
              <w:spacing w:after="240"/>
              <w:rPr>
                <w:rFonts w:cs="Arial"/>
                <w:sz w:val="20"/>
                <w:szCs w:val="20"/>
              </w:rPr>
            </w:pPr>
            <w:r>
              <w:rPr>
                <w:rFonts w:cs="Arial"/>
                <w:sz w:val="20"/>
                <w:szCs w:val="20"/>
              </w:rPr>
              <w:t>Minor</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1D00748" w14:textId="77777777" w:rsidR="006A123D" w:rsidRPr="0040656D" w:rsidRDefault="006A123D" w:rsidP="00657117">
            <w:pPr>
              <w:spacing w:after="240"/>
              <w:rPr>
                <w:rFonts w:cs="Arial"/>
                <w:sz w:val="20"/>
                <w:szCs w:val="20"/>
              </w:rPr>
            </w:pPr>
            <w:r w:rsidRPr="0040656D">
              <w:rPr>
                <w:rFonts w:cs="Arial"/>
                <w:bCs/>
                <w:sz w:val="20"/>
                <w:szCs w:val="20"/>
              </w:rPr>
              <w:t>Risk revised since last AR?</w:t>
            </w:r>
          </w:p>
        </w:tc>
        <w:tc>
          <w:tcPr>
            <w:tcW w:w="2498" w:type="dxa"/>
            <w:tcBorders>
              <w:top w:val="single" w:sz="4" w:space="0" w:color="auto"/>
              <w:left w:val="single" w:sz="4" w:space="0" w:color="auto"/>
              <w:bottom w:val="single" w:sz="4" w:space="0" w:color="auto"/>
              <w:right w:val="single" w:sz="4" w:space="0" w:color="auto"/>
            </w:tcBorders>
            <w:shd w:val="clear" w:color="auto" w:fill="FFFFFF" w:themeFill="background1"/>
          </w:tcPr>
          <w:p w14:paraId="64B425B4" w14:textId="343D3579" w:rsidR="006A123D" w:rsidRPr="0040656D" w:rsidRDefault="001E037F" w:rsidP="00657117">
            <w:pPr>
              <w:spacing w:after="240"/>
              <w:rPr>
                <w:rFonts w:cs="Arial"/>
                <w:sz w:val="20"/>
                <w:szCs w:val="20"/>
              </w:rPr>
            </w:pPr>
            <w:r>
              <w:rPr>
                <w:rFonts w:cs="Arial"/>
                <w:sz w:val="20"/>
                <w:szCs w:val="20"/>
              </w:rPr>
              <w:t>No</w:t>
            </w:r>
          </w:p>
        </w:tc>
      </w:tr>
    </w:tbl>
    <w:p w14:paraId="0F256BA6" w14:textId="77777777" w:rsidR="006A123D" w:rsidRPr="0040656D" w:rsidRDefault="006A123D" w:rsidP="00657117">
      <w:pPr>
        <w:spacing w:after="240"/>
        <w:rPr>
          <w:rFonts w:cs="Arial"/>
          <w:b/>
          <w:sz w:val="20"/>
          <w:szCs w:val="20"/>
        </w:rPr>
      </w:pPr>
    </w:p>
    <w:tbl>
      <w:tblPr>
        <w:tblStyle w:val="TableGrid"/>
        <w:tblpPr w:leftFromText="180" w:rightFromText="180" w:vertAnchor="text" w:horzAnchor="page" w:tblpX="1325" w:tblpY="-10"/>
        <w:tblOverlap w:val="never"/>
        <w:tblW w:w="8764" w:type="dxa"/>
        <w:tblLayout w:type="fixed"/>
        <w:tblLook w:val="04A0" w:firstRow="1" w:lastRow="0" w:firstColumn="1" w:lastColumn="0" w:noHBand="0" w:noVBand="1"/>
      </w:tblPr>
      <w:tblGrid>
        <w:gridCol w:w="4531"/>
        <w:gridCol w:w="2268"/>
        <w:gridCol w:w="1965"/>
      </w:tblGrid>
      <w:tr w:rsidR="005D5E2B" w:rsidRPr="0040656D" w14:paraId="6B550C32" w14:textId="77777777" w:rsidTr="3AB7BDAE">
        <w:trPr>
          <w:trHeight w:val="273"/>
        </w:trPr>
        <w:tc>
          <w:tcPr>
            <w:tcW w:w="4531"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99F8584" w14:textId="77777777" w:rsidR="006A123D" w:rsidRPr="0040656D" w:rsidRDefault="006A123D" w:rsidP="00657117">
            <w:pPr>
              <w:spacing w:after="240"/>
              <w:rPr>
                <w:rFonts w:cs="Arial"/>
                <w:b/>
                <w:bCs/>
                <w:sz w:val="20"/>
                <w:szCs w:val="20"/>
              </w:rPr>
            </w:pPr>
            <w:r w:rsidRPr="0040656D">
              <w:rPr>
                <w:rFonts w:cs="Arial"/>
                <w:b/>
                <w:bCs/>
                <w:sz w:val="20"/>
                <w:szCs w:val="20"/>
              </w:rPr>
              <w:t>Indicator(s)</w:t>
            </w:r>
          </w:p>
        </w:tc>
        <w:tc>
          <w:tcPr>
            <w:tcW w:w="226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7D1D3FF" w14:textId="77777777" w:rsidR="006A123D" w:rsidRPr="0040656D" w:rsidRDefault="006A123D" w:rsidP="00657117">
            <w:pPr>
              <w:spacing w:after="240"/>
              <w:rPr>
                <w:rFonts w:cs="Arial"/>
                <w:b/>
                <w:bCs/>
                <w:sz w:val="20"/>
                <w:szCs w:val="20"/>
              </w:rPr>
            </w:pPr>
            <w:r w:rsidRPr="0040656D">
              <w:rPr>
                <w:rFonts w:cs="Arial"/>
                <w:b/>
                <w:bCs/>
                <w:sz w:val="20"/>
                <w:szCs w:val="20"/>
              </w:rPr>
              <w:t>Milestone(s) for this review</w:t>
            </w:r>
          </w:p>
        </w:tc>
        <w:tc>
          <w:tcPr>
            <w:tcW w:w="1965"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7BEBC91" w14:textId="64D2BCF8" w:rsidR="006A123D" w:rsidRPr="0040656D" w:rsidRDefault="00F72217" w:rsidP="00657117">
            <w:pPr>
              <w:spacing w:after="240"/>
              <w:rPr>
                <w:rFonts w:cs="Arial"/>
                <w:b/>
                <w:bCs/>
                <w:sz w:val="20"/>
                <w:szCs w:val="20"/>
              </w:rPr>
            </w:pPr>
            <w:r w:rsidRPr="0040656D">
              <w:rPr>
                <w:rFonts w:cs="Arial"/>
                <w:b/>
                <w:bCs/>
                <w:sz w:val="20"/>
                <w:szCs w:val="20"/>
              </w:rPr>
              <w:t>Progress</w:t>
            </w:r>
            <w:r>
              <w:rPr>
                <w:rFonts w:cs="Arial"/>
                <w:b/>
                <w:bCs/>
                <w:sz w:val="20"/>
                <w:szCs w:val="20"/>
              </w:rPr>
              <w:br/>
            </w:r>
            <w:r>
              <w:rPr>
                <w:rFonts w:cs="Arial"/>
                <w:i/>
                <w:iCs/>
                <w:sz w:val="20"/>
                <w:szCs w:val="20"/>
              </w:rPr>
              <w:t>(Score)</w:t>
            </w:r>
          </w:p>
        </w:tc>
      </w:tr>
      <w:tr w:rsidR="005D5E2B" w:rsidRPr="0040656D" w14:paraId="269E3909" w14:textId="77777777" w:rsidTr="3AB7BDAE">
        <w:trPr>
          <w:trHeight w:val="794"/>
        </w:trPr>
        <w:tc>
          <w:tcPr>
            <w:tcW w:w="4531" w:type="dxa"/>
            <w:tcBorders>
              <w:top w:val="single" w:sz="4" w:space="0" w:color="auto"/>
              <w:left w:val="single" w:sz="4" w:space="0" w:color="auto"/>
              <w:bottom w:val="single" w:sz="4" w:space="0" w:color="auto"/>
              <w:right w:val="single" w:sz="4" w:space="0" w:color="auto"/>
            </w:tcBorders>
          </w:tcPr>
          <w:p w14:paraId="38C1CE61" w14:textId="77777777" w:rsidR="006A123D" w:rsidRPr="0040656D" w:rsidRDefault="006A123D" w:rsidP="00657117">
            <w:pPr>
              <w:spacing w:after="240"/>
              <w:rPr>
                <w:rFonts w:cs="Arial"/>
                <w:bCs/>
                <w:iCs/>
                <w:sz w:val="20"/>
                <w:szCs w:val="20"/>
              </w:rPr>
            </w:pPr>
            <w:r w:rsidRPr="0040656D">
              <w:rPr>
                <w:rFonts w:cs="Arial"/>
                <w:bCs/>
                <w:iCs/>
                <w:sz w:val="20"/>
                <w:szCs w:val="20"/>
                <w:u w:val="single"/>
              </w:rPr>
              <w:t>1a.1</w:t>
            </w:r>
            <w:r w:rsidRPr="0040656D">
              <w:rPr>
                <w:rFonts w:cs="Arial"/>
                <w:bCs/>
                <w:iCs/>
                <w:sz w:val="20"/>
                <w:szCs w:val="20"/>
              </w:rPr>
              <w:t xml:space="preserve"> Cumulative number of financial intermediaries with MAGC blended finance commitments.</w:t>
            </w:r>
          </w:p>
        </w:tc>
        <w:tc>
          <w:tcPr>
            <w:tcW w:w="2268" w:type="dxa"/>
            <w:tcBorders>
              <w:top w:val="single" w:sz="4" w:space="0" w:color="auto"/>
              <w:left w:val="single" w:sz="4" w:space="0" w:color="auto"/>
              <w:bottom w:val="single" w:sz="4" w:space="0" w:color="auto"/>
              <w:right w:val="single" w:sz="4" w:space="0" w:color="auto"/>
            </w:tcBorders>
          </w:tcPr>
          <w:p w14:paraId="7E172E95" w14:textId="2B3933E2" w:rsidR="006A123D" w:rsidRPr="0040656D" w:rsidRDefault="0036696C" w:rsidP="00657117">
            <w:pPr>
              <w:spacing w:after="240"/>
              <w:rPr>
                <w:rFonts w:cs="Arial"/>
                <w:bCs/>
                <w:iCs/>
                <w:sz w:val="20"/>
                <w:szCs w:val="20"/>
              </w:rPr>
            </w:pPr>
            <w:r>
              <w:rPr>
                <w:rFonts w:cs="Arial"/>
                <w:bCs/>
                <w:i/>
                <w:iCs/>
                <w:sz w:val="20"/>
                <w:szCs w:val="20"/>
              </w:rPr>
              <w:t>11</w:t>
            </w:r>
          </w:p>
        </w:tc>
        <w:tc>
          <w:tcPr>
            <w:tcW w:w="1965" w:type="dxa"/>
            <w:tcBorders>
              <w:top w:val="single" w:sz="4" w:space="0" w:color="auto"/>
              <w:left w:val="single" w:sz="4" w:space="0" w:color="auto"/>
              <w:bottom w:val="single" w:sz="4" w:space="0" w:color="auto"/>
              <w:right w:val="single" w:sz="4" w:space="0" w:color="auto"/>
            </w:tcBorders>
          </w:tcPr>
          <w:p w14:paraId="5A63180B" w14:textId="45EC20BC" w:rsidR="006A123D" w:rsidRPr="005553FB" w:rsidRDefault="005553FB" w:rsidP="5D18F44B">
            <w:pPr>
              <w:spacing w:after="240"/>
              <w:rPr>
                <w:rFonts w:cs="Arial"/>
                <w:sz w:val="20"/>
                <w:szCs w:val="20"/>
              </w:rPr>
            </w:pPr>
            <w:r w:rsidRPr="29CA07FD">
              <w:rPr>
                <w:rFonts w:cs="Arial"/>
                <w:b/>
                <w:bCs/>
                <w:sz w:val="20"/>
                <w:szCs w:val="20"/>
              </w:rPr>
              <w:t>Achieved</w:t>
            </w:r>
            <w:r w:rsidR="009631F7" w:rsidRPr="29CA07FD">
              <w:rPr>
                <w:rFonts w:cs="Arial"/>
                <w:b/>
                <w:bCs/>
                <w:sz w:val="20"/>
                <w:szCs w:val="20"/>
              </w:rPr>
              <w:t>:</w:t>
            </w:r>
            <w:r w:rsidRPr="29CA07FD">
              <w:rPr>
                <w:rFonts w:cs="Arial"/>
                <w:b/>
                <w:bCs/>
                <w:sz w:val="20"/>
                <w:szCs w:val="20"/>
              </w:rPr>
              <w:t xml:space="preserve"> 19</w:t>
            </w:r>
            <w:r w:rsidRPr="29CA07FD">
              <w:rPr>
                <w:rStyle w:val="FootnoteReference"/>
                <w:rFonts w:cs="Arial"/>
                <w:b/>
                <w:bCs/>
                <w:sz w:val="20"/>
                <w:szCs w:val="20"/>
              </w:rPr>
              <w:footnoteReference w:id="5"/>
            </w:r>
            <w:r w:rsidRPr="005553FB">
              <w:rPr>
                <w:rFonts w:cs="Arial"/>
                <w:b/>
                <w:iCs/>
                <w:sz w:val="20"/>
                <w:szCs w:val="20"/>
              </w:rPr>
              <w:br/>
            </w:r>
            <w:r w:rsidR="00F72217" w:rsidRPr="5D18F44B">
              <w:rPr>
                <w:rFonts w:cs="Arial"/>
                <w:i/>
                <w:iCs/>
                <w:sz w:val="20"/>
                <w:szCs w:val="20"/>
              </w:rPr>
              <w:t>(</w:t>
            </w:r>
            <w:r w:rsidR="008F7A4C" w:rsidRPr="5D18F44B">
              <w:rPr>
                <w:rFonts w:cs="Arial"/>
                <w:i/>
                <w:iCs/>
                <w:sz w:val="20"/>
                <w:szCs w:val="20"/>
              </w:rPr>
              <w:t>A++</w:t>
            </w:r>
            <w:r w:rsidR="00F72217" w:rsidRPr="5D18F44B">
              <w:rPr>
                <w:rFonts w:cs="Arial"/>
                <w:i/>
                <w:iCs/>
                <w:sz w:val="20"/>
                <w:szCs w:val="20"/>
              </w:rPr>
              <w:t>)</w:t>
            </w:r>
          </w:p>
        </w:tc>
      </w:tr>
      <w:tr w:rsidR="005D5E2B" w:rsidRPr="0040656D" w14:paraId="2FC47450" w14:textId="77777777" w:rsidTr="3AB7BDAE">
        <w:tc>
          <w:tcPr>
            <w:tcW w:w="4531" w:type="dxa"/>
            <w:tcBorders>
              <w:top w:val="single" w:sz="4" w:space="0" w:color="auto"/>
              <w:left w:val="single" w:sz="4" w:space="0" w:color="auto"/>
              <w:bottom w:val="single" w:sz="4" w:space="0" w:color="auto"/>
              <w:right w:val="single" w:sz="4" w:space="0" w:color="auto"/>
            </w:tcBorders>
          </w:tcPr>
          <w:p w14:paraId="1EFEDC59" w14:textId="77777777" w:rsidR="006A123D" w:rsidRPr="0040656D" w:rsidRDefault="006A123D" w:rsidP="00657117">
            <w:pPr>
              <w:spacing w:after="240"/>
              <w:rPr>
                <w:rFonts w:cs="Arial"/>
                <w:bCs/>
                <w:iCs/>
                <w:sz w:val="20"/>
                <w:szCs w:val="20"/>
              </w:rPr>
            </w:pPr>
            <w:r w:rsidRPr="0040656D">
              <w:rPr>
                <w:rFonts w:cs="Arial"/>
                <w:bCs/>
                <w:sz w:val="20"/>
                <w:szCs w:val="20"/>
                <w:u w:val="single"/>
              </w:rPr>
              <w:t>1a.2</w:t>
            </w:r>
            <w:r w:rsidRPr="0040656D">
              <w:rPr>
                <w:rFonts w:cs="Arial"/>
                <w:bCs/>
                <w:sz w:val="20"/>
                <w:szCs w:val="20"/>
              </w:rPr>
              <w:t xml:space="preserve"> Cumulative number of financial intermediaries only receiving advisory services.</w:t>
            </w:r>
          </w:p>
        </w:tc>
        <w:tc>
          <w:tcPr>
            <w:tcW w:w="2268" w:type="dxa"/>
            <w:tcBorders>
              <w:top w:val="single" w:sz="4" w:space="0" w:color="auto"/>
              <w:left w:val="single" w:sz="4" w:space="0" w:color="auto"/>
              <w:bottom w:val="single" w:sz="4" w:space="0" w:color="auto"/>
              <w:right w:val="single" w:sz="4" w:space="0" w:color="auto"/>
            </w:tcBorders>
          </w:tcPr>
          <w:p w14:paraId="32580026" w14:textId="1D20AC0F" w:rsidR="006A123D" w:rsidRPr="0040656D" w:rsidRDefault="00546126" w:rsidP="00657117">
            <w:pPr>
              <w:spacing w:after="240"/>
              <w:rPr>
                <w:rFonts w:cs="Arial"/>
                <w:bCs/>
                <w:iCs/>
                <w:sz w:val="20"/>
                <w:szCs w:val="20"/>
              </w:rPr>
            </w:pPr>
            <w:r>
              <w:rPr>
                <w:rFonts w:cs="Arial"/>
                <w:bCs/>
                <w:i/>
                <w:iCs/>
                <w:sz w:val="20"/>
                <w:szCs w:val="20"/>
              </w:rPr>
              <w:t>3</w:t>
            </w:r>
          </w:p>
        </w:tc>
        <w:tc>
          <w:tcPr>
            <w:tcW w:w="1965" w:type="dxa"/>
            <w:tcBorders>
              <w:top w:val="single" w:sz="4" w:space="0" w:color="auto"/>
              <w:left w:val="single" w:sz="4" w:space="0" w:color="auto"/>
              <w:bottom w:val="single" w:sz="4" w:space="0" w:color="auto"/>
              <w:right w:val="single" w:sz="4" w:space="0" w:color="auto"/>
            </w:tcBorders>
          </w:tcPr>
          <w:p w14:paraId="750A8605" w14:textId="7C3076C2" w:rsidR="006A123D" w:rsidRPr="0040656D" w:rsidRDefault="005553FB" w:rsidP="00657117">
            <w:pPr>
              <w:spacing w:after="240"/>
              <w:contextualSpacing/>
              <w:rPr>
                <w:rFonts w:cs="Arial"/>
                <w:bCs/>
                <w:iCs/>
                <w:sz w:val="20"/>
                <w:szCs w:val="20"/>
              </w:rPr>
            </w:pPr>
            <w:r w:rsidRPr="005553FB">
              <w:rPr>
                <w:rFonts w:cs="Arial"/>
                <w:b/>
                <w:iCs/>
                <w:sz w:val="20"/>
                <w:szCs w:val="20"/>
              </w:rPr>
              <w:t>Achieved</w:t>
            </w:r>
            <w:r w:rsidR="009631F7">
              <w:rPr>
                <w:rFonts w:cs="Arial"/>
                <w:b/>
                <w:iCs/>
                <w:sz w:val="20"/>
                <w:szCs w:val="20"/>
              </w:rPr>
              <w:t>:</w:t>
            </w:r>
            <w:r w:rsidRPr="005553FB">
              <w:rPr>
                <w:rFonts w:cs="Arial"/>
                <w:b/>
                <w:iCs/>
                <w:sz w:val="20"/>
                <w:szCs w:val="20"/>
              </w:rPr>
              <w:t xml:space="preserve"> 4</w:t>
            </w:r>
            <w:r w:rsidRPr="005553FB">
              <w:rPr>
                <w:rFonts w:cs="Arial"/>
                <w:b/>
                <w:iCs/>
                <w:sz w:val="20"/>
                <w:szCs w:val="20"/>
              </w:rPr>
              <w:br/>
            </w:r>
            <w:r w:rsidR="00F72217">
              <w:rPr>
                <w:rFonts w:cs="Arial"/>
                <w:bCs/>
                <w:i/>
                <w:sz w:val="20"/>
                <w:szCs w:val="20"/>
              </w:rPr>
              <w:t>(</w:t>
            </w:r>
            <w:r w:rsidR="008F7A4C" w:rsidRPr="008F7A4C">
              <w:rPr>
                <w:rFonts w:cs="Arial"/>
                <w:bCs/>
                <w:i/>
                <w:sz w:val="20"/>
                <w:szCs w:val="20"/>
              </w:rPr>
              <w:t>A</w:t>
            </w:r>
            <w:r w:rsidR="00F72217">
              <w:rPr>
                <w:rFonts w:cs="Arial"/>
                <w:bCs/>
                <w:iCs/>
                <w:sz w:val="20"/>
                <w:szCs w:val="20"/>
              </w:rPr>
              <w:t>)</w:t>
            </w:r>
          </w:p>
        </w:tc>
      </w:tr>
      <w:tr w:rsidR="005D5E2B" w:rsidRPr="0040656D" w14:paraId="13291EFB" w14:textId="77777777" w:rsidTr="3AB7BDAE">
        <w:tc>
          <w:tcPr>
            <w:tcW w:w="4531" w:type="dxa"/>
            <w:tcBorders>
              <w:top w:val="single" w:sz="4" w:space="0" w:color="auto"/>
              <w:left w:val="single" w:sz="4" w:space="0" w:color="auto"/>
              <w:bottom w:val="single" w:sz="4" w:space="0" w:color="auto"/>
              <w:right w:val="single" w:sz="4" w:space="0" w:color="auto"/>
            </w:tcBorders>
          </w:tcPr>
          <w:p w14:paraId="1EAEFCB4" w14:textId="77777777" w:rsidR="006A123D" w:rsidRPr="0040656D" w:rsidRDefault="006A123D" w:rsidP="00657117">
            <w:pPr>
              <w:spacing w:after="240"/>
              <w:rPr>
                <w:rFonts w:cs="Arial"/>
                <w:bCs/>
                <w:iCs/>
                <w:sz w:val="20"/>
                <w:szCs w:val="20"/>
              </w:rPr>
            </w:pPr>
            <w:r w:rsidRPr="0040656D">
              <w:rPr>
                <w:rFonts w:cs="Arial"/>
                <w:bCs/>
                <w:sz w:val="20"/>
                <w:szCs w:val="20"/>
                <w:u w:val="single"/>
              </w:rPr>
              <w:t>1a.3</w:t>
            </w:r>
            <w:r w:rsidRPr="0040656D">
              <w:rPr>
                <w:rFonts w:cs="Arial"/>
                <w:bCs/>
                <w:sz w:val="20"/>
                <w:szCs w:val="20"/>
              </w:rPr>
              <w:t xml:space="preserve"> Cumulative total public sector financing committed to MAGC funded green building projects.</w:t>
            </w:r>
          </w:p>
        </w:tc>
        <w:tc>
          <w:tcPr>
            <w:tcW w:w="2268" w:type="dxa"/>
            <w:tcBorders>
              <w:top w:val="single" w:sz="4" w:space="0" w:color="auto"/>
              <w:left w:val="single" w:sz="4" w:space="0" w:color="auto"/>
              <w:bottom w:val="single" w:sz="4" w:space="0" w:color="auto"/>
              <w:right w:val="single" w:sz="4" w:space="0" w:color="auto"/>
            </w:tcBorders>
          </w:tcPr>
          <w:p w14:paraId="3A213E7D" w14:textId="611DF3FF" w:rsidR="006A123D" w:rsidRPr="0040656D" w:rsidRDefault="006A123D" w:rsidP="00657117">
            <w:pPr>
              <w:spacing w:after="240"/>
              <w:rPr>
                <w:rFonts w:cs="Arial"/>
                <w:bCs/>
                <w:i/>
                <w:iCs/>
                <w:sz w:val="20"/>
                <w:szCs w:val="20"/>
              </w:rPr>
            </w:pPr>
            <w:r w:rsidRPr="0040656D">
              <w:rPr>
                <w:rFonts w:cs="Arial"/>
                <w:bCs/>
                <w:i/>
                <w:iCs/>
                <w:sz w:val="20"/>
                <w:szCs w:val="20"/>
              </w:rPr>
              <w:t>£</w:t>
            </w:r>
            <w:r w:rsidR="00392CDD">
              <w:rPr>
                <w:rFonts w:cs="Arial"/>
                <w:bCs/>
                <w:i/>
                <w:iCs/>
                <w:sz w:val="20"/>
                <w:szCs w:val="20"/>
              </w:rPr>
              <w:t>450,952,014</w:t>
            </w:r>
            <w:r w:rsidRPr="0040656D">
              <w:rPr>
                <w:rFonts w:cs="Arial"/>
                <w:bCs/>
                <w:i/>
                <w:iCs/>
                <w:sz w:val="20"/>
                <w:szCs w:val="20"/>
              </w:rPr>
              <w:br/>
              <w:t>$</w:t>
            </w:r>
            <w:r w:rsidR="00392CDD">
              <w:rPr>
                <w:rFonts w:cs="Arial"/>
                <w:bCs/>
                <w:i/>
                <w:iCs/>
                <w:sz w:val="20"/>
                <w:szCs w:val="20"/>
              </w:rPr>
              <w:t>578,143,608</w:t>
            </w:r>
          </w:p>
        </w:tc>
        <w:tc>
          <w:tcPr>
            <w:tcW w:w="1965" w:type="dxa"/>
            <w:tcBorders>
              <w:top w:val="single" w:sz="4" w:space="0" w:color="auto"/>
              <w:left w:val="single" w:sz="4" w:space="0" w:color="auto"/>
              <w:bottom w:val="single" w:sz="4" w:space="0" w:color="auto"/>
              <w:right w:val="single" w:sz="4" w:space="0" w:color="auto"/>
            </w:tcBorders>
          </w:tcPr>
          <w:p w14:paraId="2867049F" w14:textId="4F1B7BA8" w:rsidR="006A123D" w:rsidRPr="0040656D" w:rsidRDefault="005553FB" w:rsidP="00657117">
            <w:pPr>
              <w:spacing w:after="240"/>
              <w:contextualSpacing/>
              <w:rPr>
                <w:rFonts w:cs="Arial"/>
                <w:bCs/>
                <w:iCs/>
                <w:sz w:val="20"/>
                <w:szCs w:val="20"/>
              </w:rPr>
            </w:pPr>
            <w:r w:rsidRPr="005553FB">
              <w:rPr>
                <w:rFonts w:cs="Arial"/>
                <w:b/>
                <w:iCs/>
                <w:sz w:val="20"/>
                <w:szCs w:val="20"/>
              </w:rPr>
              <w:t>Achieved</w:t>
            </w:r>
            <w:r w:rsidR="009631F7">
              <w:rPr>
                <w:rFonts w:cs="Arial"/>
                <w:b/>
                <w:iCs/>
                <w:sz w:val="20"/>
                <w:szCs w:val="20"/>
              </w:rPr>
              <w:t>:</w:t>
            </w:r>
            <w:r w:rsidRPr="005553FB">
              <w:rPr>
                <w:rFonts w:cs="Arial"/>
                <w:b/>
                <w:iCs/>
                <w:sz w:val="20"/>
                <w:szCs w:val="20"/>
              </w:rPr>
              <w:t xml:space="preserve"> </w:t>
            </w:r>
            <w:r w:rsidRPr="005553FB">
              <w:rPr>
                <w:rFonts w:cs="Arial"/>
                <w:b/>
                <w:i/>
                <w:iCs/>
                <w:sz w:val="20"/>
                <w:szCs w:val="20"/>
              </w:rPr>
              <w:t>£1,120,826,509 ($1,436,957,063)</w:t>
            </w:r>
            <w:r>
              <w:rPr>
                <w:rFonts w:cs="Arial"/>
                <w:bCs/>
                <w:i/>
                <w:iCs/>
                <w:sz w:val="20"/>
                <w:szCs w:val="20"/>
              </w:rPr>
              <w:br/>
            </w:r>
            <w:r w:rsidR="00F72217">
              <w:rPr>
                <w:rFonts w:cs="Arial"/>
                <w:bCs/>
                <w:i/>
                <w:sz w:val="20"/>
                <w:szCs w:val="20"/>
              </w:rPr>
              <w:t>(</w:t>
            </w:r>
            <w:r w:rsidR="008F7A4C" w:rsidRPr="008F7A4C">
              <w:rPr>
                <w:rFonts w:cs="Arial"/>
                <w:bCs/>
                <w:i/>
                <w:sz w:val="20"/>
                <w:szCs w:val="20"/>
              </w:rPr>
              <w:t>A++</w:t>
            </w:r>
            <w:r w:rsidR="00F72217" w:rsidRPr="00F72217">
              <w:rPr>
                <w:rFonts w:cs="Arial"/>
                <w:bCs/>
                <w:i/>
                <w:sz w:val="20"/>
                <w:szCs w:val="20"/>
              </w:rPr>
              <w:t>)</w:t>
            </w:r>
          </w:p>
        </w:tc>
      </w:tr>
      <w:tr w:rsidR="005D5E2B" w:rsidRPr="0040656D" w14:paraId="59B04182" w14:textId="77777777" w:rsidTr="3AB7BDAE">
        <w:tc>
          <w:tcPr>
            <w:tcW w:w="4531" w:type="dxa"/>
            <w:tcBorders>
              <w:top w:val="single" w:sz="4" w:space="0" w:color="auto"/>
              <w:left w:val="single" w:sz="4" w:space="0" w:color="auto"/>
              <w:bottom w:val="single" w:sz="4" w:space="0" w:color="auto"/>
              <w:right w:val="single" w:sz="4" w:space="0" w:color="auto"/>
            </w:tcBorders>
          </w:tcPr>
          <w:p w14:paraId="2B964725" w14:textId="77777777" w:rsidR="006A123D" w:rsidRPr="0040656D" w:rsidRDefault="006A123D" w:rsidP="00657117">
            <w:pPr>
              <w:spacing w:after="240"/>
              <w:rPr>
                <w:rFonts w:cs="Arial"/>
                <w:bCs/>
                <w:iCs/>
                <w:sz w:val="20"/>
                <w:szCs w:val="20"/>
              </w:rPr>
            </w:pPr>
            <w:r w:rsidRPr="0040656D">
              <w:rPr>
                <w:rFonts w:cs="Arial"/>
                <w:bCs/>
                <w:sz w:val="20"/>
                <w:szCs w:val="20"/>
                <w:u w:val="single"/>
              </w:rPr>
              <w:t>1a.4</w:t>
            </w:r>
            <w:r w:rsidRPr="0040656D">
              <w:rPr>
                <w:rFonts w:cs="Arial"/>
                <w:bCs/>
                <w:sz w:val="20"/>
                <w:szCs w:val="20"/>
              </w:rPr>
              <w:t xml:space="preserve"> </w:t>
            </w:r>
            <w:r w:rsidRPr="0040656D">
              <w:rPr>
                <w:rFonts w:cs="Arial"/>
                <w:sz w:val="20"/>
                <w:szCs w:val="20"/>
              </w:rPr>
              <w:t>Cumulative</w:t>
            </w:r>
            <w:r w:rsidRPr="0040656D">
              <w:rPr>
                <w:rFonts w:cs="Arial"/>
                <w:bCs/>
                <w:sz w:val="16"/>
                <w:szCs w:val="16"/>
              </w:rPr>
              <w:t xml:space="preserve"> </w:t>
            </w:r>
            <w:r w:rsidRPr="0040656D">
              <w:rPr>
                <w:rFonts w:cs="Arial"/>
                <w:bCs/>
                <w:sz w:val="20"/>
                <w:szCs w:val="20"/>
              </w:rPr>
              <w:t>volume of UK finance committed to Financial Intermediaries.</w:t>
            </w:r>
          </w:p>
        </w:tc>
        <w:tc>
          <w:tcPr>
            <w:tcW w:w="2268" w:type="dxa"/>
            <w:tcBorders>
              <w:top w:val="single" w:sz="4" w:space="0" w:color="auto"/>
              <w:left w:val="single" w:sz="4" w:space="0" w:color="auto"/>
              <w:bottom w:val="single" w:sz="4" w:space="0" w:color="auto"/>
              <w:right w:val="single" w:sz="4" w:space="0" w:color="auto"/>
            </w:tcBorders>
          </w:tcPr>
          <w:p w14:paraId="3F34269D" w14:textId="77777777" w:rsidR="006A123D" w:rsidRPr="0040656D" w:rsidRDefault="006A123D" w:rsidP="00657117">
            <w:pPr>
              <w:spacing w:after="240"/>
              <w:rPr>
                <w:rFonts w:cs="Arial"/>
                <w:bCs/>
                <w:iCs/>
                <w:sz w:val="20"/>
                <w:szCs w:val="20"/>
              </w:rPr>
            </w:pPr>
            <w:r w:rsidRPr="0040656D">
              <w:rPr>
                <w:rFonts w:cs="Arial"/>
                <w:bCs/>
                <w:sz w:val="20"/>
                <w:szCs w:val="20"/>
              </w:rPr>
              <w:t xml:space="preserve">Monitoring only </w:t>
            </w:r>
          </w:p>
        </w:tc>
        <w:tc>
          <w:tcPr>
            <w:tcW w:w="1965" w:type="dxa"/>
            <w:tcBorders>
              <w:top w:val="single" w:sz="4" w:space="0" w:color="auto"/>
              <w:left w:val="single" w:sz="4" w:space="0" w:color="auto"/>
              <w:bottom w:val="single" w:sz="4" w:space="0" w:color="auto"/>
              <w:right w:val="single" w:sz="4" w:space="0" w:color="auto"/>
            </w:tcBorders>
          </w:tcPr>
          <w:p w14:paraId="4EBA3C83" w14:textId="5A59B8AB" w:rsidR="006A123D" w:rsidRPr="005553FB" w:rsidRDefault="006A123D" w:rsidP="00657117">
            <w:pPr>
              <w:spacing w:after="240"/>
              <w:contextualSpacing/>
              <w:rPr>
                <w:rFonts w:cs="Arial"/>
                <w:b/>
                <w:i/>
                <w:sz w:val="20"/>
                <w:szCs w:val="20"/>
              </w:rPr>
            </w:pPr>
            <w:r w:rsidRPr="005553FB">
              <w:rPr>
                <w:rFonts w:cs="Arial"/>
                <w:b/>
                <w:iCs/>
                <w:sz w:val="20"/>
                <w:szCs w:val="20"/>
              </w:rPr>
              <w:t xml:space="preserve">Achieved </w:t>
            </w:r>
            <w:r w:rsidRPr="005553FB">
              <w:rPr>
                <w:rFonts w:cs="Arial"/>
                <w:b/>
                <w:i/>
                <w:sz w:val="20"/>
                <w:szCs w:val="20"/>
              </w:rPr>
              <w:t>£</w:t>
            </w:r>
            <w:r w:rsidR="00392CDD" w:rsidRPr="005553FB">
              <w:rPr>
                <w:rFonts w:cs="Arial"/>
                <w:b/>
                <w:i/>
                <w:sz w:val="20"/>
                <w:szCs w:val="20"/>
              </w:rPr>
              <w:t>43,</w:t>
            </w:r>
            <w:r w:rsidR="001E037F" w:rsidRPr="005553FB">
              <w:rPr>
                <w:rFonts w:cs="Arial"/>
                <w:b/>
                <w:i/>
                <w:sz w:val="20"/>
                <w:szCs w:val="20"/>
              </w:rPr>
              <w:t>984,980 ($56,391,000)</w:t>
            </w:r>
          </w:p>
        </w:tc>
      </w:tr>
      <w:tr w:rsidR="005D5E2B" w:rsidRPr="0040656D" w14:paraId="7D38383A" w14:textId="77777777" w:rsidTr="3AB7BDAE">
        <w:tc>
          <w:tcPr>
            <w:tcW w:w="4531" w:type="dxa"/>
            <w:tcBorders>
              <w:top w:val="single" w:sz="4" w:space="0" w:color="auto"/>
              <w:left w:val="single" w:sz="4" w:space="0" w:color="auto"/>
              <w:bottom w:val="single" w:sz="4" w:space="0" w:color="auto"/>
              <w:right w:val="single" w:sz="4" w:space="0" w:color="auto"/>
            </w:tcBorders>
          </w:tcPr>
          <w:p w14:paraId="59CE02D9" w14:textId="77777777" w:rsidR="006A123D" w:rsidRPr="0040656D" w:rsidRDefault="006A123D" w:rsidP="00657117">
            <w:pPr>
              <w:spacing w:after="240"/>
              <w:rPr>
                <w:rFonts w:cs="Arial"/>
                <w:bCs/>
                <w:iCs/>
                <w:sz w:val="20"/>
                <w:szCs w:val="20"/>
              </w:rPr>
            </w:pPr>
            <w:r w:rsidRPr="0040656D">
              <w:rPr>
                <w:rFonts w:cs="Arial"/>
                <w:bCs/>
                <w:sz w:val="20"/>
                <w:szCs w:val="20"/>
                <w:u w:val="single"/>
              </w:rPr>
              <w:t>1a.5</w:t>
            </w:r>
            <w:r w:rsidRPr="0040656D">
              <w:rPr>
                <w:rFonts w:cs="Arial"/>
                <w:bCs/>
                <w:sz w:val="20"/>
                <w:szCs w:val="20"/>
              </w:rPr>
              <w:t xml:space="preserve"> </w:t>
            </w:r>
            <w:r w:rsidRPr="0040656D">
              <w:rPr>
                <w:rFonts w:cs="Arial"/>
                <w:sz w:val="20"/>
                <w:szCs w:val="20"/>
              </w:rPr>
              <w:t>Cumulative</w:t>
            </w:r>
            <w:r w:rsidRPr="0040656D">
              <w:rPr>
                <w:rFonts w:cs="Arial"/>
                <w:bCs/>
                <w:sz w:val="16"/>
                <w:szCs w:val="16"/>
              </w:rPr>
              <w:t xml:space="preserve"> </w:t>
            </w:r>
            <w:r w:rsidRPr="0040656D">
              <w:rPr>
                <w:rFonts w:cs="Arial"/>
                <w:bCs/>
                <w:sz w:val="20"/>
                <w:szCs w:val="20"/>
              </w:rPr>
              <w:t>number of key stakeholders in workshops, trainings, seminars, conferences from financial intermediary level activities.</w:t>
            </w:r>
          </w:p>
        </w:tc>
        <w:tc>
          <w:tcPr>
            <w:tcW w:w="2268" w:type="dxa"/>
            <w:tcBorders>
              <w:top w:val="single" w:sz="4" w:space="0" w:color="auto"/>
              <w:left w:val="single" w:sz="4" w:space="0" w:color="auto"/>
              <w:bottom w:val="single" w:sz="4" w:space="0" w:color="auto"/>
              <w:right w:val="single" w:sz="4" w:space="0" w:color="auto"/>
            </w:tcBorders>
          </w:tcPr>
          <w:p w14:paraId="4F502AE1" w14:textId="3F0E67EA" w:rsidR="006A123D" w:rsidRPr="0040656D" w:rsidRDefault="001E037F" w:rsidP="00657117">
            <w:pPr>
              <w:spacing w:after="240"/>
              <w:rPr>
                <w:rFonts w:cs="Arial"/>
                <w:bCs/>
                <w:iCs/>
                <w:sz w:val="20"/>
                <w:szCs w:val="20"/>
              </w:rPr>
            </w:pPr>
            <w:r>
              <w:rPr>
                <w:rFonts w:cs="Arial"/>
                <w:bCs/>
                <w:iCs/>
                <w:sz w:val="20"/>
                <w:szCs w:val="20"/>
              </w:rPr>
              <w:t>240</w:t>
            </w:r>
          </w:p>
        </w:tc>
        <w:tc>
          <w:tcPr>
            <w:tcW w:w="1965" w:type="dxa"/>
            <w:tcBorders>
              <w:top w:val="single" w:sz="4" w:space="0" w:color="auto"/>
              <w:left w:val="single" w:sz="4" w:space="0" w:color="auto"/>
              <w:bottom w:val="single" w:sz="4" w:space="0" w:color="auto"/>
              <w:right w:val="single" w:sz="4" w:space="0" w:color="auto"/>
            </w:tcBorders>
          </w:tcPr>
          <w:p w14:paraId="5189D0BB" w14:textId="3B2B1292" w:rsidR="006A123D" w:rsidRPr="0040656D" w:rsidRDefault="005553FB" w:rsidP="00657117">
            <w:pPr>
              <w:spacing w:after="240"/>
              <w:rPr>
                <w:rFonts w:cs="Arial"/>
                <w:bCs/>
                <w:sz w:val="20"/>
                <w:szCs w:val="20"/>
              </w:rPr>
            </w:pPr>
            <w:r w:rsidRPr="005553FB">
              <w:rPr>
                <w:rFonts w:cs="Arial"/>
                <w:b/>
                <w:iCs/>
                <w:sz w:val="20"/>
                <w:szCs w:val="20"/>
              </w:rPr>
              <w:t>Achieved</w:t>
            </w:r>
            <w:r w:rsidR="009631F7">
              <w:rPr>
                <w:rFonts w:cs="Arial"/>
                <w:b/>
                <w:iCs/>
                <w:sz w:val="20"/>
                <w:szCs w:val="20"/>
              </w:rPr>
              <w:t>:</w:t>
            </w:r>
            <w:r w:rsidRPr="005553FB">
              <w:rPr>
                <w:rFonts w:cs="Arial"/>
                <w:b/>
                <w:iCs/>
                <w:sz w:val="20"/>
                <w:szCs w:val="20"/>
              </w:rPr>
              <w:t xml:space="preserve"> </w:t>
            </w:r>
            <w:r w:rsidRPr="005553FB">
              <w:rPr>
                <w:rFonts w:cs="Arial"/>
                <w:b/>
                <w:sz w:val="20"/>
                <w:szCs w:val="20"/>
              </w:rPr>
              <w:t>930</w:t>
            </w:r>
            <w:r w:rsidRPr="005553FB">
              <w:rPr>
                <w:rFonts w:cs="Arial"/>
                <w:b/>
                <w:sz w:val="20"/>
                <w:szCs w:val="20"/>
              </w:rPr>
              <w:br/>
            </w:r>
            <w:r w:rsidR="00F72217">
              <w:rPr>
                <w:rFonts w:cs="Arial"/>
                <w:bCs/>
                <w:i/>
                <w:sz w:val="20"/>
                <w:szCs w:val="20"/>
              </w:rPr>
              <w:t>(</w:t>
            </w:r>
            <w:r w:rsidR="00F72217" w:rsidRPr="008F7A4C">
              <w:rPr>
                <w:rFonts w:cs="Arial"/>
                <w:bCs/>
                <w:i/>
                <w:sz w:val="20"/>
                <w:szCs w:val="20"/>
              </w:rPr>
              <w:t>A++</w:t>
            </w:r>
            <w:r w:rsidR="00F72217" w:rsidRPr="00F72217">
              <w:rPr>
                <w:rFonts w:cs="Arial"/>
                <w:bCs/>
                <w:i/>
                <w:sz w:val="20"/>
                <w:szCs w:val="20"/>
              </w:rPr>
              <w:t>)</w:t>
            </w:r>
          </w:p>
          <w:p w14:paraId="2F196B5A" w14:textId="77777777" w:rsidR="006A123D" w:rsidRPr="0040656D" w:rsidRDefault="006A123D" w:rsidP="00657117">
            <w:pPr>
              <w:spacing w:after="240"/>
              <w:contextualSpacing/>
              <w:rPr>
                <w:rFonts w:cs="Arial"/>
                <w:bCs/>
                <w:iCs/>
                <w:sz w:val="20"/>
                <w:szCs w:val="20"/>
              </w:rPr>
            </w:pPr>
          </w:p>
        </w:tc>
      </w:tr>
    </w:tbl>
    <w:p w14:paraId="2B3A6C7D" w14:textId="77777777" w:rsidR="00D25339" w:rsidRDefault="00D25339" w:rsidP="00657117">
      <w:pPr>
        <w:spacing w:after="240"/>
        <w:jc w:val="both"/>
        <w:rPr>
          <w:rFonts w:cs="Arial"/>
          <w:b/>
          <w:bCs/>
          <w:sz w:val="20"/>
          <w:szCs w:val="20"/>
        </w:rPr>
      </w:pPr>
    </w:p>
    <w:p w14:paraId="70D215C8" w14:textId="3D2E1077" w:rsidR="006A123D" w:rsidRPr="0040656D" w:rsidRDefault="006A123D" w:rsidP="00657117">
      <w:pPr>
        <w:spacing w:after="240"/>
        <w:jc w:val="both"/>
        <w:rPr>
          <w:rFonts w:cs="Arial"/>
          <w:sz w:val="20"/>
          <w:szCs w:val="20"/>
        </w:rPr>
      </w:pPr>
      <w:r w:rsidRPr="0040656D">
        <w:rPr>
          <w:rFonts w:cs="Arial"/>
          <w:b/>
          <w:bCs/>
          <w:sz w:val="20"/>
          <w:szCs w:val="20"/>
        </w:rPr>
        <w:t xml:space="preserve">Briefly describe the output and provide supporting narrative for the score. </w:t>
      </w:r>
    </w:p>
    <w:p w14:paraId="469A9EA7" w14:textId="2A999DB2" w:rsidR="006A123D" w:rsidRPr="0040656D" w:rsidRDefault="006A123D" w:rsidP="00657117">
      <w:pPr>
        <w:spacing w:after="240"/>
        <w:jc w:val="both"/>
        <w:rPr>
          <w:rFonts w:cs="Arial"/>
          <w:sz w:val="20"/>
          <w:szCs w:val="20"/>
        </w:rPr>
      </w:pPr>
      <w:r w:rsidRPr="027658D4">
        <w:rPr>
          <w:rFonts w:cs="Arial"/>
          <w:sz w:val="20"/>
          <w:szCs w:val="20"/>
        </w:rPr>
        <w:t xml:space="preserve">Output 1a assesses finance secured for green buildings through public sources to realise new certified energy efficient green buildings. Output 1a </w:t>
      </w:r>
      <w:r w:rsidR="00705678" w:rsidRPr="027658D4">
        <w:rPr>
          <w:rFonts w:cs="Arial"/>
          <w:sz w:val="20"/>
          <w:szCs w:val="20"/>
        </w:rPr>
        <w:t xml:space="preserve">and </w:t>
      </w:r>
      <w:r w:rsidRPr="027658D4">
        <w:rPr>
          <w:rFonts w:cs="Arial"/>
          <w:sz w:val="20"/>
          <w:szCs w:val="20"/>
        </w:rPr>
        <w:t xml:space="preserve">output 1b (private finance secured for green buildings) </w:t>
      </w:r>
      <w:r w:rsidR="00705678" w:rsidRPr="027658D4">
        <w:rPr>
          <w:rFonts w:cs="Arial"/>
          <w:sz w:val="20"/>
          <w:szCs w:val="20"/>
        </w:rPr>
        <w:t xml:space="preserve">are weighted </w:t>
      </w:r>
      <w:r w:rsidRPr="027658D4">
        <w:rPr>
          <w:rFonts w:cs="Arial"/>
          <w:sz w:val="20"/>
          <w:szCs w:val="20"/>
        </w:rPr>
        <w:t>at 30% each</w:t>
      </w:r>
      <w:r w:rsidR="00705678" w:rsidRPr="027658D4">
        <w:rPr>
          <w:rFonts w:cs="Arial"/>
          <w:sz w:val="20"/>
          <w:szCs w:val="20"/>
        </w:rPr>
        <w:t xml:space="preserve"> (60% combined weighting)</w:t>
      </w:r>
      <w:r w:rsidRPr="027658D4">
        <w:rPr>
          <w:rFonts w:cs="Arial"/>
          <w:sz w:val="20"/>
          <w:szCs w:val="20"/>
        </w:rPr>
        <w:t xml:space="preserve">. </w:t>
      </w:r>
    </w:p>
    <w:p w14:paraId="34C55665" w14:textId="021806F5" w:rsidR="006A123D" w:rsidRPr="0040656D" w:rsidRDefault="006A123D" w:rsidP="00657117">
      <w:pPr>
        <w:pStyle w:val="Paragraph"/>
        <w:spacing w:after="240"/>
        <w:rPr>
          <w:sz w:val="20"/>
          <w:szCs w:val="20"/>
        </w:rPr>
      </w:pPr>
      <w:r w:rsidRPr="027658D4">
        <w:rPr>
          <w:sz w:val="20"/>
          <w:szCs w:val="20"/>
        </w:rPr>
        <w:t xml:space="preserve">Output </w:t>
      </w:r>
      <w:r w:rsidR="0005445D" w:rsidRPr="027658D4">
        <w:rPr>
          <w:sz w:val="20"/>
          <w:szCs w:val="20"/>
        </w:rPr>
        <w:t xml:space="preserve">1a </w:t>
      </w:r>
      <w:r w:rsidRPr="027658D4">
        <w:rPr>
          <w:sz w:val="20"/>
          <w:szCs w:val="20"/>
        </w:rPr>
        <w:t>scored an A++, as MAGC substantially exceeded its targets for Output indicators 1a.1, 1a.3 and 1a.5, and exceeded its targets for indicator 1a.2. Output indicator 1a.4 is not assessed and used for monitoring purposes only.</w:t>
      </w:r>
    </w:p>
    <w:p w14:paraId="11901F7C" w14:textId="10812EA6" w:rsidR="006A123D" w:rsidRPr="0040656D" w:rsidRDefault="008F3F04" w:rsidP="00657117">
      <w:pPr>
        <w:pStyle w:val="Paragraph"/>
        <w:spacing w:after="240"/>
        <w:rPr>
          <w:sz w:val="20"/>
          <w:szCs w:val="20"/>
        </w:rPr>
      </w:pPr>
      <w:r w:rsidRPr="5D18F44B">
        <w:rPr>
          <w:sz w:val="20"/>
          <w:szCs w:val="20"/>
        </w:rPr>
        <w:t xml:space="preserve">Cumulatively, to the end of the reporting period, </w:t>
      </w:r>
      <w:r w:rsidR="006A123D" w:rsidRPr="5D18F44B">
        <w:rPr>
          <w:sz w:val="20"/>
          <w:szCs w:val="20"/>
        </w:rPr>
        <w:t xml:space="preserve">MAGC completed a total of </w:t>
      </w:r>
      <w:r w:rsidR="007B5946" w:rsidRPr="5D18F44B">
        <w:rPr>
          <w:sz w:val="20"/>
          <w:szCs w:val="20"/>
        </w:rPr>
        <w:t>21</w:t>
      </w:r>
      <w:r w:rsidR="006A123D" w:rsidRPr="5D18F44B">
        <w:rPr>
          <w:sz w:val="20"/>
          <w:szCs w:val="20"/>
        </w:rPr>
        <w:t xml:space="preserve"> investments</w:t>
      </w:r>
      <w:r w:rsidR="001E031D" w:rsidRPr="5D18F44B">
        <w:rPr>
          <w:sz w:val="20"/>
          <w:szCs w:val="20"/>
        </w:rPr>
        <w:t>,</w:t>
      </w:r>
      <w:r w:rsidR="00333873" w:rsidRPr="5D18F44B">
        <w:rPr>
          <w:sz w:val="20"/>
          <w:szCs w:val="20"/>
        </w:rPr>
        <w:t xml:space="preserve"> via </w:t>
      </w:r>
      <w:r w:rsidR="001E031D" w:rsidRPr="5D18F44B">
        <w:rPr>
          <w:sz w:val="20"/>
          <w:szCs w:val="20"/>
        </w:rPr>
        <w:t>1</w:t>
      </w:r>
      <w:r w:rsidR="007B5946" w:rsidRPr="5D18F44B">
        <w:rPr>
          <w:sz w:val="20"/>
          <w:szCs w:val="20"/>
        </w:rPr>
        <w:t>9</w:t>
      </w:r>
      <w:r w:rsidR="001E031D" w:rsidRPr="5D18F44B">
        <w:rPr>
          <w:sz w:val="20"/>
          <w:szCs w:val="20"/>
        </w:rPr>
        <w:t xml:space="preserve"> FIs</w:t>
      </w:r>
      <w:r w:rsidR="00593C16" w:rsidRPr="5D18F44B">
        <w:rPr>
          <w:sz w:val="20"/>
          <w:szCs w:val="20"/>
        </w:rPr>
        <w:t>.</w:t>
      </w:r>
      <w:r w:rsidR="00FE16D9" w:rsidRPr="5D18F44B">
        <w:rPr>
          <w:sz w:val="20"/>
          <w:szCs w:val="20"/>
        </w:rPr>
        <w:t xml:space="preserve"> Because</w:t>
      </w:r>
      <w:r w:rsidR="006A123D" w:rsidRPr="5D18F44B">
        <w:rPr>
          <w:sz w:val="20"/>
          <w:szCs w:val="20"/>
        </w:rPr>
        <w:t xml:space="preserve"> Indicator 1a.1 is reported</w:t>
      </w:r>
      <w:r w:rsidR="00A96B8F" w:rsidRPr="5D18F44B">
        <w:rPr>
          <w:sz w:val="20"/>
          <w:szCs w:val="20"/>
        </w:rPr>
        <w:t xml:space="preserve"> as the number of FIs receiving investments </w:t>
      </w:r>
      <w:r w:rsidR="001E01F4" w:rsidRPr="5D18F44B">
        <w:rPr>
          <w:sz w:val="20"/>
          <w:szCs w:val="20"/>
        </w:rPr>
        <w:t>this indicator is reported as 1</w:t>
      </w:r>
      <w:r w:rsidR="007B5946" w:rsidRPr="5D18F44B">
        <w:rPr>
          <w:sz w:val="20"/>
          <w:szCs w:val="20"/>
        </w:rPr>
        <w:t>9</w:t>
      </w:r>
      <w:r w:rsidR="001E01F4" w:rsidRPr="5D18F44B">
        <w:rPr>
          <w:sz w:val="20"/>
          <w:szCs w:val="20"/>
        </w:rPr>
        <w:t>. This is because</w:t>
      </w:r>
      <w:r w:rsidR="00A96B8F" w:rsidRPr="5D18F44B">
        <w:rPr>
          <w:sz w:val="20"/>
          <w:szCs w:val="20"/>
        </w:rPr>
        <w:t xml:space="preserve"> </w:t>
      </w:r>
      <w:r w:rsidR="007B5946" w:rsidRPr="5D18F44B">
        <w:rPr>
          <w:sz w:val="20"/>
          <w:szCs w:val="20"/>
        </w:rPr>
        <w:t xml:space="preserve">two </w:t>
      </w:r>
      <w:r w:rsidR="001471E2" w:rsidRPr="5D18F44B">
        <w:rPr>
          <w:sz w:val="20"/>
          <w:szCs w:val="20"/>
        </w:rPr>
        <w:t>FI</w:t>
      </w:r>
      <w:r w:rsidR="007B5946" w:rsidRPr="5D18F44B">
        <w:rPr>
          <w:sz w:val="20"/>
          <w:szCs w:val="20"/>
        </w:rPr>
        <w:t>s (CIB and BBVA Peru)</w:t>
      </w:r>
      <w:r w:rsidR="00A96B8F" w:rsidRPr="5D18F44B">
        <w:rPr>
          <w:sz w:val="20"/>
          <w:szCs w:val="20"/>
        </w:rPr>
        <w:t xml:space="preserve"> ha</w:t>
      </w:r>
      <w:r w:rsidR="00E61054" w:rsidRPr="5D18F44B">
        <w:rPr>
          <w:sz w:val="20"/>
          <w:szCs w:val="20"/>
        </w:rPr>
        <w:t>ve</w:t>
      </w:r>
      <w:r w:rsidR="00A96B8F" w:rsidRPr="5D18F44B">
        <w:rPr>
          <w:sz w:val="20"/>
          <w:szCs w:val="20"/>
        </w:rPr>
        <w:t xml:space="preserve"> received two investments</w:t>
      </w:r>
      <w:r w:rsidR="007B5946" w:rsidRPr="5D18F44B">
        <w:rPr>
          <w:sz w:val="20"/>
          <w:szCs w:val="20"/>
        </w:rPr>
        <w:t xml:space="preserve"> each</w:t>
      </w:r>
      <w:r w:rsidR="001E01F4" w:rsidRPr="5D18F44B">
        <w:rPr>
          <w:sz w:val="20"/>
          <w:szCs w:val="20"/>
        </w:rPr>
        <w:t>.</w:t>
      </w:r>
      <w:r w:rsidR="006A123D" w:rsidRPr="5D18F44B">
        <w:rPr>
          <w:sz w:val="20"/>
          <w:szCs w:val="20"/>
        </w:rPr>
        <w:t xml:space="preserve"> This exceeded the target of </w:t>
      </w:r>
      <w:r w:rsidR="007B5946" w:rsidRPr="5D18F44B">
        <w:rPr>
          <w:sz w:val="20"/>
          <w:szCs w:val="20"/>
        </w:rPr>
        <w:t>11</w:t>
      </w:r>
      <w:r w:rsidR="00051D6C" w:rsidRPr="5D18F44B">
        <w:rPr>
          <w:sz w:val="20"/>
          <w:szCs w:val="20"/>
        </w:rPr>
        <w:t xml:space="preserve"> and achieved the </w:t>
      </w:r>
      <w:r w:rsidR="00E61054" w:rsidRPr="5D18F44B">
        <w:rPr>
          <w:sz w:val="20"/>
          <w:szCs w:val="20"/>
        </w:rPr>
        <w:t xml:space="preserve">Programme’s </w:t>
      </w:r>
      <w:r w:rsidR="00051D6C" w:rsidRPr="5D18F44B">
        <w:rPr>
          <w:sz w:val="20"/>
          <w:szCs w:val="20"/>
        </w:rPr>
        <w:t>lifetime target of 19</w:t>
      </w:r>
      <w:r w:rsidR="00B91375" w:rsidRPr="5D18F44B">
        <w:rPr>
          <w:sz w:val="20"/>
          <w:szCs w:val="20"/>
        </w:rPr>
        <w:t xml:space="preserve">, despite </w:t>
      </w:r>
      <w:r w:rsidR="0E8CF8FA" w:rsidRPr="5D18F44B">
        <w:rPr>
          <w:sz w:val="20"/>
          <w:szCs w:val="20"/>
        </w:rPr>
        <w:t>56</w:t>
      </w:r>
      <w:r w:rsidR="253FA3BB" w:rsidRPr="5D18F44B">
        <w:rPr>
          <w:sz w:val="20"/>
          <w:szCs w:val="20"/>
        </w:rPr>
        <w:t>.8</w:t>
      </w:r>
      <w:r w:rsidR="00B91375" w:rsidRPr="5D18F44B">
        <w:rPr>
          <w:sz w:val="20"/>
          <w:szCs w:val="20"/>
        </w:rPr>
        <w:t>% of the investment budget remaining</w:t>
      </w:r>
      <w:r w:rsidR="6B3F1E43" w:rsidRPr="5D18F44B">
        <w:rPr>
          <w:sz w:val="20"/>
          <w:szCs w:val="20"/>
        </w:rPr>
        <w:t xml:space="preserve"> (as of June 2024)</w:t>
      </w:r>
      <w:r w:rsidR="00584FF7" w:rsidRPr="5D18F44B">
        <w:rPr>
          <w:sz w:val="20"/>
          <w:szCs w:val="20"/>
        </w:rPr>
        <w:t xml:space="preserve">. </w:t>
      </w:r>
      <w:r w:rsidR="006A123D" w:rsidRPr="5D18F44B">
        <w:rPr>
          <w:sz w:val="20"/>
          <w:szCs w:val="20"/>
        </w:rPr>
        <w:t xml:space="preserve">One example investment, </w:t>
      </w:r>
      <w:r w:rsidR="00D77A88" w:rsidRPr="5D18F44B">
        <w:rPr>
          <w:sz w:val="20"/>
          <w:szCs w:val="20"/>
        </w:rPr>
        <w:t xml:space="preserve">in India, US$100 million was committed to </w:t>
      </w:r>
      <w:r w:rsidR="00D77A88" w:rsidRPr="5D18F44B">
        <w:rPr>
          <w:b/>
          <w:bCs/>
          <w:sz w:val="20"/>
          <w:szCs w:val="20"/>
        </w:rPr>
        <w:t xml:space="preserve">IIFL Finance </w:t>
      </w:r>
      <w:r w:rsidR="00D77A88" w:rsidRPr="5D18F44B">
        <w:rPr>
          <w:sz w:val="20"/>
          <w:szCs w:val="20"/>
        </w:rPr>
        <w:t>to assist developers and consumer mortgages in the affordable housing sector, with US$50 million dedicated to green housing. This investment leverages the EDGE functionality for self-build housing. It includes performance-based incentives to offset greening and EDGE certification costs for home buyers.</w:t>
      </w:r>
      <w:r w:rsidR="006A123D" w:rsidRPr="5D18F44B">
        <w:rPr>
          <w:sz w:val="20"/>
          <w:szCs w:val="20"/>
        </w:rPr>
        <w:t xml:space="preserve"> A full summary of the </w:t>
      </w:r>
      <w:r w:rsidR="008B2C2E" w:rsidRPr="5D18F44B">
        <w:rPr>
          <w:sz w:val="20"/>
          <w:szCs w:val="20"/>
        </w:rPr>
        <w:t xml:space="preserve">21 </w:t>
      </w:r>
      <w:r w:rsidR="006A123D" w:rsidRPr="5D18F44B">
        <w:rPr>
          <w:sz w:val="20"/>
          <w:szCs w:val="20"/>
        </w:rPr>
        <w:t xml:space="preserve">investments can be found in </w:t>
      </w:r>
      <w:r w:rsidR="006A123D" w:rsidRPr="5D18F44B">
        <w:rPr>
          <w:b/>
          <w:bCs/>
          <w:sz w:val="20"/>
          <w:szCs w:val="20"/>
        </w:rPr>
        <w:t>Annex A.</w:t>
      </w:r>
    </w:p>
    <w:p w14:paraId="6D759720" w14:textId="1038EB71" w:rsidR="006A123D" w:rsidRPr="0040656D" w:rsidRDefault="006A123D" w:rsidP="00657117">
      <w:pPr>
        <w:pStyle w:val="Paragraph"/>
        <w:spacing w:after="240"/>
        <w:rPr>
          <w:sz w:val="20"/>
          <w:szCs w:val="20"/>
        </w:rPr>
      </w:pPr>
      <w:r w:rsidRPr="08D7F225">
        <w:rPr>
          <w:sz w:val="20"/>
          <w:szCs w:val="20"/>
        </w:rPr>
        <w:lastRenderedPageBreak/>
        <w:t>As of June 30, 202</w:t>
      </w:r>
      <w:r w:rsidR="0070233B" w:rsidRPr="08D7F225">
        <w:rPr>
          <w:sz w:val="20"/>
          <w:szCs w:val="20"/>
        </w:rPr>
        <w:t>4</w:t>
      </w:r>
      <w:r w:rsidRPr="08D7F225">
        <w:rPr>
          <w:sz w:val="20"/>
          <w:szCs w:val="20"/>
        </w:rPr>
        <w:t>, US$</w:t>
      </w:r>
      <w:r w:rsidR="008665EE" w:rsidRPr="08D7F225">
        <w:rPr>
          <w:sz w:val="20"/>
          <w:szCs w:val="20"/>
        </w:rPr>
        <w:t xml:space="preserve">72.4 </w:t>
      </w:r>
      <w:r w:rsidRPr="08D7F225">
        <w:rPr>
          <w:sz w:val="20"/>
          <w:szCs w:val="20"/>
        </w:rPr>
        <w:t xml:space="preserve">million in MAGC funds had been </w:t>
      </w:r>
      <w:r w:rsidR="004C1695" w:rsidRPr="08D7F225">
        <w:rPr>
          <w:sz w:val="20"/>
          <w:szCs w:val="20"/>
        </w:rPr>
        <w:t>endorsed</w:t>
      </w:r>
      <w:r w:rsidR="0079585C" w:rsidRPr="08D7F225">
        <w:rPr>
          <w:sz w:val="20"/>
          <w:szCs w:val="20"/>
        </w:rPr>
        <w:t xml:space="preserve"> to projects</w:t>
      </w:r>
      <w:r w:rsidR="0070233B" w:rsidRPr="08D7F225">
        <w:rPr>
          <w:sz w:val="20"/>
          <w:szCs w:val="20"/>
        </w:rPr>
        <w:t xml:space="preserve"> </w:t>
      </w:r>
      <w:r w:rsidRPr="08D7F225">
        <w:rPr>
          <w:sz w:val="20"/>
          <w:szCs w:val="20"/>
        </w:rPr>
        <w:t xml:space="preserve">by the Blended Finance Committee. These transactions </w:t>
      </w:r>
      <w:r w:rsidR="007E4247" w:rsidRPr="08D7F225">
        <w:rPr>
          <w:sz w:val="20"/>
          <w:szCs w:val="20"/>
        </w:rPr>
        <w:t xml:space="preserve">are </w:t>
      </w:r>
      <w:r w:rsidRPr="08D7F225">
        <w:rPr>
          <w:sz w:val="20"/>
          <w:szCs w:val="20"/>
        </w:rPr>
        <w:t>expect</w:t>
      </w:r>
      <w:r w:rsidR="007E4247" w:rsidRPr="08D7F225">
        <w:rPr>
          <w:sz w:val="20"/>
          <w:szCs w:val="20"/>
        </w:rPr>
        <w:t>ed</w:t>
      </w:r>
      <w:r w:rsidRPr="08D7F225">
        <w:rPr>
          <w:sz w:val="20"/>
          <w:szCs w:val="20"/>
        </w:rPr>
        <w:t xml:space="preserve"> to leverage MAGC funds </w:t>
      </w:r>
      <w:r w:rsidR="007E4247" w:rsidRPr="08D7F225">
        <w:rPr>
          <w:sz w:val="20"/>
          <w:szCs w:val="20"/>
        </w:rPr>
        <w:t>on a 1:</w:t>
      </w:r>
      <w:r w:rsidRPr="08D7F225">
        <w:rPr>
          <w:sz w:val="20"/>
          <w:szCs w:val="20"/>
        </w:rPr>
        <w:t xml:space="preserve">20 </w:t>
      </w:r>
      <w:r w:rsidR="007E4247" w:rsidRPr="08D7F225">
        <w:rPr>
          <w:sz w:val="20"/>
          <w:szCs w:val="20"/>
        </w:rPr>
        <w:t>ratio</w:t>
      </w:r>
      <w:r w:rsidRPr="08D7F225">
        <w:rPr>
          <w:sz w:val="20"/>
          <w:szCs w:val="20"/>
        </w:rPr>
        <w:t>. Overall, the pipeline (as of June 30, 202</w:t>
      </w:r>
      <w:r w:rsidR="004C1695" w:rsidRPr="08D7F225">
        <w:rPr>
          <w:sz w:val="20"/>
          <w:szCs w:val="20"/>
        </w:rPr>
        <w:t>4</w:t>
      </w:r>
      <w:r w:rsidRPr="08D7F225">
        <w:rPr>
          <w:sz w:val="20"/>
          <w:szCs w:val="20"/>
        </w:rPr>
        <w:t xml:space="preserve">) includes 32 projects at various stages in 14 countries. This represents a potential </w:t>
      </w:r>
      <w:r w:rsidR="45527360" w:rsidRPr="08D7F225">
        <w:rPr>
          <w:sz w:val="20"/>
          <w:szCs w:val="20"/>
        </w:rPr>
        <w:t>private</w:t>
      </w:r>
      <w:r w:rsidR="008F6A47" w:rsidRPr="08D7F225">
        <w:rPr>
          <w:sz w:val="20"/>
          <w:szCs w:val="20"/>
        </w:rPr>
        <w:t xml:space="preserve"> sector (IFC and other)</w:t>
      </w:r>
      <w:r w:rsidR="38021248" w:rsidRPr="08D7F225">
        <w:rPr>
          <w:sz w:val="20"/>
          <w:szCs w:val="20"/>
        </w:rPr>
        <w:t xml:space="preserve"> </w:t>
      </w:r>
      <w:r w:rsidRPr="08D7F225">
        <w:rPr>
          <w:sz w:val="20"/>
          <w:szCs w:val="20"/>
        </w:rPr>
        <w:t xml:space="preserve">investment volume of about US$1,421 million across Africa, Asia, Latin America, and Global projects. </w:t>
      </w:r>
      <w:r w:rsidR="005D7C5F" w:rsidRPr="08D7F225">
        <w:rPr>
          <w:sz w:val="20"/>
          <w:szCs w:val="20"/>
        </w:rPr>
        <w:t>After a strong FY2</w:t>
      </w:r>
      <w:r w:rsidR="00EA22EA" w:rsidRPr="08D7F225">
        <w:rPr>
          <w:sz w:val="20"/>
          <w:szCs w:val="20"/>
        </w:rPr>
        <w:t>4</w:t>
      </w:r>
      <w:r w:rsidR="005D7C5F" w:rsidRPr="08D7F225">
        <w:rPr>
          <w:sz w:val="20"/>
          <w:szCs w:val="20"/>
        </w:rPr>
        <w:t xml:space="preserve"> IFC sees a solid pipeline inflow in addition to successfully realized transactions. Pipeline remains subject to current geopolitical and macroeconomic </w:t>
      </w:r>
      <w:r w:rsidR="00F904F6" w:rsidRPr="08D7F225">
        <w:rPr>
          <w:sz w:val="20"/>
          <w:szCs w:val="20"/>
        </w:rPr>
        <w:t>factors</w:t>
      </w:r>
      <w:r w:rsidR="005D7C5F" w:rsidRPr="08D7F225">
        <w:rPr>
          <w:sz w:val="20"/>
          <w:szCs w:val="20"/>
        </w:rPr>
        <w:t xml:space="preserve">, which may impact project development. </w:t>
      </w:r>
    </w:p>
    <w:p w14:paraId="5333870F" w14:textId="382CF119" w:rsidR="006A123D" w:rsidRPr="0040656D" w:rsidRDefault="006A123D" w:rsidP="00657117">
      <w:pPr>
        <w:pStyle w:val="Paragraph"/>
        <w:spacing w:after="240"/>
        <w:rPr>
          <w:sz w:val="20"/>
          <w:szCs w:val="20"/>
        </w:rPr>
      </w:pPr>
      <w:r w:rsidRPr="75801B79">
        <w:rPr>
          <w:sz w:val="20"/>
          <w:szCs w:val="20"/>
        </w:rPr>
        <w:t xml:space="preserve">In this reporting period, MAGC signed </w:t>
      </w:r>
      <w:r w:rsidR="00F06BBF" w:rsidRPr="75801B79">
        <w:rPr>
          <w:sz w:val="20"/>
          <w:szCs w:val="20"/>
        </w:rPr>
        <w:t>one further</w:t>
      </w:r>
      <w:r w:rsidR="0079585C" w:rsidRPr="75801B79">
        <w:rPr>
          <w:sz w:val="20"/>
          <w:szCs w:val="20"/>
        </w:rPr>
        <w:t xml:space="preserve"> </w:t>
      </w:r>
      <w:r w:rsidRPr="75801B79">
        <w:rPr>
          <w:sz w:val="20"/>
          <w:szCs w:val="20"/>
        </w:rPr>
        <w:t xml:space="preserve">stand-alone advisory services </w:t>
      </w:r>
      <w:r w:rsidR="0037200F" w:rsidRPr="75801B79">
        <w:rPr>
          <w:sz w:val="20"/>
          <w:szCs w:val="20"/>
        </w:rPr>
        <w:t>projects</w:t>
      </w:r>
      <w:r w:rsidRPr="75801B79">
        <w:rPr>
          <w:sz w:val="20"/>
          <w:szCs w:val="20"/>
        </w:rPr>
        <w:t xml:space="preserve"> with</w:t>
      </w:r>
      <w:r w:rsidR="00F06BBF" w:rsidRPr="75801B79">
        <w:rPr>
          <w:sz w:val="20"/>
          <w:szCs w:val="20"/>
        </w:rPr>
        <w:t xml:space="preserve"> </w:t>
      </w:r>
      <w:r w:rsidR="00F904F6" w:rsidRPr="75801B79">
        <w:rPr>
          <w:sz w:val="20"/>
          <w:szCs w:val="20"/>
        </w:rPr>
        <w:t>a f</w:t>
      </w:r>
      <w:r w:rsidRPr="75801B79">
        <w:rPr>
          <w:sz w:val="20"/>
          <w:szCs w:val="20"/>
        </w:rPr>
        <w:t xml:space="preserve">inancial </w:t>
      </w:r>
      <w:r w:rsidR="00F904F6" w:rsidRPr="75801B79">
        <w:rPr>
          <w:sz w:val="20"/>
          <w:szCs w:val="20"/>
        </w:rPr>
        <w:t>i</w:t>
      </w:r>
      <w:r w:rsidRPr="75801B79">
        <w:rPr>
          <w:sz w:val="20"/>
          <w:szCs w:val="20"/>
        </w:rPr>
        <w:t>nstitution</w:t>
      </w:r>
      <w:r w:rsidR="00F904F6" w:rsidRPr="75801B79">
        <w:rPr>
          <w:sz w:val="20"/>
          <w:szCs w:val="20"/>
        </w:rPr>
        <w:t>,</w:t>
      </w:r>
      <w:r w:rsidR="00E02FE3" w:rsidRPr="75801B79">
        <w:rPr>
          <w:sz w:val="20"/>
          <w:szCs w:val="20"/>
        </w:rPr>
        <w:t xml:space="preserve"> </w:t>
      </w:r>
      <w:r w:rsidR="00D5240B" w:rsidRPr="75801B79">
        <w:rPr>
          <w:sz w:val="20"/>
          <w:szCs w:val="20"/>
        </w:rPr>
        <w:t>Khan Bank in Mongolia</w:t>
      </w:r>
      <w:r w:rsidR="00F904F6" w:rsidRPr="75801B79">
        <w:rPr>
          <w:sz w:val="20"/>
          <w:szCs w:val="20"/>
        </w:rPr>
        <w:t>, bringing t</w:t>
      </w:r>
      <w:r w:rsidRPr="75801B79">
        <w:rPr>
          <w:sz w:val="20"/>
          <w:szCs w:val="20"/>
        </w:rPr>
        <w:t xml:space="preserve">he cumulative total </w:t>
      </w:r>
      <w:r w:rsidR="00F904F6" w:rsidRPr="75801B79">
        <w:rPr>
          <w:sz w:val="20"/>
          <w:szCs w:val="20"/>
        </w:rPr>
        <w:t xml:space="preserve">to </w:t>
      </w:r>
      <w:r w:rsidR="0079585C" w:rsidRPr="75801B79">
        <w:rPr>
          <w:sz w:val="20"/>
          <w:szCs w:val="20"/>
        </w:rPr>
        <w:t>4</w:t>
      </w:r>
      <w:r w:rsidR="00D5240B" w:rsidRPr="75801B79">
        <w:rPr>
          <w:sz w:val="20"/>
          <w:szCs w:val="20"/>
        </w:rPr>
        <w:t>,</w:t>
      </w:r>
      <w:r w:rsidR="0037200F" w:rsidRPr="75801B79">
        <w:rPr>
          <w:sz w:val="20"/>
          <w:szCs w:val="20"/>
        </w:rPr>
        <w:t xml:space="preserve"> exceeding</w:t>
      </w:r>
      <w:r w:rsidRPr="75801B79">
        <w:rPr>
          <w:sz w:val="20"/>
          <w:szCs w:val="20"/>
        </w:rPr>
        <w:t xml:space="preserve"> </w:t>
      </w:r>
      <w:r w:rsidR="00D5240B" w:rsidRPr="75801B79">
        <w:rPr>
          <w:sz w:val="20"/>
          <w:szCs w:val="20"/>
        </w:rPr>
        <w:t xml:space="preserve">target </w:t>
      </w:r>
      <w:r w:rsidRPr="75801B79">
        <w:rPr>
          <w:sz w:val="20"/>
          <w:szCs w:val="20"/>
        </w:rPr>
        <w:t xml:space="preserve">expectation of </w:t>
      </w:r>
      <w:r w:rsidR="0049460D" w:rsidRPr="75801B79">
        <w:rPr>
          <w:sz w:val="20"/>
          <w:szCs w:val="20"/>
        </w:rPr>
        <w:t>3</w:t>
      </w:r>
      <w:r w:rsidRPr="75801B79">
        <w:rPr>
          <w:sz w:val="20"/>
          <w:szCs w:val="20"/>
        </w:rPr>
        <w:t xml:space="preserve"> </w:t>
      </w:r>
      <w:r w:rsidR="00A47121" w:rsidRPr="75801B79">
        <w:rPr>
          <w:sz w:val="20"/>
          <w:szCs w:val="20"/>
        </w:rPr>
        <w:t>and achieving the Programme lifetime target of 4</w:t>
      </w:r>
      <w:r w:rsidR="006E06B0" w:rsidRPr="75801B79">
        <w:rPr>
          <w:sz w:val="20"/>
          <w:szCs w:val="20"/>
        </w:rPr>
        <w:t>, despite</w:t>
      </w:r>
      <w:r w:rsidR="49E7E4C2" w:rsidRPr="75801B79">
        <w:rPr>
          <w:sz w:val="20"/>
          <w:szCs w:val="20"/>
        </w:rPr>
        <w:t>19.1</w:t>
      </w:r>
      <w:r w:rsidR="006E06B0" w:rsidRPr="75801B79">
        <w:rPr>
          <w:sz w:val="20"/>
          <w:szCs w:val="20"/>
        </w:rPr>
        <w:t xml:space="preserve">% of advisory funds </w:t>
      </w:r>
      <w:proofErr w:type="gramStart"/>
      <w:r w:rsidR="006E06B0" w:rsidRPr="75801B79">
        <w:rPr>
          <w:sz w:val="20"/>
          <w:szCs w:val="20"/>
        </w:rPr>
        <w:t>still remaining</w:t>
      </w:r>
      <w:proofErr w:type="gramEnd"/>
      <w:r w:rsidR="00A47121" w:rsidRPr="75801B79">
        <w:rPr>
          <w:sz w:val="20"/>
          <w:szCs w:val="20"/>
        </w:rPr>
        <w:t xml:space="preserve">. </w:t>
      </w:r>
      <w:r w:rsidRPr="75801B79">
        <w:rPr>
          <w:sz w:val="20"/>
          <w:szCs w:val="20"/>
        </w:rPr>
        <w:t xml:space="preserve">The latest Advisory Services project </w:t>
      </w:r>
      <w:r w:rsidR="00A47121" w:rsidRPr="75801B79">
        <w:rPr>
          <w:sz w:val="20"/>
          <w:szCs w:val="20"/>
        </w:rPr>
        <w:t xml:space="preserve">with Khan Bank </w:t>
      </w:r>
      <w:r w:rsidR="007828B3" w:rsidRPr="75801B79">
        <w:rPr>
          <w:sz w:val="20"/>
          <w:szCs w:val="20"/>
        </w:rPr>
        <w:t xml:space="preserve">aims to strengthen the banks climate and green finance management capacity, as well as expanding its green building portfolio offer. </w:t>
      </w:r>
    </w:p>
    <w:p w14:paraId="7AD11B98" w14:textId="77777777" w:rsidR="006A123D" w:rsidRPr="0040656D" w:rsidRDefault="006A123D" w:rsidP="00657117">
      <w:pPr>
        <w:pStyle w:val="Paragraph"/>
        <w:spacing w:after="240"/>
        <w:rPr>
          <w:sz w:val="20"/>
          <w:szCs w:val="20"/>
        </w:rPr>
      </w:pPr>
      <w:r w:rsidRPr="00846963">
        <w:rPr>
          <w:b/>
          <w:sz w:val="20"/>
          <w:szCs w:val="20"/>
        </w:rPr>
        <w:t xml:space="preserve">Describe any changes to this output, and any planned changes </w:t>
      </w:r>
      <w:proofErr w:type="gramStart"/>
      <w:r w:rsidRPr="00846963">
        <w:rPr>
          <w:b/>
          <w:sz w:val="20"/>
          <w:szCs w:val="20"/>
        </w:rPr>
        <w:t>as a result of</w:t>
      </w:r>
      <w:proofErr w:type="gramEnd"/>
      <w:r w:rsidRPr="00846963">
        <w:rPr>
          <w:b/>
          <w:sz w:val="20"/>
          <w:szCs w:val="20"/>
        </w:rPr>
        <w:t xml:space="preserve"> this review.</w:t>
      </w:r>
      <w:r w:rsidRPr="0040656D">
        <w:rPr>
          <w:b/>
          <w:sz w:val="20"/>
          <w:szCs w:val="20"/>
        </w:rPr>
        <w:t xml:space="preserve"> </w:t>
      </w:r>
    </w:p>
    <w:p w14:paraId="055D7FEE" w14:textId="77777777" w:rsidR="00114D60" w:rsidRPr="0040656D" w:rsidRDefault="00114D60" w:rsidP="00657117">
      <w:pPr>
        <w:pStyle w:val="paragraph0"/>
        <w:spacing w:before="0" w:beforeAutospacing="0" w:after="240" w:afterAutospacing="0"/>
        <w:jc w:val="both"/>
        <w:textAlignment w:val="baseline"/>
        <w:rPr>
          <w:rStyle w:val="normaltextrun"/>
          <w:rFonts w:ascii="Arial" w:hAnsi="Arial" w:cs="Arial"/>
          <w:color w:val="000000"/>
          <w:sz w:val="20"/>
          <w:szCs w:val="20"/>
          <w:u w:val="single"/>
        </w:rPr>
      </w:pPr>
      <w:r w:rsidRPr="0040656D">
        <w:rPr>
          <w:rStyle w:val="normaltextrun"/>
          <w:rFonts w:ascii="Arial" w:hAnsi="Arial" w:cs="Arial"/>
          <w:color w:val="000000"/>
          <w:sz w:val="20"/>
          <w:szCs w:val="20"/>
          <w:u w:val="single"/>
        </w:rPr>
        <w:t xml:space="preserve">This Reporting Period </w:t>
      </w:r>
    </w:p>
    <w:p w14:paraId="6F7334AA" w14:textId="39B728BB" w:rsidR="00846963" w:rsidRPr="0040656D" w:rsidRDefault="005F203A"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 xml:space="preserve">In December 2023, </w:t>
      </w:r>
      <w:r w:rsidR="00114D60" w:rsidRPr="0040656D">
        <w:rPr>
          <w:rStyle w:val="normaltextrun"/>
          <w:rFonts w:ascii="Arial" w:hAnsi="Arial" w:cs="Arial"/>
          <w:color w:val="000000" w:themeColor="text1"/>
          <w:sz w:val="20"/>
          <w:szCs w:val="20"/>
        </w:rPr>
        <w:t>DESNZ and IFC completed a Change Request of £</w:t>
      </w:r>
      <w:r w:rsidR="00114D60">
        <w:rPr>
          <w:rStyle w:val="normaltextrun"/>
          <w:rFonts w:ascii="Arial" w:hAnsi="Arial" w:cs="Arial"/>
          <w:color w:val="000000" w:themeColor="text1"/>
          <w:sz w:val="20"/>
          <w:szCs w:val="20"/>
        </w:rPr>
        <w:t>24</w:t>
      </w:r>
      <w:r w:rsidR="00114D60" w:rsidRPr="0040656D">
        <w:rPr>
          <w:rStyle w:val="normaltextrun"/>
          <w:rFonts w:ascii="Arial" w:hAnsi="Arial" w:cs="Arial"/>
          <w:color w:val="000000" w:themeColor="text1"/>
          <w:sz w:val="20"/>
          <w:szCs w:val="20"/>
        </w:rPr>
        <w:t>m</w:t>
      </w:r>
      <w:r w:rsidR="00ED4683">
        <w:rPr>
          <w:rStyle w:val="normaltextrun"/>
          <w:rFonts w:ascii="Arial" w:hAnsi="Arial" w:cs="Arial"/>
          <w:color w:val="000000" w:themeColor="text1"/>
          <w:sz w:val="20"/>
          <w:szCs w:val="20"/>
        </w:rPr>
        <w:t>, providing £22m allocated to concessional finance and £2m for advisory services and administrative support</w:t>
      </w:r>
      <w:r w:rsidR="00CA645F">
        <w:rPr>
          <w:rStyle w:val="normaltextrun"/>
          <w:rFonts w:ascii="Arial" w:hAnsi="Arial" w:cs="Arial"/>
          <w:color w:val="000000" w:themeColor="text1"/>
          <w:sz w:val="20"/>
          <w:szCs w:val="20"/>
        </w:rPr>
        <w:t xml:space="preserve"> to</w:t>
      </w:r>
      <w:r w:rsidR="00114D60" w:rsidRPr="0040656D">
        <w:rPr>
          <w:rStyle w:val="normaltextrun"/>
          <w:rFonts w:ascii="Arial" w:hAnsi="Arial" w:cs="Arial"/>
          <w:color w:val="000000" w:themeColor="text1"/>
          <w:sz w:val="20"/>
          <w:szCs w:val="20"/>
        </w:rPr>
        <w:t xml:space="preserve"> Component </w:t>
      </w:r>
      <w:r w:rsidR="00114D60">
        <w:rPr>
          <w:rStyle w:val="normaltextrun"/>
          <w:rFonts w:ascii="Arial" w:hAnsi="Arial" w:cs="Arial"/>
          <w:color w:val="000000" w:themeColor="text1"/>
          <w:sz w:val="20"/>
          <w:szCs w:val="20"/>
        </w:rPr>
        <w:t xml:space="preserve">1. </w:t>
      </w:r>
      <w:r w:rsidR="00114D60" w:rsidRPr="0040656D">
        <w:rPr>
          <w:rStyle w:val="normaltextrun"/>
          <w:rFonts w:ascii="Arial" w:hAnsi="Arial" w:cs="Arial"/>
          <w:color w:val="000000" w:themeColor="text1"/>
          <w:sz w:val="20"/>
          <w:szCs w:val="20"/>
        </w:rPr>
        <w:t xml:space="preserve">A detailed summary of the Change Request is provided in </w:t>
      </w:r>
      <w:r w:rsidR="00114D60" w:rsidRPr="008E5FC7">
        <w:rPr>
          <w:rStyle w:val="normaltextrun"/>
          <w:rFonts w:ascii="Arial" w:hAnsi="Arial" w:cs="Arial"/>
          <w:b/>
          <w:bCs/>
          <w:color w:val="000000" w:themeColor="text1"/>
          <w:sz w:val="20"/>
          <w:szCs w:val="20"/>
        </w:rPr>
        <w:t>Section D</w:t>
      </w:r>
      <w:r w:rsidR="00114D60" w:rsidRPr="0040656D">
        <w:rPr>
          <w:rStyle w:val="normaltextrun"/>
          <w:rFonts w:ascii="Arial" w:hAnsi="Arial" w:cs="Arial"/>
          <w:color w:val="000000" w:themeColor="text1"/>
          <w:sz w:val="20"/>
          <w:szCs w:val="20"/>
        </w:rPr>
        <w:t xml:space="preserve">. </w:t>
      </w:r>
      <w:r w:rsidR="00864820">
        <w:rPr>
          <w:rStyle w:val="normaltextrun"/>
          <w:rFonts w:ascii="Arial" w:hAnsi="Arial" w:cs="Arial"/>
          <w:color w:val="000000" w:themeColor="text1"/>
          <w:sz w:val="20"/>
          <w:szCs w:val="20"/>
        </w:rPr>
        <w:t xml:space="preserve">The implementation, including </w:t>
      </w:r>
      <w:r w:rsidR="00451607">
        <w:rPr>
          <w:rStyle w:val="normaltextrun"/>
          <w:rFonts w:ascii="Arial" w:hAnsi="Arial" w:cs="Arial"/>
          <w:color w:val="000000" w:themeColor="text1"/>
          <w:sz w:val="20"/>
          <w:szCs w:val="20"/>
        </w:rPr>
        <w:t>Logframe</w:t>
      </w:r>
      <w:r w:rsidR="00864820">
        <w:rPr>
          <w:rStyle w:val="normaltextrun"/>
          <w:rFonts w:ascii="Arial" w:hAnsi="Arial" w:cs="Arial"/>
          <w:color w:val="000000" w:themeColor="text1"/>
          <w:sz w:val="20"/>
          <w:szCs w:val="20"/>
        </w:rPr>
        <w:t xml:space="preserve"> amendments</w:t>
      </w:r>
      <w:r w:rsidR="00367629">
        <w:rPr>
          <w:rStyle w:val="normaltextrun"/>
          <w:rFonts w:ascii="Arial" w:hAnsi="Arial" w:cs="Arial"/>
          <w:color w:val="000000" w:themeColor="text1"/>
          <w:sz w:val="20"/>
          <w:szCs w:val="20"/>
        </w:rPr>
        <w:t xml:space="preserve"> </w:t>
      </w:r>
      <w:r w:rsidR="00367629" w:rsidRPr="00690311">
        <w:rPr>
          <w:rStyle w:val="normaltextrun"/>
          <w:rFonts w:ascii="Arial" w:hAnsi="Arial" w:cs="Arial"/>
          <w:color w:val="000000" w:themeColor="text1"/>
          <w:sz w:val="20"/>
          <w:szCs w:val="20"/>
        </w:rPr>
        <w:t xml:space="preserve">(Recommendation </w:t>
      </w:r>
      <w:r w:rsidR="00690311">
        <w:rPr>
          <w:rStyle w:val="normaltextrun"/>
          <w:rFonts w:ascii="Arial" w:hAnsi="Arial" w:cs="Arial"/>
          <w:color w:val="000000" w:themeColor="text1"/>
          <w:sz w:val="20"/>
          <w:szCs w:val="20"/>
        </w:rPr>
        <w:t>3</w:t>
      </w:r>
      <w:r w:rsidR="00367629" w:rsidRPr="00690311">
        <w:rPr>
          <w:rStyle w:val="normaltextrun"/>
          <w:rFonts w:ascii="Arial" w:hAnsi="Arial" w:cs="Arial"/>
          <w:color w:val="000000" w:themeColor="text1"/>
          <w:sz w:val="20"/>
          <w:szCs w:val="20"/>
        </w:rPr>
        <w:t>)</w:t>
      </w:r>
      <w:r w:rsidR="00864820" w:rsidRPr="00690311">
        <w:rPr>
          <w:rStyle w:val="normaltextrun"/>
          <w:rFonts w:ascii="Arial" w:hAnsi="Arial" w:cs="Arial"/>
          <w:color w:val="000000" w:themeColor="text1"/>
          <w:sz w:val="20"/>
          <w:szCs w:val="20"/>
        </w:rPr>
        <w:t>, will</w:t>
      </w:r>
      <w:r w:rsidR="00864820">
        <w:rPr>
          <w:rStyle w:val="normaltextrun"/>
          <w:rFonts w:ascii="Arial" w:hAnsi="Arial" w:cs="Arial"/>
          <w:color w:val="000000" w:themeColor="text1"/>
          <w:sz w:val="20"/>
          <w:szCs w:val="20"/>
        </w:rPr>
        <w:t xml:space="preserve"> begin in the next reporting period. </w:t>
      </w:r>
      <w:r w:rsidR="00114D60" w:rsidRPr="0040656D">
        <w:rPr>
          <w:rStyle w:val="normaltextrun"/>
          <w:rFonts w:ascii="Arial" w:hAnsi="Arial" w:cs="Arial"/>
          <w:color w:val="000000" w:themeColor="text1"/>
          <w:sz w:val="20"/>
          <w:szCs w:val="20"/>
        </w:rPr>
        <w:t xml:space="preserve"> </w:t>
      </w:r>
    </w:p>
    <w:p w14:paraId="299F3322" w14:textId="77777777" w:rsidR="00114D60" w:rsidRPr="0040656D" w:rsidRDefault="00114D60" w:rsidP="00657117">
      <w:pPr>
        <w:pStyle w:val="paragraph0"/>
        <w:spacing w:before="0" w:beforeAutospacing="0" w:after="240" w:afterAutospacing="0"/>
        <w:jc w:val="both"/>
        <w:textAlignment w:val="baseline"/>
        <w:rPr>
          <w:rStyle w:val="normaltextrun"/>
          <w:rFonts w:ascii="Arial" w:hAnsi="Arial" w:cs="Arial"/>
          <w:color w:val="000000"/>
          <w:sz w:val="20"/>
          <w:szCs w:val="20"/>
          <w:u w:val="single"/>
        </w:rPr>
      </w:pPr>
      <w:r w:rsidRPr="0040656D">
        <w:rPr>
          <w:rStyle w:val="normaltextrun"/>
          <w:rFonts w:ascii="Arial" w:hAnsi="Arial" w:cs="Arial"/>
          <w:color w:val="000000" w:themeColor="text1"/>
          <w:sz w:val="20"/>
          <w:szCs w:val="20"/>
          <w:u w:val="single"/>
        </w:rPr>
        <w:t>Future Changes</w:t>
      </w:r>
    </w:p>
    <w:p w14:paraId="62F44ABF" w14:textId="54DBA61D" w:rsidR="00DA4DAB" w:rsidRDefault="00114D60"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rPr>
      </w:pPr>
      <w:r w:rsidRPr="0040656D">
        <w:rPr>
          <w:rStyle w:val="normaltextrun"/>
          <w:rFonts w:ascii="Arial" w:hAnsi="Arial" w:cs="Arial"/>
          <w:color w:val="000000" w:themeColor="text1"/>
          <w:sz w:val="20"/>
          <w:szCs w:val="20"/>
        </w:rPr>
        <w:t xml:space="preserve">As part of the </w:t>
      </w:r>
      <w:r w:rsidR="00A23B61">
        <w:rPr>
          <w:rStyle w:val="normaltextrun"/>
          <w:rFonts w:ascii="Arial" w:hAnsi="Arial" w:cs="Arial"/>
          <w:color w:val="000000" w:themeColor="text1"/>
          <w:sz w:val="20"/>
          <w:szCs w:val="20"/>
        </w:rPr>
        <w:t xml:space="preserve">December 2023 </w:t>
      </w:r>
      <w:r w:rsidRPr="0040656D">
        <w:rPr>
          <w:rStyle w:val="normaltextrun"/>
          <w:rFonts w:ascii="Arial" w:hAnsi="Arial" w:cs="Arial"/>
          <w:color w:val="000000" w:themeColor="text1"/>
          <w:sz w:val="20"/>
          <w:szCs w:val="20"/>
        </w:rPr>
        <w:t xml:space="preserve">Change Request above, amendments are required to capture the implementation of the activities that were agreed, with work due to </w:t>
      </w:r>
      <w:r>
        <w:rPr>
          <w:rStyle w:val="normaltextrun"/>
          <w:rFonts w:ascii="Arial" w:hAnsi="Arial" w:cs="Arial"/>
          <w:color w:val="000000" w:themeColor="text1"/>
          <w:sz w:val="20"/>
          <w:szCs w:val="20"/>
        </w:rPr>
        <w:t>be complete</w:t>
      </w:r>
      <w:r w:rsidRPr="0040656D">
        <w:rPr>
          <w:rStyle w:val="normaltextrun"/>
          <w:rFonts w:ascii="Arial" w:hAnsi="Arial" w:cs="Arial"/>
          <w:color w:val="000000" w:themeColor="text1"/>
          <w:sz w:val="20"/>
          <w:szCs w:val="20"/>
        </w:rPr>
        <w:t xml:space="preserve"> in the next reporting period. A detailed summary of the Change Request is provided in </w:t>
      </w:r>
      <w:r w:rsidRPr="008E5FC7">
        <w:rPr>
          <w:rStyle w:val="normaltextrun"/>
          <w:rFonts w:ascii="Arial" w:hAnsi="Arial" w:cs="Arial"/>
          <w:b/>
          <w:bCs/>
          <w:color w:val="000000" w:themeColor="text1"/>
          <w:sz w:val="20"/>
          <w:szCs w:val="20"/>
        </w:rPr>
        <w:t>Section D.</w:t>
      </w:r>
      <w:r w:rsidRPr="0040656D">
        <w:rPr>
          <w:rStyle w:val="normaltextrun"/>
          <w:rFonts w:ascii="Arial" w:hAnsi="Arial" w:cs="Arial"/>
          <w:color w:val="000000" w:themeColor="text1"/>
          <w:sz w:val="20"/>
          <w:szCs w:val="20"/>
        </w:rPr>
        <w:t xml:space="preserve">   </w:t>
      </w:r>
    </w:p>
    <w:p w14:paraId="1110D1E1" w14:textId="6AB91101" w:rsidR="00DA4DAB" w:rsidRDefault="00ED1C7A"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 xml:space="preserve">As summarised </w:t>
      </w:r>
      <w:r w:rsidRPr="00690311">
        <w:rPr>
          <w:rStyle w:val="normaltextrun"/>
          <w:rFonts w:ascii="Arial" w:hAnsi="Arial" w:cs="Arial"/>
          <w:color w:val="000000" w:themeColor="text1"/>
          <w:sz w:val="20"/>
          <w:szCs w:val="20"/>
        </w:rPr>
        <w:t xml:space="preserve">in Recommendation </w:t>
      </w:r>
      <w:r w:rsidR="00690311">
        <w:rPr>
          <w:rStyle w:val="normaltextrun"/>
          <w:rFonts w:ascii="Arial" w:hAnsi="Arial" w:cs="Arial"/>
          <w:color w:val="000000" w:themeColor="text1"/>
          <w:sz w:val="20"/>
          <w:szCs w:val="20"/>
        </w:rPr>
        <w:t>3</w:t>
      </w:r>
      <w:r w:rsidRPr="00690311">
        <w:rPr>
          <w:rStyle w:val="normaltextrun"/>
          <w:rFonts w:ascii="Arial" w:hAnsi="Arial" w:cs="Arial"/>
          <w:color w:val="000000" w:themeColor="text1"/>
          <w:sz w:val="20"/>
          <w:szCs w:val="20"/>
        </w:rPr>
        <w:t>, f</w:t>
      </w:r>
      <w:r w:rsidR="00DA4DAB" w:rsidRPr="00690311">
        <w:rPr>
          <w:rStyle w:val="normaltextrun"/>
          <w:rFonts w:ascii="Arial" w:hAnsi="Arial" w:cs="Arial"/>
          <w:color w:val="000000" w:themeColor="text1"/>
          <w:sz w:val="20"/>
          <w:szCs w:val="20"/>
        </w:rPr>
        <w:t>urther</w:t>
      </w:r>
      <w:r w:rsidR="00DA4DAB">
        <w:rPr>
          <w:rStyle w:val="normaltextrun"/>
          <w:rFonts w:ascii="Arial" w:hAnsi="Arial" w:cs="Arial"/>
          <w:color w:val="000000" w:themeColor="text1"/>
          <w:sz w:val="20"/>
          <w:szCs w:val="20"/>
        </w:rPr>
        <w:t xml:space="preserve"> evaluation of the </w:t>
      </w:r>
      <w:r w:rsidR="00451607">
        <w:rPr>
          <w:rStyle w:val="normaltextrun"/>
          <w:rFonts w:ascii="Arial" w:hAnsi="Arial" w:cs="Arial"/>
          <w:color w:val="000000" w:themeColor="text1"/>
          <w:sz w:val="20"/>
          <w:szCs w:val="20"/>
        </w:rPr>
        <w:t>Logframe</w:t>
      </w:r>
      <w:r w:rsidR="00DA4DAB">
        <w:rPr>
          <w:rStyle w:val="normaltextrun"/>
          <w:rFonts w:ascii="Arial" w:hAnsi="Arial" w:cs="Arial"/>
          <w:color w:val="000000" w:themeColor="text1"/>
          <w:sz w:val="20"/>
          <w:szCs w:val="20"/>
        </w:rPr>
        <w:t xml:space="preserve"> modelling will take place. This will cover: </w:t>
      </w:r>
    </w:p>
    <w:p w14:paraId="00C9EE1F" w14:textId="41883CEE" w:rsidR="00BB73B4" w:rsidRPr="00BB73B4" w:rsidRDefault="00BB73B4" w:rsidP="00657117">
      <w:pPr>
        <w:pStyle w:val="paragraph0"/>
        <w:numPr>
          <w:ilvl w:val="0"/>
          <w:numId w:val="58"/>
        </w:numPr>
        <w:spacing w:after="240" w:afterAutospacing="0"/>
        <w:textAlignment w:val="baseline"/>
        <w:rPr>
          <w:rStyle w:val="normaltextrun"/>
          <w:rFonts w:ascii="Arial" w:hAnsi="Arial" w:cs="Arial"/>
          <w:color w:val="000000" w:themeColor="text1"/>
          <w:sz w:val="20"/>
          <w:szCs w:val="20"/>
        </w:rPr>
      </w:pPr>
      <w:r w:rsidRPr="00BB73B4">
        <w:rPr>
          <w:rStyle w:val="normaltextrun"/>
          <w:rFonts w:ascii="Arial" w:hAnsi="Arial" w:cs="Arial"/>
          <w:color w:val="000000" w:themeColor="text1"/>
          <w:sz w:val="20"/>
          <w:szCs w:val="20"/>
        </w:rPr>
        <w:t xml:space="preserve">The December 2023 Change Request contribution from the UK of £24 million in additional funding, along with a two-year extension of the investment window. This new contribution includes £22 million for Blended Finance (BF) and £2 million for FI Advisory Services, with the investment period now extending from December 2025 to December 2027.  </w:t>
      </w:r>
    </w:p>
    <w:p w14:paraId="4F998DDB" w14:textId="7E3D9549" w:rsidR="00B50CA8" w:rsidRDefault="00BB73B4" w:rsidP="00657117">
      <w:pPr>
        <w:pStyle w:val="paragraph0"/>
        <w:numPr>
          <w:ilvl w:val="0"/>
          <w:numId w:val="58"/>
        </w:numPr>
        <w:spacing w:after="240" w:afterAutospacing="0"/>
        <w:jc w:val="both"/>
        <w:textAlignment w:val="baseline"/>
        <w:rPr>
          <w:rStyle w:val="normaltextrun"/>
          <w:rFonts w:ascii="Arial" w:hAnsi="Arial" w:cs="Arial"/>
          <w:color w:val="000000" w:themeColor="text1"/>
          <w:sz w:val="20"/>
          <w:szCs w:val="20"/>
        </w:rPr>
      </w:pPr>
      <w:r w:rsidRPr="00BB73B4">
        <w:rPr>
          <w:rStyle w:val="normaltextrun"/>
          <w:rFonts w:ascii="Arial" w:hAnsi="Arial" w:cs="Arial"/>
          <w:color w:val="000000" w:themeColor="text1"/>
          <w:sz w:val="20"/>
          <w:szCs w:val="20"/>
        </w:rPr>
        <w:t xml:space="preserve">A reassessment of the original assumptions and a revision of the </w:t>
      </w:r>
      <w:r w:rsidR="00451607" w:rsidRPr="00BB73B4">
        <w:rPr>
          <w:rStyle w:val="normaltextrun"/>
          <w:rFonts w:ascii="Arial" w:hAnsi="Arial" w:cs="Arial"/>
          <w:color w:val="000000" w:themeColor="text1"/>
          <w:sz w:val="20"/>
          <w:szCs w:val="20"/>
        </w:rPr>
        <w:t>Logframe</w:t>
      </w:r>
      <w:r w:rsidRPr="00BB73B4">
        <w:rPr>
          <w:rStyle w:val="normaltextrun"/>
          <w:rFonts w:ascii="Arial" w:hAnsi="Arial" w:cs="Arial"/>
          <w:color w:val="000000" w:themeColor="text1"/>
          <w:sz w:val="20"/>
          <w:szCs w:val="20"/>
        </w:rPr>
        <w:t xml:space="preserve"> targets to align with historical performance and current trends in addition to the update on the additional funding and extended tenure. </w:t>
      </w:r>
      <w:r w:rsidR="009B27E2">
        <w:rPr>
          <w:rStyle w:val="normaltextrun"/>
          <w:rFonts w:ascii="Arial" w:hAnsi="Arial" w:cs="Arial"/>
          <w:color w:val="000000" w:themeColor="text1"/>
          <w:sz w:val="20"/>
          <w:szCs w:val="20"/>
        </w:rPr>
        <w:t xml:space="preserve">This will relate to </w:t>
      </w:r>
      <w:r w:rsidR="009B27E2" w:rsidRPr="00DA4DAB">
        <w:rPr>
          <w:rStyle w:val="normaltextrun"/>
          <w:rFonts w:ascii="Arial" w:hAnsi="Arial" w:cs="Arial"/>
          <w:color w:val="000000" w:themeColor="text1"/>
          <w:sz w:val="20"/>
          <w:szCs w:val="20"/>
        </w:rPr>
        <w:t>the assumed number of MAGC transactions, financial instrument splits, mobilisation assumptions and disbursements profiles</w:t>
      </w:r>
      <w:r w:rsidR="009B27E2">
        <w:rPr>
          <w:rStyle w:val="normaltextrun"/>
          <w:rFonts w:ascii="Arial" w:hAnsi="Arial" w:cs="Arial"/>
          <w:color w:val="000000" w:themeColor="text1"/>
          <w:sz w:val="20"/>
          <w:szCs w:val="20"/>
        </w:rPr>
        <w:t>.</w:t>
      </w:r>
      <w:r w:rsidRPr="00BB73B4">
        <w:rPr>
          <w:rStyle w:val="normaltextrun"/>
          <w:rFonts w:ascii="Arial" w:hAnsi="Arial" w:cs="Arial"/>
          <w:color w:val="000000" w:themeColor="text1"/>
          <w:sz w:val="20"/>
          <w:szCs w:val="20"/>
        </w:rPr>
        <w:t xml:space="preserve"> </w:t>
      </w:r>
    </w:p>
    <w:p w14:paraId="2B6634AB" w14:textId="3E88728A" w:rsidR="00DA4DAB" w:rsidRDefault="00BB73B4" w:rsidP="00657117">
      <w:pPr>
        <w:pStyle w:val="paragraph0"/>
        <w:numPr>
          <w:ilvl w:val="0"/>
          <w:numId w:val="58"/>
        </w:numPr>
        <w:spacing w:after="240" w:afterAutospacing="0"/>
        <w:jc w:val="both"/>
        <w:textAlignment w:val="baseline"/>
        <w:rPr>
          <w:rStyle w:val="normaltextrun"/>
          <w:rFonts w:ascii="Arial" w:hAnsi="Arial" w:cs="Arial"/>
          <w:color w:val="000000" w:themeColor="text1"/>
          <w:sz w:val="20"/>
          <w:szCs w:val="20"/>
        </w:rPr>
      </w:pPr>
      <w:r w:rsidRPr="00B50CA8">
        <w:rPr>
          <w:rStyle w:val="normaltextrun"/>
          <w:rFonts w:ascii="Arial" w:hAnsi="Arial" w:cs="Arial"/>
          <w:color w:val="000000" w:themeColor="text1"/>
          <w:sz w:val="20"/>
          <w:szCs w:val="20"/>
        </w:rPr>
        <w:t>A review of indicators related to replicated finance and several outcome/impact indicators which have had challenges with reporting</w:t>
      </w:r>
      <w:r w:rsidR="00B50CA8" w:rsidRPr="00B50CA8">
        <w:rPr>
          <w:rStyle w:val="normaltextrun"/>
          <w:rFonts w:ascii="Arial" w:hAnsi="Arial" w:cs="Arial"/>
          <w:color w:val="000000" w:themeColor="text1"/>
          <w:sz w:val="20"/>
          <w:szCs w:val="20"/>
        </w:rPr>
        <w:t>. This will include</w:t>
      </w:r>
      <w:r w:rsidR="00B50CA8">
        <w:rPr>
          <w:rStyle w:val="normaltextrun"/>
          <w:rFonts w:ascii="Arial" w:hAnsi="Arial" w:cs="Arial"/>
          <w:color w:val="000000" w:themeColor="text1"/>
          <w:sz w:val="20"/>
          <w:szCs w:val="20"/>
        </w:rPr>
        <w:t xml:space="preserve"> i</w:t>
      </w:r>
      <w:r w:rsidR="00DA4DAB" w:rsidRPr="00DA4DAB">
        <w:rPr>
          <w:rStyle w:val="normaltextrun"/>
          <w:rFonts w:ascii="Arial" w:hAnsi="Arial" w:cs="Arial"/>
          <w:color w:val="000000" w:themeColor="text1"/>
          <w:sz w:val="20"/>
          <w:szCs w:val="20"/>
        </w:rPr>
        <w:t>ncorporat</w:t>
      </w:r>
      <w:r w:rsidR="00DA4DAB">
        <w:rPr>
          <w:rStyle w:val="normaltextrun"/>
          <w:rFonts w:ascii="Arial" w:hAnsi="Arial" w:cs="Arial"/>
          <w:color w:val="000000" w:themeColor="text1"/>
          <w:sz w:val="20"/>
          <w:szCs w:val="20"/>
        </w:rPr>
        <w:t>ing</w:t>
      </w:r>
      <w:r w:rsidR="00DA4DAB" w:rsidRPr="00DA4DAB">
        <w:rPr>
          <w:rStyle w:val="normaltextrun"/>
          <w:rFonts w:ascii="Arial" w:hAnsi="Arial" w:cs="Arial"/>
          <w:color w:val="000000" w:themeColor="text1"/>
          <w:sz w:val="20"/>
          <w:szCs w:val="20"/>
        </w:rPr>
        <w:t xml:space="preserve"> the full impact of private finance mobilised results in the </w:t>
      </w:r>
      <w:r w:rsidR="00451607" w:rsidRPr="00DA4DAB">
        <w:rPr>
          <w:rStyle w:val="normaltextrun"/>
          <w:rFonts w:ascii="Arial" w:hAnsi="Arial" w:cs="Arial"/>
          <w:color w:val="000000" w:themeColor="text1"/>
          <w:sz w:val="20"/>
          <w:szCs w:val="20"/>
        </w:rPr>
        <w:t>Logframe</w:t>
      </w:r>
      <w:r w:rsidR="00DA4DAB" w:rsidRPr="00DA4DAB">
        <w:rPr>
          <w:rStyle w:val="normaltextrun"/>
          <w:rFonts w:ascii="Arial" w:hAnsi="Arial" w:cs="Arial"/>
          <w:color w:val="000000" w:themeColor="text1"/>
          <w:sz w:val="20"/>
          <w:szCs w:val="20"/>
        </w:rPr>
        <w:t xml:space="preserve"> to capture both private finance mobilised at commitment stage and private equity mobilised at the sub loan stage. </w:t>
      </w:r>
    </w:p>
    <w:p w14:paraId="4032C057" w14:textId="55DAB66D" w:rsidR="00A96A8D" w:rsidRPr="00A96A8D" w:rsidRDefault="00DA4DAB" w:rsidP="52CD66CA">
      <w:pPr>
        <w:pStyle w:val="paragraph0"/>
        <w:numPr>
          <w:ilvl w:val="0"/>
          <w:numId w:val="58"/>
        </w:numPr>
        <w:spacing w:before="0" w:beforeAutospacing="0" w:after="240" w:afterAutospacing="0"/>
        <w:jc w:val="both"/>
        <w:textAlignment w:val="baseline"/>
        <w:rPr>
          <w:rStyle w:val="normaltextrun"/>
          <w:rFonts w:ascii="Arial" w:hAnsi="Arial" w:cs="Arial"/>
          <w:color w:val="000000" w:themeColor="text1"/>
          <w:sz w:val="20"/>
          <w:szCs w:val="20"/>
        </w:rPr>
      </w:pPr>
      <w:r w:rsidRPr="52CD66CA">
        <w:rPr>
          <w:rStyle w:val="normaltextrun"/>
          <w:rFonts w:ascii="Arial" w:hAnsi="Arial" w:cs="Arial"/>
          <w:color w:val="000000" w:themeColor="text1"/>
          <w:sz w:val="20"/>
          <w:szCs w:val="20"/>
        </w:rPr>
        <w:t xml:space="preserve">Reviewing indicators in the </w:t>
      </w:r>
      <w:r w:rsidR="00451607" w:rsidRPr="52CD66CA">
        <w:rPr>
          <w:rStyle w:val="normaltextrun"/>
          <w:rFonts w:ascii="Arial" w:hAnsi="Arial" w:cs="Arial"/>
          <w:color w:val="000000" w:themeColor="text1"/>
          <w:sz w:val="20"/>
          <w:szCs w:val="20"/>
        </w:rPr>
        <w:t>Logframe</w:t>
      </w:r>
      <w:r w:rsidRPr="52CD66CA">
        <w:rPr>
          <w:rStyle w:val="normaltextrun"/>
          <w:rFonts w:ascii="Arial" w:hAnsi="Arial" w:cs="Arial"/>
          <w:color w:val="000000" w:themeColor="text1"/>
          <w:sz w:val="20"/>
          <w:szCs w:val="20"/>
        </w:rPr>
        <w:t xml:space="preserve"> which have had reporting challenges such as those related to replicated finance, in particular output indicator 1b.3 given further missed targets in this reporting period.</w:t>
      </w:r>
    </w:p>
    <w:p w14:paraId="542F34C6" w14:textId="77777777" w:rsidR="006A123D" w:rsidRPr="0040656D" w:rsidRDefault="006A123D" w:rsidP="00657117">
      <w:pPr>
        <w:spacing w:after="240"/>
        <w:jc w:val="both"/>
        <w:rPr>
          <w:rFonts w:cs="Arial"/>
          <w:b/>
          <w:bCs/>
          <w:sz w:val="20"/>
          <w:szCs w:val="20"/>
        </w:rPr>
      </w:pPr>
      <w:r w:rsidRPr="00A96A8D">
        <w:rPr>
          <w:rFonts w:cs="Arial"/>
          <w:b/>
          <w:bCs/>
          <w:sz w:val="20"/>
          <w:szCs w:val="20"/>
        </w:rPr>
        <w:t>Progress on recommendations from the previous AR (if completed), lessons learned this year and recommendations for the year ahead.</w:t>
      </w:r>
      <w:r w:rsidRPr="0040656D">
        <w:rPr>
          <w:rFonts w:cs="Arial"/>
          <w:b/>
          <w:bCs/>
          <w:sz w:val="20"/>
          <w:szCs w:val="20"/>
        </w:rPr>
        <w:t xml:space="preserve"> </w:t>
      </w:r>
    </w:p>
    <w:p w14:paraId="3208674A" w14:textId="77777777" w:rsidR="006A123D" w:rsidRDefault="006A123D" w:rsidP="00657117">
      <w:pPr>
        <w:spacing w:after="240"/>
        <w:jc w:val="both"/>
        <w:rPr>
          <w:rFonts w:cs="Arial"/>
          <w:sz w:val="20"/>
          <w:szCs w:val="20"/>
          <w:u w:val="single"/>
        </w:rPr>
      </w:pPr>
      <w:r w:rsidRPr="0040656D">
        <w:rPr>
          <w:rFonts w:cs="Arial"/>
          <w:sz w:val="20"/>
          <w:szCs w:val="20"/>
          <w:u w:val="single"/>
        </w:rPr>
        <w:t xml:space="preserve">Previous Annual Review Recommendations </w:t>
      </w:r>
    </w:p>
    <w:p w14:paraId="0E44B962" w14:textId="777D5430" w:rsidR="00636160" w:rsidRPr="00657117" w:rsidRDefault="00636160" w:rsidP="000C48FF">
      <w:pPr>
        <w:pStyle w:val="ListParagraph"/>
        <w:numPr>
          <w:ilvl w:val="0"/>
          <w:numId w:val="61"/>
        </w:numPr>
        <w:spacing w:after="240"/>
        <w:ind w:left="357" w:hanging="357"/>
        <w:jc w:val="both"/>
        <w:rPr>
          <w:rFonts w:cs="Arial"/>
          <w:sz w:val="20"/>
          <w:szCs w:val="20"/>
        </w:rPr>
      </w:pPr>
      <w:r w:rsidRPr="295530E4">
        <w:rPr>
          <w:rFonts w:cs="Arial"/>
          <w:b/>
          <w:bCs/>
          <w:sz w:val="20"/>
          <w:szCs w:val="20"/>
        </w:rPr>
        <w:t xml:space="preserve">Recommendation </w:t>
      </w:r>
      <w:r w:rsidR="00822035" w:rsidRPr="295530E4">
        <w:rPr>
          <w:rFonts w:cs="Arial"/>
          <w:b/>
          <w:bCs/>
          <w:sz w:val="20"/>
          <w:szCs w:val="20"/>
        </w:rPr>
        <w:t>3</w:t>
      </w:r>
      <w:r w:rsidRPr="295530E4">
        <w:rPr>
          <w:rFonts w:cs="Arial"/>
          <w:b/>
          <w:bCs/>
          <w:sz w:val="20"/>
          <w:szCs w:val="20"/>
        </w:rPr>
        <w:t>: Complete</w:t>
      </w:r>
      <w:r w:rsidRPr="295530E4">
        <w:rPr>
          <w:rFonts w:cs="Arial"/>
          <w:sz w:val="20"/>
          <w:szCs w:val="20"/>
        </w:rPr>
        <w:t xml:space="preserve">. </w:t>
      </w:r>
      <w:r w:rsidR="001D54B5" w:rsidRPr="295530E4">
        <w:rPr>
          <w:rFonts w:cs="Arial"/>
          <w:sz w:val="20"/>
          <w:szCs w:val="20"/>
        </w:rPr>
        <w:t xml:space="preserve">DESNZ and IFC agreed </w:t>
      </w:r>
      <w:r w:rsidR="00241E08" w:rsidRPr="295530E4">
        <w:rPr>
          <w:rFonts w:cs="Arial"/>
          <w:sz w:val="20"/>
          <w:szCs w:val="20"/>
        </w:rPr>
        <w:t xml:space="preserve">and finalised a </w:t>
      </w:r>
      <w:r w:rsidR="00451607" w:rsidRPr="295530E4">
        <w:rPr>
          <w:rFonts w:cs="Arial"/>
          <w:sz w:val="20"/>
          <w:szCs w:val="20"/>
        </w:rPr>
        <w:t>Logframe</w:t>
      </w:r>
      <w:r w:rsidR="00241E08" w:rsidRPr="295530E4">
        <w:rPr>
          <w:rFonts w:cs="Arial"/>
          <w:sz w:val="20"/>
          <w:szCs w:val="20"/>
        </w:rPr>
        <w:t xml:space="preserve"> update in this reporting period, which is detailed on Page </w:t>
      </w:r>
      <w:r w:rsidR="00690311" w:rsidRPr="295530E4">
        <w:rPr>
          <w:rFonts w:cs="Arial"/>
          <w:sz w:val="20"/>
          <w:szCs w:val="20"/>
        </w:rPr>
        <w:t>7</w:t>
      </w:r>
      <w:r w:rsidR="00241E08" w:rsidRPr="295530E4">
        <w:rPr>
          <w:rFonts w:cs="Arial"/>
          <w:sz w:val="20"/>
          <w:szCs w:val="20"/>
        </w:rPr>
        <w:t xml:space="preserve">. </w:t>
      </w:r>
    </w:p>
    <w:p w14:paraId="645E2555" w14:textId="67A50552" w:rsidR="00775B87" w:rsidRPr="00D25339" w:rsidRDefault="00241E08" w:rsidP="00D25339">
      <w:pPr>
        <w:pStyle w:val="ListParagraph"/>
        <w:numPr>
          <w:ilvl w:val="0"/>
          <w:numId w:val="61"/>
        </w:numPr>
        <w:spacing w:after="240"/>
        <w:ind w:left="357" w:hanging="357"/>
        <w:contextualSpacing w:val="0"/>
        <w:jc w:val="both"/>
        <w:rPr>
          <w:rFonts w:cs="Arial"/>
          <w:sz w:val="20"/>
          <w:szCs w:val="20"/>
        </w:rPr>
      </w:pPr>
      <w:r>
        <w:rPr>
          <w:rFonts w:cs="Arial"/>
          <w:b/>
          <w:bCs/>
          <w:sz w:val="20"/>
          <w:szCs w:val="20"/>
        </w:rPr>
        <w:t xml:space="preserve">Recommendation 5: Not complete, ongoing. </w:t>
      </w:r>
      <w:r>
        <w:rPr>
          <w:rFonts w:cs="Arial"/>
          <w:sz w:val="20"/>
          <w:szCs w:val="20"/>
        </w:rPr>
        <w:t xml:space="preserve">DESNZ and IFC did not achieve </w:t>
      </w:r>
      <w:r w:rsidR="003E0CCC">
        <w:rPr>
          <w:rFonts w:cs="Arial"/>
          <w:sz w:val="20"/>
          <w:szCs w:val="20"/>
        </w:rPr>
        <w:t>amendments to the programme’s Administration Arrangements, d</w:t>
      </w:r>
      <w:r>
        <w:rPr>
          <w:rFonts w:cs="Arial"/>
          <w:sz w:val="20"/>
          <w:szCs w:val="20"/>
        </w:rPr>
        <w:t>ue to</w:t>
      </w:r>
      <w:r w:rsidR="003E0CCC">
        <w:rPr>
          <w:rFonts w:cs="Arial"/>
          <w:sz w:val="20"/>
          <w:szCs w:val="20"/>
        </w:rPr>
        <w:t xml:space="preserve"> lack of capacity in</w:t>
      </w:r>
      <w:r>
        <w:rPr>
          <w:rFonts w:cs="Arial"/>
          <w:sz w:val="20"/>
          <w:szCs w:val="20"/>
        </w:rPr>
        <w:t xml:space="preserve"> IFC</w:t>
      </w:r>
      <w:r w:rsidR="003E0CCC">
        <w:rPr>
          <w:rFonts w:cs="Arial"/>
          <w:sz w:val="20"/>
          <w:szCs w:val="20"/>
        </w:rPr>
        <w:t>’s</w:t>
      </w:r>
      <w:r>
        <w:rPr>
          <w:rFonts w:cs="Arial"/>
          <w:sz w:val="20"/>
          <w:szCs w:val="20"/>
        </w:rPr>
        <w:t xml:space="preserve"> Legal team</w:t>
      </w:r>
      <w:r w:rsidR="003E0CCC">
        <w:rPr>
          <w:rFonts w:cs="Arial"/>
          <w:sz w:val="20"/>
          <w:szCs w:val="20"/>
        </w:rPr>
        <w:t xml:space="preserve">. </w:t>
      </w:r>
      <w:r>
        <w:rPr>
          <w:rFonts w:cs="Arial"/>
          <w:sz w:val="20"/>
          <w:szCs w:val="20"/>
        </w:rPr>
        <w:t xml:space="preserve">Once </w:t>
      </w:r>
      <w:r>
        <w:rPr>
          <w:rFonts w:cs="Arial"/>
          <w:sz w:val="20"/>
          <w:szCs w:val="20"/>
        </w:rPr>
        <w:lastRenderedPageBreak/>
        <w:t>available, DESNZ and IFC have agreed to finalise this work and sign off amendments to the existing Administration Arrangements</w:t>
      </w:r>
      <w:r w:rsidRPr="00CE3487">
        <w:rPr>
          <w:rFonts w:cs="Arial"/>
          <w:sz w:val="20"/>
          <w:szCs w:val="20"/>
        </w:rPr>
        <w:t>.</w:t>
      </w:r>
    </w:p>
    <w:p w14:paraId="65BDEC05" w14:textId="60F64FBE" w:rsidR="006A123D" w:rsidRDefault="006A123D" w:rsidP="00657117">
      <w:pPr>
        <w:pStyle w:val="Paragraph"/>
        <w:spacing w:after="240"/>
        <w:rPr>
          <w:sz w:val="20"/>
          <w:szCs w:val="20"/>
          <w:u w:val="single"/>
        </w:rPr>
      </w:pPr>
      <w:r w:rsidRPr="002A0888">
        <w:rPr>
          <w:sz w:val="20"/>
          <w:szCs w:val="20"/>
          <w:u w:val="single"/>
        </w:rPr>
        <w:t>Annual Review Recommendations</w:t>
      </w:r>
    </w:p>
    <w:p w14:paraId="4FC85A0A" w14:textId="41E5F724" w:rsidR="00992B2D" w:rsidRPr="00361215" w:rsidRDefault="00992B2D" w:rsidP="000C48FF">
      <w:pPr>
        <w:pStyle w:val="ListParagraph"/>
        <w:numPr>
          <w:ilvl w:val="0"/>
          <w:numId w:val="69"/>
        </w:numPr>
        <w:spacing w:after="240"/>
        <w:ind w:hanging="357"/>
        <w:rPr>
          <w:rFonts w:cs="Arial"/>
          <w:sz w:val="20"/>
          <w:szCs w:val="20"/>
        </w:rPr>
      </w:pPr>
      <w:r w:rsidRPr="08D7F225">
        <w:rPr>
          <w:rFonts w:cs="Arial"/>
          <w:b/>
          <w:bCs/>
          <w:sz w:val="20"/>
          <w:szCs w:val="20"/>
        </w:rPr>
        <w:t xml:space="preserve">Recommendation 1: </w:t>
      </w:r>
      <w:r w:rsidR="002A1B14" w:rsidRPr="08D7F225">
        <w:rPr>
          <w:rFonts w:cs="Arial"/>
          <w:b/>
          <w:bCs/>
          <w:sz w:val="20"/>
          <w:szCs w:val="20"/>
        </w:rPr>
        <w:t xml:space="preserve">Update Administrative Arrangements. </w:t>
      </w:r>
      <w:r w:rsidR="002A1B14" w:rsidRPr="08D7F225">
        <w:rPr>
          <w:rFonts w:cs="Arial"/>
          <w:sz w:val="20"/>
          <w:szCs w:val="20"/>
        </w:rPr>
        <w:t>DESNZ and IFC to review and update the programme’s arrangements to bring up to date with departmental/organisational regulation and national policy. This will likely include introducing policies on ESG/safeguarding and data protection.</w:t>
      </w:r>
      <w:r w:rsidR="002A1B14" w:rsidRPr="08D7F225">
        <w:rPr>
          <w:rFonts w:cs="Arial"/>
          <w:b/>
          <w:bCs/>
          <w:sz w:val="20"/>
          <w:szCs w:val="20"/>
        </w:rPr>
        <w:t>  </w:t>
      </w:r>
    </w:p>
    <w:p w14:paraId="08DF245F" w14:textId="75BEBFCD" w:rsidR="00ED44AC" w:rsidRDefault="00992B2D" w:rsidP="000C48FF">
      <w:pPr>
        <w:pStyle w:val="ListParagraph"/>
        <w:numPr>
          <w:ilvl w:val="0"/>
          <w:numId w:val="69"/>
        </w:numPr>
        <w:spacing w:after="240"/>
        <w:ind w:hanging="357"/>
        <w:jc w:val="both"/>
        <w:rPr>
          <w:rFonts w:cs="Arial"/>
          <w:sz w:val="20"/>
          <w:szCs w:val="20"/>
        </w:rPr>
      </w:pPr>
      <w:r w:rsidRPr="295530E4">
        <w:rPr>
          <w:rFonts w:cs="Arial"/>
          <w:b/>
          <w:bCs/>
          <w:sz w:val="20"/>
          <w:szCs w:val="20"/>
        </w:rPr>
        <w:t xml:space="preserve">Recommendation </w:t>
      </w:r>
      <w:r w:rsidR="00C51874" w:rsidRPr="295530E4">
        <w:rPr>
          <w:rFonts w:cs="Arial"/>
          <w:b/>
          <w:bCs/>
          <w:sz w:val="20"/>
          <w:szCs w:val="20"/>
        </w:rPr>
        <w:t>3</w:t>
      </w:r>
      <w:r w:rsidRPr="295530E4">
        <w:rPr>
          <w:rFonts w:cs="Arial"/>
          <w:b/>
          <w:bCs/>
          <w:sz w:val="20"/>
          <w:szCs w:val="20"/>
        </w:rPr>
        <w:t xml:space="preserve">: </w:t>
      </w:r>
      <w:r w:rsidR="00ED44AC" w:rsidRPr="295530E4">
        <w:rPr>
          <w:rFonts w:cs="Arial"/>
          <w:b/>
          <w:bCs/>
          <w:sz w:val="20"/>
          <w:szCs w:val="20"/>
        </w:rPr>
        <w:t xml:space="preserve">Logframe Model Recalibration and General Update. </w:t>
      </w:r>
      <w:r w:rsidR="00ED44AC" w:rsidRPr="295530E4">
        <w:rPr>
          <w:rFonts w:cs="Arial"/>
          <w:sz w:val="20"/>
          <w:szCs w:val="20"/>
        </w:rPr>
        <w:t xml:space="preserve">IFC and DESNZ to strengthen the programme’s </w:t>
      </w:r>
      <w:r w:rsidR="00451607" w:rsidRPr="295530E4">
        <w:rPr>
          <w:rFonts w:cs="Arial"/>
          <w:sz w:val="20"/>
          <w:szCs w:val="20"/>
        </w:rPr>
        <w:t>Logframe</w:t>
      </w:r>
      <w:r w:rsidR="00ED44AC" w:rsidRPr="295530E4">
        <w:rPr>
          <w:rFonts w:cs="Arial"/>
          <w:sz w:val="20"/>
          <w:szCs w:val="20"/>
        </w:rPr>
        <w:t>, updates will include:  </w:t>
      </w:r>
    </w:p>
    <w:p w14:paraId="483F246C" w14:textId="5371F735" w:rsidR="00ED44AC" w:rsidRDefault="00ED44AC" w:rsidP="000C48FF">
      <w:pPr>
        <w:pStyle w:val="ListParagraph"/>
        <w:numPr>
          <w:ilvl w:val="1"/>
          <w:numId w:val="69"/>
        </w:numPr>
        <w:spacing w:after="240"/>
        <w:ind w:hanging="357"/>
        <w:jc w:val="both"/>
        <w:rPr>
          <w:rFonts w:cs="Arial"/>
          <w:sz w:val="20"/>
          <w:szCs w:val="20"/>
        </w:rPr>
      </w:pPr>
      <w:r w:rsidRPr="08D7F225">
        <w:rPr>
          <w:rFonts w:cs="Arial"/>
          <w:sz w:val="20"/>
          <w:szCs w:val="20"/>
        </w:rPr>
        <w:t>The December 2023 Change Request contribution from the UK of £24 million in additional funding, along with a two-year extension of the investment window. This new contribution includes £22 million for Blended Finance (BF) and £2 million for FI Advisory Services, with the investment period now extending from December 2025 to December 2027.</w:t>
      </w:r>
    </w:p>
    <w:p w14:paraId="21BB7021" w14:textId="3D64B613" w:rsidR="00ED44AC" w:rsidRDefault="00ED44AC" w:rsidP="000C48FF">
      <w:pPr>
        <w:pStyle w:val="ListParagraph"/>
        <w:numPr>
          <w:ilvl w:val="1"/>
          <w:numId w:val="69"/>
        </w:numPr>
        <w:spacing w:after="240"/>
        <w:ind w:hanging="357"/>
        <w:jc w:val="both"/>
        <w:rPr>
          <w:rFonts w:cs="Arial"/>
          <w:sz w:val="20"/>
          <w:szCs w:val="20"/>
        </w:rPr>
      </w:pPr>
      <w:r w:rsidRPr="08D7F225">
        <w:rPr>
          <w:rFonts w:cs="Arial"/>
          <w:sz w:val="20"/>
          <w:szCs w:val="20"/>
        </w:rPr>
        <w:t xml:space="preserve">A reassessment of the original assumptions and a revision of the </w:t>
      </w:r>
      <w:r w:rsidR="00451607" w:rsidRPr="08D7F225">
        <w:rPr>
          <w:rFonts w:cs="Arial"/>
          <w:sz w:val="20"/>
          <w:szCs w:val="20"/>
        </w:rPr>
        <w:t>Logframe</w:t>
      </w:r>
      <w:r w:rsidRPr="08D7F225">
        <w:rPr>
          <w:rFonts w:cs="Arial"/>
          <w:sz w:val="20"/>
          <w:szCs w:val="20"/>
        </w:rPr>
        <w:t xml:space="preserve"> targets to align with historical performance and current trends in addition to the update on the additional funding and extended tenure. This will relate to the assumed number of MAGC transactions, financial instrument splits, mobilisation assumptions and disbursements profiles.</w:t>
      </w:r>
    </w:p>
    <w:p w14:paraId="13CEA3EF" w14:textId="1EA56495" w:rsidR="00ED44AC" w:rsidRDefault="00ED44AC" w:rsidP="000C48FF">
      <w:pPr>
        <w:pStyle w:val="ListParagraph"/>
        <w:numPr>
          <w:ilvl w:val="1"/>
          <w:numId w:val="69"/>
        </w:numPr>
        <w:spacing w:after="240"/>
        <w:ind w:hanging="357"/>
        <w:jc w:val="both"/>
        <w:rPr>
          <w:rFonts w:cs="Arial"/>
          <w:sz w:val="20"/>
          <w:szCs w:val="20"/>
        </w:rPr>
      </w:pPr>
      <w:r w:rsidRPr="08D7F225">
        <w:rPr>
          <w:rFonts w:cs="Arial"/>
          <w:sz w:val="20"/>
          <w:szCs w:val="20"/>
        </w:rPr>
        <w:t xml:space="preserve">A review of indicators related to replicated finance and several outcome/impact indicators which have had challenges with reporting. This will include incorporating the full impact of private finance mobilised results in the </w:t>
      </w:r>
      <w:r w:rsidR="00451607" w:rsidRPr="08D7F225">
        <w:rPr>
          <w:rFonts w:cs="Arial"/>
          <w:sz w:val="20"/>
          <w:szCs w:val="20"/>
        </w:rPr>
        <w:t>Logframe</w:t>
      </w:r>
      <w:r w:rsidRPr="08D7F225">
        <w:rPr>
          <w:rFonts w:cs="Arial"/>
          <w:sz w:val="20"/>
          <w:szCs w:val="20"/>
        </w:rPr>
        <w:t xml:space="preserve"> to capture both private finance mobilised at commitment stage and private equity mobilised at the sub loan stage.</w:t>
      </w:r>
    </w:p>
    <w:p w14:paraId="5433003B" w14:textId="742651FB" w:rsidR="00992B2D" w:rsidRPr="00657117" w:rsidRDefault="00ED44AC" w:rsidP="000C48FF">
      <w:pPr>
        <w:pStyle w:val="ListParagraph"/>
        <w:numPr>
          <w:ilvl w:val="1"/>
          <w:numId w:val="69"/>
        </w:numPr>
        <w:spacing w:after="240"/>
        <w:ind w:hanging="357"/>
        <w:jc w:val="both"/>
        <w:rPr>
          <w:rFonts w:cs="Arial"/>
          <w:sz w:val="20"/>
          <w:szCs w:val="20"/>
        </w:rPr>
      </w:pPr>
      <w:r w:rsidRPr="295530E4">
        <w:rPr>
          <w:rFonts w:cs="Arial"/>
          <w:sz w:val="20"/>
          <w:szCs w:val="20"/>
        </w:rPr>
        <w:t xml:space="preserve">Reviewing indicators in the </w:t>
      </w:r>
      <w:r w:rsidR="00451607" w:rsidRPr="295530E4">
        <w:rPr>
          <w:rFonts w:cs="Arial"/>
          <w:sz w:val="20"/>
          <w:szCs w:val="20"/>
        </w:rPr>
        <w:t>Logframe</w:t>
      </w:r>
      <w:r w:rsidRPr="295530E4">
        <w:rPr>
          <w:rFonts w:cs="Arial"/>
          <w:sz w:val="20"/>
          <w:szCs w:val="20"/>
        </w:rPr>
        <w:t xml:space="preserve"> which have had reporting challenges such as those related to replicated finance, in particular output indicator 1b.3 given further missed targets in this reporting period. </w:t>
      </w:r>
    </w:p>
    <w:p w14:paraId="0E81FFC2" w14:textId="77777777" w:rsidR="00992B2D" w:rsidRDefault="00992B2D" w:rsidP="00657117">
      <w:pPr>
        <w:pStyle w:val="Paragraph"/>
        <w:spacing w:after="240"/>
        <w:rPr>
          <w:sz w:val="20"/>
          <w:szCs w:val="20"/>
          <w:u w:val="single"/>
        </w:rPr>
      </w:pPr>
    </w:p>
    <w:p w14:paraId="42146F5B" w14:textId="77777777" w:rsidR="006A123D" w:rsidRPr="0040656D" w:rsidRDefault="006A123D" w:rsidP="00657117">
      <w:pPr>
        <w:spacing w:after="240" w:line="259" w:lineRule="auto"/>
        <w:rPr>
          <w:rFonts w:cs="Arial"/>
          <w:color w:val="000000" w:themeColor="text1"/>
          <w:sz w:val="20"/>
          <w:szCs w:val="20"/>
        </w:rPr>
      </w:pPr>
      <w:r w:rsidRPr="0040656D">
        <w:rPr>
          <w:rFonts w:cs="Arial"/>
          <w:color w:val="000000" w:themeColor="text1"/>
          <w:sz w:val="20"/>
          <w:szCs w:val="20"/>
        </w:rPr>
        <w:br w:type="page"/>
      </w:r>
    </w:p>
    <w:tbl>
      <w:tblPr>
        <w:tblStyle w:val="TableGrid"/>
        <w:tblW w:w="9180" w:type="dxa"/>
        <w:tblInd w:w="-147" w:type="dxa"/>
        <w:tblLayout w:type="fixed"/>
        <w:tblLook w:val="04A0" w:firstRow="1" w:lastRow="0" w:firstColumn="1" w:lastColumn="0" w:noHBand="0" w:noVBand="1"/>
      </w:tblPr>
      <w:tblGrid>
        <w:gridCol w:w="1696"/>
        <w:gridCol w:w="551"/>
        <w:gridCol w:w="1581"/>
        <w:gridCol w:w="3402"/>
        <w:gridCol w:w="1950"/>
      </w:tblGrid>
      <w:tr w:rsidR="00113AD6" w:rsidRPr="0040656D" w14:paraId="68359D6E" w14:textId="77777777" w:rsidTr="53E93DCC">
        <w:trPr>
          <w:trHeight w:val="379"/>
        </w:trPr>
        <w:tc>
          <w:tcPr>
            <w:tcW w:w="1696"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500D359" w14:textId="77777777" w:rsidR="006A123D" w:rsidRPr="0040656D" w:rsidRDefault="006A123D" w:rsidP="00657117">
            <w:pPr>
              <w:spacing w:after="240"/>
              <w:rPr>
                <w:rFonts w:cs="Arial"/>
                <w:b/>
                <w:bCs/>
                <w:sz w:val="20"/>
                <w:szCs w:val="20"/>
              </w:rPr>
            </w:pPr>
            <w:r w:rsidRPr="0040656D">
              <w:rPr>
                <w:rFonts w:cs="Arial"/>
                <w:b/>
                <w:bCs/>
                <w:sz w:val="20"/>
                <w:szCs w:val="20"/>
              </w:rPr>
              <w:lastRenderedPageBreak/>
              <w:t xml:space="preserve">Output Title </w:t>
            </w:r>
          </w:p>
        </w:tc>
        <w:tc>
          <w:tcPr>
            <w:tcW w:w="748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BB8B647" w14:textId="77777777" w:rsidR="006A123D" w:rsidRPr="0040656D" w:rsidRDefault="006A123D" w:rsidP="00657117">
            <w:pPr>
              <w:spacing w:after="240"/>
              <w:rPr>
                <w:rFonts w:cs="Arial"/>
                <w:bCs/>
                <w:i/>
                <w:color w:val="FF0000"/>
                <w:sz w:val="20"/>
                <w:szCs w:val="20"/>
              </w:rPr>
            </w:pPr>
            <w:r w:rsidRPr="0040656D">
              <w:rPr>
                <w:rFonts w:cs="Arial"/>
                <w:sz w:val="20"/>
                <w:szCs w:val="20"/>
              </w:rPr>
              <w:t>Finance is secured for green buildings</w:t>
            </w:r>
          </w:p>
        </w:tc>
      </w:tr>
      <w:tr w:rsidR="00CE06BD" w:rsidRPr="0040656D" w14:paraId="5740B1A0" w14:textId="77777777" w:rsidTr="53E93DCC">
        <w:trPr>
          <w:trHeight w:val="379"/>
        </w:trPr>
        <w:tc>
          <w:tcPr>
            <w:tcW w:w="2247"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BE5646B" w14:textId="77777777" w:rsidR="006A123D" w:rsidRPr="0040656D" w:rsidRDefault="006A123D" w:rsidP="00657117">
            <w:pPr>
              <w:spacing w:after="240"/>
              <w:rPr>
                <w:rFonts w:cs="Arial"/>
                <w:b/>
                <w:bCs/>
                <w:sz w:val="20"/>
                <w:szCs w:val="20"/>
              </w:rPr>
            </w:pPr>
            <w:r w:rsidRPr="0040656D">
              <w:rPr>
                <w:rFonts w:cs="Arial"/>
                <w:bCs/>
                <w:sz w:val="20"/>
                <w:szCs w:val="20"/>
              </w:rPr>
              <w:t xml:space="preserve">Output number: </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5A4A4672" w14:textId="77777777" w:rsidR="006A123D" w:rsidRPr="0040656D" w:rsidRDefault="006A123D" w:rsidP="00657117">
            <w:pPr>
              <w:spacing w:after="240"/>
              <w:rPr>
                <w:rFonts w:cs="Arial"/>
                <w:sz w:val="20"/>
                <w:szCs w:val="20"/>
              </w:rPr>
            </w:pPr>
            <w:r w:rsidRPr="0040656D">
              <w:rPr>
                <w:rFonts w:cs="Arial"/>
                <w:sz w:val="20"/>
                <w:szCs w:val="20"/>
              </w:rPr>
              <w:t>1b</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E7D5AB4" w14:textId="77777777" w:rsidR="006A123D" w:rsidRPr="0040656D" w:rsidRDefault="006A123D" w:rsidP="00657117">
            <w:pPr>
              <w:spacing w:after="240"/>
              <w:rPr>
                <w:rFonts w:cs="Arial"/>
                <w:sz w:val="20"/>
                <w:szCs w:val="20"/>
              </w:rPr>
            </w:pPr>
            <w:r w:rsidRPr="0040656D">
              <w:rPr>
                <w:rFonts w:cs="Arial"/>
                <w:bCs/>
                <w:sz w:val="20"/>
                <w:szCs w:val="20"/>
              </w:rPr>
              <w:t xml:space="preserve">Output Score: </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0D9CAE" w14:textId="30997F27" w:rsidR="006A123D" w:rsidRPr="0040656D" w:rsidRDefault="00276410" w:rsidP="00657117">
            <w:pPr>
              <w:spacing w:after="240"/>
              <w:rPr>
                <w:rFonts w:cs="Arial"/>
                <w:sz w:val="20"/>
                <w:szCs w:val="20"/>
              </w:rPr>
            </w:pPr>
            <w:r>
              <w:rPr>
                <w:rFonts w:cs="Arial"/>
                <w:b/>
                <w:sz w:val="20"/>
                <w:szCs w:val="20"/>
              </w:rPr>
              <w:t>A</w:t>
            </w:r>
          </w:p>
        </w:tc>
      </w:tr>
      <w:tr w:rsidR="00CE06BD" w:rsidRPr="0040656D" w14:paraId="2B6AEB6E" w14:textId="77777777" w:rsidTr="53E93DCC">
        <w:trPr>
          <w:trHeight w:val="379"/>
        </w:trPr>
        <w:tc>
          <w:tcPr>
            <w:tcW w:w="2247"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7EB2EF9" w14:textId="77777777" w:rsidR="006A123D" w:rsidRPr="0040656D" w:rsidRDefault="006A123D" w:rsidP="00657117">
            <w:pPr>
              <w:spacing w:after="240"/>
              <w:rPr>
                <w:rFonts w:cs="Arial"/>
                <w:b/>
                <w:bCs/>
                <w:sz w:val="20"/>
                <w:szCs w:val="20"/>
              </w:rPr>
            </w:pPr>
            <w:r w:rsidRPr="0040656D">
              <w:rPr>
                <w:rFonts w:cs="Arial"/>
                <w:bCs/>
                <w:sz w:val="20"/>
                <w:szCs w:val="20"/>
              </w:rPr>
              <w:t xml:space="preserve">Impact weighting (%):  </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FD38" w14:textId="77777777" w:rsidR="006A123D" w:rsidRPr="0040656D" w:rsidRDefault="006A123D" w:rsidP="00657117">
            <w:pPr>
              <w:spacing w:after="240"/>
              <w:rPr>
                <w:rFonts w:cs="Arial"/>
                <w:sz w:val="20"/>
                <w:szCs w:val="20"/>
              </w:rPr>
            </w:pPr>
            <w:r w:rsidRPr="0040656D">
              <w:rPr>
                <w:rFonts w:cs="Arial"/>
                <w:bCs/>
                <w:sz w:val="20"/>
                <w:szCs w:val="20"/>
              </w:rPr>
              <w:t>30%</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D80235C" w14:textId="77777777" w:rsidR="006A123D" w:rsidRPr="0040656D" w:rsidRDefault="006A123D" w:rsidP="00657117">
            <w:pPr>
              <w:spacing w:after="240"/>
              <w:rPr>
                <w:rFonts w:cs="Arial"/>
                <w:sz w:val="20"/>
                <w:szCs w:val="20"/>
              </w:rPr>
            </w:pPr>
            <w:r w:rsidRPr="0040656D">
              <w:rPr>
                <w:rFonts w:cs="Arial"/>
                <w:bCs/>
                <w:sz w:val="20"/>
                <w:szCs w:val="20"/>
              </w:rPr>
              <w:t xml:space="preserve">Weighting revised since last AR. </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96E58" w14:textId="77777777" w:rsidR="006A123D" w:rsidRPr="0040656D" w:rsidRDefault="006A123D" w:rsidP="00657117">
            <w:pPr>
              <w:spacing w:after="240"/>
              <w:rPr>
                <w:rFonts w:cs="Arial"/>
                <w:sz w:val="20"/>
                <w:szCs w:val="20"/>
              </w:rPr>
            </w:pPr>
            <w:r>
              <w:rPr>
                <w:rFonts w:cs="Arial"/>
                <w:bCs/>
                <w:sz w:val="20"/>
                <w:szCs w:val="20"/>
              </w:rPr>
              <w:t>No</w:t>
            </w:r>
          </w:p>
        </w:tc>
      </w:tr>
      <w:tr w:rsidR="00CE06BD" w:rsidRPr="0040656D" w14:paraId="2451B517" w14:textId="77777777" w:rsidTr="53E93DCC">
        <w:trPr>
          <w:trHeight w:val="379"/>
        </w:trPr>
        <w:tc>
          <w:tcPr>
            <w:tcW w:w="2247"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FD69D0C" w14:textId="77777777" w:rsidR="006A123D" w:rsidRPr="0040656D" w:rsidRDefault="006A123D" w:rsidP="00657117">
            <w:pPr>
              <w:spacing w:after="240"/>
              <w:rPr>
                <w:rFonts w:cs="Arial"/>
                <w:b/>
                <w:bCs/>
                <w:sz w:val="20"/>
                <w:szCs w:val="20"/>
              </w:rPr>
            </w:pPr>
            <w:r w:rsidRPr="0040656D">
              <w:rPr>
                <w:rFonts w:cs="Arial"/>
                <w:bCs/>
                <w:sz w:val="20"/>
                <w:szCs w:val="20"/>
              </w:rPr>
              <w:t>Risk rating</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3B725" w14:textId="77777777" w:rsidR="006A123D" w:rsidRPr="0040656D" w:rsidRDefault="006A123D" w:rsidP="00657117">
            <w:pPr>
              <w:spacing w:after="240"/>
              <w:rPr>
                <w:rFonts w:cs="Arial"/>
                <w:sz w:val="20"/>
                <w:szCs w:val="20"/>
              </w:rPr>
            </w:pPr>
            <w:r w:rsidRPr="0040656D">
              <w:rPr>
                <w:rFonts w:cs="Arial"/>
                <w:bCs/>
                <w:sz w:val="20"/>
                <w:szCs w:val="20"/>
              </w:rPr>
              <w:t>Major</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1A5BB7D" w14:textId="77777777" w:rsidR="006A123D" w:rsidRPr="0040656D" w:rsidRDefault="006A123D" w:rsidP="00657117">
            <w:pPr>
              <w:spacing w:after="240"/>
              <w:rPr>
                <w:rFonts w:cs="Arial"/>
                <w:sz w:val="20"/>
                <w:szCs w:val="20"/>
              </w:rPr>
            </w:pPr>
            <w:r w:rsidRPr="0040656D">
              <w:rPr>
                <w:rFonts w:cs="Arial"/>
                <w:bCs/>
                <w:sz w:val="20"/>
                <w:szCs w:val="20"/>
              </w:rPr>
              <w:t>Risk revised since last AR?</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169B53" w14:textId="24AAE18C" w:rsidR="006A123D" w:rsidRPr="0040656D" w:rsidRDefault="00FD35FC" w:rsidP="00657117">
            <w:pPr>
              <w:spacing w:after="240"/>
              <w:rPr>
                <w:rFonts w:cs="Arial"/>
                <w:sz w:val="20"/>
                <w:szCs w:val="20"/>
              </w:rPr>
            </w:pPr>
            <w:r>
              <w:rPr>
                <w:rFonts w:cs="Arial"/>
                <w:bCs/>
                <w:sz w:val="20"/>
                <w:szCs w:val="20"/>
              </w:rPr>
              <w:t>Yes,</w:t>
            </w:r>
            <w:r w:rsidR="00CF0196">
              <w:rPr>
                <w:rFonts w:cs="Arial"/>
                <w:bCs/>
                <w:sz w:val="20"/>
                <w:szCs w:val="20"/>
              </w:rPr>
              <w:t xml:space="preserve"> reduced to Moderate</w:t>
            </w:r>
          </w:p>
        </w:tc>
      </w:tr>
    </w:tbl>
    <w:p w14:paraId="6D9D0972" w14:textId="77777777" w:rsidR="006A123D" w:rsidRPr="0040656D" w:rsidRDefault="006A123D" w:rsidP="00657117">
      <w:pPr>
        <w:spacing w:after="240"/>
        <w:rPr>
          <w:rFonts w:cs="Arial"/>
          <w:b/>
          <w:sz w:val="20"/>
          <w:szCs w:val="20"/>
        </w:rPr>
      </w:pPr>
    </w:p>
    <w:tbl>
      <w:tblPr>
        <w:tblStyle w:val="TableGrid"/>
        <w:tblpPr w:leftFromText="180" w:rightFromText="180" w:vertAnchor="text" w:horzAnchor="page" w:tblpX="1325" w:tblpY="-10"/>
        <w:tblOverlap w:val="never"/>
        <w:tblW w:w="8700" w:type="dxa"/>
        <w:tblLayout w:type="fixed"/>
        <w:tblLook w:val="04A0" w:firstRow="1" w:lastRow="0" w:firstColumn="1" w:lastColumn="0" w:noHBand="0" w:noVBand="1"/>
      </w:tblPr>
      <w:tblGrid>
        <w:gridCol w:w="4470"/>
        <w:gridCol w:w="2340"/>
        <w:gridCol w:w="1890"/>
      </w:tblGrid>
      <w:tr w:rsidR="006A123D" w:rsidRPr="0040656D" w14:paraId="71B12211" w14:textId="77777777" w:rsidTr="54844E53">
        <w:trPr>
          <w:trHeight w:val="273"/>
        </w:trPr>
        <w:tc>
          <w:tcPr>
            <w:tcW w:w="447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C804F4D" w14:textId="77777777" w:rsidR="006A123D" w:rsidRPr="0040656D" w:rsidRDefault="006A123D" w:rsidP="00657117">
            <w:pPr>
              <w:spacing w:after="240"/>
              <w:rPr>
                <w:rFonts w:cs="Arial"/>
                <w:b/>
                <w:bCs/>
                <w:sz w:val="20"/>
                <w:szCs w:val="20"/>
              </w:rPr>
            </w:pPr>
            <w:r w:rsidRPr="0040656D">
              <w:rPr>
                <w:rFonts w:cs="Arial"/>
                <w:b/>
                <w:bCs/>
                <w:sz w:val="20"/>
                <w:szCs w:val="20"/>
              </w:rPr>
              <w:t>Indicator(s)</w:t>
            </w:r>
          </w:p>
        </w:tc>
        <w:tc>
          <w:tcPr>
            <w:tcW w:w="23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16F249A" w14:textId="77777777" w:rsidR="006A123D" w:rsidRPr="0040656D" w:rsidRDefault="006A123D" w:rsidP="00657117">
            <w:pPr>
              <w:spacing w:after="240"/>
              <w:rPr>
                <w:rFonts w:cs="Arial"/>
                <w:b/>
                <w:bCs/>
                <w:sz w:val="20"/>
                <w:szCs w:val="20"/>
              </w:rPr>
            </w:pPr>
            <w:r w:rsidRPr="0040656D">
              <w:rPr>
                <w:rFonts w:cs="Arial"/>
                <w:b/>
                <w:bCs/>
                <w:sz w:val="20"/>
                <w:szCs w:val="20"/>
              </w:rPr>
              <w:t>Milestone(s) for this review</w:t>
            </w:r>
          </w:p>
        </w:tc>
        <w:tc>
          <w:tcPr>
            <w:tcW w:w="189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FDBE370" w14:textId="0215C97D" w:rsidR="006A123D" w:rsidRPr="0040656D" w:rsidRDefault="00F72217" w:rsidP="00657117">
            <w:pPr>
              <w:spacing w:after="240"/>
              <w:rPr>
                <w:rFonts w:cs="Arial"/>
                <w:b/>
                <w:bCs/>
                <w:sz w:val="20"/>
                <w:szCs w:val="20"/>
              </w:rPr>
            </w:pPr>
            <w:r w:rsidRPr="0040656D">
              <w:rPr>
                <w:rFonts w:cs="Arial"/>
                <w:b/>
                <w:bCs/>
                <w:sz w:val="20"/>
                <w:szCs w:val="20"/>
              </w:rPr>
              <w:t>Progress</w:t>
            </w:r>
            <w:r>
              <w:rPr>
                <w:rFonts w:cs="Arial"/>
                <w:b/>
                <w:bCs/>
                <w:sz w:val="20"/>
                <w:szCs w:val="20"/>
              </w:rPr>
              <w:br/>
            </w:r>
            <w:r>
              <w:rPr>
                <w:rFonts w:cs="Arial"/>
                <w:i/>
                <w:iCs/>
                <w:sz w:val="20"/>
                <w:szCs w:val="20"/>
              </w:rPr>
              <w:t>(Score)</w:t>
            </w:r>
          </w:p>
        </w:tc>
      </w:tr>
      <w:tr w:rsidR="006A123D" w:rsidRPr="0040656D" w14:paraId="432F5EFA" w14:textId="77777777" w:rsidTr="54844E53">
        <w:trPr>
          <w:trHeight w:val="941"/>
        </w:trPr>
        <w:tc>
          <w:tcPr>
            <w:tcW w:w="4470" w:type="dxa"/>
            <w:tcBorders>
              <w:top w:val="single" w:sz="4" w:space="0" w:color="auto"/>
              <w:left w:val="single" w:sz="4" w:space="0" w:color="auto"/>
              <w:bottom w:val="single" w:sz="4" w:space="0" w:color="auto"/>
              <w:right w:val="single" w:sz="4" w:space="0" w:color="auto"/>
            </w:tcBorders>
          </w:tcPr>
          <w:p w14:paraId="3374D2F9" w14:textId="77777777" w:rsidR="006A123D" w:rsidRPr="0040656D" w:rsidRDefault="006A123D" w:rsidP="00657117">
            <w:pPr>
              <w:spacing w:after="240"/>
              <w:rPr>
                <w:rFonts w:cs="Arial"/>
                <w:bCs/>
                <w:iCs/>
                <w:sz w:val="20"/>
                <w:szCs w:val="20"/>
              </w:rPr>
            </w:pPr>
            <w:r w:rsidRPr="0040656D">
              <w:rPr>
                <w:rFonts w:cs="Arial"/>
                <w:bCs/>
                <w:iCs/>
                <w:sz w:val="20"/>
                <w:szCs w:val="20"/>
                <w:u w:val="single"/>
              </w:rPr>
              <w:t>1b.1</w:t>
            </w:r>
            <w:r w:rsidRPr="0040656D">
              <w:rPr>
                <w:rFonts w:cs="Arial"/>
              </w:rPr>
              <w:t xml:space="preserve"> </w:t>
            </w:r>
            <w:r w:rsidRPr="0040656D">
              <w:rPr>
                <w:rFonts w:cs="Arial"/>
                <w:bCs/>
                <w:iCs/>
                <w:sz w:val="20"/>
                <w:szCs w:val="20"/>
              </w:rPr>
              <w:t>Cumulative total project cost of green buildings financed related to sub-loans financed with MAGC blended finance.</w:t>
            </w:r>
          </w:p>
        </w:tc>
        <w:tc>
          <w:tcPr>
            <w:tcW w:w="2340" w:type="dxa"/>
            <w:tcBorders>
              <w:top w:val="single" w:sz="4" w:space="0" w:color="auto"/>
              <w:left w:val="single" w:sz="4" w:space="0" w:color="auto"/>
              <w:bottom w:val="single" w:sz="4" w:space="0" w:color="auto"/>
              <w:right w:val="single" w:sz="4" w:space="0" w:color="auto"/>
            </w:tcBorders>
          </w:tcPr>
          <w:p w14:paraId="23CE6A68" w14:textId="7EEF24E0" w:rsidR="006A123D" w:rsidRPr="0040656D" w:rsidRDefault="006A123D" w:rsidP="00657117">
            <w:pPr>
              <w:spacing w:after="240"/>
              <w:rPr>
                <w:rFonts w:cs="Arial"/>
                <w:bCs/>
                <w:iCs/>
                <w:sz w:val="20"/>
                <w:szCs w:val="20"/>
              </w:rPr>
            </w:pPr>
            <w:r w:rsidRPr="0040656D">
              <w:rPr>
                <w:rFonts w:cs="Arial"/>
                <w:bCs/>
                <w:i/>
                <w:iCs/>
                <w:sz w:val="20"/>
                <w:szCs w:val="20"/>
              </w:rPr>
              <w:t>£</w:t>
            </w:r>
            <w:r w:rsidR="001646DE">
              <w:rPr>
                <w:rFonts w:cs="Arial"/>
                <w:bCs/>
                <w:i/>
                <w:iCs/>
                <w:sz w:val="20"/>
                <w:szCs w:val="20"/>
              </w:rPr>
              <w:t>133,622,224</w:t>
            </w:r>
            <w:r w:rsidRPr="0040656D">
              <w:rPr>
                <w:rFonts w:cs="Arial"/>
                <w:bCs/>
                <w:i/>
                <w:iCs/>
                <w:sz w:val="20"/>
                <w:szCs w:val="20"/>
              </w:rPr>
              <w:br/>
              <w:t>$</w:t>
            </w:r>
            <w:r w:rsidR="00671902">
              <w:rPr>
                <w:rFonts w:cs="Arial"/>
                <w:bCs/>
                <w:i/>
                <w:iCs/>
                <w:sz w:val="20"/>
                <w:szCs w:val="20"/>
              </w:rPr>
              <w:t>171,310,544</w:t>
            </w:r>
          </w:p>
        </w:tc>
        <w:tc>
          <w:tcPr>
            <w:tcW w:w="1890" w:type="dxa"/>
            <w:tcBorders>
              <w:top w:val="single" w:sz="4" w:space="0" w:color="auto"/>
              <w:left w:val="single" w:sz="4" w:space="0" w:color="auto"/>
              <w:bottom w:val="single" w:sz="4" w:space="0" w:color="auto"/>
              <w:right w:val="single" w:sz="4" w:space="0" w:color="auto"/>
            </w:tcBorders>
          </w:tcPr>
          <w:p w14:paraId="40D4EA5A" w14:textId="2B1E35DC" w:rsidR="006A123D" w:rsidRPr="0040656D" w:rsidRDefault="002E0EB1" w:rsidP="00657117">
            <w:pPr>
              <w:spacing w:after="240"/>
              <w:rPr>
                <w:rFonts w:eastAsiaTheme="minorHAnsi" w:cs="Arial"/>
                <w:sz w:val="20"/>
                <w:szCs w:val="20"/>
              </w:rPr>
            </w:pPr>
            <w:r w:rsidRPr="002E0EB1">
              <w:rPr>
                <w:rFonts w:cs="Arial"/>
                <w:b/>
                <w:iCs/>
                <w:sz w:val="20"/>
                <w:szCs w:val="20"/>
              </w:rPr>
              <w:t>Achieved</w:t>
            </w:r>
            <w:r w:rsidR="009631F7">
              <w:rPr>
                <w:rFonts w:cs="Arial"/>
                <w:b/>
                <w:iCs/>
                <w:sz w:val="20"/>
                <w:szCs w:val="20"/>
              </w:rPr>
              <w:t xml:space="preserve">: </w:t>
            </w:r>
            <w:r w:rsidRPr="002E0EB1">
              <w:rPr>
                <w:rFonts w:cs="Arial"/>
                <w:b/>
                <w:i/>
                <w:iCs/>
                <w:sz w:val="20"/>
                <w:szCs w:val="20"/>
              </w:rPr>
              <w:t>£297,783,681 ($381,773,950)</w:t>
            </w:r>
            <w:r>
              <w:rPr>
                <w:rFonts w:cs="Arial"/>
                <w:bCs/>
                <w:i/>
                <w:iCs/>
                <w:sz w:val="20"/>
                <w:szCs w:val="20"/>
              </w:rPr>
              <w:br/>
            </w:r>
            <w:r w:rsidR="00F72217">
              <w:rPr>
                <w:rFonts w:cs="Arial"/>
                <w:bCs/>
                <w:i/>
                <w:sz w:val="20"/>
                <w:szCs w:val="20"/>
              </w:rPr>
              <w:t>(</w:t>
            </w:r>
            <w:r w:rsidR="00F72217" w:rsidRPr="008F7A4C">
              <w:rPr>
                <w:rFonts w:cs="Arial"/>
                <w:bCs/>
                <w:i/>
                <w:sz w:val="20"/>
                <w:szCs w:val="20"/>
              </w:rPr>
              <w:t>A++</w:t>
            </w:r>
            <w:r w:rsidR="00F72217" w:rsidRPr="00F72217">
              <w:rPr>
                <w:rFonts w:cs="Arial"/>
                <w:bCs/>
                <w:i/>
                <w:sz w:val="20"/>
                <w:szCs w:val="20"/>
              </w:rPr>
              <w:t>)</w:t>
            </w:r>
          </w:p>
        </w:tc>
      </w:tr>
      <w:tr w:rsidR="006A123D" w:rsidRPr="0040656D" w14:paraId="37878AE9" w14:textId="77777777" w:rsidTr="54844E53">
        <w:trPr>
          <w:trHeight w:val="300"/>
        </w:trPr>
        <w:tc>
          <w:tcPr>
            <w:tcW w:w="4470" w:type="dxa"/>
            <w:tcBorders>
              <w:top w:val="single" w:sz="4" w:space="0" w:color="auto"/>
              <w:left w:val="single" w:sz="4" w:space="0" w:color="auto"/>
              <w:bottom w:val="single" w:sz="4" w:space="0" w:color="auto"/>
              <w:right w:val="single" w:sz="4" w:space="0" w:color="auto"/>
            </w:tcBorders>
          </w:tcPr>
          <w:p w14:paraId="0B5B8653" w14:textId="77777777" w:rsidR="006A123D" w:rsidRPr="0040656D" w:rsidRDefault="006A123D" w:rsidP="00657117">
            <w:pPr>
              <w:spacing w:after="240"/>
              <w:rPr>
                <w:rFonts w:cs="Arial"/>
              </w:rPr>
            </w:pPr>
            <w:r w:rsidRPr="0040656D">
              <w:rPr>
                <w:rFonts w:cs="Arial"/>
                <w:bCs/>
                <w:sz w:val="20"/>
                <w:szCs w:val="20"/>
                <w:u w:val="single"/>
              </w:rPr>
              <w:t>1b.2</w:t>
            </w:r>
            <w:r w:rsidRPr="0040656D">
              <w:rPr>
                <w:rFonts w:cs="Arial"/>
                <w:bCs/>
                <w:sz w:val="20"/>
                <w:szCs w:val="20"/>
              </w:rPr>
              <w:t xml:space="preserve"> Cumulative total private sector financing provided to MAGC funded green building projects.</w:t>
            </w:r>
          </w:p>
        </w:tc>
        <w:tc>
          <w:tcPr>
            <w:tcW w:w="2340" w:type="dxa"/>
            <w:tcBorders>
              <w:top w:val="single" w:sz="4" w:space="0" w:color="auto"/>
              <w:left w:val="single" w:sz="4" w:space="0" w:color="auto"/>
              <w:bottom w:val="single" w:sz="4" w:space="0" w:color="auto"/>
              <w:right w:val="single" w:sz="4" w:space="0" w:color="auto"/>
            </w:tcBorders>
          </w:tcPr>
          <w:p w14:paraId="23D2EFB7" w14:textId="52A63730" w:rsidR="006A123D" w:rsidRPr="0040656D" w:rsidRDefault="006A123D" w:rsidP="00657117">
            <w:pPr>
              <w:spacing w:after="240"/>
              <w:rPr>
                <w:rFonts w:cs="Arial"/>
                <w:bCs/>
                <w:i/>
                <w:iCs/>
                <w:sz w:val="20"/>
                <w:szCs w:val="20"/>
              </w:rPr>
            </w:pPr>
            <w:r w:rsidRPr="0040656D">
              <w:rPr>
                <w:rFonts w:cs="Arial"/>
                <w:bCs/>
                <w:i/>
                <w:iCs/>
                <w:sz w:val="20"/>
                <w:szCs w:val="20"/>
              </w:rPr>
              <w:t>£</w:t>
            </w:r>
            <w:r w:rsidR="00FD1860">
              <w:rPr>
                <w:rFonts w:cs="Arial"/>
                <w:bCs/>
                <w:i/>
                <w:iCs/>
                <w:sz w:val="20"/>
                <w:szCs w:val="20"/>
              </w:rPr>
              <w:t>42,100,153</w:t>
            </w:r>
            <w:r w:rsidR="00671902">
              <w:rPr>
                <w:rFonts w:cs="Arial"/>
                <w:bCs/>
                <w:i/>
                <w:iCs/>
                <w:sz w:val="20"/>
                <w:szCs w:val="20"/>
              </w:rPr>
              <w:br/>
            </w:r>
            <w:r w:rsidRPr="0040656D">
              <w:rPr>
                <w:rFonts w:cs="Arial"/>
                <w:bCs/>
                <w:i/>
                <w:iCs/>
                <w:sz w:val="20"/>
                <w:szCs w:val="20"/>
              </w:rPr>
              <w:t>$</w:t>
            </w:r>
            <w:r w:rsidR="00FD1860">
              <w:rPr>
                <w:rFonts w:cs="Arial"/>
                <w:bCs/>
                <w:i/>
                <w:iCs/>
                <w:sz w:val="20"/>
                <w:szCs w:val="20"/>
              </w:rPr>
              <w:t>53,</w:t>
            </w:r>
            <w:r w:rsidR="000F3EFE">
              <w:rPr>
                <w:rFonts w:cs="Arial"/>
                <w:bCs/>
                <w:i/>
                <w:iCs/>
                <w:sz w:val="20"/>
                <w:szCs w:val="20"/>
              </w:rPr>
              <w:t>974,555</w:t>
            </w:r>
          </w:p>
          <w:p w14:paraId="6E430F47" w14:textId="77777777" w:rsidR="006A123D" w:rsidRPr="0040656D" w:rsidRDefault="006A123D" w:rsidP="00657117">
            <w:pPr>
              <w:spacing w:after="240"/>
              <w:rPr>
                <w:rFonts w:cs="Arial"/>
                <w:bCs/>
                <w:i/>
                <w:iCs/>
                <w:sz w:val="20"/>
                <w:szCs w:val="20"/>
              </w:rPr>
            </w:pPr>
          </w:p>
        </w:tc>
        <w:tc>
          <w:tcPr>
            <w:tcW w:w="1890" w:type="dxa"/>
            <w:tcBorders>
              <w:top w:val="single" w:sz="4" w:space="0" w:color="auto"/>
              <w:left w:val="single" w:sz="4" w:space="0" w:color="auto"/>
              <w:bottom w:val="single" w:sz="4" w:space="0" w:color="auto"/>
              <w:right w:val="single" w:sz="4" w:space="0" w:color="auto"/>
            </w:tcBorders>
          </w:tcPr>
          <w:p w14:paraId="564BAEF6" w14:textId="636657A3" w:rsidR="002E0EB1" w:rsidRPr="002E0EB1" w:rsidRDefault="002E0EB1" w:rsidP="00657117">
            <w:pPr>
              <w:spacing w:after="240"/>
              <w:contextualSpacing/>
              <w:rPr>
                <w:rFonts w:cs="Arial"/>
                <w:b/>
                <w:i/>
                <w:sz w:val="20"/>
                <w:szCs w:val="20"/>
              </w:rPr>
            </w:pPr>
            <w:r w:rsidRPr="002E0EB1">
              <w:rPr>
                <w:rFonts w:cs="Arial"/>
                <w:b/>
                <w:iCs/>
                <w:sz w:val="20"/>
                <w:szCs w:val="20"/>
              </w:rPr>
              <w:t>Achieved</w:t>
            </w:r>
            <w:r w:rsidR="009631F7">
              <w:rPr>
                <w:rFonts w:cs="Arial"/>
                <w:b/>
                <w:iCs/>
                <w:sz w:val="20"/>
                <w:szCs w:val="20"/>
              </w:rPr>
              <w:t>:</w:t>
            </w:r>
            <w:r w:rsidRPr="002E0EB1">
              <w:rPr>
                <w:rFonts w:cs="Arial"/>
                <w:b/>
                <w:i/>
                <w:sz w:val="20"/>
                <w:szCs w:val="20"/>
              </w:rPr>
              <w:t xml:space="preserve"> £105,160,976 ($134,821,763)</w:t>
            </w:r>
          </w:p>
          <w:p w14:paraId="1DAE01CB" w14:textId="01B1EC9F" w:rsidR="006A123D" w:rsidRPr="0040656D" w:rsidRDefault="00F72217" w:rsidP="00657117">
            <w:pPr>
              <w:spacing w:after="240"/>
              <w:contextualSpacing/>
              <w:rPr>
                <w:rFonts w:cs="Arial"/>
                <w:bCs/>
                <w:iCs/>
                <w:sz w:val="20"/>
                <w:szCs w:val="20"/>
              </w:rPr>
            </w:pPr>
            <w:r>
              <w:rPr>
                <w:rFonts w:cs="Arial"/>
                <w:bCs/>
                <w:i/>
                <w:sz w:val="20"/>
                <w:szCs w:val="20"/>
              </w:rPr>
              <w:t>(</w:t>
            </w:r>
            <w:r w:rsidRPr="008F7A4C">
              <w:rPr>
                <w:rFonts w:cs="Arial"/>
                <w:bCs/>
                <w:i/>
                <w:sz w:val="20"/>
                <w:szCs w:val="20"/>
              </w:rPr>
              <w:t>A++</w:t>
            </w:r>
            <w:r w:rsidRPr="00F72217">
              <w:rPr>
                <w:rFonts w:cs="Arial"/>
                <w:bCs/>
                <w:i/>
                <w:sz w:val="20"/>
                <w:szCs w:val="20"/>
              </w:rPr>
              <w:t>)</w:t>
            </w:r>
          </w:p>
        </w:tc>
      </w:tr>
      <w:tr w:rsidR="006A123D" w:rsidRPr="0040656D" w14:paraId="5E7C9816" w14:textId="77777777" w:rsidTr="54844E53">
        <w:trPr>
          <w:trHeight w:val="946"/>
        </w:trPr>
        <w:tc>
          <w:tcPr>
            <w:tcW w:w="4470" w:type="dxa"/>
            <w:tcBorders>
              <w:top w:val="single" w:sz="4" w:space="0" w:color="auto"/>
              <w:left w:val="single" w:sz="4" w:space="0" w:color="auto"/>
              <w:bottom w:val="single" w:sz="4" w:space="0" w:color="auto"/>
              <w:right w:val="single" w:sz="4" w:space="0" w:color="auto"/>
            </w:tcBorders>
          </w:tcPr>
          <w:p w14:paraId="65E8CF07" w14:textId="77777777" w:rsidR="006A123D" w:rsidRPr="0040656D" w:rsidRDefault="006A123D" w:rsidP="00657117">
            <w:pPr>
              <w:spacing w:after="240"/>
              <w:rPr>
                <w:rFonts w:cs="Arial"/>
                <w:bCs/>
                <w:iCs/>
                <w:sz w:val="20"/>
                <w:szCs w:val="20"/>
              </w:rPr>
            </w:pPr>
            <w:r w:rsidRPr="0040656D">
              <w:rPr>
                <w:rFonts w:cs="Arial"/>
                <w:bCs/>
                <w:sz w:val="20"/>
                <w:szCs w:val="20"/>
                <w:u w:val="single"/>
              </w:rPr>
              <w:t>1b.3</w:t>
            </w:r>
            <w:r w:rsidRPr="0040656D">
              <w:rPr>
                <w:rFonts w:cs="Arial"/>
                <w:bCs/>
                <w:sz w:val="20"/>
                <w:szCs w:val="20"/>
              </w:rPr>
              <w:t xml:space="preserve"> </w:t>
            </w:r>
            <w:r w:rsidRPr="0040656D">
              <w:rPr>
                <w:rFonts w:cs="Arial"/>
                <w:sz w:val="20"/>
                <w:szCs w:val="20"/>
              </w:rPr>
              <w:t>Cumulative</w:t>
            </w:r>
            <w:r w:rsidRPr="0040656D">
              <w:rPr>
                <w:rFonts w:cs="Arial"/>
                <w:bCs/>
                <w:sz w:val="16"/>
                <w:szCs w:val="16"/>
              </w:rPr>
              <w:t xml:space="preserve"> </w:t>
            </w:r>
            <w:r w:rsidRPr="0040656D">
              <w:rPr>
                <w:rFonts w:cs="Arial"/>
                <w:bCs/>
                <w:sz w:val="20"/>
                <w:szCs w:val="20"/>
              </w:rPr>
              <w:t>total green building project cost financed achieved by replicated finance.</w:t>
            </w:r>
          </w:p>
        </w:tc>
        <w:tc>
          <w:tcPr>
            <w:tcW w:w="2340" w:type="dxa"/>
            <w:tcBorders>
              <w:top w:val="single" w:sz="4" w:space="0" w:color="auto"/>
              <w:left w:val="single" w:sz="4" w:space="0" w:color="auto"/>
              <w:bottom w:val="single" w:sz="4" w:space="0" w:color="auto"/>
              <w:right w:val="single" w:sz="4" w:space="0" w:color="auto"/>
            </w:tcBorders>
          </w:tcPr>
          <w:p w14:paraId="5A479874" w14:textId="440332D8" w:rsidR="006A123D" w:rsidRPr="0040656D" w:rsidRDefault="006A123D" w:rsidP="00657117">
            <w:pPr>
              <w:spacing w:after="240"/>
              <w:rPr>
                <w:rFonts w:cs="Arial"/>
                <w:bCs/>
                <w:i/>
                <w:iCs/>
                <w:sz w:val="20"/>
                <w:szCs w:val="20"/>
              </w:rPr>
            </w:pPr>
            <w:r w:rsidRPr="0040656D">
              <w:rPr>
                <w:rFonts w:cs="Arial"/>
                <w:bCs/>
                <w:i/>
                <w:iCs/>
                <w:sz w:val="20"/>
                <w:szCs w:val="20"/>
              </w:rPr>
              <w:t>£</w:t>
            </w:r>
            <w:r w:rsidR="000F3EFE">
              <w:rPr>
                <w:rFonts w:cs="Arial"/>
                <w:bCs/>
                <w:i/>
                <w:iCs/>
                <w:sz w:val="20"/>
                <w:szCs w:val="20"/>
              </w:rPr>
              <w:t>4,182,</w:t>
            </w:r>
            <w:r w:rsidR="00CF0196">
              <w:rPr>
                <w:rFonts w:cs="Arial"/>
                <w:bCs/>
                <w:i/>
                <w:iCs/>
                <w:sz w:val="20"/>
                <w:szCs w:val="20"/>
              </w:rPr>
              <w:t>024</w:t>
            </w:r>
            <w:r w:rsidR="000F3EFE">
              <w:rPr>
                <w:rFonts w:cs="Arial"/>
                <w:bCs/>
                <w:i/>
                <w:iCs/>
                <w:sz w:val="20"/>
                <w:szCs w:val="20"/>
              </w:rPr>
              <w:br/>
            </w:r>
            <w:r w:rsidRPr="0040656D">
              <w:rPr>
                <w:rFonts w:cs="Arial"/>
                <w:bCs/>
                <w:i/>
                <w:iCs/>
                <w:sz w:val="20"/>
                <w:szCs w:val="20"/>
              </w:rPr>
              <w:t>$</w:t>
            </w:r>
            <w:r w:rsidR="00CF0196">
              <w:rPr>
                <w:rFonts w:cs="Arial"/>
                <w:bCs/>
                <w:i/>
                <w:iCs/>
                <w:sz w:val="20"/>
                <w:szCs w:val="20"/>
              </w:rPr>
              <w:t>5,361,569</w:t>
            </w:r>
          </w:p>
          <w:p w14:paraId="07B08C8F" w14:textId="77777777" w:rsidR="006A123D" w:rsidRPr="0040656D" w:rsidRDefault="006A123D" w:rsidP="00657117">
            <w:pPr>
              <w:spacing w:after="240"/>
              <w:rPr>
                <w:rFonts w:cs="Arial"/>
                <w:bCs/>
                <w:sz w:val="20"/>
                <w:szCs w:val="20"/>
              </w:rPr>
            </w:pPr>
          </w:p>
        </w:tc>
        <w:tc>
          <w:tcPr>
            <w:tcW w:w="1890" w:type="dxa"/>
            <w:tcBorders>
              <w:top w:val="single" w:sz="4" w:space="0" w:color="auto"/>
              <w:left w:val="single" w:sz="4" w:space="0" w:color="auto"/>
              <w:bottom w:val="single" w:sz="4" w:space="0" w:color="auto"/>
              <w:right w:val="single" w:sz="4" w:space="0" w:color="auto"/>
            </w:tcBorders>
          </w:tcPr>
          <w:p w14:paraId="6310D5BA" w14:textId="77777777" w:rsidR="009631F7" w:rsidRDefault="002E0EB1" w:rsidP="00657117">
            <w:pPr>
              <w:spacing w:after="240"/>
              <w:contextualSpacing/>
              <w:rPr>
                <w:rFonts w:cs="Arial"/>
                <w:b/>
                <w:sz w:val="20"/>
                <w:szCs w:val="20"/>
              </w:rPr>
            </w:pPr>
            <w:r w:rsidRPr="002E0EB1">
              <w:rPr>
                <w:rFonts w:cs="Arial"/>
                <w:b/>
                <w:sz w:val="20"/>
                <w:szCs w:val="20"/>
              </w:rPr>
              <w:t>Achieved</w:t>
            </w:r>
            <w:r w:rsidR="009631F7">
              <w:rPr>
                <w:rFonts w:cs="Arial"/>
                <w:b/>
                <w:sz w:val="20"/>
                <w:szCs w:val="20"/>
              </w:rPr>
              <w:t>:</w:t>
            </w:r>
            <w:r w:rsidRPr="002E0EB1">
              <w:rPr>
                <w:rFonts w:cs="Arial"/>
                <w:b/>
                <w:sz w:val="20"/>
                <w:szCs w:val="20"/>
              </w:rPr>
              <w:t xml:space="preserve"> £0 ($0)</w:t>
            </w:r>
          </w:p>
          <w:p w14:paraId="1B0D0B70" w14:textId="64661439" w:rsidR="006A123D" w:rsidRPr="0040656D" w:rsidRDefault="00F72217" w:rsidP="00657117">
            <w:pPr>
              <w:spacing w:after="240"/>
              <w:contextualSpacing/>
              <w:rPr>
                <w:rFonts w:cs="Arial"/>
                <w:bCs/>
                <w:iCs/>
                <w:sz w:val="20"/>
                <w:szCs w:val="20"/>
              </w:rPr>
            </w:pPr>
            <w:r>
              <w:rPr>
                <w:rFonts w:cs="Arial"/>
                <w:bCs/>
                <w:i/>
                <w:sz w:val="20"/>
                <w:szCs w:val="20"/>
              </w:rPr>
              <w:t>(C)</w:t>
            </w:r>
            <w:r w:rsidR="006A123D" w:rsidRPr="0040656D">
              <w:rPr>
                <w:rFonts w:cs="Arial"/>
                <w:bCs/>
                <w:sz w:val="20"/>
                <w:szCs w:val="20"/>
              </w:rPr>
              <w:t xml:space="preserve"> </w:t>
            </w:r>
          </w:p>
        </w:tc>
      </w:tr>
      <w:tr w:rsidR="006A123D" w:rsidRPr="0040656D" w14:paraId="3A101EAA" w14:textId="77777777" w:rsidTr="54844E53">
        <w:trPr>
          <w:trHeight w:val="300"/>
        </w:trPr>
        <w:tc>
          <w:tcPr>
            <w:tcW w:w="4470" w:type="dxa"/>
            <w:tcBorders>
              <w:top w:val="single" w:sz="4" w:space="0" w:color="auto"/>
              <w:left w:val="single" w:sz="4" w:space="0" w:color="auto"/>
              <w:bottom w:val="single" w:sz="4" w:space="0" w:color="auto"/>
              <w:right w:val="single" w:sz="4" w:space="0" w:color="auto"/>
            </w:tcBorders>
          </w:tcPr>
          <w:p w14:paraId="6CE35A02" w14:textId="77777777" w:rsidR="006A123D" w:rsidRPr="0040656D" w:rsidRDefault="006A123D" w:rsidP="00657117">
            <w:pPr>
              <w:spacing w:after="240"/>
              <w:rPr>
                <w:rFonts w:cs="Arial"/>
                <w:bCs/>
                <w:iCs/>
                <w:sz w:val="20"/>
                <w:szCs w:val="20"/>
              </w:rPr>
            </w:pPr>
            <w:r w:rsidRPr="0040656D">
              <w:rPr>
                <w:rFonts w:cs="Arial"/>
                <w:bCs/>
                <w:sz w:val="20"/>
                <w:szCs w:val="20"/>
                <w:u w:val="single"/>
              </w:rPr>
              <w:t>1b.4</w:t>
            </w:r>
            <w:r w:rsidRPr="0040656D">
              <w:rPr>
                <w:rFonts w:cs="Arial"/>
                <w:bCs/>
                <w:sz w:val="20"/>
                <w:szCs w:val="20"/>
              </w:rPr>
              <w:t xml:space="preserve"> Cumulative number of financial intermediaries receiving MAGC blended finance capturing and reporting its full disbursement through the CAFI tool.</w:t>
            </w:r>
          </w:p>
        </w:tc>
        <w:tc>
          <w:tcPr>
            <w:tcW w:w="2340" w:type="dxa"/>
            <w:tcBorders>
              <w:top w:val="single" w:sz="4" w:space="0" w:color="auto"/>
              <w:left w:val="single" w:sz="4" w:space="0" w:color="auto"/>
              <w:bottom w:val="single" w:sz="4" w:space="0" w:color="auto"/>
              <w:right w:val="single" w:sz="4" w:space="0" w:color="auto"/>
            </w:tcBorders>
          </w:tcPr>
          <w:p w14:paraId="6900ECA5" w14:textId="49C270B2" w:rsidR="006A123D" w:rsidRPr="0040656D" w:rsidRDefault="00CF0196" w:rsidP="00657117">
            <w:pPr>
              <w:spacing w:after="240"/>
              <w:rPr>
                <w:rFonts w:cs="Arial"/>
                <w:bCs/>
                <w:i/>
                <w:iCs/>
                <w:sz w:val="20"/>
                <w:szCs w:val="20"/>
              </w:rPr>
            </w:pPr>
            <w:r>
              <w:rPr>
                <w:rFonts w:cs="Arial"/>
                <w:bCs/>
                <w:i/>
                <w:iCs/>
                <w:sz w:val="20"/>
                <w:szCs w:val="20"/>
              </w:rPr>
              <w:t>2</w:t>
            </w:r>
          </w:p>
          <w:p w14:paraId="638361C3" w14:textId="77777777" w:rsidR="006A123D" w:rsidRPr="0040656D" w:rsidRDefault="006A123D" w:rsidP="00657117">
            <w:pPr>
              <w:spacing w:after="240"/>
              <w:rPr>
                <w:rFonts w:cs="Arial"/>
                <w:bCs/>
                <w:iCs/>
                <w:sz w:val="20"/>
                <w:szCs w:val="20"/>
              </w:rPr>
            </w:pPr>
          </w:p>
        </w:tc>
        <w:tc>
          <w:tcPr>
            <w:tcW w:w="1890" w:type="dxa"/>
            <w:tcBorders>
              <w:top w:val="single" w:sz="4" w:space="0" w:color="auto"/>
              <w:left w:val="single" w:sz="4" w:space="0" w:color="auto"/>
              <w:bottom w:val="single" w:sz="4" w:space="0" w:color="auto"/>
              <w:right w:val="single" w:sz="4" w:space="0" w:color="auto"/>
            </w:tcBorders>
          </w:tcPr>
          <w:p w14:paraId="424A5E4A" w14:textId="53563D45" w:rsidR="006A123D" w:rsidRPr="0040656D" w:rsidRDefault="002E0EB1" w:rsidP="00657117">
            <w:pPr>
              <w:spacing w:after="240"/>
              <w:contextualSpacing/>
              <w:rPr>
                <w:rFonts w:cs="Arial"/>
                <w:bCs/>
                <w:iCs/>
                <w:sz w:val="20"/>
                <w:szCs w:val="20"/>
              </w:rPr>
            </w:pPr>
            <w:r w:rsidRPr="002E0EB1">
              <w:rPr>
                <w:rFonts w:cs="Arial"/>
                <w:b/>
                <w:sz w:val="20"/>
                <w:szCs w:val="20"/>
              </w:rPr>
              <w:t>Achieved</w:t>
            </w:r>
            <w:r w:rsidR="009631F7">
              <w:rPr>
                <w:rFonts w:cs="Arial"/>
                <w:b/>
                <w:sz w:val="20"/>
                <w:szCs w:val="20"/>
              </w:rPr>
              <w:t>:</w:t>
            </w:r>
            <w:r w:rsidRPr="002E0EB1">
              <w:rPr>
                <w:rFonts w:cs="Arial"/>
                <w:b/>
                <w:sz w:val="20"/>
                <w:szCs w:val="20"/>
              </w:rPr>
              <w:t xml:space="preserve"> 1</w:t>
            </w:r>
            <w:r w:rsidRPr="002E0EB1">
              <w:rPr>
                <w:rFonts w:cs="Arial"/>
                <w:b/>
                <w:sz w:val="20"/>
                <w:szCs w:val="20"/>
              </w:rPr>
              <w:br/>
            </w:r>
            <w:r w:rsidR="00F72217">
              <w:rPr>
                <w:rFonts w:cs="Arial"/>
                <w:bCs/>
                <w:i/>
                <w:iCs/>
                <w:sz w:val="20"/>
                <w:szCs w:val="20"/>
              </w:rPr>
              <w:t>(</w:t>
            </w:r>
            <w:r w:rsidR="006064FA" w:rsidRPr="00F72217">
              <w:rPr>
                <w:rFonts w:cs="Arial"/>
                <w:bCs/>
                <w:i/>
                <w:iCs/>
                <w:sz w:val="20"/>
                <w:szCs w:val="20"/>
              </w:rPr>
              <w:t>B</w:t>
            </w:r>
            <w:r w:rsidR="00F72217" w:rsidRPr="00F72217">
              <w:rPr>
                <w:rFonts w:cs="Arial"/>
                <w:bCs/>
                <w:i/>
                <w:iCs/>
                <w:sz w:val="20"/>
                <w:szCs w:val="20"/>
              </w:rPr>
              <w:t>)</w:t>
            </w:r>
          </w:p>
        </w:tc>
      </w:tr>
    </w:tbl>
    <w:p w14:paraId="17753B2C" w14:textId="77777777" w:rsidR="006A123D" w:rsidRPr="0040656D" w:rsidRDefault="006A123D" w:rsidP="00657117">
      <w:pPr>
        <w:spacing w:after="240"/>
        <w:jc w:val="both"/>
        <w:rPr>
          <w:rFonts w:cs="Arial"/>
          <w:sz w:val="20"/>
          <w:szCs w:val="20"/>
        </w:rPr>
      </w:pPr>
      <w:r w:rsidRPr="0040656D">
        <w:rPr>
          <w:rFonts w:cs="Arial"/>
          <w:b/>
          <w:bCs/>
          <w:sz w:val="20"/>
          <w:szCs w:val="20"/>
        </w:rPr>
        <w:t xml:space="preserve">Briefly describe the output and provide supporting narrative for the score. </w:t>
      </w:r>
    </w:p>
    <w:p w14:paraId="076BD18B" w14:textId="77777777" w:rsidR="006A123D" w:rsidRPr="0040656D" w:rsidRDefault="006A123D" w:rsidP="00657117">
      <w:pPr>
        <w:pStyle w:val="Paragraph"/>
        <w:spacing w:after="240"/>
        <w:rPr>
          <w:bCs/>
          <w:sz w:val="20"/>
          <w:szCs w:val="20"/>
        </w:rPr>
      </w:pPr>
      <w:r w:rsidRPr="0040656D">
        <w:rPr>
          <w:sz w:val="20"/>
          <w:szCs w:val="20"/>
        </w:rPr>
        <w:t xml:space="preserve">Output 1b assesses finance secured for green buildings through private sources to realise new certified energy efficient green buildings. </w:t>
      </w:r>
      <w:r w:rsidRPr="0040656D">
        <w:rPr>
          <w:bCs/>
          <w:sz w:val="20"/>
          <w:szCs w:val="20"/>
        </w:rPr>
        <w:t xml:space="preserve">The weighting is explained in Output 1a summary. </w:t>
      </w:r>
    </w:p>
    <w:p w14:paraId="4E526AB5" w14:textId="2649EF9E" w:rsidR="006A123D" w:rsidRDefault="006A123D" w:rsidP="00657117">
      <w:pPr>
        <w:pStyle w:val="Paragraph"/>
        <w:spacing w:after="240"/>
        <w:rPr>
          <w:sz w:val="20"/>
          <w:szCs w:val="20"/>
        </w:rPr>
      </w:pPr>
      <w:r w:rsidRPr="0040656D">
        <w:rPr>
          <w:sz w:val="20"/>
          <w:szCs w:val="20"/>
        </w:rPr>
        <w:t>This Output scored a</w:t>
      </w:r>
      <w:r w:rsidR="00933E51">
        <w:rPr>
          <w:sz w:val="20"/>
          <w:szCs w:val="20"/>
        </w:rPr>
        <w:t>n</w:t>
      </w:r>
      <w:r w:rsidRPr="0040656D">
        <w:rPr>
          <w:sz w:val="20"/>
          <w:szCs w:val="20"/>
        </w:rPr>
        <w:t xml:space="preserve"> </w:t>
      </w:r>
      <w:r w:rsidR="00933E51">
        <w:rPr>
          <w:sz w:val="20"/>
          <w:szCs w:val="20"/>
        </w:rPr>
        <w:t>A</w:t>
      </w:r>
      <w:r w:rsidRPr="0040656D">
        <w:rPr>
          <w:sz w:val="20"/>
          <w:szCs w:val="20"/>
        </w:rPr>
        <w:t xml:space="preserve">, as MAGC </w:t>
      </w:r>
      <w:r w:rsidR="00DA1939">
        <w:rPr>
          <w:sz w:val="20"/>
          <w:szCs w:val="20"/>
        </w:rPr>
        <w:t>broadly met</w:t>
      </w:r>
      <w:r w:rsidRPr="0040656D">
        <w:rPr>
          <w:sz w:val="20"/>
          <w:szCs w:val="20"/>
        </w:rPr>
        <w:t xml:space="preserve"> its targets</w:t>
      </w:r>
      <w:r w:rsidR="00DA1939">
        <w:rPr>
          <w:sz w:val="20"/>
          <w:szCs w:val="20"/>
        </w:rPr>
        <w:t>, substantially exceeding targets</w:t>
      </w:r>
      <w:r w:rsidRPr="0040656D">
        <w:rPr>
          <w:sz w:val="20"/>
          <w:szCs w:val="20"/>
        </w:rPr>
        <w:t xml:space="preserve"> for output indicators 1b.1</w:t>
      </w:r>
      <w:r w:rsidR="00241B54">
        <w:rPr>
          <w:sz w:val="20"/>
          <w:szCs w:val="20"/>
        </w:rPr>
        <w:t xml:space="preserve"> and</w:t>
      </w:r>
      <w:r w:rsidRPr="0040656D">
        <w:rPr>
          <w:sz w:val="20"/>
          <w:szCs w:val="20"/>
        </w:rPr>
        <w:t xml:space="preserve"> 1b.2</w:t>
      </w:r>
      <w:r w:rsidR="00DA1939">
        <w:rPr>
          <w:sz w:val="20"/>
          <w:szCs w:val="20"/>
        </w:rPr>
        <w:t>, but substantially underperfo</w:t>
      </w:r>
      <w:r w:rsidR="00194351">
        <w:rPr>
          <w:sz w:val="20"/>
          <w:szCs w:val="20"/>
        </w:rPr>
        <w:t xml:space="preserve">rmed </w:t>
      </w:r>
      <w:r w:rsidR="003D48B7">
        <w:rPr>
          <w:sz w:val="20"/>
          <w:szCs w:val="20"/>
        </w:rPr>
        <w:t>for output indicator 1b.3 and did not meet target expectations for output indicator 1b.4.</w:t>
      </w:r>
    </w:p>
    <w:p w14:paraId="5DDAB7E9" w14:textId="1351247F" w:rsidR="0063528C" w:rsidRDefault="00241B54" w:rsidP="00657117">
      <w:pPr>
        <w:pStyle w:val="Paragraph"/>
        <w:spacing w:after="240"/>
        <w:rPr>
          <w:sz w:val="20"/>
          <w:szCs w:val="20"/>
        </w:rPr>
      </w:pPr>
      <w:r>
        <w:rPr>
          <w:sz w:val="20"/>
          <w:szCs w:val="20"/>
        </w:rPr>
        <w:t xml:space="preserve">This is the first reporting year where we have seen results and exceeded targets for indicators 1b.1 and 1b.2. </w:t>
      </w:r>
      <w:r w:rsidR="006A123D" w:rsidRPr="00005E66">
        <w:rPr>
          <w:sz w:val="20"/>
          <w:szCs w:val="20"/>
        </w:rPr>
        <w:t xml:space="preserve">As noted in MAGC’s last Annual Review, there </w:t>
      </w:r>
      <w:r w:rsidR="006A48B0">
        <w:rPr>
          <w:sz w:val="20"/>
          <w:szCs w:val="20"/>
        </w:rPr>
        <w:t>were</w:t>
      </w:r>
      <w:r w:rsidR="006A48B0" w:rsidRPr="00005E66">
        <w:rPr>
          <w:sz w:val="20"/>
          <w:szCs w:val="20"/>
        </w:rPr>
        <w:t xml:space="preserve"> </w:t>
      </w:r>
      <w:r w:rsidR="006A123D" w:rsidRPr="00005E66">
        <w:rPr>
          <w:sz w:val="20"/>
          <w:szCs w:val="20"/>
        </w:rPr>
        <w:t>several reasons why we</w:t>
      </w:r>
      <w:r w:rsidR="006A48B0">
        <w:rPr>
          <w:sz w:val="20"/>
          <w:szCs w:val="20"/>
        </w:rPr>
        <w:t xml:space="preserve"> were</w:t>
      </w:r>
      <w:r w:rsidR="006A123D" w:rsidRPr="00005E66">
        <w:rPr>
          <w:sz w:val="20"/>
          <w:szCs w:val="20"/>
        </w:rPr>
        <w:t xml:space="preserve"> not </w:t>
      </w:r>
      <w:r>
        <w:rPr>
          <w:sz w:val="20"/>
          <w:szCs w:val="20"/>
        </w:rPr>
        <w:t>previously</w:t>
      </w:r>
      <w:r w:rsidRPr="00005E66">
        <w:rPr>
          <w:sz w:val="20"/>
          <w:szCs w:val="20"/>
        </w:rPr>
        <w:t xml:space="preserve"> </w:t>
      </w:r>
      <w:r w:rsidR="006A123D" w:rsidRPr="00005E66">
        <w:rPr>
          <w:sz w:val="20"/>
          <w:szCs w:val="20"/>
        </w:rPr>
        <w:t>seeing results for the</w:t>
      </w:r>
      <w:r>
        <w:rPr>
          <w:sz w:val="20"/>
          <w:szCs w:val="20"/>
        </w:rPr>
        <w:t>se</w:t>
      </w:r>
      <w:r w:rsidR="006A123D" w:rsidRPr="00005E66">
        <w:rPr>
          <w:sz w:val="20"/>
          <w:szCs w:val="20"/>
        </w:rPr>
        <w:t xml:space="preserve"> indicators, including: COVID-19 impacts, significant start-up times for initial delivery before construction results can be seen, delays in reporting through the CAFI tool by FIs, and </w:t>
      </w:r>
      <w:r w:rsidR="002473CD">
        <w:rPr>
          <w:sz w:val="20"/>
          <w:szCs w:val="20"/>
        </w:rPr>
        <w:t>misalignment</w:t>
      </w:r>
      <w:r w:rsidR="002473CD" w:rsidRPr="00005E66">
        <w:rPr>
          <w:sz w:val="20"/>
          <w:szCs w:val="20"/>
        </w:rPr>
        <w:t xml:space="preserve"> </w:t>
      </w:r>
      <w:r w:rsidR="006A123D" w:rsidRPr="00005E66">
        <w:rPr>
          <w:sz w:val="20"/>
          <w:szCs w:val="20"/>
        </w:rPr>
        <w:t>in the origina</w:t>
      </w:r>
      <w:r w:rsidR="00624FAC" w:rsidRPr="00005E66">
        <w:rPr>
          <w:sz w:val="20"/>
          <w:szCs w:val="20"/>
        </w:rPr>
        <w:t>l</w:t>
      </w:r>
      <w:r w:rsidR="00005E66">
        <w:rPr>
          <w:sz w:val="20"/>
          <w:szCs w:val="20"/>
        </w:rPr>
        <w:t xml:space="preserve"> </w:t>
      </w:r>
      <w:r w:rsidR="00451607">
        <w:rPr>
          <w:sz w:val="20"/>
          <w:szCs w:val="20"/>
        </w:rPr>
        <w:t>Logframe</w:t>
      </w:r>
      <w:r w:rsidR="00005E66">
        <w:rPr>
          <w:sz w:val="20"/>
          <w:szCs w:val="20"/>
        </w:rPr>
        <w:t xml:space="preserve"> model</w:t>
      </w:r>
      <w:r w:rsidR="002473CD">
        <w:rPr>
          <w:sz w:val="20"/>
          <w:szCs w:val="20"/>
        </w:rPr>
        <w:t xml:space="preserve"> to </w:t>
      </w:r>
      <w:r w:rsidR="00DF3763">
        <w:rPr>
          <w:sz w:val="20"/>
          <w:szCs w:val="20"/>
        </w:rPr>
        <w:t xml:space="preserve">actual world </w:t>
      </w:r>
      <w:r w:rsidR="002E19CE">
        <w:rPr>
          <w:sz w:val="20"/>
          <w:szCs w:val="20"/>
        </w:rPr>
        <w:t>implementation</w:t>
      </w:r>
      <w:r w:rsidR="00005E66">
        <w:rPr>
          <w:sz w:val="20"/>
          <w:szCs w:val="20"/>
        </w:rPr>
        <w:t>.</w:t>
      </w:r>
      <w:r w:rsidR="00820FEE">
        <w:rPr>
          <w:sz w:val="20"/>
          <w:szCs w:val="20"/>
        </w:rPr>
        <w:t xml:space="preserve"> To resolve this, the </w:t>
      </w:r>
      <w:r w:rsidR="00451607">
        <w:rPr>
          <w:sz w:val="20"/>
          <w:szCs w:val="20"/>
        </w:rPr>
        <w:t>Logframe</w:t>
      </w:r>
      <w:r w:rsidR="00820FEE">
        <w:rPr>
          <w:sz w:val="20"/>
          <w:szCs w:val="20"/>
        </w:rPr>
        <w:t xml:space="preserve"> model was updated to better reflect real-world assumptions that have been learnt as the programme has delivered</w:t>
      </w:r>
      <w:r w:rsidR="0063528C">
        <w:rPr>
          <w:sz w:val="20"/>
          <w:szCs w:val="20"/>
        </w:rPr>
        <w:t>, reducing the indicators targets</w:t>
      </w:r>
      <w:r w:rsidR="00820FEE">
        <w:rPr>
          <w:sz w:val="20"/>
          <w:szCs w:val="20"/>
        </w:rPr>
        <w:t xml:space="preserve">. In doing this, </w:t>
      </w:r>
      <w:r w:rsidR="001B6AA8">
        <w:rPr>
          <w:sz w:val="20"/>
          <w:szCs w:val="20"/>
        </w:rPr>
        <w:t xml:space="preserve">these indicators have for the first </w:t>
      </w:r>
      <w:r w:rsidR="0063528C">
        <w:rPr>
          <w:sz w:val="20"/>
          <w:szCs w:val="20"/>
        </w:rPr>
        <w:t>time</w:t>
      </w:r>
      <w:r w:rsidR="001B6AA8">
        <w:rPr>
          <w:sz w:val="20"/>
          <w:szCs w:val="20"/>
        </w:rPr>
        <w:t xml:space="preserve"> met or exceeded their targets. </w:t>
      </w:r>
    </w:p>
    <w:p w14:paraId="0EA45EF9" w14:textId="455E724F" w:rsidR="000076EC" w:rsidRDefault="0019450F" w:rsidP="75801B79">
      <w:pPr>
        <w:pStyle w:val="Paragraph"/>
        <w:spacing w:after="240"/>
        <w:rPr>
          <w:sz w:val="20"/>
          <w:szCs w:val="20"/>
        </w:rPr>
      </w:pPr>
      <w:r w:rsidRPr="75801B79">
        <w:rPr>
          <w:sz w:val="20"/>
          <w:szCs w:val="20"/>
        </w:rPr>
        <w:t xml:space="preserve">The same work was applied to </w:t>
      </w:r>
      <w:r w:rsidR="001B6AA8" w:rsidRPr="75801B79">
        <w:rPr>
          <w:sz w:val="20"/>
          <w:szCs w:val="20"/>
        </w:rPr>
        <w:t>indicator 1b.3</w:t>
      </w:r>
      <w:r w:rsidRPr="75801B79">
        <w:rPr>
          <w:sz w:val="20"/>
          <w:szCs w:val="20"/>
        </w:rPr>
        <w:t>. However, re</w:t>
      </w:r>
      <w:r w:rsidR="001B6AA8" w:rsidRPr="75801B79">
        <w:rPr>
          <w:sz w:val="20"/>
          <w:szCs w:val="20"/>
        </w:rPr>
        <w:t>sult</w:t>
      </w:r>
      <w:r w:rsidRPr="75801B79">
        <w:rPr>
          <w:sz w:val="20"/>
          <w:szCs w:val="20"/>
        </w:rPr>
        <w:t>s were still</w:t>
      </w:r>
      <w:r w:rsidR="001B6AA8" w:rsidRPr="75801B79">
        <w:rPr>
          <w:sz w:val="20"/>
          <w:szCs w:val="20"/>
        </w:rPr>
        <w:t xml:space="preserve"> at 0 and </w:t>
      </w:r>
      <w:r w:rsidRPr="75801B79">
        <w:rPr>
          <w:sz w:val="20"/>
          <w:szCs w:val="20"/>
        </w:rPr>
        <w:t xml:space="preserve">the indicator continues to </w:t>
      </w:r>
      <w:r w:rsidR="001B6AA8" w:rsidRPr="75801B79">
        <w:rPr>
          <w:sz w:val="20"/>
          <w:szCs w:val="20"/>
        </w:rPr>
        <w:t>substantially underperform against the target</w:t>
      </w:r>
      <w:r w:rsidRPr="75801B79">
        <w:rPr>
          <w:sz w:val="20"/>
          <w:szCs w:val="20"/>
        </w:rPr>
        <w:t>, even with updated modelling reducing the target to a more realistic goal</w:t>
      </w:r>
      <w:r w:rsidR="001B6AA8" w:rsidRPr="75801B79">
        <w:rPr>
          <w:sz w:val="20"/>
          <w:szCs w:val="20"/>
        </w:rPr>
        <w:t xml:space="preserve">. </w:t>
      </w:r>
      <w:r w:rsidR="006F6971" w:rsidRPr="75801B79">
        <w:rPr>
          <w:sz w:val="20"/>
          <w:szCs w:val="20"/>
        </w:rPr>
        <w:t xml:space="preserve">This is because of additional challenges relating to reporting and collecting data on replication results given they are outside of direct MAGC funding. </w:t>
      </w:r>
      <w:r w:rsidR="000076EC" w:rsidRPr="75801B79">
        <w:rPr>
          <w:sz w:val="20"/>
          <w:szCs w:val="20"/>
        </w:rPr>
        <w:t>So far, in the programme lifetime ‘replicated finance’ has been defined at the individual FI level which prevents subsequent transactions by the same FI from being reported. As part of the Logframe update anticipated in the next reporting period</w:t>
      </w:r>
      <w:r w:rsidR="00F55DE4" w:rsidRPr="75801B79">
        <w:rPr>
          <w:sz w:val="20"/>
          <w:szCs w:val="20"/>
        </w:rPr>
        <w:t xml:space="preserve"> (Recommendation </w:t>
      </w:r>
      <w:r w:rsidR="00AD4F84" w:rsidRPr="75801B79">
        <w:rPr>
          <w:sz w:val="20"/>
          <w:szCs w:val="20"/>
        </w:rPr>
        <w:t>3</w:t>
      </w:r>
      <w:r w:rsidR="00F55DE4" w:rsidRPr="75801B79">
        <w:rPr>
          <w:sz w:val="20"/>
          <w:szCs w:val="20"/>
        </w:rPr>
        <w:t>)</w:t>
      </w:r>
      <w:r w:rsidR="000076EC" w:rsidRPr="75801B79">
        <w:rPr>
          <w:sz w:val="20"/>
          <w:szCs w:val="20"/>
        </w:rPr>
        <w:t>, this definition will be updated to ensure accurate reporting in future years of the programme.</w:t>
      </w:r>
    </w:p>
    <w:p w14:paraId="070818AC" w14:textId="3C386368" w:rsidR="00C5549F" w:rsidRDefault="00184825" w:rsidP="00657117">
      <w:pPr>
        <w:pStyle w:val="Paragraph"/>
        <w:spacing w:after="240"/>
        <w:rPr>
          <w:sz w:val="20"/>
          <w:szCs w:val="20"/>
        </w:rPr>
      </w:pPr>
      <w:r w:rsidRPr="52CD66CA">
        <w:rPr>
          <w:sz w:val="20"/>
          <w:szCs w:val="20"/>
        </w:rPr>
        <w:lastRenderedPageBreak/>
        <w:t>T</w:t>
      </w:r>
      <w:r w:rsidR="004A4CC9" w:rsidRPr="52CD66CA">
        <w:rPr>
          <w:sz w:val="20"/>
          <w:szCs w:val="20"/>
        </w:rPr>
        <w:t xml:space="preserve">he target was also not achieved for indicator 1b.4. </w:t>
      </w:r>
      <w:r w:rsidR="00051A70" w:rsidRPr="52CD66CA">
        <w:rPr>
          <w:sz w:val="20"/>
          <w:szCs w:val="20"/>
        </w:rPr>
        <w:t>Similarly to indicator 1b.3, so far in the programme lifetime, this indicator</w:t>
      </w:r>
      <w:r w:rsidR="004A4CC9" w:rsidRPr="52CD66CA">
        <w:rPr>
          <w:sz w:val="20"/>
          <w:szCs w:val="20"/>
        </w:rPr>
        <w:t xml:space="preserve"> </w:t>
      </w:r>
      <w:r w:rsidR="00051A70" w:rsidRPr="52CD66CA">
        <w:rPr>
          <w:sz w:val="20"/>
          <w:szCs w:val="20"/>
        </w:rPr>
        <w:t>has been</w:t>
      </w:r>
      <w:r w:rsidR="004A4CC9" w:rsidRPr="52CD66CA">
        <w:rPr>
          <w:sz w:val="20"/>
          <w:szCs w:val="20"/>
        </w:rPr>
        <w:t xml:space="preserve"> defined at the individual </w:t>
      </w:r>
      <w:r w:rsidR="00051A70" w:rsidRPr="52CD66CA">
        <w:rPr>
          <w:sz w:val="20"/>
          <w:szCs w:val="20"/>
        </w:rPr>
        <w:t>FI</w:t>
      </w:r>
      <w:r w:rsidR="004A4CC9" w:rsidRPr="52CD66CA">
        <w:rPr>
          <w:sz w:val="20"/>
          <w:szCs w:val="20"/>
        </w:rPr>
        <w:t xml:space="preserve"> level</w:t>
      </w:r>
      <w:r w:rsidR="00051A70" w:rsidRPr="52CD66CA">
        <w:rPr>
          <w:sz w:val="20"/>
          <w:szCs w:val="20"/>
        </w:rPr>
        <w:t xml:space="preserve"> which prevents subsequent transactions by the same FI from being reported</w:t>
      </w:r>
      <w:r w:rsidR="004A4CC9" w:rsidRPr="52CD66CA">
        <w:rPr>
          <w:sz w:val="20"/>
          <w:szCs w:val="20"/>
        </w:rPr>
        <w:t>.</w:t>
      </w:r>
      <w:r w:rsidR="00051A70" w:rsidRPr="52CD66CA">
        <w:rPr>
          <w:sz w:val="20"/>
          <w:szCs w:val="20"/>
        </w:rPr>
        <w:t xml:space="preserve"> As part of the Logframe update anticipated in the next reporting period</w:t>
      </w:r>
      <w:r w:rsidR="001C512C" w:rsidRPr="52CD66CA">
        <w:rPr>
          <w:sz w:val="20"/>
          <w:szCs w:val="20"/>
        </w:rPr>
        <w:t xml:space="preserve"> (Recommendation </w:t>
      </w:r>
      <w:r w:rsidR="00AD4F84" w:rsidRPr="52CD66CA">
        <w:rPr>
          <w:sz w:val="20"/>
          <w:szCs w:val="20"/>
        </w:rPr>
        <w:t>3</w:t>
      </w:r>
      <w:r w:rsidR="001C512C" w:rsidRPr="52CD66CA">
        <w:rPr>
          <w:sz w:val="20"/>
          <w:szCs w:val="20"/>
        </w:rPr>
        <w:t>)</w:t>
      </w:r>
      <w:r w:rsidR="00051A70" w:rsidRPr="52CD66CA">
        <w:rPr>
          <w:sz w:val="20"/>
          <w:szCs w:val="20"/>
        </w:rPr>
        <w:t>, this definition will be updated to ensure accurate reporting in future years of the programme.</w:t>
      </w:r>
    </w:p>
    <w:p w14:paraId="1A9020B0" w14:textId="77777777" w:rsidR="006A123D" w:rsidRPr="0040656D" w:rsidRDefault="006A123D" w:rsidP="00657117">
      <w:pPr>
        <w:spacing w:after="240"/>
        <w:rPr>
          <w:rFonts w:cs="Arial"/>
          <w:sz w:val="20"/>
          <w:szCs w:val="20"/>
        </w:rPr>
      </w:pPr>
      <w:r w:rsidRPr="00846963">
        <w:rPr>
          <w:rFonts w:cs="Arial"/>
          <w:b/>
          <w:bCs/>
          <w:sz w:val="20"/>
          <w:szCs w:val="20"/>
        </w:rPr>
        <w:t xml:space="preserve">Describe any changes to this output, and any planned changes </w:t>
      </w:r>
      <w:proofErr w:type="gramStart"/>
      <w:r w:rsidRPr="00846963">
        <w:rPr>
          <w:rFonts w:cs="Arial"/>
          <w:b/>
          <w:bCs/>
          <w:sz w:val="20"/>
          <w:szCs w:val="20"/>
        </w:rPr>
        <w:t>as a result of</w:t>
      </w:r>
      <w:proofErr w:type="gramEnd"/>
      <w:r w:rsidRPr="00846963">
        <w:rPr>
          <w:rFonts w:cs="Arial"/>
          <w:b/>
          <w:bCs/>
          <w:sz w:val="20"/>
          <w:szCs w:val="20"/>
        </w:rPr>
        <w:t xml:space="preserve"> this review.</w:t>
      </w:r>
      <w:r w:rsidRPr="0040656D">
        <w:rPr>
          <w:rFonts w:cs="Arial"/>
          <w:b/>
          <w:bCs/>
          <w:sz w:val="20"/>
          <w:szCs w:val="20"/>
        </w:rPr>
        <w:t xml:space="preserve"> </w:t>
      </w:r>
    </w:p>
    <w:p w14:paraId="584A0EA8" w14:textId="77777777" w:rsidR="00AD4F84" w:rsidRPr="0040656D" w:rsidRDefault="00AD4F84" w:rsidP="00657117">
      <w:pPr>
        <w:pStyle w:val="paragraph0"/>
        <w:spacing w:before="0" w:beforeAutospacing="0" w:after="240" w:afterAutospacing="0"/>
        <w:jc w:val="both"/>
        <w:textAlignment w:val="baseline"/>
        <w:rPr>
          <w:rStyle w:val="normaltextrun"/>
          <w:rFonts w:ascii="Arial" w:hAnsi="Arial" w:cs="Arial"/>
          <w:color w:val="000000"/>
          <w:sz w:val="20"/>
          <w:szCs w:val="20"/>
          <w:u w:val="single"/>
        </w:rPr>
      </w:pPr>
      <w:r w:rsidRPr="0040656D">
        <w:rPr>
          <w:rStyle w:val="normaltextrun"/>
          <w:rFonts w:ascii="Arial" w:hAnsi="Arial" w:cs="Arial"/>
          <w:color w:val="000000"/>
          <w:sz w:val="20"/>
          <w:szCs w:val="20"/>
          <w:u w:val="single"/>
        </w:rPr>
        <w:t xml:space="preserve">This Reporting Period </w:t>
      </w:r>
    </w:p>
    <w:p w14:paraId="2C213779" w14:textId="1D03A5B0" w:rsidR="00AD4F84" w:rsidRPr="0040656D" w:rsidRDefault="00AD4F84"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 xml:space="preserve">In December 2023, </w:t>
      </w:r>
      <w:r w:rsidRPr="0040656D">
        <w:rPr>
          <w:rStyle w:val="normaltextrun"/>
          <w:rFonts w:ascii="Arial" w:hAnsi="Arial" w:cs="Arial"/>
          <w:color w:val="000000" w:themeColor="text1"/>
          <w:sz w:val="20"/>
          <w:szCs w:val="20"/>
        </w:rPr>
        <w:t>DESNZ and IFC completed a Change Request of £</w:t>
      </w:r>
      <w:r>
        <w:rPr>
          <w:rStyle w:val="normaltextrun"/>
          <w:rFonts w:ascii="Arial" w:hAnsi="Arial" w:cs="Arial"/>
          <w:color w:val="000000" w:themeColor="text1"/>
          <w:sz w:val="20"/>
          <w:szCs w:val="20"/>
        </w:rPr>
        <w:t>24</w:t>
      </w:r>
      <w:r w:rsidRPr="0040656D">
        <w:rPr>
          <w:rStyle w:val="normaltextrun"/>
          <w:rFonts w:ascii="Arial" w:hAnsi="Arial" w:cs="Arial"/>
          <w:color w:val="000000" w:themeColor="text1"/>
          <w:sz w:val="20"/>
          <w:szCs w:val="20"/>
        </w:rPr>
        <w:t>m</w:t>
      </w:r>
      <w:r>
        <w:rPr>
          <w:rStyle w:val="normaltextrun"/>
          <w:rFonts w:ascii="Arial" w:hAnsi="Arial" w:cs="Arial"/>
          <w:color w:val="000000" w:themeColor="text1"/>
          <w:sz w:val="20"/>
          <w:szCs w:val="20"/>
        </w:rPr>
        <w:t>, providing £22m allocated to concessional finance and £2m for advisory services and administrative support to</w:t>
      </w:r>
      <w:r w:rsidRPr="0040656D">
        <w:rPr>
          <w:rStyle w:val="normaltextrun"/>
          <w:rFonts w:ascii="Arial" w:hAnsi="Arial" w:cs="Arial"/>
          <w:color w:val="000000" w:themeColor="text1"/>
          <w:sz w:val="20"/>
          <w:szCs w:val="20"/>
        </w:rPr>
        <w:t xml:space="preserve"> Component </w:t>
      </w:r>
      <w:r>
        <w:rPr>
          <w:rStyle w:val="normaltextrun"/>
          <w:rFonts w:ascii="Arial" w:hAnsi="Arial" w:cs="Arial"/>
          <w:color w:val="000000" w:themeColor="text1"/>
          <w:sz w:val="20"/>
          <w:szCs w:val="20"/>
        </w:rPr>
        <w:t xml:space="preserve">1. </w:t>
      </w:r>
      <w:r w:rsidRPr="0040656D">
        <w:rPr>
          <w:rStyle w:val="normaltextrun"/>
          <w:rFonts w:ascii="Arial" w:hAnsi="Arial" w:cs="Arial"/>
          <w:color w:val="000000" w:themeColor="text1"/>
          <w:sz w:val="20"/>
          <w:szCs w:val="20"/>
        </w:rPr>
        <w:t xml:space="preserve">A detailed summary of the Change Request is provided in </w:t>
      </w:r>
      <w:r w:rsidRPr="008E5FC7">
        <w:rPr>
          <w:rStyle w:val="normaltextrun"/>
          <w:rFonts w:ascii="Arial" w:hAnsi="Arial" w:cs="Arial"/>
          <w:b/>
          <w:bCs/>
          <w:color w:val="000000" w:themeColor="text1"/>
          <w:sz w:val="20"/>
          <w:szCs w:val="20"/>
        </w:rPr>
        <w:t>Section D</w:t>
      </w:r>
      <w:r w:rsidRPr="0040656D">
        <w:rPr>
          <w:rStyle w:val="normaltextrun"/>
          <w:rFonts w:ascii="Arial" w:hAnsi="Arial" w:cs="Arial"/>
          <w:color w:val="000000" w:themeColor="text1"/>
          <w:sz w:val="20"/>
          <w:szCs w:val="20"/>
        </w:rPr>
        <w:t xml:space="preserve">. </w:t>
      </w:r>
      <w:r>
        <w:rPr>
          <w:rStyle w:val="normaltextrun"/>
          <w:rFonts w:ascii="Arial" w:hAnsi="Arial" w:cs="Arial"/>
          <w:color w:val="000000" w:themeColor="text1"/>
          <w:sz w:val="20"/>
          <w:szCs w:val="20"/>
        </w:rPr>
        <w:t xml:space="preserve">The implementation, including </w:t>
      </w:r>
      <w:r w:rsidR="00451607">
        <w:rPr>
          <w:rStyle w:val="normaltextrun"/>
          <w:rFonts w:ascii="Arial" w:hAnsi="Arial" w:cs="Arial"/>
          <w:color w:val="000000" w:themeColor="text1"/>
          <w:sz w:val="20"/>
          <w:szCs w:val="20"/>
        </w:rPr>
        <w:t>Logframe</w:t>
      </w:r>
      <w:r>
        <w:rPr>
          <w:rStyle w:val="normaltextrun"/>
          <w:rFonts w:ascii="Arial" w:hAnsi="Arial" w:cs="Arial"/>
          <w:color w:val="000000" w:themeColor="text1"/>
          <w:sz w:val="20"/>
          <w:szCs w:val="20"/>
        </w:rPr>
        <w:t xml:space="preserve"> amendments </w:t>
      </w:r>
      <w:r w:rsidRPr="00690311">
        <w:rPr>
          <w:rStyle w:val="normaltextrun"/>
          <w:rFonts w:ascii="Arial" w:hAnsi="Arial" w:cs="Arial"/>
          <w:color w:val="000000" w:themeColor="text1"/>
          <w:sz w:val="20"/>
          <w:szCs w:val="20"/>
        </w:rPr>
        <w:t xml:space="preserve">(Recommendation </w:t>
      </w:r>
      <w:r>
        <w:rPr>
          <w:rStyle w:val="normaltextrun"/>
          <w:rFonts w:ascii="Arial" w:hAnsi="Arial" w:cs="Arial"/>
          <w:color w:val="000000" w:themeColor="text1"/>
          <w:sz w:val="20"/>
          <w:szCs w:val="20"/>
        </w:rPr>
        <w:t>3</w:t>
      </w:r>
      <w:r w:rsidRPr="00690311">
        <w:rPr>
          <w:rStyle w:val="normaltextrun"/>
          <w:rFonts w:ascii="Arial" w:hAnsi="Arial" w:cs="Arial"/>
          <w:color w:val="000000" w:themeColor="text1"/>
          <w:sz w:val="20"/>
          <w:szCs w:val="20"/>
        </w:rPr>
        <w:t>), will</w:t>
      </w:r>
      <w:r>
        <w:rPr>
          <w:rStyle w:val="normaltextrun"/>
          <w:rFonts w:ascii="Arial" w:hAnsi="Arial" w:cs="Arial"/>
          <w:color w:val="000000" w:themeColor="text1"/>
          <w:sz w:val="20"/>
          <w:szCs w:val="20"/>
        </w:rPr>
        <w:t xml:space="preserve"> begin in the next reporting period. </w:t>
      </w:r>
      <w:r w:rsidRPr="0040656D">
        <w:rPr>
          <w:rStyle w:val="normaltextrun"/>
          <w:rFonts w:ascii="Arial" w:hAnsi="Arial" w:cs="Arial"/>
          <w:color w:val="000000" w:themeColor="text1"/>
          <w:sz w:val="20"/>
          <w:szCs w:val="20"/>
        </w:rPr>
        <w:t xml:space="preserve"> </w:t>
      </w:r>
    </w:p>
    <w:p w14:paraId="1159DAC7" w14:textId="77777777" w:rsidR="00AD4F84" w:rsidRPr="0040656D" w:rsidRDefault="00AD4F84" w:rsidP="00657117">
      <w:pPr>
        <w:pStyle w:val="paragraph0"/>
        <w:spacing w:before="0" w:beforeAutospacing="0" w:after="240" w:afterAutospacing="0"/>
        <w:jc w:val="both"/>
        <w:textAlignment w:val="baseline"/>
        <w:rPr>
          <w:rStyle w:val="normaltextrun"/>
          <w:rFonts w:ascii="Arial" w:hAnsi="Arial" w:cs="Arial"/>
          <w:color w:val="000000"/>
          <w:sz w:val="20"/>
          <w:szCs w:val="20"/>
          <w:u w:val="single"/>
        </w:rPr>
      </w:pPr>
      <w:r w:rsidRPr="0040656D">
        <w:rPr>
          <w:rStyle w:val="normaltextrun"/>
          <w:rFonts w:ascii="Arial" w:hAnsi="Arial" w:cs="Arial"/>
          <w:color w:val="000000" w:themeColor="text1"/>
          <w:sz w:val="20"/>
          <w:szCs w:val="20"/>
          <w:u w:val="single"/>
        </w:rPr>
        <w:t>Future Changes</w:t>
      </w:r>
    </w:p>
    <w:p w14:paraId="64013BF0" w14:textId="7552EE42" w:rsidR="00AD4F84" w:rsidRDefault="00AD4F84" w:rsidP="75801B79">
      <w:pPr>
        <w:pStyle w:val="paragraph0"/>
        <w:spacing w:before="0" w:beforeAutospacing="0" w:after="240" w:afterAutospacing="0"/>
        <w:jc w:val="both"/>
        <w:textAlignment w:val="baseline"/>
        <w:rPr>
          <w:rStyle w:val="normaltextrun"/>
          <w:rFonts w:ascii="Arial" w:hAnsi="Arial" w:cs="Arial"/>
          <w:color w:val="000000" w:themeColor="text1"/>
          <w:sz w:val="20"/>
          <w:szCs w:val="20"/>
        </w:rPr>
      </w:pPr>
      <w:r w:rsidRPr="75801B79">
        <w:rPr>
          <w:rStyle w:val="normaltextrun"/>
          <w:rFonts w:ascii="Arial" w:hAnsi="Arial" w:cs="Arial"/>
          <w:color w:val="000000" w:themeColor="text1"/>
          <w:sz w:val="20"/>
          <w:szCs w:val="20"/>
        </w:rPr>
        <w:t xml:space="preserve">As part of the December 2023 Change Request above, amendments are required to capture the implementation of the activities that were agreed, with work due to be complete in the next reporting period. A detailed summary of the Change Request is provided in </w:t>
      </w:r>
      <w:r w:rsidRPr="75801B79">
        <w:rPr>
          <w:rStyle w:val="normaltextrun"/>
          <w:rFonts w:ascii="Arial" w:hAnsi="Arial" w:cs="Arial"/>
          <w:b/>
          <w:bCs/>
          <w:color w:val="000000" w:themeColor="text1"/>
          <w:sz w:val="20"/>
          <w:szCs w:val="20"/>
        </w:rPr>
        <w:t>Section D.</w:t>
      </w:r>
      <w:r w:rsidRPr="75801B79">
        <w:rPr>
          <w:rStyle w:val="normaltextrun"/>
          <w:rFonts w:ascii="Arial" w:hAnsi="Arial" w:cs="Arial"/>
          <w:color w:val="000000" w:themeColor="text1"/>
          <w:sz w:val="20"/>
          <w:szCs w:val="20"/>
        </w:rPr>
        <w:t xml:space="preserve">   </w:t>
      </w:r>
    </w:p>
    <w:p w14:paraId="1E6541C1" w14:textId="5B240D47" w:rsidR="00AD4F84" w:rsidRDefault="00AD4F84"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 xml:space="preserve">As summarised </w:t>
      </w:r>
      <w:r w:rsidRPr="00690311">
        <w:rPr>
          <w:rStyle w:val="normaltextrun"/>
          <w:rFonts w:ascii="Arial" w:hAnsi="Arial" w:cs="Arial"/>
          <w:color w:val="000000" w:themeColor="text1"/>
          <w:sz w:val="20"/>
          <w:szCs w:val="20"/>
        </w:rPr>
        <w:t xml:space="preserve">in Recommendation </w:t>
      </w:r>
      <w:r>
        <w:rPr>
          <w:rStyle w:val="normaltextrun"/>
          <w:rFonts w:ascii="Arial" w:hAnsi="Arial" w:cs="Arial"/>
          <w:color w:val="000000" w:themeColor="text1"/>
          <w:sz w:val="20"/>
          <w:szCs w:val="20"/>
        </w:rPr>
        <w:t>3</w:t>
      </w:r>
      <w:r w:rsidRPr="00690311">
        <w:rPr>
          <w:rStyle w:val="normaltextrun"/>
          <w:rFonts w:ascii="Arial" w:hAnsi="Arial" w:cs="Arial"/>
          <w:color w:val="000000" w:themeColor="text1"/>
          <w:sz w:val="20"/>
          <w:szCs w:val="20"/>
        </w:rPr>
        <w:t>, further</w:t>
      </w:r>
      <w:r>
        <w:rPr>
          <w:rStyle w:val="normaltextrun"/>
          <w:rFonts w:ascii="Arial" w:hAnsi="Arial" w:cs="Arial"/>
          <w:color w:val="000000" w:themeColor="text1"/>
          <w:sz w:val="20"/>
          <w:szCs w:val="20"/>
        </w:rPr>
        <w:t xml:space="preserve"> evaluation of the </w:t>
      </w:r>
      <w:r w:rsidR="00451607">
        <w:rPr>
          <w:rStyle w:val="normaltextrun"/>
          <w:rFonts w:ascii="Arial" w:hAnsi="Arial" w:cs="Arial"/>
          <w:color w:val="000000" w:themeColor="text1"/>
          <w:sz w:val="20"/>
          <w:szCs w:val="20"/>
        </w:rPr>
        <w:t>Logframe</w:t>
      </w:r>
      <w:r>
        <w:rPr>
          <w:rStyle w:val="normaltextrun"/>
          <w:rFonts w:ascii="Arial" w:hAnsi="Arial" w:cs="Arial"/>
          <w:color w:val="000000" w:themeColor="text1"/>
          <w:sz w:val="20"/>
          <w:szCs w:val="20"/>
        </w:rPr>
        <w:t xml:space="preserve"> modelling will take place. This will cover: </w:t>
      </w:r>
    </w:p>
    <w:p w14:paraId="2D983B3E" w14:textId="77777777" w:rsidR="00AD4F84" w:rsidRPr="00BB73B4" w:rsidRDefault="00AD4F84" w:rsidP="00934895">
      <w:pPr>
        <w:pStyle w:val="paragraph0"/>
        <w:numPr>
          <w:ilvl w:val="0"/>
          <w:numId w:val="74"/>
        </w:numPr>
        <w:spacing w:after="240" w:afterAutospacing="0"/>
        <w:jc w:val="both"/>
        <w:textAlignment w:val="baseline"/>
        <w:rPr>
          <w:rStyle w:val="normaltextrun"/>
          <w:rFonts w:ascii="Arial" w:hAnsi="Arial" w:cs="Arial"/>
          <w:color w:val="000000" w:themeColor="text1"/>
          <w:sz w:val="20"/>
          <w:szCs w:val="20"/>
        </w:rPr>
      </w:pPr>
      <w:r w:rsidRPr="00BB73B4">
        <w:rPr>
          <w:rStyle w:val="normaltextrun"/>
          <w:rFonts w:ascii="Arial" w:hAnsi="Arial" w:cs="Arial"/>
          <w:color w:val="000000" w:themeColor="text1"/>
          <w:sz w:val="20"/>
          <w:szCs w:val="20"/>
        </w:rPr>
        <w:t xml:space="preserve">The December 2023 Change Request contribution from the UK of £24 million in additional funding, along with a two-year extension of the investment window. This new contribution includes £22 million for Blended Finance (BF) and £2 million for FI Advisory Services, with the investment period now extending from December 2025 to December 2027.  </w:t>
      </w:r>
    </w:p>
    <w:p w14:paraId="442580DB" w14:textId="52D74BD8" w:rsidR="00AD4F84" w:rsidRDefault="00AD4F84" w:rsidP="00657117">
      <w:pPr>
        <w:pStyle w:val="paragraph0"/>
        <w:numPr>
          <w:ilvl w:val="0"/>
          <w:numId w:val="74"/>
        </w:numPr>
        <w:spacing w:after="240" w:afterAutospacing="0"/>
        <w:jc w:val="both"/>
        <w:textAlignment w:val="baseline"/>
        <w:rPr>
          <w:rStyle w:val="normaltextrun"/>
          <w:rFonts w:ascii="Arial" w:hAnsi="Arial" w:cs="Arial"/>
          <w:color w:val="000000" w:themeColor="text1"/>
          <w:sz w:val="20"/>
          <w:szCs w:val="20"/>
        </w:rPr>
      </w:pPr>
      <w:r w:rsidRPr="00BB73B4">
        <w:rPr>
          <w:rStyle w:val="normaltextrun"/>
          <w:rFonts w:ascii="Arial" w:hAnsi="Arial" w:cs="Arial"/>
          <w:color w:val="000000" w:themeColor="text1"/>
          <w:sz w:val="20"/>
          <w:szCs w:val="20"/>
        </w:rPr>
        <w:t xml:space="preserve">A reassessment of the original assumptions and a revision of the </w:t>
      </w:r>
      <w:r w:rsidR="00451607" w:rsidRPr="00BB73B4">
        <w:rPr>
          <w:rStyle w:val="normaltextrun"/>
          <w:rFonts w:ascii="Arial" w:hAnsi="Arial" w:cs="Arial"/>
          <w:color w:val="000000" w:themeColor="text1"/>
          <w:sz w:val="20"/>
          <w:szCs w:val="20"/>
        </w:rPr>
        <w:t>Logframe</w:t>
      </w:r>
      <w:r w:rsidRPr="00BB73B4">
        <w:rPr>
          <w:rStyle w:val="normaltextrun"/>
          <w:rFonts w:ascii="Arial" w:hAnsi="Arial" w:cs="Arial"/>
          <w:color w:val="000000" w:themeColor="text1"/>
          <w:sz w:val="20"/>
          <w:szCs w:val="20"/>
        </w:rPr>
        <w:t xml:space="preserve"> targets to align with historical performance and current trends in addition to the update on the additional funding and extended tenure. </w:t>
      </w:r>
      <w:r>
        <w:rPr>
          <w:rStyle w:val="normaltextrun"/>
          <w:rFonts w:ascii="Arial" w:hAnsi="Arial" w:cs="Arial"/>
          <w:color w:val="000000" w:themeColor="text1"/>
          <w:sz w:val="20"/>
          <w:szCs w:val="20"/>
        </w:rPr>
        <w:t xml:space="preserve">This will relate to </w:t>
      </w:r>
      <w:r w:rsidRPr="00DA4DAB">
        <w:rPr>
          <w:rStyle w:val="normaltextrun"/>
          <w:rFonts w:ascii="Arial" w:hAnsi="Arial" w:cs="Arial"/>
          <w:color w:val="000000" w:themeColor="text1"/>
          <w:sz w:val="20"/>
          <w:szCs w:val="20"/>
        </w:rPr>
        <w:t>the assumed number of MAGC transactions, financial instrument splits, mobilisation assumptions and disbursements profiles</w:t>
      </w:r>
      <w:r>
        <w:rPr>
          <w:rStyle w:val="normaltextrun"/>
          <w:rFonts w:ascii="Arial" w:hAnsi="Arial" w:cs="Arial"/>
          <w:color w:val="000000" w:themeColor="text1"/>
          <w:sz w:val="20"/>
          <w:szCs w:val="20"/>
        </w:rPr>
        <w:t>.</w:t>
      </w:r>
      <w:r w:rsidRPr="00BB73B4">
        <w:rPr>
          <w:rStyle w:val="normaltextrun"/>
          <w:rFonts w:ascii="Arial" w:hAnsi="Arial" w:cs="Arial"/>
          <w:color w:val="000000" w:themeColor="text1"/>
          <w:sz w:val="20"/>
          <w:szCs w:val="20"/>
        </w:rPr>
        <w:t xml:space="preserve"> </w:t>
      </w:r>
    </w:p>
    <w:p w14:paraId="6DCD2866" w14:textId="26583FAE" w:rsidR="00AD4F84" w:rsidRDefault="00AD4F84" w:rsidP="00657117">
      <w:pPr>
        <w:pStyle w:val="paragraph0"/>
        <w:numPr>
          <w:ilvl w:val="0"/>
          <w:numId w:val="74"/>
        </w:numPr>
        <w:spacing w:after="240" w:afterAutospacing="0"/>
        <w:jc w:val="both"/>
        <w:textAlignment w:val="baseline"/>
        <w:rPr>
          <w:rStyle w:val="normaltextrun"/>
          <w:rFonts w:ascii="Arial" w:hAnsi="Arial" w:cs="Arial"/>
          <w:color w:val="000000" w:themeColor="text1"/>
          <w:sz w:val="20"/>
          <w:szCs w:val="20"/>
        </w:rPr>
      </w:pPr>
      <w:r w:rsidRPr="00B50CA8">
        <w:rPr>
          <w:rStyle w:val="normaltextrun"/>
          <w:rFonts w:ascii="Arial" w:hAnsi="Arial" w:cs="Arial"/>
          <w:color w:val="000000" w:themeColor="text1"/>
          <w:sz w:val="20"/>
          <w:szCs w:val="20"/>
        </w:rPr>
        <w:t>A review of indicators related to replicated finance and several outcome/impact indicators which have had challenges with reporting. This will include</w:t>
      </w:r>
      <w:r>
        <w:rPr>
          <w:rStyle w:val="normaltextrun"/>
          <w:rFonts w:ascii="Arial" w:hAnsi="Arial" w:cs="Arial"/>
          <w:color w:val="000000" w:themeColor="text1"/>
          <w:sz w:val="20"/>
          <w:szCs w:val="20"/>
        </w:rPr>
        <w:t xml:space="preserve"> i</w:t>
      </w:r>
      <w:r w:rsidRPr="00DA4DAB">
        <w:rPr>
          <w:rStyle w:val="normaltextrun"/>
          <w:rFonts w:ascii="Arial" w:hAnsi="Arial" w:cs="Arial"/>
          <w:color w:val="000000" w:themeColor="text1"/>
          <w:sz w:val="20"/>
          <w:szCs w:val="20"/>
        </w:rPr>
        <w:t>ncorporat</w:t>
      </w:r>
      <w:r>
        <w:rPr>
          <w:rStyle w:val="normaltextrun"/>
          <w:rFonts w:ascii="Arial" w:hAnsi="Arial" w:cs="Arial"/>
          <w:color w:val="000000" w:themeColor="text1"/>
          <w:sz w:val="20"/>
          <w:szCs w:val="20"/>
        </w:rPr>
        <w:t>ing</w:t>
      </w:r>
      <w:r w:rsidRPr="00DA4DAB">
        <w:rPr>
          <w:rStyle w:val="normaltextrun"/>
          <w:rFonts w:ascii="Arial" w:hAnsi="Arial" w:cs="Arial"/>
          <w:color w:val="000000" w:themeColor="text1"/>
          <w:sz w:val="20"/>
          <w:szCs w:val="20"/>
        </w:rPr>
        <w:t xml:space="preserve"> the full impact of private finance mobilised results in the </w:t>
      </w:r>
      <w:r w:rsidR="00451607" w:rsidRPr="00DA4DAB">
        <w:rPr>
          <w:rStyle w:val="normaltextrun"/>
          <w:rFonts w:ascii="Arial" w:hAnsi="Arial" w:cs="Arial"/>
          <w:color w:val="000000" w:themeColor="text1"/>
          <w:sz w:val="20"/>
          <w:szCs w:val="20"/>
        </w:rPr>
        <w:t>Logframe</w:t>
      </w:r>
      <w:r w:rsidRPr="00DA4DAB">
        <w:rPr>
          <w:rStyle w:val="normaltextrun"/>
          <w:rFonts w:ascii="Arial" w:hAnsi="Arial" w:cs="Arial"/>
          <w:color w:val="000000" w:themeColor="text1"/>
          <w:sz w:val="20"/>
          <w:szCs w:val="20"/>
        </w:rPr>
        <w:t xml:space="preserve"> to capture both private finance mobilised at commitment stage and private equity mobilised at the sub loan stage. </w:t>
      </w:r>
    </w:p>
    <w:p w14:paraId="7293BEE6" w14:textId="7E61C01A" w:rsidR="00AD4F84" w:rsidRPr="00DA4DAB" w:rsidRDefault="00AD4F84" w:rsidP="00657117">
      <w:pPr>
        <w:pStyle w:val="paragraph0"/>
        <w:numPr>
          <w:ilvl w:val="0"/>
          <w:numId w:val="74"/>
        </w:numPr>
        <w:spacing w:after="240" w:afterAutospacing="0"/>
        <w:jc w:val="both"/>
        <w:textAlignment w:val="baseline"/>
        <w:rPr>
          <w:rStyle w:val="normaltextrun"/>
          <w:rFonts w:ascii="Arial" w:hAnsi="Arial" w:cs="Arial"/>
          <w:color w:val="000000" w:themeColor="text1"/>
          <w:sz w:val="20"/>
          <w:szCs w:val="20"/>
        </w:rPr>
      </w:pPr>
      <w:r w:rsidRPr="00DA4DAB">
        <w:rPr>
          <w:rStyle w:val="normaltextrun"/>
          <w:rFonts w:ascii="Arial" w:hAnsi="Arial" w:cs="Arial"/>
          <w:color w:val="000000" w:themeColor="text1"/>
          <w:sz w:val="20"/>
          <w:szCs w:val="20"/>
        </w:rPr>
        <w:t xml:space="preserve">Reviewing indicators in the </w:t>
      </w:r>
      <w:r w:rsidR="00451607" w:rsidRPr="00DA4DAB">
        <w:rPr>
          <w:rStyle w:val="normaltextrun"/>
          <w:rFonts w:ascii="Arial" w:hAnsi="Arial" w:cs="Arial"/>
          <w:color w:val="000000" w:themeColor="text1"/>
          <w:sz w:val="20"/>
          <w:szCs w:val="20"/>
        </w:rPr>
        <w:t>Logframe</w:t>
      </w:r>
      <w:r w:rsidRPr="00DA4DAB">
        <w:rPr>
          <w:rStyle w:val="normaltextrun"/>
          <w:rFonts w:ascii="Arial" w:hAnsi="Arial" w:cs="Arial"/>
          <w:color w:val="000000" w:themeColor="text1"/>
          <w:sz w:val="20"/>
          <w:szCs w:val="20"/>
        </w:rPr>
        <w:t xml:space="preserve"> which have had reporting challenges such as those related to replicated finance, in particular output indicator 1b.3 given further missed targets in this reporting period.</w:t>
      </w:r>
    </w:p>
    <w:p w14:paraId="0A7272B9" w14:textId="77777777" w:rsidR="006A123D" w:rsidRPr="0040656D" w:rsidRDefault="006A123D" w:rsidP="00657117">
      <w:pPr>
        <w:spacing w:after="240"/>
        <w:jc w:val="both"/>
        <w:rPr>
          <w:rFonts w:cs="Arial"/>
          <w:b/>
          <w:bCs/>
          <w:sz w:val="20"/>
          <w:szCs w:val="20"/>
        </w:rPr>
      </w:pPr>
      <w:r w:rsidRPr="00A96A8D">
        <w:rPr>
          <w:rFonts w:cs="Arial"/>
          <w:b/>
          <w:bCs/>
          <w:sz w:val="20"/>
          <w:szCs w:val="20"/>
        </w:rPr>
        <w:t>Progress on recommendations from the previous AR (if completed), lessons learned this year and recommendations for the year ahead.</w:t>
      </w:r>
      <w:r w:rsidRPr="0040656D">
        <w:rPr>
          <w:rFonts w:cs="Arial"/>
          <w:b/>
          <w:bCs/>
          <w:sz w:val="20"/>
          <w:szCs w:val="20"/>
        </w:rPr>
        <w:t xml:space="preserve"> </w:t>
      </w:r>
    </w:p>
    <w:p w14:paraId="39736AA2" w14:textId="77777777" w:rsidR="00AD4F84" w:rsidRDefault="00AD4F84" w:rsidP="00657117">
      <w:pPr>
        <w:spacing w:after="240"/>
        <w:jc w:val="both"/>
        <w:rPr>
          <w:rFonts w:cs="Arial"/>
          <w:sz w:val="20"/>
          <w:szCs w:val="20"/>
          <w:u w:val="single"/>
        </w:rPr>
      </w:pPr>
      <w:r w:rsidRPr="0040656D">
        <w:rPr>
          <w:rFonts w:cs="Arial"/>
          <w:sz w:val="20"/>
          <w:szCs w:val="20"/>
          <w:u w:val="single"/>
        </w:rPr>
        <w:t xml:space="preserve">Previous Annual Review Recommendations </w:t>
      </w:r>
    </w:p>
    <w:p w14:paraId="1BCEAD68" w14:textId="197B8F66" w:rsidR="00AD4F84" w:rsidRPr="00361215" w:rsidRDefault="00AD4F84" w:rsidP="000C48FF">
      <w:pPr>
        <w:pStyle w:val="ListParagraph"/>
        <w:numPr>
          <w:ilvl w:val="0"/>
          <w:numId w:val="75"/>
        </w:numPr>
        <w:spacing w:after="240"/>
        <w:ind w:left="357" w:hanging="357"/>
        <w:jc w:val="both"/>
        <w:rPr>
          <w:rFonts w:cs="Arial"/>
          <w:sz w:val="20"/>
          <w:szCs w:val="20"/>
        </w:rPr>
      </w:pPr>
      <w:r w:rsidRPr="295530E4">
        <w:rPr>
          <w:rFonts w:cs="Arial"/>
          <w:b/>
          <w:bCs/>
          <w:sz w:val="20"/>
          <w:szCs w:val="20"/>
        </w:rPr>
        <w:t xml:space="preserve">Recommendation </w:t>
      </w:r>
      <w:r w:rsidR="00822035" w:rsidRPr="295530E4">
        <w:rPr>
          <w:rFonts w:cs="Arial"/>
          <w:b/>
          <w:bCs/>
          <w:sz w:val="20"/>
          <w:szCs w:val="20"/>
        </w:rPr>
        <w:t>3</w:t>
      </w:r>
      <w:r w:rsidRPr="295530E4">
        <w:rPr>
          <w:rFonts w:cs="Arial"/>
          <w:b/>
          <w:bCs/>
          <w:sz w:val="20"/>
          <w:szCs w:val="20"/>
        </w:rPr>
        <w:t>: Complete</w:t>
      </w:r>
      <w:r w:rsidRPr="295530E4">
        <w:rPr>
          <w:rFonts w:cs="Arial"/>
          <w:sz w:val="20"/>
          <w:szCs w:val="20"/>
        </w:rPr>
        <w:t xml:space="preserve">. DESNZ and IFC agreed and finalised a </w:t>
      </w:r>
      <w:r w:rsidR="00451607" w:rsidRPr="295530E4">
        <w:rPr>
          <w:rFonts w:cs="Arial"/>
          <w:sz w:val="20"/>
          <w:szCs w:val="20"/>
        </w:rPr>
        <w:t>Logframe</w:t>
      </w:r>
      <w:r w:rsidRPr="295530E4">
        <w:rPr>
          <w:rFonts w:cs="Arial"/>
          <w:sz w:val="20"/>
          <w:szCs w:val="20"/>
        </w:rPr>
        <w:t xml:space="preserve"> update in this reporting period, which is detailed on Page 7. </w:t>
      </w:r>
    </w:p>
    <w:p w14:paraId="62DF3F7A" w14:textId="77777777" w:rsidR="00AD4F84" w:rsidRPr="00361215" w:rsidRDefault="00AD4F84" w:rsidP="000C48FF">
      <w:pPr>
        <w:pStyle w:val="ListParagraph"/>
        <w:numPr>
          <w:ilvl w:val="0"/>
          <w:numId w:val="75"/>
        </w:numPr>
        <w:spacing w:after="240"/>
        <w:ind w:left="357" w:hanging="357"/>
        <w:contextualSpacing w:val="0"/>
        <w:jc w:val="both"/>
        <w:rPr>
          <w:rFonts w:cs="Arial"/>
          <w:sz w:val="20"/>
          <w:szCs w:val="20"/>
        </w:rPr>
      </w:pPr>
      <w:r>
        <w:rPr>
          <w:rFonts w:cs="Arial"/>
          <w:b/>
          <w:bCs/>
          <w:sz w:val="20"/>
          <w:szCs w:val="20"/>
        </w:rPr>
        <w:t xml:space="preserve">Recommendation 5: Not complete, ongoing. </w:t>
      </w:r>
      <w:r>
        <w:rPr>
          <w:rFonts w:cs="Arial"/>
          <w:sz w:val="20"/>
          <w:szCs w:val="20"/>
        </w:rPr>
        <w:t>DESNZ and IFC did not achieve amendments to the programme’s Administration Arrangements, due to lack of capacity in IFC’s Legal team. Once available, DESNZ and IFC have agreed to finalise this work and sign off amendments to the existing Administration Arrangements</w:t>
      </w:r>
      <w:r w:rsidRPr="00CE3487">
        <w:rPr>
          <w:rFonts w:cs="Arial"/>
          <w:sz w:val="20"/>
          <w:szCs w:val="20"/>
        </w:rPr>
        <w:t>.</w:t>
      </w:r>
    </w:p>
    <w:p w14:paraId="01271662" w14:textId="77777777" w:rsidR="00CA0340" w:rsidRDefault="00CA0340">
      <w:pPr>
        <w:spacing w:after="160" w:line="259" w:lineRule="auto"/>
        <w:rPr>
          <w:rFonts w:cs="Arial"/>
          <w:color w:val="000000" w:themeColor="text1"/>
          <w:kern w:val="2"/>
          <w:sz w:val="20"/>
          <w:szCs w:val="20"/>
          <w:u w:val="single"/>
          <w14:ligatures w14:val="standardContextual"/>
        </w:rPr>
      </w:pPr>
      <w:r w:rsidRPr="75801B79">
        <w:rPr>
          <w:sz w:val="20"/>
          <w:szCs w:val="20"/>
          <w:u w:val="single"/>
        </w:rPr>
        <w:br w:type="page"/>
      </w:r>
    </w:p>
    <w:p w14:paraId="29931D37" w14:textId="601E3012" w:rsidR="00AD4F84" w:rsidRDefault="00AD4F84" w:rsidP="00657117">
      <w:pPr>
        <w:pStyle w:val="Paragraph"/>
        <w:spacing w:after="240"/>
        <w:rPr>
          <w:sz w:val="20"/>
          <w:szCs w:val="20"/>
          <w:u w:val="single"/>
        </w:rPr>
      </w:pPr>
      <w:r w:rsidRPr="002A0888">
        <w:rPr>
          <w:sz w:val="20"/>
          <w:szCs w:val="20"/>
          <w:u w:val="single"/>
        </w:rPr>
        <w:lastRenderedPageBreak/>
        <w:t>Annual Review Recommendations</w:t>
      </w:r>
    </w:p>
    <w:p w14:paraId="0BD47E0E" w14:textId="7497DA38" w:rsidR="00AD4F84" w:rsidRPr="00361215" w:rsidRDefault="00AD4F84" w:rsidP="00934895">
      <w:pPr>
        <w:pStyle w:val="ListParagraph"/>
        <w:numPr>
          <w:ilvl w:val="0"/>
          <w:numId w:val="76"/>
        </w:numPr>
        <w:spacing w:after="240"/>
        <w:ind w:hanging="357"/>
        <w:jc w:val="both"/>
        <w:rPr>
          <w:rFonts w:cs="Arial"/>
          <w:sz w:val="20"/>
          <w:szCs w:val="20"/>
        </w:rPr>
      </w:pPr>
      <w:r w:rsidRPr="08D7F225">
        <w:rPr>
          <w:rFonts w:cs="Arial"/>
          <w:b/>
          <w:bCs/>
          <w:sz w:val="20"/>
          <w:szCs w:val="20"/>
        </w:rPr>
        <w:t xml:space="preserve">Recommendation 1: Update Administrative Arrangements. </w:t>
      </w:r>
      <w:r w:rsidRPr="08D7F225">
        <w:rPr>
          <w:rFonts w:cs="Arial"/>
          <w:sz w:val="20"/>
          <w:szCs w:val="20"/>
        </w:rPr>
        <w:t>DESNZ and IFC to review and update the programme’s arrangements to bring up to date with departmental/organisational regulation and national policy. This will likely include introducing policies on ESG/safeguarding and data protection.</w:t>
      </w:r>
      <w:r w:rsidRPr="08D7F225">
        <w:rPr>
          <w:rFonts w:cs="Arial"/>
          <w:b/>
          <w:bCs/>
          <w:sz w:val="20"/>
          <w:szCs w:val="20"/>
        </w:rPr>
        <w:t>  </w:t>
      </w:r>
    </w:p>
    <w:p w14:paraId="71F4A5F7" w14:textId="0661308F" w:rsidR="00AD4F84" w:rsidRDefault="00AD4F84" w:rsidP="000C48FF">
      <w:pPr>
        <w:pStyle w:val="ListParagraph"/>
        <w:numPr>
          <w:ilvl w:val="0"/>
          <w:numId w:val="76"/>
        </w:numPr>
        <w:spacing w:after="240"/>
        <w:ind w:hanging="357"/>
        <w:jc w:val="both"/>
        <w:rPr>
          <w:rFonts w:cs="Arial"/>
          <w:sz w:val="20"/>
          <w:szCs w:val="20"/>
        </w:rPr>
      </w:pPr>
      <w:r w:rsidRPr="295530E4">
        <w:rPr>
          <w:rFonts w:cs="Arial"/>
          <w:b/>
          <w:bCs/>
          <w:sz w:val="20"/>
          <w:szCs w:val="20"/>
        </w:rPr>
        <w:t xml:space="preserve">Recommendation </w:t>
      </w:r>
      <w:r w:rsidR="00C51874" w:rsidRPr="295530E4">
        <w:rPr>
          <w:rFonts w:cs="Arial"/>
          <w:b/>
          <w:bCs/>
          <w:sz w:val="20"/>
          <w:szCs w:val="20"/>
        </w:rPr>
        <w:t>3</w:t>
      </w:r>
      <w:r w:rsidRPr="295530E4">
        <w:rPr>
          <w:rFonts w:cs="Arial"/>
          <w:b/>
          <w:bCs/>
          <w:sz w:val="20"/>
          <w:szCs w:val="20"/>
        </w:rPr>
        <w:t xml:space="preserve">: Logframe Model Recalibration and General Update. </w:t>
      </w:r>
      <w:r w:rsidRPr="295530E4">
        <w:rPr>
          <w:rFonts w:cs="Arial"/>
          <w:sz w:val="20"/>
          <w:szCs w:val="20"/>
        </w:rPr>
        <w:t xml:space="preserve">IFC and DESNZ to strengthen the programme’s </w:t>
      </w:r>
      <w:r w:rsidR="00451607" w:rsidRPr="295530E4">
        <w:rPr>
          <w:rFonts w:cs="Arial"/>
          <w:sz w:val="20"/>
          <w:szCs w:val="20"/>
        </w:rPr>
        <w:t>Logframe</w:t>
      </w:r>
      <w:r w:rsidRPr="295530E4">
        <w:rPr>
          <w:rFonts w:cs="Arial"/>
          <w:sz w:val="20"/>
          <w:szCs w:val="20"/>
        </w:rPr>
        <w:t>, updates will include:  </w:t>
      </w:r>
    </w:p>
    <w:p w14:paraId="518FEE7D" w14:textId="7A5465B0" w:rsidR="00AD4F84" w:rsidRDefault="00AD4F84" w:rsidP="000C48FF">
      <w:pPr>
        <w:pStyle w:val="ListParagraph"/>
        <w:numPr>
          <w:ilvl w:val="1"/>
          <w:numId w:val="76"/>
        </w:numPr>
        <w:spacing w:after="240"/>
        <w:ind w:hanging="357"/>
        <w:jc w:val="both"/>
        <w:rPr>
          <w:rFonts w:cs="Arial"/>
          <w:sz w:val="20"/>
          <w:szCs w:val="20"/>
        </w:rPr>
      </w:pPr>
      <w:r w:rsidRPr="08D7F225">
        <w:rPr>
          <w:rFonts w:cs="Arial"/>
          <w:sz w:val="20"/>
          <w:szCs w:val="20"/>
        </w:rPr>
        <w:t>The December 2023 Change Request contribution from the UK of £24 million in additional funding, along with a two-year extension of the investment window. This new contribution includes £22 million for Blended Finance (BF) and £2 million for FI Advisory Services, with the investment period now extending from December 2025 to December 2027.</w:t>
      </w:r>
    </w:p>
    <w:p w14:paraId="19BD11B2" w14:textId="185EC8D6" w:rsidR="00AD4F84" w:rsidRDefault="00AD4F84" w:rsidP="000C48FF">
      <w:pPr>
        <w:pStyle w:val="ListParagraph"/>
        <w:numPr>
          <w:ilvl w:val="1"/>
          <w:numId w:val="76"/>
        </w:numPr>
        <w:spacing w:after="240"/>
        <w:ind w:hanging="357"/>
        <w:jc w:val="both"/>
        <w:rPr>
          <w:rFonts w:cs="Arial"/>
          <w:sz w:val="20"/>
          <w:szCs w:val="20"/>
        </w:rPr>
      </w:pPr>
      <w:r w:rsidRPr="08D7F225">
        <w:rPr>
          <w:rFonts w:cs="Arial"/>
          <w:sz w:val="20"/>
          <w:szCs w:val="20"/>
        </w:rPr>
        <w:t xml:space="preserve">A reassessment of the original assumptions and a revision of the </w:t>
      </w:r>
      <w:r w:rsidR="00451607" w:rsidRPr="08D7F225">
        <w:rPr>
          <w:rFonts w:cs="Arial"/>
          <w:sz w:val="20"/>
          <w:szCs w:val="20"/>
        </w:rPr>
        <w:t>Logframe</w:t>
      </w:r>
      <w:r w:rsidRPr="08D7F225">
        <w:rPr>
          <w:rFonts w:cs="Arial"/>
          <w:sz w:val="20"/>
          <w:szCs w:val="20"/>
        </w:rPr>
        <w:t xml:space="preserve"> targets to align with historical performance and current trends in addition to the update on the additional funding and extended tenure. This will relate to the assumed number of MAGC transactions, financial instrument splits, mobilisation assumptions and disbursements profiles.</w:t>
      </w:r>
    </w:p>
    <w:p w14:paraId="055C9CCE" w14:textId="740E6A7D" w:rsidR="00AD4F84" w:rsidRDefault="00AD4F84" w:rsidP="000C48FF">
      <w:pPr>
        <w:pStyle w:val="ListParagraph"/>
        <w:numPr>
          <w:ilvl w:val="1"/>
          <w:numId w:val="76"/>
        </w:numPr>
        <w:spacing w:after="240"/>
        <w:ind w:hanging="357"/>
        <w:jc w:val="both"/>
        <w:rPr>
          <w:rFonts w:cs="Arial"/>
          <w:sz w:val="20"/>
          <w:szCs w:val="20"/>
        </w:rPr>
      </w:pPr>
      <w:r w:rsidRPr="08D7F225">
        <w:rPr>
          <w:rFonts w:cs="Arial"/>
          <w:sz w:val="20"/>
          <w:szCs w:val="20"/>
        </w:rPr>
        <w:t xml:space="preserve">A review of indicators related to replicated finance and several outcome/impact indicators which have had challenges with reporting. This will include incorporating the full impact of private finance mobilised results in the </w:t>
      </w:r>
      <w:r w:rsidR="00451607" w:rsidRPr="08D7F225">
        <w:rPr>
          <w:rFonts w:cs="Arial"/>
          <w:sz w:val="20"/>
          <w:szCs w:val="20"/>
        </w:rPr>
        <w:t>Logframe</w:t>
      </w:r>
      <w:r w:rsidRPr="08D7F225">
        <w:rPr>
          <w:rFonts w:cs="Arial"/>
          <w:sz w:val="20"/>
          <w:szCs w:val="20"/>
        </w:rPr>
        <w:t xml:space="preserve"> to capture both private finance mobilised at commitment stage and private equity mobilised at the sub loan stage.</w:t>
      </w:r>
    </w:p>
    <w:p w14:paraId="4CF834B8" w14:textId="009114CB" w:rsidR="00AD4F84" w:rsidRPr="00361215" w:rsidRDefault="00AD4F84" w:rsidP="000C48FF">
      <w:pPr>
        <w:pStyle w:val="ListParagraph"/>
        <w:numPr>
          <w:ilvl w:val="1"/>
          <w:numId w:val="76"/>
        </w:numPr>
        <w:spacing w:after="240"/>
        <w:ind w:hanging="357"/>
        <w:jc w:val="both"/>
        <w:rPr>
          <w:rFonts w:cs="Arial"/>
          <w:sz w:val="20"/>
          <w:szCs w:val="20"/>
        </w:rPr>
      </w:pPr>
      <w:r w:rsidRPr="295530E4">
        <w:rPr>
          <w:rFonts w:cs="Arial"/>
          <w:sz w:val="20"/>
          <w:szCs w:val="20"/>
        </w:rPr>
        <w:t xml:space="preserve">Reviewing indicators in the </w:t>
      </w:r>
      <w:r w:rsidR="00451607" w:rsidRPr="295530E4">
        <w:rPr>
          <w:rFonts w:cs="Arial"/>
          <w:sz w:val="20"/>
          <w:szCs w:val="20"/>
        </w:rPr>
        <w:t>Logframe</w:t>
      </w:r>
      <w:r w:rsidRPr="295530E4">
        <w:rPr>
          <w:rFonts w:cs="Arial"/>
          <w:sz w:val="20"/>
          <w:szCs w:val="20"/>
        </w:rPr>
        <w:t xml:space="preserve"> which have had reporting challenges such as those related to replicated finance, in particular output indicator 1b.3 given further missed targets in this reporting period. </w:t>
      </w:r>
    </w:p>
    <w:p w14:paraId="1E7F38C9" w14:textId="6A68E71F" w:rsidR="006A123D" w:rsidRPr="002A0888" w:rsidRDefault="006A123D" w:rsidP="00657117">
      <w:pPr>
        <w:spacing w:after="240" w:line="259" w:lineRule="auto"/>
        <w:rPr>
          <w:rFonts w:cs="Arial"/>
          <w:color w:val="000000" w:themeColor="text1"/>
          <w:sz w:val="20"/>
          <w:szCs w:val="20"/>
        </w:rPr>
      </w:pPr>
    </w:p>
    <w:p w14:paraId="7FE0978C" w14:textId="17E741CA" w:rsidR="00570563" w:rsidRDefault="00570563" w:rsidP="00657117">
      <w:pPr>
        <w:spacing w:after="240" w:line="259" w:lineRule="auto"/>
        <w:rPr>
          <w:rFonts w:cs="Arial"/>
          <w:color w:val="000000" w:themeColor="text1"/>
          <w:sz w:val="20"/>
          <w:szCs w:val="20"/>
        </w:rPr>
      </w:pPr>
      <w:r>
        <w:rPr>
          <w:rFonts w:cs="Arial"/>
          <w:color w:val="000000" w:themeColor="text1"/>
          <w:sz w:val="20"/>
          <w:szCs w:val="20"/>
        </w:rPr>
        <w:br w:type="page"/>
      </w:r>
    </w:p>
    <w:tbl>
      <w:tblPr>
        <w:tblStyle w:val="TableGrid"/>
        <w:tblW w:w="9225" w:type="dxa"/>
        <w:tblInd w:w="-147" w:type="dxa"/>
        <w:tblLook w:val="04A0" w:firstRow="1" w:lastRow="0" w:firstColumn="1" w:lastColumn="0" w:noHBand="0" w:noVBand="1"/>
      </w:tblPr>
      <w:tblGrid>
        <w:gridCol w:w="1695"/>
        <w:gridCol w:w="358"/>
        <w:gridCol w:w="1775"/>
        <w:gridCol w:w="3402"/>
        <w:gridCol w:w="1995"/>
      </w:tblGrid>
      <w:tr w:rsidR="00113AD6" w:rsidRPr="0040656D" w14:paraId="6B826EB1" w14:textId="77777777" w:rsidTr="53E93DCC">
        <w:trPr>
          <w:trHeight w:val="379"/>
        </w:trPr>
        <w:tc>
          <w:tcPr>
            <w:tcW w:w="1695"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1B23CEE" w14:textId="77777777" w:rsidR="006A123D" w:rsidRPr="0040656D" w:rsidRDefault="006A123D" w:rsidP="00657117">
            <w:pPr>
              <w:spacing w:after="240"/>
              <w:rPr>
                <w:rFonts w:cs="Arial"/>
                <w:b/>
                <w:bCs/>
                <w:sz w:val="20"/>
                <w:szCs w:val="20"/>
              </w:rPr>
            </w:pPr>
            <w:r w:rsidRPr="0040656D">
              <w:rPr>
                <w:rFonts w:cs="Arial"/>
                <w:b/>
                <w:bCs/>
                <w:sz w:val="20"/>
                <w:szCs w:val="20"/>
              </w:rPr>
              <w:lastRenderedPageBreak/>
              <w:t xml:space="preserve">Output Title </w:t>
            </w:r>
          </w:p>
        </w:tc>
        <w:tc>
          <w:tcPr>
            <w:tcW w:w="753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D83BFE" w14:textId="77777777" w:rsidR="006A123D" w:rsidRPr="0040656D" w:rsidRDefault="006A123D" w:rsidP="00657117">
            <w:pPr>
              <w:spacing w:after="240"/>
              <w:rPr>
                <w:rFonts w:cs="Arial"/>
                <w:bCs/>
                <w:i/>
                <w:color w:val="FF0000"/>
                <w:sz w:val="20"/>
                <w:szCs w:val="20"/>
              </w:rPr>
            </w:pPr>
            <w:r w:rsidRPr="0040656D">
              <w:rPr>
                <w:rFonts w:cs="Arial"/>
                <w:sz w:val="20"/>
                <w:szCs w:val="20"/>
              </w:rPr>
              <w:t>Capacity is strengthened at the country-level to support greener construction</w:t>
            </w:r>
          </w:p>
        </w:tc>
      </w:tr>
      <w:tr w:rsidR="00CE06BD" w:rsidRPr="0040656D" w14:paraId="0A282D7C" w14:textId="77777777" w:rsidTr="53E93DCC">
        <w:trPr>
          <w:trHeight w:val="379"/>
        </w:trPr>
        <w:tc>
          <w:tcPr>
            <w:tcW w:w="2053"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5DD5A0A" w14:textId="77777777" w:rsidR="006A123D" w:rsidRPr="0040656D" w:rsidRDefault="006A123D" w:rsidP="00657117">
            <w:pPr>
              <w:spacing w:after="240"/>
              <w:rPr>
                <w:rFonts w:cs="Arial"/>
                <w:b/>
                <w:bCs/>
                <w:sz w:val="20"/>
                <w:szCs w:val="20"/>
              </w:rPr>
            </w:pPr>
            <w:r w:rsidRPr="0040656D">
              <w:rPr>
                <w:rFonts w:cs="Arial"/>
                <w:bCs/>
                <w:sz w:val="20"/>
                <w:szCs w:val="20"/>
              </w:rPr>
              <w:t xml:space="preserve">Output number: </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tcPr>
          <w:p w14:paraId="17D3EE1A" w14:textId="77777777" w:rsidR="006A123D" w:rsidRPr="0040656D" w:rsidRDefault="006A123D" w:rsidP="00657117">
            <w:pPr>
              <w:spacing w:after="240"/>
              <w:rPr>
                <w:rFonts w:cs="Arial"/>
                <w:sz w:val="20"/>
                <w:szCs w:val="20"/>
              </w:rPr>
            </w:pPr>
            <w:r w:rsidRPr="0040656D">
              <w:rPr>
                <w:rFonts w:cs="Arial"/>
                <w:sz w:val="20"/>
                <w:szCs w:val="20"/>
              </w:rPr>
              <w:t>2</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8622553" w14:textId="77777777" w:rsidR="006A123D" w:rsidRPr="0040656D" w:rsidRDefault="006A123D" w:rsidP="00657117">
            <w:pPr>
              <w:spacing w:after="240"/>
              <w:rPr>
                <w:rFonts w:cs="Arial"/>
                <w:sz w:val="20"/>
                <w:szCs w:val="20"/>
              </w:rPr>
            </w:pPr>
            <w:r w:rsidRPr="0040656D">
              <w:rPr>
                <w:rFonts w:cs="Arial"/>
                <w:bCs/>
                <w:sz w:val="20"/>
                <w:szCs w:val="20"/>
              </w:rPr>
              <w:t xml:space="preserve">Output Score: </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83EBEBD" w14:textId="77777777" w:rsidR="006A123D" w:rsidRPr="0040656D" w:rsidRDefault="006A123D" w:rsidP="00657117">
            <w:pPr>
              <w:spacing w:after="240"/>
              <w:rPr>
                <w:rFonts w:cs="Arial"/>
                <w:sz w:val="20"/>
                <w:szCs w:val="20"/>
              </w:rPr>
            </w:pPr>
            <w:r w:rsidRPr="0040656D">
              <w:rPr>
                <w:rFonts w:cs="Arial"/>
                <w:b/>
                <w:sz w:val="20"/>
                <w:szCs w:val="20"/>
              </w:rPr>
              <w:t>A+</w:t>
            </w:r>
          </w:p>
        </w:tc>
      </w:tr>
      <w:tr w:rsidR="00CE06BD" w:rsidRPr="0040656D" w14:paraId="29E532C6" w14:textId="77777777" w:rsidTr="53E93DCC">
        <w:trPr>
          <w:trHeight w:val="379"/>
        </w:trPr>
        <w:tc>
          <w:tcPr>
            <w:tcW w:w="2053"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26592D6" w14:textId="77777777" w:rsidR="006A123D" w:rsidRPr="0040656D" w:rsidRDefault="006A123D" w:rsidP="00657117">
            <w:pPr>
              <w:spacing w:after="240"/>
              <w:rPr>
                <w:rFonts w:cs="Arial"/>
                <w:b/>
                <w:bCs/>
                <w:sz w:val="20"/>
                <w:szCs w:val="20"/>
              </w:rPr>
            </w:pPr>
            <w:r w:rsidRPr="0040656D">
              <w:rPr>
                <w:rFonts w:cs="Arial"/>
                <w:bCs/>
                <w:sz w:val="20"/>
                <w:szCs w:val="20"/>
              </w:rPr>
              <w:t xml:space="preserve">Impact weighting (%):  </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tcPr>
          <w:p w14:paraId="4DBEFCB3" w14:textId="77777777" w:rsidR="006A123D" w:rsidRPr="0040656D" w:rsidRDefault="006A123D" w:rsidP="00657117">
            <w:pPr>
              <w:spacing w:after="240"/>
              <w:rPr>
                <w:rFonts w:cs="Arial"/>
                <w:sz w:val="20"/>
                <w:szCs w:val="20"/>
              </w:rPr>
            </w:pPr>
            <w:r w:rsidRPr="0040656D">
              <w:rPr>
                <w:rFonts w:cs="Arial"/>
                <w:bCs/>
                <w:sz w:val="20"/>
                <w:szCs w:val="20"/>
              </w:rPr>
              <w:t>15%</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2F13A84" w14:textId="77777777" w:rsidR="006A123D" w:rsidRPr="0040656D" w:rsidRDefault="006A123D" w:rsidP="00657117">
            <w:pPr>
              <w:spacing w:after="240"/>
              <w:rPr>
                <w:rFonts w:cs="Arial"/>
                <w:sz w:val="20"/>
                <w:szCs w:val="20"/>
              </w:rPr>
            </w:pPr>
            <w:r w:rsidRPr="0040656D">
              <w:rPr>
                <w:rFonts w:cs="Arial"/>
                <w:bCs/>
                <w:sz w:val="20"/>
                <w:szCs w:val="20"/>
              </w:rPr>
              <w:t xml:space="preserve">Weighting revised since last AR. </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tcPr>
          <w:p w14:paraId="6B5EAB79" w14:textId="77777777" w:rsidR="006A123D" w:rsidRPr="0040656D" w:rsidRDefault="006A123D" w:rsidP="00657117">
            <w:pPr>
              <w:spacing w:after="240"/>
              <w:rPr>
                <w:rFonts w:cs="Arial"/>
                <w:sz w:val="20"/>
                <w:szCs w:val="20"/>
              </w:rPr>
            </w:pPr>
            <w:r>
              <w:rPr>
                <w:rFonts w:cs="Arial"/>
                <w:bCs/>
                <w:sz w:val="20"/>
                <w:szCs w:val="20"/>
              </w:rPr>
              <w:t>No</w:t>
            </w:r>
          </w:p>
        </w:tc>
      </w:tr>
      <w:tr w:rsidR="00CE06BD" w:rsidRPr="0040656D" w14:paraId="6F400D4B" w14:textId="77777777" w:rsidTr="53E93DCC">
        <w:trPr>
          <w:trHeight w:val="379"/>
        </w:trPr>
        <w:tc>
          <w:tcPr>
            <w:tcW w:w="2053"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8D9AC78" w14:textId="77777777" w:rsidR="006A123D" w:rsidRPr="0040656D" w:rsidRDefault="006A123D" w:rsidP="00657117">
            <w:pPr>
              <w:spacing w:after="240"/>
              <w:rPr>
                <w:rFonts w:cs="Arial"/>
                <w:b/>
                <w:bCs/>
                <w:sz w:val="20"/>
                <w:szCs w:val="20"/>
              </w:rPr>
            </w:pPr>
            <w:r w:rsidRPr="0040656D">
              <w:rPr>
                <w:rFonts w:cs="Arial"/>
                <w:bCs/>
                <w:sz w:val="20"/>
                <w:szCs w:val="20"/>
              </w:rPr>
              <w:t>Risk rating</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6FEE" w14:textId="77777777" w:rsidR="006A123D" w:rsidRPr="0040656D" w:rsidRDefault="006A123D" w:rsidP="00657117">
            <w:pPr>
              <w:spacing w:after="240"/>
              <w:rPr>
                <w:rFonts w:cs="Arial"/>
                <w:sz w:val="20"/>
                <w:szCs w:val="20"/>
              </w:rPr>
            </w:pPr>
            <w:r w:rsidRPr="0040656D">
              <w:rPr>
                <w:rFonts w:cs="Arial"/>
                <w:bCs/>
                <w:sz w:val="20"/>
                <w:szCs w:val="20"/>
              </w:rPr>
              <w:t>Minor</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864CC5C" w14:textId="77777777" w:rsidR="006A123D" w:rsidRPr="0040656D" w:rsidRDefault="006A123D" w:rsidP="00657117">
            <w:pPr>
              <w:spacing w:after="240"/>
              <w:rPr>
                <w:rFonts w:cs="Arial"/>
                <w:sz w:val="20"/>
                <w:szCs w:val="20"/>
              </w:rPr>
            </w:pPr>
            <w:r w:rsidRPr="0040656D">
              <w:rPr>
                <w:rFonts w:cs="Arial"/>
                <w:bCs/>
                <w:sz w:val="20"/>
                <w:szCs w:val="20"/>
              </w:rPr>
              <w:t>Risk revised since last AR?</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E00C987" w14:textId="77777777" w:rsidR="006A123D" w:rsidRPr="0040656D" w:rsidRDefault="006A123D" w:rsidP="00657117">
            <w:pPr>
              <w:spacing w:after="240"/>
              <w:rPr>
                <w:rFonts w:cs="Arial"/>
                <w:sz w:val="20"/>
                <w:szCs w:val="20"/>
              </w:rPr>
            </w:pPr>
            <w:r w:rsidRPr="0040656D">
              <w:rPr>
                <w:rFonts w:cs="Arial"/>
                <w:bCs/>
                <w:sz w:val="20"/>
                <w:szCs w:val="20"/>
              </w:rPr>
              <w:t>No</w:t>
            </w:r>
          </w:p>
        </w:tc>
      </w:tr>
    </w:tbl>
    <w:p w14:paraId="074ADA81" w14:textId="77777777" w:rsidR="006A123D" w:rsidRPr="0040656D" w:rsidRDefault="006A123D" w:rsidP="00657117">
      <w:pPr>
        <w:spacing w:after="240"/>
        <w:rPr>
          <w:rFonts w:cs="Arial"/>
          <w:b/>
          <w:sz w:val="20"/>
          <w:szCs w:val="20"/>
        </w:rPr>
      </w:pPr>
    </w:p>
    <w:tbl>
      <w:tblPr>
        <w:tblStyle w:val="TableGrid"/>
        <w:tblpPr w:leftFromText="180" w:rightFromText="180" w:vertAnchor="text" w:horzAnchor="page" w:tblpX="1325" w:tblpY="-10"/>
        <w:tblOverlap w:val="never"/>
        <w:tblW w:w="8868" w:type="dxa"/>
        <w:tblLook w:val="04A0" w:firstRow="1" w:lastRow="0" w:firstColumn="1" w:lastColumn="0" w:noHBand="0" w:noVBand="1"/>
      </w:tblPr>
      <w:tblGrid>
        <w:gridCol w:w="4410"/>
        <w:gridCol w:w="2362"/>
        <w:gridCol w:w="2096"/>
      </w:tblGrid>
      <w:tr w:rsidR="006A123D" w:rsidRPr="0040656D" w14:paraId="6BCE9B5A" w14:textId="77777777" w:rsidTr="54844E53">
        <w:trPr>
          <w:trHeight w:val="273"/>
        </w:trPr>
        <w:tc>
          <w:tcPr>
            <w:tcW w:w="441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DAD3BD6" w14:textId="77777777" w:rsidR="006A123D" w:rsidRPr="0040656D" w:rsidRDefault="006A123D" w:rsidP="00657117">
            <w:pPr>
              <w:spacing w:after="240"/>
              <w:rPr>
                <w:rFonts w:cs="Arial"/>
                <w:b/>
                <w:bCs/>
                <w:sz w:val="20"/>
                <w:szCs w:val="20"/>
              </w:rPr>
            </w:pPr>
            <w:r w:rsidRPr="0040656D">
              <w:rPr>
                <w:rFonts w:cs="Arial"/>
                <w:b/>
                <w:bCs/>
                <w:sz w:val="20"/>
                <w:szCs w:val="20"/>
              </w:rPr>
              <w:t>Indicator(s)</w:t>
            </w:r>
          </w:p>
        </w:tc>
        <w:tc>
          <w:tcPr>
            <w:tcW w:w="2362"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9DD6AB1" w14:textId="77777777" w:rsidR="006A123D" w:rsidRPr="0040656D" w:rsidRDefault="006A123D" w:rsidP="00657117">
            <w:pPr>
              <w:spacing w:after="240"/>
              <w:rPr>
                <w:rFonts w:cs="Arial"/>
                <w:b/>
                <w:bCs/>
                <w:sz w:val="20"/>
                <w:szCs w:val="20"/>
              </w:rPr>
            </w:pPr>
            <w:r w:rsidRPr="0040656D">
              <w:rPr>
                <w:rFonts w:cs="Arial"/>
                <w:b/>
                <w:bCs/>
                <w:sz w:val="20"/>
                <w:szCs w:val="20"/>
              </w:rPr>
              <w:t>Milestone(s) for this review</w:t>
            </w:r>
          </w:p>
        </w:tc>
        <w:tc>
          <w:tcPr>
            <w:tcW w:w="2096"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E52DC00" w14:textId="1330BE37" w:rsidR="006A123D" w:rsidRPr="0040656D" w:rsidRDefault="00F72217" w:rsidP="00657117">
            <w:pPr>
              <w:spacing w:after="240"/>
              <w:rPr>
                <w:rFonts w:cs="Arial"/>
                <w:b/>
                <w:bCs/>
                <w:sz w:val="20"/>
                <w:szCs w:val="20"/>
              </w:rPr>
            </w:pPr>
            <w:r w:rsidRPr="0040656D">
              <w:rPr>
                <w:rFonts w:cs="Arial"/>
                <w:b/>
                <w:bCs/>
                <w:sz w:val="20"/>
                <w:szCs w:val="20"/>
              </w:rPr>
              <w:t>Progress</w:t>
            </w:r>
            <w:r>
              <w:rPr>
                <w:rFonts w:cs="Arial"/>
                <w:b/>
                <w:bCs/>
                <w:sz w:val="20"/>
                <w:szCs w:val="20"/>
              </w:rPr>
              <w:br/>
            </w:r>
            <w:r>
              <w:rPr>
                <w:rFonts w:cs="Arial"/>
                <w:i/>
                <w:iCs/>
                <w:sz w:val="20"/>
                <w:szCs w:val="20"/>
              </w:rPr>
              <w:t>(Score)</w:t>
            </w:r>
          </w:p>
        </w:tc>
      </w:tr>
      <w:tr w:rsidR="006A123D" w:rsidRPr="0040656D" w14:paraId="64299BC4" w14:textId="77777777" w:rsidTr="54844E53">
        <w:trPr>
          <w:trHeight w:val="941"/>
        </w:trPr>
        <w:tc>
          <w:tcPr>
            <w:tcW w:w="4410" w:type="dxa"/>
            <w:tcBorders>
              <w:top w:val="single" w:sz="4" w:space="0" w:color="auto"/>
              <w:left w:val="single" w:sz="4" w:space="0" w:color="auto"/>
              <w:bottom w:val="single" w:sz="4" w:space="0" w:color="auto"/>
              <w:right w:val="single" w:sz="4" w:space="0" w:color="auto"/>
            </w:tcBorders>
          </w:tcPr>
          <w:p w14:paraId="702AC41A" w14:textId="77777777" w:rsidR="006A123D" w:rsidRPr="0040656D" w:rsidRDefault="006A123D" w:rsidP="00657117">
            <w:pPr>
              <w:spacing w:after="240"/>
              <w:rPr>
                <w:rFonts w:cs="Arial"/>
                <w:bCs/>
                <w:iCs/>
                <w:sz w:val="20"/>
                <w:szCs w:val="20"/>
              </w:rPr>
            </w:pPr>
            <w:r w:rsidRPr="0040656D">
              <w:rPr>
                <w:rFonts w:cs="Arial"/>
                <w:bCs/>
                <w:iCs/>
                <w:sz w:val="20"/>
                <w:szCs w:val="20"/>
                <w:u w:val="single"/>
              </w:rPr>
              <w:t>2.1</w:t>
            </w:r>
            <w:r w:rsidRPr="0040656D">
              <w:rPr>
                <w:rFonts w:cs="Arial"/>
                <w:bCs/>
                <w:iCs/>
                <w:sz w:val="20"/>
                <w:szCs w:val="20"/>
              </w:rPr>
              <w:t xml:space="preserve"> </w:t>
            </w:r>
            <w:r w:rsidRPr="0040656D">
              <w:rPr>
                <w:rFonts w:cs="Arial"/>
                <w:sz w:val="20"/>
                <w:szCs w:val="20"/>
              </w:rPr>
              <w:t>Cumulative</w:t>
            </w:r>
            <w:r w:rsidRPr="0040656D">
              <w:rPr>
                <w:rFonts w:cs="Arial"/>
                <w:bCs/>
                <w:iCs/>
                <w:sz w:val="16"/>
                <w:szCs w:val="16"/>
              </w:rPr>
              <w:t xml:space="preserve"> </w:t>
            </w:r>
            <w:r w:rsidRPr="0040656D">
              <w:rPr>
                <w:rFonts w:cs="Arial"/>
                <w:bCs/>
                <w:iCs/>
                <w:sz w:val="20"/>
                <w:szCs w:val="20"/>
              </w:rPr>
              <w:t>number of market-level engagement plans in implementation.</w:t>
            </w:r>
          </w:p>
        </w:tc>
        <w:tc>
          <w:tcPr>
            <w:tcW w:w="2362" w:type="dxa"/>
            <w:tcBorders>
              <w:top w:val="single" w:sz="4" w:space="0" w:color="auto"/>
              <w:left w:val="single" w:sz="4" w:space="0" w:color="auto"/>
              <w:bottom w:val="single" w:sz="4" w:space="0" w:color="auto"/>
              <w:right w:val="single" w:sz="4" w:space="0" w:color="auto"/>
            </w:tcBorders>
          </w:tcPr>
          <w:p w14:paraId="33B215C1" w14:textId="55DE753D" w:rsidR="006A123D" w:rsidRPr="0040656D" w:rsidRDefault="006A123D" w:rsidP="00657117">
            <w:pPr>
              <w:spacing w:after="240"/>
              <w:rPr>
                <w:rFonts w:cs="Arial"/>
                <w:bCs/>
                <w:i/>
                <w:iCs/>
                <w:sz w:val="20"/>
                <w:szCs w:val="20"/>
              </w:rPr>
            </w:pPr>
            <w:r w:rsidRPr="0040656D">
              <w:rPr>
                <w:rFonts w:cs="Arial"/>
                <w:i/>
                <w:iCs/>
                <w:sz w:val="20"/>
                <w:szCs w:val="20"/>
              </w:rPr>
              <w:t>1</w:t>
            </w:r>
            <w:r w:rsidR="00276410">
              <w:rPr>
                <w:rFonts w:cs="Arial"/>
                <w:i/>
                <w:iCs/>
                <w:sz w:val="20"/>
                <w:szCs w:val="20"/>
              </w:rPr>
              <w:t>4</w:t>
            </w:r>
          </w:p>
        </w:tc>
        <w:tc>
          <w:tcPr>
            <w:tcW w:w="2096" w:type="dxa"/>
            <w:tcBorders>
              <w:top w:val="single" w:sz="4" w:space="0" w:color="auto"/>
              <w:left w:val="single" w:sz="4" w:space="0" w:color="auto"/>
              <w:bottom w:val="single" w:sz="4" w:space="0" w:color="auto"/>
              <w:right w:val="single" w:sz="4" w:space="0" w:color="auto"/>
            </w:tcBorders>
          </w:tcPr>
          <w:p w14:paraId="51F94DC7" w14:textId="36C94723" w:rsidR="006A123D" w:rsidRPr="009631F7" w:rsidRDefault="006A123D" w:rsidP="00657117">
            <w:pPr>
              <w:spacing w:after="240"/>
              <w:rPr>
                <w:rFonts w:eastAsiaTheme="minorHAnsi" w:cs="Arial"/>
                <w:i/>
                <w:sz w:val="20"/>
                <w:szCs w:val="20"/>
              </w:rPr>
            </w:pPr>
            <w:r w:rsidRPr="009631F7">
              <w:rPr>
                <w:rFonts w:cs="Arial"/>
                <w:b/>
                <w:iCs/>
                <w:sz w:val="20"/>
                <w:szCs w:val="20"/>
              </w:rPr>
              <w:t>Achieved</w:t>
            </w:r>
            <w:r w:rsidR="009631F7">
              <w:rPr>
                <w:rFonts w:cs="Arial"/>
                <w:b/>
                <w:iCs/>
                <w:sz w:val="20"/>
                <w:szCs w:val="20"/>
              </w:rPr>
              <w:t>:</w:t>
            </w:r>
            <w:r w:rsidRPr="009631F7">
              <w:rPr>
                <w:rFonts w:cs="Arial"/>
                <w:b/>
                <w:iCs/>
                <w:sz w:val="20"/>
                <w:szCs w:val="20"/>
              </w:rPr>
              <w:t xml:space="preserve"> 1</w:t>
            </w:r>
            <w:r w:rsidR="00276410" w:rsidRPr="009631F7">
              <w:rPr>
                <w:rFonts w:cs="Arial"/>
                <w:b/>
                <w:iCs/>
                <w:sz w:val="20"/>
                <w:szCs w:val="20"/>
              </w:rPr>
              <w:t>4</w:t>
            </w:r>
            <w:r w:rsidR="006064FA" w:rsidRPr="009631F7">
              <w:rPr>
                <w:rFonts w:cs="Arial"/>
                <w:b/>
                <w:iCs/>
                <w:sz w:val="20"/>
                <w:szCs w:val="20"/>
              </w:rPr>
              <w:br/>
            </w:r>
            <w:r w:rsidR="00F72217">
              <w:rPr>
                <w:i/>
                <w:sz w:val="20"/>
                <w:szCs w:val="20"/>
              </w:rPr>
              <w:t>(</w:t>
            </w:r>
            <w:r w:rsidR="006064FA" w:rsidRPr="009631F7">
              <w:rPr>
                <w:i/>
                <w:sz w:val="20"/>
                <w:szCs w:val="20"/>
              </w:rPr>
              <w:t>A</w:t>
            </w:r>
            <w:r w:rsidR="00F72217">
              <w:rPr>
                <w:i/>
                <w:sz w:val="20"/>
                <w:szCs w:val="20"/>
              </w:rPr>
              <w:t>)</w:t>
            </w:r>
          </w:p>
        </w:tc>
      </w:tr>
      <w:tr w:rsidR="006A123D" w:rsidRPr="0040656D" w14:paraId="507BA455"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2B498B31" w14:textId="77777777" w:rsidR="006A123D" w:rsidRPr="0040656D" w:rsidRDefault="006A123D" w:rsidP="00657117">
            <w:pPr>
              <w:spacing w:after="240"/>
              <w:rPr>
                <w:rFonts w:cs="Arial"/>
                <w:bCs/>
                <w:iCs/>
                <w:sz w:val="20"/>
                <w:szCs w:val="20"/>
              </w:rPr>
            </w:pPr>
            <w:r w:rsidRPr="0040656D">
              <w:rPr>
                <w:rFonts w:cs="Arial"/>
                <w:bCs/>
                <w:sz w:val="20"/>
                <w:szCs w:val="20"/>
                <w:u w:val="single"/>
              </w:rPr>
              <w:t>2.2</w:t>
            </w:r>
            <w:r w:rsidRPr="0040656D">
              <w:rPr>
                <w:rFonts w:cs="Arial"/>
                <w:bCs/>
                <w:sz w:val="20"/>
                <w:szCs w:val="20"/>
              </w:rPr>
              <w:t xml:space="preserve"> Cumulative floor space that received post-design EDGE Preliminary Certification (m2)</w:t>
            </w:r>
          </w:p>
        </w:tc>
        <w:tc>
          <w:tcPr>
            <w:tcW w:w="2362" w:type="dxa"/>
            <w:tcBorders>
              <w:top w:val="single" w:sz="4" w:space="0" w:color="auto"/>
              <w:left w:val="single" w:sz="4" w:space="0" w:color="auto"/>
              <w:bottom w:val="single" w:sz="4" w:space="0" w:color="auto"/>
              <w:right w:val="single" w:sz="4" w:space="0" w:color="auto"/>
            </w:tcBorders>
          </w:tcPr>
          <w:p w14:paraId="3F6D9A3D" w14:textId="2B77F5C4" w:rsidR="006A123D" w:rsidRPr="0040656D" w:rsidRDefault="00BF0E92" w:rsidP="00657117">
            <w:pPr>
              <w:spacing w:after="240"/>
              <w:rPr>
                <w:rFonts w:cs="Arial"/>
                <w:bCs/>
                <w:i/>
                <w:iCs/>
                <w:sz w:val="20"/>
                <w:szCs w:val="20"/>
              </w:rPr>
            </w:pPr>
            <w:r>
              <w:rPr>
                <w:rFonts w:cs="Arial"/>
                <w:bCs/>
                <w:i/>
                <w:iCs/>
                <w:sz w:val="20"/>
                <w:szCs w:val="20"/>
              </w:rPr>
              <w:t>50,699,090</w:t>
            </w:r>
          </w:p>
        </w:tc>
        <w:tc>
          <w:tcPr>
            <w:tcW w:w="2096" w:type="dxa"/>
            <w:tcBorders>
              <w:top w:val="single" w:sz="4" w:space="0" w:color="auto"/>
              <w:left w:val="single" w:sz="4" w:space="0" w:color="auto"/>
              <w:bottom w:val="single" w:sz="4" w:space="0" w:color="auto"/>
              <w:right w:val="single" w:sz="4" w:space="0" w:color="auto"/>
            </w:tcBorders>
          </w:tcPr>
          <w:p w14:paraId="6AC2DBEB" w14:textId="7727BECB" w:rsidR="006A123D" w:rsidRPr="009631F7" w:rsidRDefault="006A123D" w:rsidP="00657117">
            <w:pPr>
              <w:spacing w:after="240"/>
              <w:contextualSpacing/>
              <w:rPr>
                <w:rFonts w:cs="Arial"/>
                <w:bCs/>
                <w:i/>
                <w:sz w:val="20"/>
                <w:szCs w:val="20"/>
              </w:rPr>
            </w:pPr>
            <w:r w:rsidRPr="009631F7">
              <w:rPr>
                <w:rFonts w:cs="Arial"/>
                <w:b/>
                <w:iCs/>
                <w:sz w:val="20"/>
                <w:szCs w:val="20"/>
              </w:rPr>
              <w:t>Achieved</w:t>
            </w:r>
            <w:r w:rsidR="009631F7">
              <w:rPr>
                <w:rFonts w:cs="Arial"/>
                <w:b/>
                <w:iCs/>
                <w:sz w:val="20"/>
                <w:szCs w:val="20"/>
              </w:rPr>
              <w:t>:</w:t>
            </w:r>
            <w:r w:rsidRPr="009631F7">
              <w:rPr>
                <w:rFonts w:cs="Arial"/>
                <w:b/>
                <w:iCs/>
                <w:sz w:val="20"/>
                <w:szCs w:val="20"/>
              </w:rPr>
              <w:t xml:space="preserve"> </w:t>
            </w:r>
            <w:r w:rsidR="00BF0E92" w:rsidRPr="009631F7">
              <w:rPr>
                <w:rFonts w:cs="Arial"/>
                <w:b/>
                <w:iCs/>
                <w:sz w:val="20"/>
                <w:szCs w:val="20"/>
              </w:rPr>
              <w:t>65,477,673</w:t>
            </w:r>
            <w:r w:rsidR="006064FA" w:rsidRPr="009631F7">
              <w:rPr>
                <w:rFonts w:cs="Arial"/>
                <w:b/>
                <w:iCs/>
                <w:sz w:val="20"/>
                <w:szCs w:val="20"/>
              </w:rPr>
              <w:br/>
            </w:r>
            <w:r w:rsidR="00F72217">
              <w:rPr>
                <w:i/>
                <w:sz w:val="20"/>
                <w:szCs w:val="20"/>
              </w:rPr>
              <w:t>(</w:t>
            </w:r>
            <w:r w:rsidR="006064FA" w:rsidRPr="009631F7">
              <w:rPr>
                <w:i/>
                <w:sz w:val="20"/>
                <w:szCs w:val="20"/>
              </w:rPr>
              <w:t>A+</w:t>
            </w:r>
            <w:r w:rsidR="00F72217">
              <w:rPr>
                <w:i/>
                <w:sz w:val="20"/>
                <w:szCs w:val="20"/>
              </w:rPr>
              <w:t>)</w:t>
            </w:r>
          </w:p>
        </w:tc>
      </w:tr>
      <w:tr w:rsidR="006A123D" w:rsidRPr="0040656D" w14:paraId="52234EDA"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325C222D" w14:textId="77777777" w:rsidR="006A123D" w:rsidRPr="0040656D" w:rsidRDefault="006A123D" w:rsidP="00657117">
            <w:pPr>
              <w:spacing w:after="240"/>
              <w:rPr>
                <w:rFonts w:cs="Arial"/>
                <w:bCs/>
                <w:iCs/>
                <w:sz w:val="20"/>
                <w:szCs w:val="20"/>
              </w:rPr>
            </w:pPr>
            <w:r w:rsidRPr="0040656D">
              <w:rPr>
                <w:rFonts w:cs="Arial"/>
                <w:bCs/>
                <w:sz w:val="20"/>
                <w:szCs w:val="20"/>
                <w:u w:val="single"/>
              </w:rPr>
              <w:t>2.3</w:t>
            </w:r>
            <w:r w:rsidRPr="0040656D">
              <w:rPr>
                <w:rFonts w:cs="Arial"/>
                <w:bCs/>
                <w:sz w:val="20"/>
                <w:szCs w:val="20"/>
              </w:rPr>
              <w:t xml:space="preserve"> Cumulative number of EDGE Auditors and Experts</w:t>
            </w:r>
          </w:p>
        </w:tc>
        <w:tc>
          <w:tcPr>
            <w:tcW w:w="2362" w:type="dxa"/>
            <w:tcBorders>
              <w:top w:val="single" w:sz="4" w:space="0" w:color="auto"/>
              <w:left w:val="single" w:sz="4" w:space="0" w:color="auto"/>
              <w:bottom w:val="single" w:sz="4" w:space="0" w:color="auto"/>
              <w:right w:val="single" w:sz="4" w:space="0" w:color="auto"/>
            </w:tcBorders>
          </w:tcPr>
          <w:p w14:paraId="1397F543" w14:textId="69820EE3" w:rsidR="006A123D" w:rsidRPr="0040656D" w:rsidRDefault="00BF0E92" w:rsidP="00657117">
            <w:pPr>
              <w:spacing w:after="240"/>
              <w:rPr>
                <w:rFonts w:cs="Arial"/>
                <w:bCs/>
                <w:i/>
                <w:iCs/>
                <w:sz w:val="20"/>
                <w:szCs w:val="20"/>
              </w:rPr>
            </w:pPr>
            <w:r>
              <w:rPr>
                <w:rFonts w:cs="Arial"/>
                <w:bCs/>
                <w:i/>
                <w:iCs/>
                <w:sz w:val="20"/>
                <w:szCs w:val="20"/>
              </w:rPr>
              <w:t>1,500</w:t>
            </w:r>
          </w:p>
        </w:tc>
        <w:tc>
          <w:tcPr>
            <w:tcW w:w="2096" w:type="dxa"/>
            <w:tcBorders>
              <w:top w:val="single" w:sz="4" w:space="0" w:color="auto"/>
              <w:left w:val="single" w:sz="4" w:space="0" w:color="auto"/>
              <w:bottom w:val="single" w:sz="4" w:space="0" w:color="auto"/>
              <w:right w:val="single" w:sz="4" w:space="0" w:color="auto"/>
            </w:tcBorders>
          </w:tcPr>
          <w:p w14:paraId="47A8C7CF" w14:textId="36FA4224" w:rsidR="006A123D" w:rsidRPr="009631F7" w:rsidRDefault="006A123D" w:rsidP="00657117">
            <w:pPr>
              <w:spacing w:after="240"/>
              <w:contextualSpacing/>
              <w:rPr>
                <w:rFonts w:cs="Arial"/>
                <w:bCs/>
                <w:i/>
                <w:iCs/>
                <w:sz w:val="20"/>
                <w:szCs w:val="20"/>
              </w:rPr>
            </w:pPr>
            <w:r w:rsidRPr="009631F7">
              <w:rPr>
                <w:rFonts w:cs="Arial"/>
                <w:b/>
                <w:sz w:val="20"/>
                <w:szCs w:val="20"/>
              </w:rPr>
              <w:t>Achieved</w:t>
            </w:r>
            <w:r w:rsidR="009631F7">
              <w:rPr>
                <w:rFonts w:cs="Arial"/>
                <w:b/>
                <w:sz w:val="20"/>
                <w:szCs w:val="20"/>
              </w:rPr>
              <w:t>:</w:t>
            </w:r>
            <w:r w:rsidRPr="009631F7">
              <w:rPr>
                <w:rFonts w:cs="Arial"/>
                <w:b/>
                <w:sz w:val="20"/>
                <w:szCs w:val="20"/>
              </w:rPr>
              <w:t xml:space="preserve"> 1,</w:t>
            </w:r>
            <w:r w:rsidR="00BF0E92" w:rsidRPr="009631F7">
              <w:rPr>
                <w:rFonts w:cs="Arial"/>
                <w:b/>
                <w:sz w:val="20"/>
                <w:szCs w:val="20"/>
              </w:rPr>
              <w:t>911</w:t>
            </w:r>
            <w:r w:rsidR="006064FA" w:rsidRPr="009631F7">
              <w:rPr>
                <w:rFonts w:cs="Arial"/>
                <w:b/>
                <w:sz w:val="20"/>
                <w:szCs w:val="20"/>
              </w:rPr>
              <w:br/>
            </w:r>
            <w:r w:rsidR="00F72217">
              <w:rPr>
                <w:i/>
                <w:sz w:val="20"/>
                <w:szCs w:val="20"/>
              </w:rPr>
              <w:t>(</w:t>
            </w:r>
            <w:r w:rsidR="00F72217" w:rsidRPr="009631F7">
              <w:rPr>
                <w:i/>
                <w:sz w:val="20"/>
                <w:szCs w:val="20"/>
              </w:rPr>
              <w:t>A+</w:t>
            </w:r>
            <w:r w:rsidR="00F72217">
              <w:rPr>
                <w:i/>
                <w:sz w:val="20"/>
                <w:szCs w:val="20"/>
              </w:rPr>
              <w:t>)</w:t>
            </w:r>
          </w:p>
          <w:p w14:paraId="31061A14" w14:textId="77777777" w:rsidR="006A123D" w:rsidRPr="009631F7" w:rsidRDefault="006A123D" w:rsidP="00657117">
            <w:pPr>
              <w:spacing w:after="240"/>
              <w:contextualSpacing/>
              <w:rPr>
                <w:rFonts w:cs="Arial"/>
                <w:bCs/>
                <w:iCs/>
                <w:sz w:val="20"/>
                <w:szCs w:val="20"/>
              </w:rPr>
            </w:pPr>
          </w:p>
        </w:tc>
      </w:tr>
      <w:tr w:rsidR="006A123D" w:rsidRPr="0040656D" w14:paraId="5E892210"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2F94D604" w14:textId="77777777" w:rsidR="006A123D" w:rsidRPr="0040656D" w:rsidRDefault="006A123D" w:rsidP="00657117">
            <w:pPr>
              <w:spacing w:after="240"/>
              <w:rPr>
                <w:rFonts w:cs="Arial"/>
                <w:bCs/>
                <w:iCs/>
                <w:sz w:val="20"/>
                <w:szCs w:val="20"/>
              </w:rPr>
            </w:pPr>
            <w:r w:rsidRPr="0040656D">
              <w:rPr>
                <w:rFonts w:cs="Arial"/>
                <w:bCs/>
                <w:sz w:val="20"/>
                <w:szCs w:val="20"/>
                <w:u w:val="single"/>
              </w:rPr>
              <w:t>2.4</w:t>
            </w:r>
            <w:r w:rsidRPr="0040656D">
              <w:rPr>
                <w:rFonts w:cs="Arial"/>
                <w:bCs/>
                <w:sz w:val="20"/>
                <w:szCs w:val="20"/>
              </w:rPr>
              <w:t xml:space="preserve"> Global number of active EDGE Users.</w:t>
            </w:r>
          </w:p>
        </w:tc>
        <w:tc>
          <w:tcPr>
            <w:tcW w:w="2362" w:type="dxa"/>
            <w:tcBorders>
              <w:top w:val="single" w:sz="4" w:space="0" w:color="auto"/>
              <w:left w:val="single" w:sz="4" w:space="0" w:color="auto"/>
              <w:bottom w:val="single" w:sz="4" w:space="0" w:color="auto"/>
              <w:right w:val="single" w:sz="4" w:space="0" w:color="auto"/>
            </w:tcBorders>
          </w:tcPr>
          <w:p w14:paraId="7BE3229A" w14:textId="3F12D429" w:rsidR="006A123D" w:rsidRPr="0040656D" w:rsidRDefault="005B2492" w:rsidP="00657117">
            <w:pPr>
              <w:spacing w:after="240"/>
              <w:rPr>
                <w:rFonts w:cs="Arial"/>
                <w:bCs/>
                <w:i/>
                <w:iCs/>
                <w:sz w:val="20"/>
                <w:szCs w:val="20"/>
              </w:rPr>
            </w:pPr>
            <w:r>
              <w:rPr>
                <w:rFonts w:cs="Arial"/>
                <w:bCs/>
                <w:i/>
                <w:iCs/>
                <w:sz w:val="20"/>
                <w:szCs w:val="20"/>
              </w:rPr>
              <w:t>18,758</w:t>
            </w:r>
          </w:p>
        </w:tc>
        <w:tc>
          <w:tcPr>
            <w:tcW w:w="2096" w:type="dxa"/>
            <w:tcBorders>
              <w:top w:val="single" w:sz="4" w:space="0" w:color="auto"/>
              <w:left w:val="single" w:sz="4" w:space="0" w:color="auto"/>
              <w:bottom w:val="single" w:sz="4" w:space="0" w:color="auto"/>
              <w:right w:val="single" w:sz="4" w:space="0" w:color="auto"/>
            </w:tcBorders>
          </w:tcPr>
          <w:p w14:paraId="53B37544" w14:textId="550C7EAB" w:rsidR="006A123D" w:rsidRPr="009631F7" w:rsidRDefault="006A123D" w:rsidP="00657117">
            <w:pPr>
              <w:spacing w:after="240"/>
              <w:contextualSpacing/>
              <w:rPr>
                <w:rFonts w:cs="Arial"/>
                <w:bCs/>
                <w:i/>
                <w:sz w:val="20"/>
                <w:szCs w:val="20"/>
              </w:rPr>
            </w:pPr>
            <w:r w:rsidRPr="009631F7">
              <w:rPr>
                <w:rFonts w:cs="Arial"/>
                <w:b/>
                <w:iCs/>
                <w:sz w:val="20"/>
                <w:szCs w:val="20"/>
              </w:rPr>
              <w:t>Achieved</w:t>
            </w:r>
            <w:r w:rsidR="009631F7">
              <w:rPr>
                <w:rFonts w:cs="Arial"/>
                <w:b/>
                <w:iCs/>
                <w:sz w:val="20"/>
                <w:szCs w:val="20"/>
              </w:rPr>
              <w:t>:</w:t>
            </w:r>
            <w:r w:rsidRPr="009631F7">
              <w:rPr>
                <w:rFonts w:cs="Arial"/>
                <w:b/>
                <w:iCs/>
                <w:sz w:val="20"/>
                <w:szCs w:val="20"/>
              </w:rPr>
              <w:t xml:space="preserve"> </w:t>
            </w:r>
            <w:r w:rsidR="003E01A5" w:rsidRPr="009631F7">
              <w:rPr>
                <w:rFonts w:cs="Arial"/>
                <w:b/>
                <w:iCs/>
                <w:sz w:val="20"/>
                <w:szCs w:val="20"/>
              </w:rPr>
              <w:t>24,210</w:t>
            </w:r>
            <w:r w:rsidR="006064FA" w:rsidRPr="009631F7">
              <w:rPr>
                <w:rFonts w:cs="Arial"/>
                <w:b/>
                <w:iCs/>
                <w:sz w:val="20"/>
                <w:szCs w:val="20"/>
              </w:rPr>
              <w:br/>
            </w:r>
            <w:r w:rsidR="00F72217">
              <w:rPr>
                <w:i/>
                <w:sz w:val="20"/>
                <w:szCs w:val="20"/>
              </w:rPr>
              <w:t>(</w:t>
            </w:r>
            <w:r w:rsidR="00F72217" w:rsidRPr="009631F7">
              <w:rPr>
                <w:i/>
                <w:sz w:val="20"/>
                <w:szCs w:val="20"/>
              </w:rPr>
              <w:t>A+</w:t>
            </w:r>
            <w:r w:rsidR="00F72217">
              <w:rPr>
                <w:i/>
                <w:sz w:val="20"/>
                <w:szCs w:val="20"/>
              </w:rPr>
              <w:t>)</w:t>
            </w:r>
          </w:p>
          <w:p w14:paraId="26A68D58" w14:textId="77777777" w:rsidR="006A123D" w:rsidRPr="009631F7" w:rsidRDefault="006A123D" w:rsidP="00657117">
            <w:pPr>
              <w:spacing w:after="240"/>
              <w:contextualSpacing/>
              <w:rPr>
                <w:rFonts w:cs="Arial"/>
                <w:bCs/>
                <w:sz w:val="20"/>
                <w:szCs w:val="20"/>
              </w:rPr>
            </w:pPr>
            <w:r w:rsidRPr="009631F7">
              <w:rPr>
                <w:rFonts w:cs="Arial"/>
                <w:bCs/>
                <w:sz w:val="20"/>
                <w:szCs w:val="20"/>
              </w:rPr>
              <w:t xml:space="preserve"> </w:t>
            </w:r>
          </w:p>
        </w:tc>
      </w:tr>
      <w:tr w:rsidR="006A123D" w:rsidRPr="0040656D" w14:paraId="61157E71"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4DECA963" w14:textId="77777777" w:rsidR="006A123D" w:rsidRPr="0040656D" w:rsidRDefault="006A123D" w:rsidP="00657117">
            <w:pPr>
              <w:spacing w:after="240"/>
              <w:rPr>
                <w:rFonts w:cs="Arial"/>
                <w:bCs/>
                <w:sz w:val="20"/>
                <w:szCs w:val="20"/>
              </w:rPr>
            </w:pPr>
            <w:r w:rsidRPr="0040656D">
              <w:rPr>
                <w:rFonts w:cs="Arial"/>
                <w:bCs/>
                <w:sz w:val="20"/>
                <w:szCs w:val="20"/>
                <w:u w:val="single"/>
              </w:rPr>
              <w:t>2.5</w:t>
            </w:r>
            <w:r w:rsidRPr="0040656D">
              <w:rPr>
                <w:rFonts w:cs="Arial"/>
                <w:bCs/>
                <w:sz w:val="20"/>
                <w:szCs w:val="20"/>
              </w:rPr>
              <w:t xml:space="preserve"> Number of entities that implement recommended changes.</w:t>
            </w:r>
          </w:p>
        </w:tc>
        <w:tc>
          <w:tcPr>
            <w:tcW w:w="2362" w:type="dxa"/>
            <w:tcBorders>
              <w:top w:val="single" w:sz="4" w:space="0" w:color="auto"/>
              <w:left w:val="single" w:sz="4" w:space="0" w:color="auto"/>
              <w:bottom w:val="single" w:sz="4" w:space="0" w:color="auto"/>
              <w:right w:val="single" w:sz="4" w:space="0" w:color="auto"/>
            </w:tcBorders>
          </w:tcPr>
          <w:p w14:paraId="0B2B122F" w14:textId="34D840CE" w:rsidR="006A123D" w:rsidRPr="0040656D" w:rsidDel="002C6434" w:rsidRDefault="003679F5" w:rsidP="00657117">
            <w:pPr>
              <w:spacing w:after="240"/>
              <w:rPr>
                <w:rFonts w:cs="Arial"/>
                <w:bCs/>
                <w:i/>
                <w:iCs/>
                <w:sz w:val="20"/>
                <w:szCs w:val="20"/>
              </w:rPr>
            </w:pPr>
            <w:r>
              <w:rPr>
                <w:rFonts w:cs="Arial"/>
                <w:bCs/>
                <w:i/>
                <w:iCs/>
                <w:sz w:val="20"/>
                <w:szCs w:val="20"/>
              </w:rPr>
              <w:t xml:space="preserve"> 7</w:t>
            </w:r>
          </w:p>
        </w:tc>
        <w:tc>
          <w:tcPr>
            <w:tcW w:w="2096" w:type="dxa"/>
            <w:tcBorders>
              <w:top w:val="single" w:sz="4" w:space="0" w:color="auto"/>
              <w:left w:val="single" w:sz="4" w:space="0" w:color="auto"/>
              <w:bottom w:val="single" w:sz="4" w:space="0" w:color="auto"/>
              <w:right w:val="single" w:sz="4" w:space="0" w:color="auto"/>
            </w:tcBorders>
          </w:tcPr>
          <w:p w14:paraId="0E65590A" w14:textId="6E506644" w:rsidR="006A123D" w:rsidRPr="009631F7" w:rsidRDefault="00010D5B" w:rsidP="00657117">
            <w:pPr>
              <w:spacing w:after="240"/>
              <w:contextualSpacing/>
              <w:rPr>
                <w:rFonts w:cs="Arial"/>
                <w:bCs/>
                <w:iCs/>
                <w:sz w:val="20"/>
                <w:szCs w:val="20"/>
                <w:u w:val="single"/>
              </w:rPr>
            </w:pPr>
            <w:r w:rsidRPr="009631F7">
              <w:rPr>
                <w:rFonts w:cs="Arial"/>
                <w:b/>
                <w:sz w:val="20"/>
                <w:szCs w:val="20"/>
              </w:rPr>
              <w:t>Achieved</w:t>
            </w:r>
            <w:r w:rsidR="009631F7" w:rsidRPr="009631F7">
              <w:rPr>
                <w:rFonts w:cs="Arial"/>
                <w:b/>
                <w:sz w:val="20"/>
                <w:szCs w:val="20"/>
              </w:rPr>
              <w:t>:</w:t>
            </w:r>
            <w:r w:rsidRPr="009631F7">
              <w:rPr>
                <w:rFonts w:cs="Arial"/>
                <w:b/>
                <w:sz w:val="20"/>
                <w:szCs w:val="20"/>
              </w:rPr>
              <w:t xml:space="preserve"> 11</w:t>
            </w:r>
            <w:r w:rsidR="006064FA" w:rsidRPr="009631F7">
              <w:rPr>
                <w:rFonts w:cs="Arial"/>
                <w:b/>
                <w:sz w:val="20"/>
                <w:szCs w:val="20"/>
              </w:rPr>
              <w:br/>
            </w:r>
            <w:r w:rsidR="00F72217">
              <w:rPr>
                <w:i/>
                <w:sz w:val="20"/>
                <w:szCs w:val="20"/>
              </w:rPr>
              <w:t>(</w:t>
            </w:r>
            <w:r w:rsidR="00F72217" w:rsidRPr="009631F7">
              <w:rPr>
                <w:i/>
                <w:sz w:val="20"/>
                <w:szCs w:val="20"/>
              </w:rPr>
              <w:t>A+</w:t>
            </w:r>
            <w:r w:rsidR="00F72217">
              <w:rPr>
                <w:i/>
                <w:sz w:val="20"/>
                <w:szCs w:val="20"/>
              </w:rPr>
              <w:t>)</w:t>
            </w:r>
          </w:p>
        </w:tc>
      </w:tr>
      <w:tr w:rsidR="006A123D" w:rsidRPr="0040656D" w14:paraId="671F2B08"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10A09C88" w14:textId="77777777" w:rsidR="006A123D" w:rsidRPr="0040656D" w:rsidRDefault="006A123D" w:rsidP="00657117">
            <w:pPr>
              <w:spacing w:after="240"/>
              <w:rPr>
                <w:rFonts w:cs="Arial"/>
                <w:bCs/>
                <w:sz w:val="20"/>
                <w:szCs w:val="20"/>
              </w:rPr>
            </w:pPr>
            <w:r w:rsidRPr="0040656D">
              <w:rPr>
                <w:rFonts w:cs="Arial"/>
                <w:bCs/>
                <w:sz w:val="20"/>
                <w:szCs w:val="20"/>
                <w:u w:val="single"/>
              </w:rPr>
              <w:t>2.6</w:t>
            </w:r>
            <w:r w:rsidRPr="0040656D">
              <w:rPr>
                <w:rFonts w:cs="Arial"/>
                <w:bCs/>
                <w:sz w:val="16"/>
                <w:szCs w:val="16"/>
              </w:rPr>
              <w:t xml:space="preserve"> </w:t>
            </w:r>
            <w:r w:rsidRPr="0040656D">
              <w:rPr>
                <w:rFonts w:cs="Arial"/>
                <w:sz w:val="20"/>
                <w:szCs w:val="20"/>
              </w:rPr>
              <w:t>Percent</w:t>
            </w:r>
            <w:r w:rsidRPr="0040656D">
              <w:rPr>
                <w:rFonts w:cs="Arial"/>
                <w:bCs/>
                <w:sz w:val="16"/>
                <w:szCs w:val="16"/>
              </w:rPr>
              <w:t xml:space="preserve"> </w:t>
            </w:r>
            <w:r w:rsidRPr="0040656D">
              <w:rPr>
                <w:rFonts w:cs="Arial"/>
                <w:bCs/>
                <w:sz w:val="20"/>
                <w:szCs w:val="20"/>
              </w:rPr>
              <w:t>of survey respondents (attending MAGC TA events) reporting increased knowledge of certified green buildings.</w:t>
            </w:r>
          </w:p>
        </w:tc>
        <w:tc>
          <w:tcPr>
            <w:tcW w:w="2362" w:type="dxa"/>
            <w:tcBorders>
              <w:top w:val="single" w:sz="4" w:space="0" w:color="auto"/>
              <w:left w:val="single" w:sz="4" w:space="0" w:color="auto"/>
              <w:bottom w:val="single" w:sz="4" w:space="0" w:color="auto"/>
              <w:right w:val="single" w:sz="4" w:space="0" w:color="auto"/>
            </w:tcBorders>
          </w:tcPr>
          <w:p w14:paraId="7CA1BAF6" w14:textId="77777777" w:rsidR="006A123D" w:rsidRPr="0040656D" w:rsidDel="002C6434" w:rsidRDefault="006A123D" w:rsidP="00657117">
            <w:pPr>
              <w:spacing w:after="240"/>
              <w:rPr>
                <w:rFonts w:cs="Arial"/>
                <w:bCs/>
                <w:i/>
                <w:iCs/>
                <w:sz w:val="20"/>
                <w:szCs w:val="20"/>
              </w:rPr>
            </w:pPr>
            <w:r w:rsidRPr="0040656D">
              <w:rPr>
                <w:rFonts w:cs="Arial"/>
                <w:bCs/>
                <w:i/>
                <w:iCs/>
                <w:sz w:val="20"/>
                <w:szCs w:val="20"/>
              </w:rPr>
              <w:t>80% of survey respondents</w:t>
            </w:r>
          </w:p>
        </w:tc>
        <w:tc>
          <w:tcPr>
            <w:tcW w:w="2096" w:type="dxa"/>
            <w:tcBorders>
              <w:top w:val="single" w:sz="4" w:space="0" w:color="auto"/>
              <w:left w:val="single" w:sz="4" w:space="0" w:color="auto"/>
              <w:bottom w:val="single" w:sz="4" w:space="0" w:color="auto"/>
              <w:right w:val="single" w:sz="4" w:space="0" w:color="auto"/>
            </w:tcBorders>
          </w:tcPr>
          <w:p w14:paraId="638E59FD" w14:textId="57F8B7A0" w:rsidR="006A123D" w:rsidRPr="009631F7" w:rsidRDefault="006A123D" w:rsidP="00657117">
            <w:pPr>
              <w:spacing w:after="240"/>
              <w:contextualSpacing/>
              <w:rPr>
                <w:rFonts w:cs="Arial"/>
                <w:bCs/>
                <w:i/>
                <w:sz w:val="20"/>
                <w:szCs w:val="20"/>
              </w:rPr>
            </w:pPr>
            <w:r w:rsidRPr="009631F7">
              <w:rPr>
                <w:rFonts w:cs="Arial"/>
                <w:b/>
                <w:iCs/>
                <w:sz w:val="20"/>
                <w:szCs w:val="20"/>
              </w:rPr>
              <w:t>Achieved</w:t>
            </w:r>
            <w:r w:rsidR="009631F7">
              <w:rPr>
                <w:rFonts w:cs="Arial"/>
                <w:b/>
                <w:iCs/>
                <w:sz w:val="20"/>
                <w:szCs w:val="20"/>
              </w:rPr>
              <w:t>:</w:t>
            </w:r>
            <w:r w:rsidRPr="009631F7">
              <w:rPr>
                <w:rFonts w:cs="Arial"/>
                <w:b/>
                <w:iCs/>
                <w:sz w:val="20"/>
                <w:szCs w:val="20"/>
              </w:rPr>
              <w:t xml:space="preserve"> 9</w:t>
            </w:r>
            <w:r w:rsidR="005B2492" w:rsidRPr="009631F7">
              <w:rPr>
                <w:rFonts w:cs="Arial"/>
                <w:b/>
                <w:iCs/>
                <w:sz w:val="20"/>
                <w:szCs w:val="20"/>
              </w:rPr>
              <w:t>7</w:t>
            </w:r>
            <w:r w:rsidRPr="009631F7">
              <w:rPr>
                <w:rFonts w:cs="Arial"/>
                <w:b/>
                <w:iCs/>
                <w:sz w:val="20"/>
                <w:szCs w:val="20"/>
              </w:rPr>
              <w:t xml:space="preserve">% </w:t>
            </w:r>
            <w:r w:rsidR="006064FA" w:rsidRPr="009631F7">
              <w:rPr>
                <w:rFonts w:cs="Arial"/>
                <w:b/>
                <w:iCs/>
                <w:sz w:val="20"/>
                <w:szCs w:val="20"/>
              </w:rPr>
              <w:br/>
            </w:r>
            <w:r w:rsidR="00F72217">
              <w:rPr>
                <w:i/>
                <w:sz w:val="20"/>
                <w:szCs w:val="20"/>
              </w:rPr>
              <w:t>(</w:t>
            </w:r>
            <w:r w:rsidR="00F72217" w:rsidRPr="009631F7">
              <w:rPr>
                <w:i/>
                <w:sz w:val="20"/>
                <w:szCs w:val="20"/>
              </w:rPr>
              <w:t>A+</w:t>
            </w:r>
            <w:r w:rsidR="00F72217">
              <w:rPr>
                <w:i/>
                <w:sz w:val="20"/>
                <w:szCs w:val="20"/>
              </w:rPr>
              <w:t>)</w:t>
            </w:r>
          </w:p>
        </w:tc>
      </w:tr>
      <w:tr w:rsidR="00DE6536" w:rsidRPr="0040656D" w14:paraId="7CD671BD"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1F7712CA" w14:textId="3BB0984A" w:rsidR="00DE6536" w:rsidRPr="008E5FC7" w:rsidRDefault="00DE6536" w:rsidP="00657117">
            <w:pPr>
              <w:spacing w:after="240"/>
              <w:rPr>
                <w:rFonts w:cs="Arial"/>
                <w:bCs/>
                <w:sz w:val="20"/>
                <w:szCs w:val="20"/>
              </w:rPr>
            </w:pPr>
            <w:r>
              <w:rPr>
                <w:rFonts w:cs="Arial"/>
                <w:bCs/>
                <w:sz w:val="20"/>
                <w:szCs w:val="20"/>
                <w:u w:val="single"/>
              </w:rPr>
              <w:t>2.7</w:t>
            </w:r>
            <w:r>
              <w:rPr>
                <w:rFonts w:cs="Arial"/>
                <w:bCs/>
                <w:sz w:val="20"/>
                <w:szCs w:val="20"/>
              </w:rPr>
              <w:t xml:space="preserve"> </w:t>
            </w:r>
            <w:r w:rsidRPr="00DE6536">
              <w:rPr>
                <w:rFonts w:cs="Arial"/>
                <w:bCs/>
                <w:sz w:val="20"/>
                <w:szCs w:val="20"/>
              </w:rPr>
              <w:t>Cumulative number of cities receiving advisory services by APEX</w:t>
            </w:r>
          </w:p>
        </w:tc>
        <w:tc>
          <w:tcPr>
            <w:tcW w:w="2362" w:type="dxa"/>
            <w:tcBorders>
              <w:top w:val="single" w:sz="4" w:space="0" w:color="auto"/>
              <w:left w:val="single" w:sz="4" w:space="0" w:color="auto"/>
              <w:bottom w:val="single" w:sz="4" w:space="0" w:color="auto"/>
              <w:right w:val="single" w:sz="4" w:space="0" w:color="auto"/>
            </w:tcBorders>
          </w:tcPr>
          <w:p w14:paraId="361891D8" w14:textId="0AE71A8C" w:rsidR="00DE6536" w:rsidRPr="0040656D" w:rsidRDefault="0065693D" w:rsidP="00657117">
            <w:pPr>
              <w:spacing w:after="240"/>
              <w:rPr>
                <w:rFonts w:cs="Arial"/>
                <w:bCs/>
                <w:i/>
                <w:iCs/>
                <w:sz w:val="20"/>
                <w:szCs w:val="20"/>
              </w:rPr>
            </w:pPr>
            <w:r>
              <w:rPr>
                <w:rFonts w:cs="Arial"/>
                <w:bCs/>
                <w:i/>
                <w:iCs/>
                <w:sz w:val="20"/>
                <w:szCs w:val="20"/>
              </w:rPr>
              <w:t>0</w:t>
            </w:r>
          </w:p>
        </w:tc>
        <w:tc>
          <w:tcPr>
            <w:tcW w:w="2096" w:type="dxa"/>
            <w:tcBorders>
              <w:top w:val="single" w:sz="4" w:space="0" w:color="auto"/>
              <w:left w:val="single" w:sz="4" w:space="0" w:color="auto"/>
              <w:bottom w:val="single" w:sz="4" w:space="0" w:color="auto"/>
              <w:right w:val="single" w:sz="4" w:space="0" w:color="auto"/>
            </w:tcBorders>
          </w:tcPr>
          <w:p w14:paraId="679FE9BA" w14:textId="03C56410" w:rsidR="00DE6536" w:rsidRPr="009631F7" w:rsidRDefault="00CB5B13" w:rsidP="00657117">
            <w:pPr>
              <w:spacing w:after="240"/>
              <w:contextualSpacing/>
              <w:rPr>
                <w:rFonts w:cs="Arial"/>
                <w:bCs/>
                <w:i/>
                <w:iCs/>
                <w:sz w:val="20"/>
                <w:szCs w:val="20"/>
                <w:u w:val="single"/>
              </w:rPr>
            </w:pPr>
            <w:r w:rsidRPr="009631F7">
              <w:rPr>
                <w:rFonts w:cs="Arial"/>
                <w:b/>
                <w:sz w:val="20"/>
                <w:szCs w:val="20"/>
              </w:rPr>
              <w:t>Achieved</w:t>
            </w:r>
            <w:r w:rsidR="009631F7">
              <w:rPr>
                <w:rFonts w:cs="Arial"/>
                <w:b/>
                <w:sz w:val="20"/>
                <w:szCs w:val="20"/>
              </w:rPr>
              <w:t>:</w:t>
            </w:r>
            <w:r w:rsidRPr="009631F7">
              <w:rPr>
                <w:rFonts w:cs="Arial"/>
                <w:b/>
                <w:sz w:val="20"/>
                <w:szCs w:val="20"/>
              </w:rPr>
              <w:t xml:space="preserve"> 5</w:t>
            </w:r>
            <w:r w:rsidR="006064FA" w:rsidRPr="009631F7">
              <w:rPr>
                <w:rFonts w:cs="Arial"/>
                <w:bCs/>
                <w:sz w:val="20"/>
                <w:szCs w:val="20"/>
              </w:rPr>
              <w:br/>
            </w:r>
            <w:r w:rsidR="00F72217">
              <w:rPr>
                <w:i/>
                <w:sz w:val="20"/>
                <w:szCs w:val="20"/>
              </w:rPr>
              <w:t>(</w:t>
            </w:r>
            <w:r w:rsidR="00F72217" w:rsidRPr="009631F7">
              <w:rPr>
                <w:i/>
                <w:sz w:val="20"/>
                <w:szCs w:val="20"/>
              </w:rPr>
              <w:t>A+</w:t>
            </w:r>
            <w:r w:rsidR="00F72217">
              <w:rPr>
                <w:i/>
                <w:sz w:val="20"/>
                <w:szCs w:val="20"/>
              </w:rPr>
              <w:t>)</w:t>
            </w:r>
          </w:p>
        </w:tc>
      </w:tr>
      <w:tr w:rsidR="00DE6536" w:rsidRPr="0040656D" w14:paraId="530CAE9F"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49D65273" w14:textId="6C57BC10" w:rsidR="00DE6536" w:rsidRPr="008E5FC7" w:rsidRDefault="00DE6536" w:rsidP="00657117">
            <w:pPr>
              <w:spacing w:after="240"/>
              <w:rPr>
                <w:rFonts w:cs="Arial"/>
                <w:bCs/>
                <w:sz w:val="20"/>
                <w:szCs w:val="20"/>
              </w:rPr>
            </w:pPr>
            <w:r>
              <w:rPr>
                <w:rFonts w:cs="Arial"/>
                <w:bCs/>
                <w:sz w:val="20"/>
                <w:szCs w:val="20"/>
                <w:u w:val="single"/>
              </w:rPr>
              <w:t>2.8</w:t>
            </w:r>
            <w:r>
              <w:rPr>
                <w:rFonts w:cs="Arial"/>
                <w:bCs/>
                <w:sz w:val="20"/>
                <w:szCs w:val="20"/>
              </w:rPr>
              <w:t xml:space="preserve"> </w:t>
            </w:r>
            <w:r w:rsidR="009533DA" w:rsidRPr="009533DA">
              <w:rPr>
                <w:rFonts w:cs="Arial"/>
                <w:bCs/>
                <w:sz w:val="20"/>
                <w:szCs w:val="20"/>
              </w:rPr>
              <w:t>Cumulative Number of cities verified as APEX green cities according to APEX standard</w:t>
            </w:r>
          </w:p>
        </w:tc>
        <w:tc>
          <w:tcPr>
            <w:tcW w:w="2362" w:type="dxa"/>
            <w:tcBorders>
              <w:top w:val="single" w:sz="4" w:space="0" w:color="auto"/>
              <w:left w:val="single" w:sz="4" w:space="0" w:color="auto"/>
              <w:bottom w:val="single" w:sz="4" w:space="0" w:color="auto"/>
              <w:right w:val="single" w:sz="4" w:space="0" w:color="auto"/>
            </w:tcBorders>
          </w:tcPr>
          <w:p w14:paraId="3E25EA1B" w14:textId="50C4FE21" w:rsidR="00DE6536" w:rsidRPr="0040656D" w:rsidRDefault="0065693D" w:rsidP="00657117">
            <w:pPr>
              <w:spacing w:after="240"/>
              <w:rPr>
                <w:rFonts w:cs="Arial"/>
                <w:bCs/>
                <w:i/>
                <w:iCs/>
                <w:sz w:val="20"/>
                <w:szCs w:val="20"/>
              </w:rPr>
            </w:pPr>
            <w:r>
              <w:rPr>
                <w:rFonts w:cs="Arial"/>
                <w:bCs/>
                <w:i/>
                <w:iCs/>
                <w:sz w:val="20"/>
                <w:szCs w:val="20"/>
              </w:rPr>
              <w:t>0</w:t>
            </w:r>
          </w:p>
        </w:tc>
        <w:tc>
          <w:tcPr>
            <w:tcW w:w="2096" w:type="dxa"/>
            <w:tcBorders>
              <w:top w:val="single" w:sz="4" w:space="0" w:color="auto"/>
              <w:left w:val="single" w:sz="4" w:space="0" w:color="auto"/>
              <w:bottom w:val="single" w:sz="4" w:space="0" w:color="auto"/>
              <w:right w:val="single" w:sz="4" w:space="0" w:color="auto"/>
            </w:tcBorders>
          </w:tcPr>
          <w:p w14:paraId="4F92EFF7" w14:textId="53511F31" w:rsidR="00DE6536" w:rsidRPr="009631F7" w:rsidRDefault="00CB5B13" w:rsidP="00657117">
            <w:pPr>
              <w:spacing w:after="240"/>
              <w:contextualSpacing/>
              <w:rPr>
                <w:rFonts w:cs="Arial"/>
                <w:bCs/>
                <w:i/>
                <w:iCs/>
                <w:sz w:val="20"/>
                <w:szCs w:val="20"/>
                <w:u w:val="single"/>
              </w:rPr>
            </w:pPr>
            <w:r w:rsidRPr="009631F7">
              <w:rPr>
                <w:rFonts w:cs="Arial"/>
                <w:b/>
                <w:sz w:val="20"/>
                <w:szCs w:val="20"/>
              </w:rPr>
              <w:t>Achieved</w:t>
            </w:r>
            <w:r w:rsidR="009631F7">
              <w:rPr>
                <w:rFonts w:cs="Arial"/>
                <w:b/>
                <w:sz w:val="20"/>
                <w:szCs w:val="20"/>
              </w:rPr>
              <w:t>:</w:t>
            </w:r>
            <w:r w:rsidRPr="009631F7">
              <w:rPr>
                <w:rFonts w:cs="Arial"/>
                <w:b/>
                <w:sz w:val="20"/>
                <w:szCs w:val="20"/>
              </w:rPr>
              <w:t xml:space="preserve"> 5</w:t>
            </w:r>
            <w:r w:rsidR="006064FA" w:rsidRPr="009631F7">
              <w:rPr>
                <w:rFonts w:cs="Arial"/>
                <w:bCs/>
                <w:sz w:val="20"/>
                <w:szCs w:val="20"/>
              </w:rPr>
              <w:br/>
            </w:r>
            <w:r w:rsidR="00F72217">
              <w:rPr>
                <w:i/>
                <w:sz w:val="20"/>
                <w:szCs w:val="20"/>
              </w:rPr>
              <w:t>(</w:t>
            </w:r>
            <w:r w:rsidR="00F72217" w:rsidRPr="009631F7">
              <w:rPr>
                <w:i/>
                <w:sz w:val="20"/>
                <w:szCs w:val="20"/>
              </w:rPr>
              <w:t>A+</w:t>
            </w:r>
            <w:r w:rsidR="00F72217">
              <w:rPr>
                <w:i/>
                <w:sz w:val="20"/>
                <w:szCs w:val="20"/>
              </w:rPr>
              <w:t>)</w:t>
            </w:r>
          </w:p>
        </w:tc>
      </w:tr>
      <w:tr w:rsidR="00DE6536" w:rsidRPr="0040656D" w14:paraId="67A5544C"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2893E613" w14:textId="4453E7A5" w:rsidR="00DE6536" w:rsidRPr="008E5FC7" w:rsidRDefault="009533DA" w:rsidP="00657117">
            <w:pPr>
              <w:spacing w:after="240"/>
              <w:rPr>
                <w:rFonts w:cs="Arial"/>
                <w:bCs/>
                <w:sz w:val="20"/>
                <w:szCs w:val="20"/>
              </w:rPr>
            </w:pPr>
            <w:r>
              <w:rPr>
                <w:rFonts w:cs="Arial"/>
                <w:bCs/>
                <w:sz w:val="20"/>
                <w:szCs w:val="20"/>
                <w:u w:val="single"/>
              </w:rPr>
              <w:t>2.9</w:t>
            </w:r>
            <w:r>
              <w:rPr>
                <w:rFonts w:cs="Arial"/>
                <w:bCs/>
                <w:sz w:val="20"/>
                <w:szCs w:val="20"/>
              </w:rPr>
              <w:t xml:space="preserve"> </w:t>
            </w:r>
            <w:r w:rsidRPr="009533DA">
              <w:rPr>
                <w:rFonts w:cs="Arial"/>
                <w:bCs/>
                <w:sz w:val="20"/>
                <w:szCs w:val="20"/>
              </w:rPr>
              <w:t>Cumulative Number of financial institutions trained by APEX</w:t>
            </w:r>
          </w:p>
        </w:tc>
        <w:tc>
          <w:tcPr>
            <w:tcW w:w="2362" w:type="dxa"/>
            <w:tcBorders>
              <w:top w:val="single" w:sz="4" w:space="0" w:color="auto"/>
              <w:left w:val="single" w:sz="4" w:space="0" w:color="auto"/>
              <w:bottom w:val="single" w:sz="4" w:space="0" w:color="auto"/>
              <w:right w:val="single" w:sz="4" w:space="0" w:color="auto"/>
            </w:tcBorders>
          </w:tcPr>
          <w:p w14:paraId="4CEE3859" w14:textId="357D083F" w:rsidR="00DE6536" w:rsidRPr="0040656D" w:rsidRDefault="00CB5B13" w:rsidP="00657117">
            <w:pPr>
              <w:spacing w:after="240"/>
              <w:rPr>
                <w:rFonts w:cs="Arial"/>
                <w:bCs/>
                <w:i/>
                <w:iCs/>
                <w:sz w:val="20"/>
                <w:szCs w:val="20"/>
              </w:rPr>
            </w:pPr>
            <w:r>
              <w:rPr>
                <w:rFonts w:cs="Arial"/>
                <w:bCs/>
                <w:i/>
                <w:iCs/>
                <w:sz w:val="20"/>
                <w:szCs w:val="20"/>
              </w:rPr>
              <w:t>0</w:t>
            </w:r>
          </w:p>
        </w:tc>
        <w:tc>
          <w:tcPr>
            <w:tcW w:w="2096" w:type="dxa"/>
            <w:tcBorders>
              <w:top w:val="single" w:sz="4" w:space="0" w:color="auto"/>
              <w:left w:val="single" w:sz="4" w:space="0" w:color="auto"/>
              <w:bottom w:val="single" w:sz="4" w:space="0" w:color="auto"/>
              <w:right w:val="single" w:sz="4" w:space="0" w:color="auto"/>
            </w:tcBorders>
          </w:tcPr>
          <w:p w14:paraId="69F4992D" w14:textId="4C92AAC7" w:rsidR="00DE6536" w:rsidRPr="009631F7" w:rsidRDefault="008F7FE5" w:rsidP="00657117">
            <w:pPr>
              <w:spacing w:after="240"/>
              <w:contextualSpacing/>
              <w:rPr>
                <w:rFonts w:cs="Arial"/>
                <w:bCs/>
                <w:iCs/>
                <w:sz w:val="20"/>
                <w:szCs w:val="20"/>
                <w:u w:val="single"/>
              </w:rPr>
            </w:pPr>
            <w:r w:rsidRPr="009631F7">
              <w:rPr>
                <w:rFonts w:cs="Arial"/>
                <w:b/>
                <w:iCs/>
                <w:sz w:val="20"/>
                <w:szCs w:val="20"/>
              </w:rPr>
              <w:t>Achieved</w:t>
            </w:r>
            <w:r w:rsidR="009631F7">
              <w:rPr>
                <w:rFonts w:cs="Arial"/>
                <w:b/>
                <w:iCs/>
                <w:sz w:val="20"/>
                <w:szCs w:val="20"/>
              </w:rPr>
              <w:t>:</w:t>
            </w:r>
            <w:r w:rsidRPr="009631F7">
              <w:rPr>
                <w:rFonts w:cs="Arial"/>
                <w:b/>
                <w:iCs/>
                <w:sz w:val="20"/>
                <w:szCs w:val="20"/>
              </w:rPr>
              <w:t xml:space="preserve"> 0</w:t>
            </w:r>
            <w:r w:rsidR="009631F7" w:rsidRPr="009631F7">
              <w:rPr>
                <w:rFonts w:cs="Arial"/>
                <w:bCs/>
                <w:iCs/>
                <w:sz w:val="20"/>
                <w:szCs w:val="20"/>
              </w:rPr>
              <w:br/>
            </w:r>
            <w:r w:rsidR="00F72217">
              <w:rPr>
                <w:i/>
                <w:sz w:val="20"/>
                <w:szCs w:val="20"/>
              </w:rPr>
              <w:t>(</w:t>
            </w:r>
            <w:r w:rsidR="009631F7" w:rsidRPr="009631F7">
              <w:rPr>
                <w:i/>
                <w:sz w:val="20"/>
                <w:szCs w:val="20"/>
              </w:rPr>
              <w:t>A</w:t>
            </w:r>
            <w:r w:rsidR="00F72217">
              <w:rPr>
                <w:i/>
                <w:sz w:val="20"/>
                <w:szCs w:val="20"/>
              </w:rPr>
              <w:t>)</w:t>
            </w:r>
          </w:p>
        </w:tc>
      </w:tr>
      <w:tr w:rsidR="00DE6536" w:rsidRPr="0040656D" w14:paraId="7553A980" w14:textId="77777777" w:rsidTr="54844E53">
        <w:trPr>
          <w:trHeight w:val="300"/>
        </w:trPr>
        <w:tc>
          <w:tcPr>
            <w:tcW w:w="4410" w:type="dxa"/>
            <w:tcBorders>
              <w:top w:val="single" w:sz="4" w:space="0" w:color="auto"/>
              <w:left w:val="single" w:sz="4" w:space="0" w:color="auto"/>
              <w:bottom w:val="single" w:sz="4" w:space="0" w:color="auto"/>
              <w:right w:val="single" w:sz="4" w:space="0" w:color="auto"/>
            </w:tcBorders>
          </w:tcPr>
          <w:p w14:paraId="4C9FD89A" w14:textId="1DDC683C" w:rsidR="00DE6536" w:rsidRPr="008E5FC7" w:rsidRDefault="009533DA" w:rsidP="00657117">
            <w:pPr>
              <w:spacing w:after="240"/>
              <w:rPr>
                <w:rFonts w:cs="Arial"/>
                <w:bCs/>
                <w:sz w:val="20"/>
                <w:szCs w:val="20"/>
              </w:rPr>
            </w:pPr>
            <w:r>
              <w:rPr>
                <w:rFonts w:cs="Arial"/>
                <w:bCs/>
                <w:sz w:val="20"/>
                <w:szCs w:val="20"/>
                <w:u w:val="single"/>
              </w:rPr>
              <w:t>2.10</w:t>
            </w:r>
            <w:r>
              <w:rPr>
                <w:rFonts w:cs="Arial"/>
                <w:bCs/>
                <w:sz w:val="20"/>
                <w:szCs w:val="20"/>
              </w:rPr>
              <w:t xml:space="preserve"> </w:t>
            </w:r>
            <w:r w:rsidRPr="009533DA">
              <w:rPr>
                <w:rFonts w:cs="Arial"/>
                <w:bCs/>
                <w:sz w:val="20"/>
                <w:szCs w:val="20"/>
              </w:rPr>
              <w:t>Cumulative floor space that received post-design EDGE Advanced Preliminary Certification (m2) (9 MAGC countries)</w:t>
            </w:r>
          </w:p>
        </w:tc>
        <w:tc>
          <w:tcPr>
            <w:tcW w:w="2362" w:type="dxa"/>
            <w:tcBorders>
              <w:top w:val="single" w:sz="4" w:space="0" w:color="auto"/>
              <w:left w:val="single" w:sz="4" w:space="0" w:color="auto"/>
              <w:bottom w:val="single" w:sz="4" w:space="0" w:color="auto"/>
              <w:right w:val="single" w:sz="4" w:space="0" w:color="auto"/>
            </w:tcBorders>
          </w:tcPr>
          <w:p w14:paraId="2B45627D" w14:textId="7B23C8F7" w:rsidR="00DE6536" w:rsidRPr="0040656D" w:rsidRDefault="00CB5B13" w:rsidP="00657117">
            <w:pPr>
              <w:spacing w:after="240"/>
              <w:rPr>
                <w:rFonts w:cs="Arial"/>
                <w:bCs/>
                <w:i/>
                <w:iCs/>
                <w:sz w:val="20"/>
                <w:szCs w:val="20"/>
              </w:rPr>
            </w:pPr>
            <w:r>
              <w:rPr>
                <w:rFonts w:cs="Arial"/>
                <w:bCs/>
                <w:i/>
                <w:iCs/>
                <w:sz w:val="20"/>
                <w:szCs w:val="20"/>
              </w:rPr>
              <w:t>6,567,043</w:t>
            </w:r>
          </w:p>
        </w:tc>
        <w:tc>
          <w:tcPr>
            <w:tcW w:w="2096" w:type="dxa"/>
            <w:tcBorders>
              <w:top w:val="single" w:sz="4" w:space="0" w:color="auto"/>
              <w:left w:val="single" w:sz="4" w:space="0" w:color="auto"/>
              <w:bottom w:val="single" w:sz="4" w:space="0" w:color="auto"/>
              <w:right w:val="single" w:sz="4" w:space="0" w:color="auto"/>
            </w:tcBorders>
          </w:tcPr>
          <w:p w14:paraId="1FE02762" w14:textId="0A8B551F" w:rsidR="00DE6536" w:rsidRPr="009631F7" w:rsidRDefault="00CB5B13" w:rsidP="00657117">
            <w:pPr>
              <w:spacing w:after="240"/>
              <w:contextualSpacing/>
              <w:rPr>
                <w:rFonts w:cs="Arial"/>
                <w:bCs/>
                <w:i/>
                <w:iCs/>
                <w:sz w:val="20"/>
                <w:szCs w:val="20"/>
                <w:u w:val="single"/>
              </w:rPr>
            </w:pPr>
            <w:r w:rsidRPr="009631F7">
              <w:rPr>
                <w:rFonts w:cs="Arial"/>
                <w:b/>
                <w:sz w:val="20"/>
                <w:szCs w:val="20"/>
              </w:rPr>
              <w:t>Achieved</w:t>
            </w:r>
            <w:r w:rsidR="009631F7">
              <w:rPr>
                <w:rFonts w:cs="Arial"/>
                <w:b/>
                <w:sz w:val="20"/>
                <w:szCs w:val="20"/>
              </w:rPr>
              <w:t>:</w:t>
            </w:r>
            <w:r w:rsidRPr="009631F7">
              <w:rPr>
                <w:rFonts w:cs="Arial"/>
                <w:b/>
                <w:sz w:val="20"/>
                <w:szCs w:val="20"/>
              </w:rPr>
              <w:t xml:space="preserve"> 9,881,851</w:t>
            </w:r>
            <w:r w:rsidR="009631F7" w:rsidRPr="009631F7">
              <w:rPr>
                <w:rFonts w:cs="Arial"/>
                <w:bCs/>
                <w:sz w:val="20"/>
                <w:szCs w:val="20"/>
              </w:rPr>
              <w:br/>
            </w:r>
            <w:r w:rsidR="00F72217">
              <w:rPr>
                <w:i/>
                <w:sz w:val="20"/>
                <w:szCs w:val="20"/>
              </w:rPr>
              <w:t>(</w:t>
            </w:r>
            <w:r w:rsidR="00F72217" w:rsidRPr="009631F7">
              <w:rPr>
                <w:i/>
                <w:sz w:val="20"/>
                <w:szCs w:val="20"/>
              </w:rPr>
              <w:t>A+</w:t>
            </w:r>
            <w:r w:rsidR="00F72217">
              <w:rPr>
                <w:i/>
                <w:sz w:val="20"/>
                <w:szCs w:val="20"/>
              </w:rPr>
              <w:t>)</w:t>
            </w:r>
          </w:p>
        </w:tc>
      </w:tr>
    </w:tbl>
    <w:p w14:paraId="6B4EEFA5" w14:textId="77777777" w:rsidR="00657117" w:rsidRDefault="00657117" w:rsidP="00657117">
      <w:pPr>
        <w:spacing w:after="240"/>
        <w:jc w:val="both"/>
        <w:rPr>
          <w:rFonts w:cs="Arial"/>
          <w:b/>
          <w:bCs/>
          <w:sz w:val="20"/>
          <w:szCs w:val="20"/>
        </w:rPr>
      </w:pPr>
    </w:p>
    <w:p w14:paraId="31C2AFDE" w14:textId="37CDC016" w:rsidR="006A123D" w:rsidRPr="0040656D" w:rsidRDefault="006A123D" w:rsidP="00657117">
      <w:pPr>
        <w:spacing w:after="240"/>
        <w:jc w:val="both"/>
        <w:rPr>
          <w:rFonts w:cs="Arial"/>
          <w:sz w:val="20"/>
          <w:szCs w:val="20"/>
        </w:rPr>
      </w:pPr>
      <w:r w:rsidRPr="0040656D">
        <w:rPr>
          <w:rFonts w:cs="Arial"/>
          <w:b/>
          <w:bCs/>
          <w:sz w:val="20"/>
          <w:szCs w:val="20"/>
        </w:rPr>
        <w:t xml:space="preserve">Briefly describe the output and provide supporting narrative for the score. </w:t>
      </w:r>
    </w:p>
    <w:p w14:paraId="14E1A8F3" w14:textId="77777777" w:rsidR="006A123D" w:rsidRPr="0040656D" w:rsidRDefault="006A123D" w:rsidP="00657117">
      <w:pPr>
        <w:pStyle w:val="Paragraph"/>
        <w:spacing w:after="240"/>
        <w:rPr>
          <w:bCs/>
          <w:sz w:val="20"/>
          <w:szCs w:val="20"/>
        </w:rPr>
      </w:pPr>
      <w:r w:rsidRPr="0040656D">
        <w:rPr>
          <w:sz w:val="20"/>
          <w:szCs w:val="20"/>
        </w:rPr>
        <w:t xml:space="preserve">Output 2 assesses MAGC’s delivery of technical advisory activities that support the development of construction project pipelines and market-level capacity. </w:t>
      </w:r>
      <w:r w:rsidRPr="0040656D">
        <w:rPr>
          <w:bCs/>
          <w:sz w:val="20"/>
          <w:szCs w:val="20"/>
        </w:rPr>
        <w:t xml:space="preserve">This Output scored an A+. </w:t>
      </w:r>
    </w:p>
    <w:p w14:paraId="3658FFA7" w14:textId="09A4A969" w:rsidR="009C179D" w:rsidRDefault="006A123D" w:rsidP="00657117">
      <w:pPr>
        <w:pStyle w:val="Paragraph"/>
        <w:spacing w:after="240"/>
        <w:rPr>
          <w:sz w:val="20"/>
          <w:szCs w:val="20"/>
        </w:rPr>
      </w:pPr>
      <w:r w:rsidRPr="25BAB186">
        <w:rPr>
          <w:sz w:val="20"/>
          <w:szCs w:val="20"/>
        </w:rPr>
        <w:t>MAGC exceeded its target for Output indicators 2.</w:t>
      </w:r>
      <w:r w:rsidR="004D0A3E" w:rsidRPr="25BAB186">
        <w:rPr>
          <w:sz w:val="20"/>
          <w:szCs w:val="20"/>
        </w:rPr>
        <w:t>2</w:t>
      </w:r>
      <w:r w:rsidR="00E01A45" w:rsidRPr="25BAB186">
        <w:rPr>
          <w:sz w:val="20"/>
          <w:szCs w:val="20"/>
        </w:rPr>
        <w:t xml:space="preserve"> – </w:t>
      </w:r>
      <w:r w:rsidR="00770C2F" w:rsidRPr="25BAB186">
        <w:rPr>
          <w:sz w:val="20"/>
          <w:szCs w:val="20"/>
        </w:rPr>
        <w:t>2.</w:t>
      </w:r>
      <w:r w:rsidR="004D0A3E" w:rsidRPr="25BAB186">
        <w:rPr>
          <w:sz w:val="20"/>
          <w:szCs w:val="20"/>
        </w:rPr>
        <w:t>8,</w:t>
      </w:r>
      <w:r w:rsidRPr="25BAB186">
        <w:rPr>
          <w:sz w:val="20"/>
          <w:szCs w:val="20"/>
        </w:rPr>
        <w:t xml:space="preserve"> and 2.</w:t>
      </w:r>
      <w:r w:rsidR="004D0A3E" w:rsidRPr="25BAB186">
        <w:rPr>
          <w:sz w:val="20"/>
          <w:szCs w:val="20"/>
        </w:rPr>
        <w:t>10</w:t>
      </w:r>
      <w:r w:rsidR="00ED25D8" w:rsidRPr="25BAB186">
        <w:rPr>
          <w:sz w:val="20"/>
          <w:szCs w:val="20"/>
        </w:rPr>
        <w:t xml:space="preserve">, </w:t>
      </w:r>
      <w:r w:rsidR="00126C51" w:rsidRPr="25BAB186">
        <w:rPr>
          <w:sz w:val="20"/>
          <w:szCs w:val="20"/>
        </w:rPr>
        <w:t xml:space="preserve">and </w:t>
      </w:r>
      <w:r w:rsidR="004D0A3E" w:rsidRPr="25BAB186">
        <w:rPr>
          <w:sz w:val="20"/>
          <w:szCs w:val="20"/>
        </w:rPr>
        <w:t>met</w:t>
      </w:r>
      <w:r w:rsidRPr="25BAB186">
        <w:rPr>
          <w:sz w:val="20"/>
          <w:szCs w:val="20"/>
        </w:rPr>
        <w:t xml:space="preserve"> its target for indicator</w:t>
      </w:r>
      <w:r w:rsidR="00126C51" w:rsidRPr="25BAB186">
        <w:rPr>
          <w:sz w:val="20"/>
          <w:szCs w:val="20"/>
        </w:rPr>
        <w:t>s</w:t>
      </w:r>
      <w:r w:rsidRPr="25BAB186">
        <w:rPr>
          <w:sz w:val="20"/>
          <w:szCs w:val="20"/>
        </w:rPr>
        <w:t xml:space="preserve"> 2.</w:t>
      </w:r>
      <w:r w:rsidR="004D0A3E" w:rsidRPr="25BAB186">
        <w:rPr>
          <w:sz w:val="20"/>
          <w:szCs w:val="20"/>
        </w:rPr>
        <w:t>1 and 2.</w:t>
      </w:r>
      <w:r w:rsidR="000112B2" w:rsidRPr="25BAB186">
        <w:rPr>
          <w:sz w:val="20"/>
          <w:szCs w:val="20"/>
        </w:rPr>
        <w:t>9.</w:t>
      </w:r>
      <w:r w:rsidR="00BD711B" w:rsidRPr="25BAB186">
        <w:rPr>
          <w:sz w:val="20"/>
          <w:szCs w:val="20"/>
        </w:rPr>
        <w:t xml:space="preserve"> Cumulative EDGE certified</w:t>
      </w:r>
      <w:r w:rsidR="00126C51" w:rsidRPr="25BAB186">
        <w:rPr>
          <w:sz w:val="20"/>
          <w:szCs w:val="20"/>
        </w:rPr>
        <w:t xml:space="preserve"> floorspace</w:t>
      </w:r>
      <w:r w:rsidR="00BD711B" w:rsidRPr="25BAB186">
        <w:rPr>
          <w:sz w:val="20"/>
          <w:szCs w:val="20"/>
        </w:rPr>
        <w:t xml:space="preserve"> in MAGC countries was 65 million (m2), with top contributors of these results being Colombia, India, and Mexico with 57% of the gross floor areas (m2) certified</w:t>
      </w:r>
      <w:r w:rsidR="009C179D" w:rsidRPr="25BAB186">
        <w:rPr>
          <w:sz w:val="20"/>
          <w:szCs w:val="20"/>
        </w:rPr>
        <w:t xml:space="preserve">. </w:t>
      </w:r>
      <w:r w:rsidRPr="25BAB186">
        <w:rPr>
          <w:sz w:val="20"/>
          <w:szCs w:val="20"/>
        </w:rPr>
        <w:t xml:space="preserve">Results show the demand for certified green building is continuing to expand globally, driven by increasing awareness among stakeholders, price sensitivity on utility costs and increasing availability of green materials, as well as the internationally recognized green buildings certification standard </w:t>
      </w:r>
      <w:r w:rsidRPr="25BAB186">
        <w:rPr>
          <w:sz w:val="20"/>
          <w:szCs w:val="20"/>
        </w:rPr>
        <w:lastRenderedPageBreak/>
        <w:t>EDGE.</w:t>
      </w:r>
      <w:r w:rsidR="00440256" w:rsidRPr="25BAB186">
        <w:rPr>
          <w:sz w:val="20"/>
          <w:szCs w:val="20"/>
        </w:rPr>
        <w:t xml:space="preserve"> In addition, floor space certified with EDGE Advanced achieved a result of 4.8</w:t>
      </w:r>
      <w:r w:rsidR="007F7B1D" w:rsidRPr="25BAB186">
        <w:rPr>
          <w:sz w:val="20"/>
          <w:szCs w:val="20"/>
        </w:rPr>
        <w:t xml:space="preserve"> million (m2) representing an increase of 26% compared to the previous year’s result. </w:t>
      </w:r>
      <w:r w:rsidR="0001200E" w:rsidRPr="25BAB186">
        <w:rPr>
          <w:sz w:val="20"/>
          <w:szCs w:val="20"/>
        </w:rPr>
        <w:t>Homes including apartments represent more than half of the cumulative floor space EDGE certified.</w:t>
      </w:r>
    </w:p>
    <w:p w14:paraId="5E42F3C5" w14:textId="09700FCC" w:rsidR="0001200E" w:rsidRDefault="0001200E" w:rsidP="00657117">
      <w:pPr>
        <w:pStyle w:val="Paragraph"/>
        <w:spacing w:after="240"/>
        <w:rPr>
          <w:sz w:val="20"/>
          <w:szCs w:val="20"/>
        </w:rPr>
      </w:pPr>
      <w:r>
        <w:rPr>
          <w:sz w:val="20"/>
          <w:szCs w:val="20"/>
        </w:rPr>
        <w:t xml:space="preserve">Some </w:t>
      </w:r>
      <w:r w:rsidR="00804EDE">
        <w:rPr>
          <w:sz w:val="20"/>
          <w:szCs w:val="20"/>
        </w:rPr>
        <w:t>Components</w:t>
      </w:r>
      <w:r w:rsidR="00B37A28">
        <w:rPr>
          <w:sz w:val="20"/>
          <w:szCs w:val="20"/>
        </w:rPr>
        <w:t xml:space="preserve"> </w:t>
      </w:r>
      <w:r>
        <w:rPr>
          <w:sz w:val="20"/>
          <w:szCs w:val="20"/>
        </w:rPr>
        <w:t xml:space="preserve">2 highlights </w:t>
      </w:r>
      <w:r w:rsidR="005D56BC">
        <w:rPr>
          <w:sz w:val="20"/>
          <w:szCs w:val="20"/>
        </w:rPr>
        <w:t>for a selection of countries includes:</w:t>
      </w:r>
    </w:p>
    <w:p w14:paraId="5AA8BA5A" w14:textId="6184576A" w:rsidR="005D56BC" w:rsidRDefault="005D56BC" w:rsidP="00657117">
      <w:pPr>
        <w:pStyle w:val="Paragraph"/>
        <w:numPr>
          <w:ilvl w:val="0"/>
          <w:numId w:val="46"/>
        </w:numPr>
        <w:spacing w:after="240"/>
        <w:rPr>
          <w:sz w:val="20"/>
          <w:szCs w:val="20"/>
        </w:rPr>
      </w:pPr>
      <w:r w:rsidRPr="008E5FC7">
        <w:rPr>
          <w:b/>
          <w:bCs/>
          <w:i/>
          <w:iCs/>
          <w:sz w:val="20"/>
          <w:szCs w:val="20"/>
        </w:rPr>
        <w:t>Kenya</w:t>
      </w:r>
      <w:r w:rsidRPr="00741472">
        <w:rPr>
          <w:i/>
          <w:iCs/>
          <w:sz w:val="20"/>
          <w:szCs w:val="20"/>
        </w:rPr>
        <w:t>.</w:t>
      </w:r>
      <w:r w:rsidRPr="00741472">
        <w:rPr>
          <w:sz w:val="20"/>
          <w:szCs w:val="20"/>
        </w:rPr>
        <w:t xml:space="preserve"> </w:t>
      </w:r>
      <w:r w:rsidR="00741472" w:rsidRPr="00741472">
        <w:rPr>
          <w:sz w:val="20"/>
          <w:szCs w:val="20"/>
        </w:rPr>
        <w:t>A total of 30 projects obtained post-design EDGE Preliminary Certification with over 206k (m2) certified.</w:t>
      </w:r>
      <w:r w:rsidR="00741472">
        <w:rPr>
          <w:sz w:val="20"/>
          <w:szCs w:val="20"/>
        </w:rPr>
        <w:t xml:space="preserve"> </w:t>
      </w:r>
      <w:r w:rsidR="00741472" w:rsidRPr="00741472">
        <w:rPr>
          <w:sz w:val="20"/>
          <w:szCs w:val="20"/>
        </w:rPr>
        <w:t xml:space="preserve">Hospitality </w:t>
      </w:r>
      <w:r w:rsidR="00741472">
        <w:rPr>
          <w:sz w:val="20"/>
          <w:szCs w:val="20"/>
        </w:rPr>
        <w:t xml:space="preserve">developments </w:t>
      </w:r>
      <w:r w:rsidR="00741472" w:rsidRPr="00741472">
        <w:rPr>
          <w:sz w:val="20"/>
          <w:szCs w:val="20"/>
        </w:rPr>
        <w:t>accounted for most of the certified floor space (30%), followed by retail (16%) and industrial projects (14%).</w:t>
      </w:r>
      <w:r w:rsidR="00993488" w:rsidRPr="00993488">
        <w:t xml:space="preserve"> </w:t>
      </w:r>
      <w:r w:rsidR="00993488" w:rsidRPr="00993488">
        <w:rPr>
          <w:sz w:val="20"/>
          <w:szCs w:val="20"/>
        </w:rPr>
        <w:t>Homabay County certified over 200 housing units in their affordable housing project in Homa Bay. Diamond Trust Bank received a Final EDGE certificate for their Kenyan head office and AMREF International University became the first school in Kenya to certify their campus.</w:t>
      </w:r>
    </w:p>
    <w:p w14:paraId="12A7A03E" w14:textId="0D31B71E" w:rsidR="00993488" w:rsidRDefault="00343C43" w:rsidP="00657117">
      <w:pPr>
        <w:pStyle w:val="Paragraph"/>
        <w:numPr>
          <w:ilvl w:val="0"/>
          <w:numId w:val="46"/>
        </w:numPr>
        <w:spacing w:after="240"/>
        <w:rPr>
          <w:sz w:val="20"/>
          <w:szCs w:val="20"/>
        </w:rPr>
      </w:pPr>
      <w:r w:rsidRPr="00343C43">
        <w:rPr>
          <w:b/>
          <w:bCs/>
          <w:i/>
          <w:iCs/>
          <w:sz w:val="20"/>
          <w:szCs w:val="20"/>
        </w:rPr>
        <w:t xml:space="preserve">Philippines. </w:t>
      </w:r>
      <w:r w:rsidRPr="008E5FC7">
        <w:rPr>
          <w:sz w:val="20"/>
          <w:szCs w:val="20"/>
        </w:rPr>
        <w:t>A total of 54 projects obtained post-design EDGE Preliminary Certification with 1 million m2 certified.</w:t>
      </w:r>
      <w:r>
        <w:rPr>
          <w:sz w:val="20"/>
          <w:szCs w:val="20"/>
        </w:rPr>
        <w:t xml:space="preserve"> </w:t>
      </w:r>
      <w:r w:rsidRPr="008E5FC7">
        <w:rPr>
          <w:sz w:val="20"/>
          <w:szCs w:val="20"/>
        </w:rPr>
        <w:t>Offices accounted for most of the certified floor space (62%), followed by retail (32%).</w:t>
      </w:r>
      <w:r w:rsidR="001E2C3D" w:rsidRPr="001E2C3D">
        <w:t xml:space="preserve"> </w:t>
      </w:r>
      <w:r w:rsidR="001E2C3D" w:rsidRPr="001E2C3D">
        <w:rPr>
          <w:sz w:val="20"/>
          <w:szCs w:val="20"/>
        </w:rPr>
        <w:t>Ayala Land commitment to net zero translated to EDGE Zero Carbon Certification that unlocked an upcoming sustainability-linked bond transaction for IFC—the first of its kind in the Philippines. The loan is linked to two specific sustainability performance targets: the first is to certify 1.5 million-square meters of ALI's existing office portfolio by the end of 2025 with IFC's EDGE Zero Carbon Certification.</w:t>
      </w:r>
    </w:p>
    <w:p w14:paraId="107400D2" w14:textId="33D5D630" w:rsidR="001E2C3D" w:rsidRDefault="001E2C3D" w:rsidP="00657117">
      <w:pPr>
        <w:pStyle w:val="Paragraph"/>
        <w:numPr>
          <w:ilvl w:val="0"/>
          <w:numId w:val="46"/>
        </w:numPr>
        <w:spacing w:after="240"/>
        <w:rPr>
          <w:sz w:val="20"/>
          <w:szCs w:val="20"/>
        </w:rPr>
      </w:pPr>
      <w:r w:rsidRPr="00137A42">
        <w:rPr>
          <w:b/>
          <w:bCs/>
          <w:i/>
          <w:iCs/>
          <w:sz w:val="20"/>
          <w:szCs w:val="20"/>
        </w:rPr>
        <w:t>Brazil.</w:t>
      </w:r>
      <w:r w:rsidRPr="00137A42">
        <w:rPr>
          <w:b/>
          <w:bCs/>
          <w:sz w:val="20"/>
          <w:szCs w:val="20"/>
        </w:rPr>
        <w:t xml:space="preserve"> </w:t>
      </w:r>
      <w:r w:rsidR="00137A42" w:rsidRPr="008E5FC7">
        <w:rPr>
          <w:sz w:val="20"/>
          <w:szCs w:val="20"/>
        </w:rPr>
        <w:t>A total of 77 projects obtained post-design EDGE Preliminary Certification with 897,843 m2 certified.</w:t>
      </w:r>
      <w:r w:rsidR="00137A42">
        <w:rPr>
          <w:sz w:val="20"/>
          <w:szCs w:val="20"/>
        </w:rPr>
        <w:t xml:space="preserve"> </w:t>
      </w:r>
      <w:r w:rsidR="00137A42" w:rsidRPr="008E5FC7">
        <w:rPr>
          <w:sz w:val="20"/>
          <w:szCs w:val="20"/>
        </w:rPr>
        <w:t>Apartments accounted for most of the certified floor space (72%), followed by retail projects (18%).</w:t>
      </w:r>
      <w:r w:rsidR="00137A42">
        <w:rPr>
          <w:sz w:val="20"/>
          <w:szCs w:val="20"/>
        </w:rPr>
        <w:t xml:space="preserve"> </w:t>
      </w:r>
      <w:r w:rsidR="00D8401B" w:rsidRPr="00D8401B">
        <w:rPr>
          <w:sz w:val="20"/>
          <w:szCs w:val="20"/>
        </w:rPr>
        <w:t>Manaus Municipality approved the Sustainable Manaus Program, the first green construction incentive law in Brazil. The law that will encourage green construction was unanimously approved by the Manaus City Council on June 17, 2024. It will offer technical and financial incentives for constructions in various sectors, including residential, commercial, services, industrial and mixed-use, that obtain sustainable building certifications.</w:t>
      </w:r>
    </w:p>
    <w:p w14:paraId="6870B227" w14:textId="5C705793" w:rsidR="008553E6" w:rsidRDefault="00AB2D49" w:rsidP="00657117">
      <w:pPr>
        <w:pStyle w:val="Paragraph"/>
        <w:spacing w:after="240"/>
        <w:rPr>
          <w:sz w:val="20"/>
          <w:szCs w:val="20"/>
        </w:rPr>
      </w:pPr>
      <w:r w:rsidRPr="25BAB186">
        <w:rPr>
          <w:sz w:val="20"/>
          <w:szCs w:val="20"/>
        </w:rPr>
        <w:t xml:space="preserve">As part of the March 2023 Change Request, </w:t>
      </w:r>
      <w:r w:rsidR="0059381D" w:rsidRPr="25BAB186">
        <w:rPr>
          <w:sz w:val="20"/>
          <w:szCs w:val="20"/>
        </w:rPr>
        <w:t xml:space="preserve">expansion and continuation of activities on the MAGC market-level work was introduced. </w:t>
      </w:r>
      <w:proofErr w:type="gramStart"/>
      <w:r w:rsidR="0059381D" w:rsidRPr="25BAB186">
        <w:rPr>
          <w:sz w:val="20"/>
          <w:szCs w:val="20"/>
        </w:rPr>
        <w:t>In particular, expansion</w:t>
      </w:r>
      <w:proofErr w:type="gramEnd"/>
      <w:r w:rsidR="0059381D" w:rsidRPr="25BAB186">
        <w:rPr>
          <w:sz w:val="20"/>
          <w:szCs w:val="20"/>
        </w:rPr>
        <w:t xml:space="preserve"> of EDGE into Brazil market, </w:t>
      </w:r>
      <w:r w:rsidR="008553E6" w:rsidRPr="25BAB186">
        <w:rPr>
          <w:sz w:val="20"/>
          <w:szCs w:val="20"/>
        </w:rPr>
        <w:t>as well as</w:t>
      </w:r>
      <w:r w:rsidR="0059381D" w:rsidRPr="25BAB186">
        <w:rPr>
          <w:sz w:val="20"/>
          <w:szCs w:val="20"/>
        </w:rPr>
        <w:t xml:space="preserve"> </w:t>
      </w:r>
      <w:r w:rsidR="008553E6" w:rsidRPr="25BAB186">
        <w:rPr>
          <w:sz w:val="20"/>
          <w:szCs w:val="20"/>
        </w:rPr>
        <w:t>continuation of MAGC market-level work in active MAGC countries to scale EDGE standard to more ambitious levels, going from EDGE to EDGE Advanced and Zero Carbon. These new activities have been captured in existing indicators 2.1</w:t>
      </w:r>
      <w:r w:rsidR="00E01A45" w:rsidRPr="25BAB186">
        <w:rPr>
          <w:sz w:val="20"/>
          <w:szCs w:val="20"/>
        </w:rPr>
        <w:t xml:space="preserve"> – </w:t>
      </w:r>
      <w:r w:rsidR="008553E6" w:rsidRPr="25BAB186">
        <w:rPr>
          <w:sz w:val="20"/>
          <w:szCs w:val="20"/>
        </w:rPr>
        <w:t xml:space="preserve">2.6 (more information the </w:t>
      </w:r>
      <w:r w:rsidR="00451607" w:rsidRPr="25BAB186">
        <w:rPr>
          <w:sz w:val="20"/>
          <w:szCs w:val="20"/>
        </w:rPr>
        <w:t>Logframe</w:t>
      </w:r>
      <w:r w:rsidR="008553E6" w:rsidRPr="25BAB186">
        <w:rPr>
          <w:sz w:val="20"/>
          <w:szCs w:val="20"/>
        </w:rPr>
        <w:t xml:space="preserve"> amendments below).</w:t>
      </w:r>
    </w:p>
    <w:p w14:paraId="2F0D9E18" w14:textId="64B2DE78" w:rsidR="006A123D" w:rsidRPr="0040656D" w:rsidRDefault="41E5AB86" w:rsidP="3A10AEBD">
      <w:pPr>
        <w:pStyle w:val="Paragraph"/>
        <w:spacing w:after="240"/>
        <w:rPr>
          <w:sz w:val="20"/>
          <w:szCs w:val="20"/>
        </w:rPr>
      </w:pPr>
      <w:r w:rsidRPr="3A10AEBD">
        <w:rPr>
          <w:sz w:val="20"/>
          <w:szCs w:val="20"/>
        </w:rPr>
        <w:t xml:space="preserve">In addition, for the March 2023 Change Request, new funding was provided to the implementation of APEX Green Cities platform, in hope to </w:t>
      </w:r>
      <w:r w:rsidR="631B859A" w:rsidRPr="3A10AEBD">
        <w:rPr>
          <w:sz w:val="20"/>
          <w:szCs w:val="20"/>
        </w:rPr>
        <w:t>accelerate the implementation of ambitious and transformative policy actions and investments that contribute to transitioning to low-carbon and resource-efficient growth pathways. </w:t>
      </w:r>
      <w:r w:rsidRPr="3A10AEBD">
        <w:rPr>
          <w:sz w:val="20"/>
          <w:szCs w:val="20"/>
        </w:rPr>
        <w:t xml:space="preserve">For </w:t>
      </w:r>
      <w:r w:rsidR="14FA3AAC" w:rsidRPr="3A10AEBD">
        <w:rPr>
          <w:sz w:val="20"/>
          <w:szCs w:val="20"/>
        </w:rPr>
        <w:t>these</w:t>
      </w:r>
      <w:r w:rsidR="56980E8E" w:rsidRPr="3A10AEBD">
        <w:rPr>
          <w:sz w:val="20"/>
          <w:szCs w:val="20"/>
        </w:rPr>
        <w:t>,</w:t>
      </w:r>
      <w:r w:rsidR="14FA3AAC" w:rsidRPr="3A10AEBD">
        <w:rPr>
          <w:sz w:val="20"/>
          <w:szCs w:val="20"/>
        </w:rPr>
        <w:t xml:space="preserve"> new indicators</w:t>
      </w:r>
      <w:r w:rsidR="4588D6C7" w:rsidRPr="3A10AEBD">
        <w:rPr>
          <w:sz w:val="20"/>
          <w:szCs w:val="20"/>
        </w:rPr>
        <w:t xml:space="preserve"> 2.5</w:t>
      </w:r>
      <w:r w:rsidR="704A96AB" w:rsidRPr="3A10AEBD">
        <w:rPr>
          <w:sz w:val="20"/>
          <w:szCs w:val="20"/>
        </w:rPr>
        <w:t xml:space="preserve"> – </w:t>
      </w:r>
      <w:r w:rsidR="4588D6C7" w:rsidRPr="3A10AEBD">
        <w:rPr>
          <w:sz w:val="20"/>
          <w:szCs w:val="20"/>
        </w:rPr>
        <w:t xml:space="preserve">2.9 were added to the </w:t>
      </w:r>
      <w:r w:rsidR="00451607" w:rsidRPr="3A10AEBD">
        <w:rPr>
          <w:sz w:val="20"/>
          <w:szCs w:val="20"/>
        </w:rPr>
        <w:t>Logframe</w:t>
      </w:r>
      <w:r w:rsidR="4588D6C7" w:rsidRPr="3A10AEBD">
        <w:rPr>
          <w:sz w:val="20"/>
          <w:szCs w:val="20"/>
        </w:rPr>
        <w:t>. Results for these indicators were either met or exceeded by IFC</w:t>
      </w:r>
      <w:r w:rsidR="626E85E4" w:rsidRPr="3A10AEBD">
        <w:rPr>
          <w:sz w:val="20"/>
          <w:szCs w:val="20"/>
        </w:rPr>
        <w:t xml:space="preserve">. In exceeding indicators </w:t>
      </w:r>
      <w:r w:rsidR="07E3E8BD" w:rsidRPr="3A10AEBD">
        <w:rPr>
          <w:sz w:val="20"/>
          <w:szCs w:val="20"/>
        </w:rPr>
        <w:t xml:space="preserve">2.5 and 2.6, IFC provided </w:t>
      </w:r>
      <w:r w:rsidR="517026EA" w:rsidRPr="3A10AEBD">
        <w:rPr>
          <w:sz w:val="20"/>
          <w:szCs w:val="20"/>
        </w:rPr>
        <w:t>advisory</w:t>
      </w:r>
      <w:r w:rsidR="07E3E8BD" w:rsidRPr="3A10AEBD">
        <w:rPr>
          <w:sz w:val="20"/>
          <w:szCs w:val="20"/>
        </w:rPr>
        <w:t xml:space="preserve"> services through APEX to 5 cities (Jakarta, Quezon City, </w:t>
      </w:r>
      <w:r w:rsidR="213D5716" w:rsidRPr="3A10AEBD">
        <w:rPr>
          <w:sz w:val="20"/>
          <w:szCs w:val="20"/>
        </w:rPr>
        <w:t xml:space="preserve">Pimpri Chinchwad, Vizag, and Chennai). </w:t>
      </w:r>
      <w:r w:rsidR="1C4F3707" w:rsidRPr="3A10AEBD">
        <w:rPr>
          <w:sz w:val="20"/>
          <w:szCs w:val="20"/>
        </w:rPr>
        <w:t xml:space="preserve">In each of these cities, working with each city government IFC </w:t>
      </w:r>
      <w:r w:rsidR="24FA51D8" w:rsidRPr="3A10AEBD">
        <w:rPr>
          <w:sz w:val="20"/>
          <w:szCs w:val="20"/>
        </w:rPr>
        <w:t xml:space="preserve">have agreed either a Climate Investment Opportunities </w:t>
      </w:r>
      <w:r w:rsidR="517026EA" w:rsidRPr="3A10AEBD">
        <w:rPr>
          <w:sz w:val="20"/>
          <w:szCs w:val="20"/>
        </w:rPr>
        <w:t>Diagnostic</w:t>
      </w:r>
      <w:r w:rsidR="24FA51D8" w:rsidRPr="3A10AEBD">
        <w:rPr>
          <w:sz w:val="20"/>
          <w:szCs w:val="20"/>
        </w:rPr>
        <w:t xml:space="preserve"> (CIOD) or a </w:t>
      </w:r>
      <w:r w:rsidR="517026EA" w:rsidRPr="3A10AEBD">
        <w:rPr>
          <w:sz w:val="20"/>
          <w:szCs w:val="20"/>
        </w:rPr>
        <w:t xml:space="preserve">Green Climate Action Plan (GCAP), which aims to identify, analyse and recommend key climate actions for future savings in greenhouse gas emissions, energy, private vehicle travel, waste and water, as well as capital costs. </w:t>
      </w:r>
    </w:p>
    <w:p w14:paraId="2D7F98AF" w14:textId="5D80DCD1" w:rsidR="006A123D" w:rsidRPr="0040656D" w:rsidRDefault="006A123D" w:rsidP="32EA1397">
      <w:pPr>
        <w:pStyle w:val="Paragraph"/>
        <w:spacing w:after="240"/>
        <w:rPr>
          <w:sz w:val="20"/>
          <w:szCs w:val="20"/>
        </w:rPr>
      </w:pPr>
      <w:r w:rsidRPr="3A10AEBD">
        <w:rPr>
          <w:b/>
          <w:bCs/>
          <w:sz w:val="20"/>
          <w:szCs w:val="20"/>
        </w:rPr>
        <w:t xml:space="preserve">Describe any changes to this output, and any planned changes </w:t>
      </w:r>
      <w:proofErr w:type="gramStart"/>
      <w:r w:rsidRPr="3A10AEBD">
        <w:rPr>
          <w:b/>
          <w:bCs/>
          <w:sz w:val="20"/>
          <w:szCs w:val="20"/>
        </w:rPr>
        <w:t>as a result of</w:t>
      </w:r>
      <w:proofErr w:type="gramEnd"/>
      <w:r w:rsidRPr="3A10AEBD">
        <w:rPr>
          <w:b/>
          <w:bCs/>
          <w:sz w:val="20"/>
          <w:szCs w:val="20"/>
        </w:rPr>
        <w:t xml:space="preserve"> this review. </w:t>
      </w:r>
    </w:p>
    <w:p w14:paraId="13114665" w14:textId="77777777" w:rsidR="006A123D" w:rsidRPr="0040656D" w:rsidRDefault="006A123D" w:rsidP="00657117">
      <w:pPr>
        <w:pStyle w:val="paragraph0"/>
        <w:spacing w:before="0" w:beforeAutospacing="0" w:after="240" w:afterAutospacing="0"/>
        <w:jc w:val="both"/>
        <w:textAlignment w:val="baseline"/>
        <w:rPr>
          <w:rStyle w:val="normaltextrun"/>
          <w:rFonts w:ascii="Arial" w:hAnsi="Arial" w:cs="Arial"/>
          <w:color w:val="000000"/>
          <w:sz w:val="20"/>
          <w:szCs w:val="20"/>
          <w:u w:val="single"/>
        </w:rPr>
      </w:pPr>
      <w:r w:rsidRPr="0040656D">
        <w:rPr>
          <w:rStyle w:val="normaltextrun"/>
          <w:rFonts w:ascii="Arial" w:hAnsi="Arial" w:cs="Arial"/>
          <w:color w:val="000000"/>
          <w:sz w:val="20"/>
          <w:szCs w:val="20"/>
          <w:u w:val="single"/>
        </w:rPr>
        <w:t xml:space="preserve">This Reporting Period </w:t>
      </w:r>
    </w:p>
    <w:p w14:paraId="1601ECD7" w14:textId="037DCCC8" w:rsidR="00DA2EA9" w:rsidRDefault="00DA2EA9" w:rsidP="00657117">
      <w:pPr>
        <w:pStyle w:val="Paragraph"/>
        <w:spacing w:after="240"/>
        <w:rPr>
          <w:sz w:val="20"/>
          <w:szCs w:val="20"/>
        </w:rPr>
      </w:pPr>
      <w:r>
        <w:rPr>
          <w:sz w:val="20"/>
          <w:szCs w:val="20"/>
        </w:rPr>
        <w:t>Following a change request in March 2023</w:t>
      </w:r>
      <w:r w:rsidR="002A47A2">
        <w:rPr>
          <w:sz w:val="20"/>
          <w:szCs w:val="20"/>
        </w:rPr>
        <w:t xml:space="preserve"> (previous reporting period)</w:t>
      </w:r>
      <w:r>
        <w:rPr>
          <w:sz w:val="20"/>
          <w:szCs w:val="20"/>
        </w:rPr>
        <w:t>, which increased the funding and scope of components 2, 3, and 4</w:t>
      </w:r>
      <w:r w:rsidR="002A47A2">
        <w:rPr>
          <w:sz w:val="20"/>
          <w:szCs w:val="20"/>
        </w:rPr>
        <w:t xml:space="preserve">, with implementation, including </w:t>
      </w:r>
      <w:r w:rsidR="00451607">
        <w:rPr>
          <w:sz w:val="20"/>
          <w:szCs w:val="20"/>
        </w:rPr>
        <w:t>Logframe</w:t>
      </w:r>
      <w:r w:rsidR="002A47A2">
        <w:rPr>
          <w:sz w:val="20"/>
          <w:szCs w:val="20"/>
        </w:rPr>
        <w:t xml:space="preserve"> amendments were conducted in this reporting period. This was covered </w:t>
      </w:r>
      <w:r w:rsidR="00701D17">
        <w:rPr>
          <w:sz w:val="20"/>
          <w:szCs w:val="20"/>
        </w:rPr>
        <w:t xml:space="preserve">as part of a broader </w:t>
      </w:r>
      <w:r w:rsidR="00451607">
        <w:rPr>
          <w:sz w:val="20"/>
          <w:szCs w:val="20"/>
        </w:rPr>
        <w:t>Logframe</w:t>
      </w:r>
      <w:r w:rsidR="00701D17">
        <w:rPr>
          <w:sz w:val="20"/>
          <w:szCs w:val="20"/>
        </w:rPr>
        <w:t xml:space="preserve"> review - </w:t>
      </w:r>
      <w:proofErr w:type="gramStart"/>
      <w:r>
        <w:rPr>
          <w:sz w:val="20"/>
          <w:szCs w:val="20"/>
        </w:rPr>
        <w:t>a number of</w:t>
      </w:r>
      <w:proofErr w:type="gramEnd"/>
      <w:r>
        <w:rPr>
          <w:sz w:val="20"/>
          <w:szCs w:val="20"/>
        </w:rPr>
        <w:t xml:space="preserve"> additional indicators have been added to the </w:t>
      </w:r>
      <w:r w:rsidR="00451607">
        <w:rPr>
          <w:sz w:val="20"/>
          <w:szCs w:val="20"/>
        </w:rPr>
        <w:t>Logframe</w:t>
      </w:r>
      <w:r>
        <w:rPr>
          <w:sz w:val="20"/>
          <w:szCs w:val="20"/>
        </w:rPr>
        <w:t xml:space="preserve"> to capture the scope of the new funding. For this component, </w:t>
      </w:r>
      <w:r w:rsidR="00451607">
        <w:rPr>
          <w:sz w:val="20"/>
          <w:szCs w:val="20"/>
        </w:rPr>
        <w:t>Logframe</w:t>
      </w:r>
      <w:r w:rsidR="005E56D1">
        <w:rPr>
          <w:sz w:val="20"/>
          <w:szCs w:val="20"/>
        </w:rPr>
        <w:t xml:space="preserve"> amendments and additions were</w:t>
      </w:r>
      <w:r>
        <w:rPr>
          <w:sz w:val="20"/>
          <w:szCs w:val="20"/>
        </w:rPr>
        <w:t>:</w:t>
      </w:r>
    </w:p>
    <w:p w14:paraId="11C57FE3" w14:textId="60152D2B" w:rsidR="000D4586" w:rsidRPr="00345273" w:rsidRDefault="000D4586" w:rsidP="00657117">
      <w:pPr>
        <w:pStyle w:val="Paragraph"/>
        <w:numPr>
          <w:ilvl w:val="0"/>
          <w:numId w:val="45"/>
        </w:numPr>
        <w:spacing w:after="240"/>
        <w:rPr>
          <w:sz w:val="20"/>
          <w:szCs w:val="20"/>
        </w:rPr>
      </w:pPr>
      <w:r w:rsidRPr="25BAB186">
        <w:rPr>
          <w:sz w:val="20"/>
          <w:szCs w:val="20"/>
        </w:rPr>
        <w:t>Increase indicator targets to capture higher ambition for already achieved results (added stretch target of 5%) – amending output indicators 2.1</w:t>
      </w:r>
      <w:r w:rsidR="00E01A45" w:rsidRPr="25BAB186">
        <w:rPr>
          <w:sz w:val="20"/>
          <w:szCs w:val="20"/>
        </w:rPr>
        <w:t xml:space="preserve"> </w:t>
      </w:r>
      <w:r w:rsidR="00B11D24" w:rsidRPr="25BAB186">
        <w:rPr>
          <w:sz w:val="20"/>
          <w:szCs w:val="20"/>
        </w:rPr>
        <w:t>–</w:t>
      </w:r>
      <w:r w:rsidR="00E01A45" w:rsidRPr="25BAB186">
        <w:rPr>
          <w:sz w:val="20"/>
          <w:szCs w:val="20"/>
        </w:rPr>
        <w:t xml:space="preserve"> </w:t>
      </w:r>
      <w:r w:rsidRPr="25BAB186">
        <w:rPr>
          <w:sz w:val="20"/>
          <w:szCs w:val="20"/>
        </w:rPr>
        <w:t>2.3, and 2.5.</w:t>
      </w:r>
    </w:p>
    <w:p w14:paraId="60C7E521" w14:textId="51F4C430" w:rsidR="000D4586" w:rsidRPr="000D4586" w:rsidRDefault="000D4586" w:rsidP="00657117">
      <w:pPr>
        <w:pStyle w:val="Paragraph"/>
        <w:numPr>
          <w:ilvl w:val="0"/>
          <w:numId w:val="45"/>
        </w:numPr>
        <w:spacing w:after="240"/>
        <w:rPr>
          <w:sz w:val="20"/>
          <w:szCs w:val="20"/>
        </w:rPr>
      </w:pPr>
      <w:r w:rsidRPr="25BAB186">
        <w:rPr>
          <w:sz w:val="20"/>
          <w:szCs w:val="20"/>
        </w:rPr>
        <w:t>Targets agreed with IFC to capture the March 2023 Change Request – amending output indicators 2.1</w:t>
      </w:r>
      <w:r w:rsidR="00E01A45" w:rsidRPr="25BAB186">
        <w:rPr>
          <w:sz w:val="20"/>
          <w:szCs w:val="20"/>
        </w:rPr>
        <w:t xml:space="preserve"> </w:t>
      </w:r>
      <w:r w:rsidR="00B11D24" w:rsidRPr="25BAB186">
        <w:rPr>
          <w:sz w:val="20"/>
          <w:szCs w:val="20"/>
        </w:rPr>
        <w:t>–</w:t>
      </w:r>
      <w:r w:rsidR="00E01A45" w:rsidRPr="25BAB186">
        <w:rPr>
          <w:sz w:val="20"/>
          <w:szCs w:val="20"/>
        </w:rPr>
        <w:t xml:space="preserve"> </w:t>
      </w:r>
      <w:r w:rsidRPr="25BAB186">
        <w:rPr>
          <w:sz w:val="20"/>
          <w:szCs w:val="20"/>
        </w:rPr>
        <w:t>2.3, and 2.6, and introducing output indicators 2.7</w:t>
      </w:r>
      <w:r w:rsidR="00E01A45" w:rsidRPr="25BAB186">
        <w:rPr>
          <w:sz w:val="20"/>
          <w:szCs w:val="20"/>
        </w:rPr>
        <w:t xml:space="preserve"> </w:t>
      </w:r>
      <w:r w:rsidR="00B11D24" w:rsidRPr="25BAB186">
        <w:rPr>
          <w:sz w:val="20"/>
          <w:szCs w:val="20"/>
        </w:rPr>
        <w:t>–</w:t>
      </w:r>
      <w:r w:rsidR="00E01A45" w:rsidRPr="25BAB186">
        <w:rPr>
          <w:sz w:val="20"/>
          <w:szCs w:val="20"/>
        </w:rPr>
        <w:t xml:space="preserve"> </w:t>
      </w:r>
      <w:r w:rsidRPr="25BAB186">
        <w:rPr>
          <w:sz w:val="20"/>
          <w:szCs w:val="20"/>
        </w:rPr>
        <w:t xml:space="preserve">2.10. </w:t>
      </w:r>
    </w:p>
    <w:p w14:paraId="7BD38715" w14:textId="010B6F3F" w:rsidR="006A123D" w:rsidRDefault="006A123D"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u w:val="single"/>
        </w:rPr>
      </w:pPr>
      <w:r w:rsidRPr="0080392B">
        <w:rPr>
          <w:rStyle w:val="normaltextrun"/>
          <w:rFonts w:ascii="Arial" w:hAnsi="Arial" w:cs="Arial"/>
          <w:color w:val="000000" w:themeColor="text1"/>
          <w:sz w:val="20"/>
          <w:szCs w:val="20"/>
          <w:u w:val="single"/>
        </w:rPr>
        <w:lastRenderedPageBreak/>
        <w:t>Future Changes:</w:t>
      </w:r>
    </w:p>
    <w:p w14:paraId="1161241F" w14:textId="54A1A0F8" w:rsidR="0080392B" w:rsidRPr="008E5FC7" w:rsidRDefault="0080392B" w:rsidP="00657117">
      <w:pPr>
        <w:pStyle w:val="paragraph0"/>
        <w:spacing w:before="0" w:beforeAutospacing="0" w:after="240" w:afterAutospacing="0"/>
        <w:jc w:val="both"/>
        <w:textAlignment w:val="baseline"/>
        <w:rPr>
          <w:rStyle w:val="normaltextrun"/>
          <w:rFonts w:ascii="Arial" w:hAnsi="Arial" w:cs="Arial"/>
          <w:color w:val="000000"/>
          <w:sz w:val="20"/>
          <w:szCs w:val="20"/>
        </w:rPr>
      </w:pPr>
      <w:r>
        <w:rPr>
          <w:rStyle w:val="normaltextrun"/>
          <w:rFonts w:ascii="Arial" w:hAnsi="Arial" w:cs="Arial"/>
          <w:color w:val="000000" w:themeColor="text1"/>
          <w:sz w:val="20"/>
          <w:szCs w:val="20"/>
        </w:rPr>
        <w:t xml:space="preserve">No changes to this output planned </w:t>
      </w:r>
      <w:r w:rsidR="009D151A">
        <w:rPr>
          <w:rStyle w:val="normaltextrun"/>
          <w:rFonts w:ascii="Arial" w:hAnsi="Arial" w:cs="Arial"/>
          <w:color w:val="000000" w:themeColor="text1"/>
          <w:sz w:val="20"/>
          <w:szCs w:val="20"/>
        </w:rPr>
        <w:t>in the next reporting period.</w:t>
      </w:r>
    </w:p>
    <w:p w14:paraId="5361E266" w14:textId="77777777" w:rsidR="00822035" w:rsidRDefault="006A123D" w:rsidP="00657117">
      <w:pPr>
        <w:spacing w:after="240"/>
        <w:jc w:val="both"/>
        <w:rPr>
          <w:rFonts w:cs="Arial"/>
          <w:b/>
          <w:bCs/>
          <w:sz w:val="20"/>
          <w:szCs w:val="20"/>
        </w:rPr>
      </w:pPr>
      <w:r w:rsidRPr="00A96A8D">
        <w:rPr>
          <w:rFonts w:cs="Arial"/>
          <w:b/>
          <w:bCs/>
          <w:sz w:val="20"/>
          <w:szCs w:val="20"/>
        </w:rPr>
        <w:t>Progress on recommendations from the previous AR (if completed), lessons learned this year and recommendations for the year ahead.</w:t>
      </w:r>
    </w:p>
    <w:p w14:paraId="056D3B54" w14:textId="35801842" w:rsidR="006A123D" w:rsidRPr="0040656D" w:rsidRDefault="00822035" w:rsidP="00657117">
      <w:pPr>
        <w:spacing w:after="240"/>
        <w:jc w:val="both"/>
        <w:rPr>
          <w:rFonts w:cs="Arial"/>
          <w:b/>
          <w:bCs/>
          <w:sz w:val="20"/>
          <w:szCs w:val="20"/>
        </w:rPr>
      </w:pPr>
      <w:r>
        <w:rPr>
          <w:rFonts w:cs="Arial"/>
          <w:sz w:val="20"/>
          <w:szCs w:val="20"/>
          <w:u w:val="single"/>
        </w:rPr>
        <w:t xml:space="preserve">Previous Annual Review Recommendations </w:t>
      </w:r>
      <w:r w:rsidR="006A123D" w:rsidRPr="0040656D">
        <w:rPr>
          <w:rFonts w:cs="Arial"/>
          <w:b/>
          <w:bCs/>
          <w:sz w:val="20"/>
          <w:szCs w:val="20"/>
        </w:rPr>
        <w:t xml:space="preserve"> </w:t>
      </w:r>
    </w:p>
    <w:p w14:paraId="0F0D54DF" w14:textId="109044EF" w:rsidR="00460F52" w:rsidRDefault="0033084D" w:rsidP="000C48FF">
      <w:pPr>
        <w:pStyle w:val="ListParagraph"/>
        <w:numPr>
          <w:ilvl w:val="0"/>
          <w:numId w:val="77"/>
        </w:numPr>
        <w:spacing w:after="240"/>
        <w:ind w:left="714" w:hanging="357"/>
        <w:jc w:val="both"/>
        <w:rPr>
          <w:rFonts w:cs="Arial"/>
          <w:sz w:val="20"/>
          <w:szCs w:val="20"/>
        </w:rPr>
      </w:pPr>
      <w:r w:rsidRPr="08D7F225">
        <w:rPr>
          <w:rFonts w:cs="Arial"/>
          <w:b/>
          <w:bCs/>
          <w:sz w:val="20"/>
          <w:szCs w:val="20"/>
        </w:rPr>
        <w:t xml:space="preserve">Recommendation 1: Not complete, deprioritised. </w:t>
      </w:r>
      <w:r w:rsidRPr="08D7F225">
        <w:rPr>
          <w:rFonts w:cs="Arial"/>
          <w:sz w:val="20"/>
          <w:szCs w:val="20"/>
        </w:rPr>
        <w:t xml:space="preserve">DESNZ aimed to develop a systematic engagement strategy for MAGC </w:t>
      </w:r>
      <w:r w:rsidR="008C52E5" w:rsidRPr="08D7F225">
        <w:rPr>
          <w:rFonts w:cs="Arial"/>
          <w:sz w:val="20"/>
          <w:szCs w:val="20"/>
        </w:rPr>
        <w:t xml:space="preserve">delivery in priority ICF countries. This work has been </w:t>
      </w:r>
      <w:r w:rsidR="002C6675" w:rsidRPr="08D7F225">
        <w:rPr>
          <w:rFonts w:cs="Arial"/>
          <w:sz w:val="20"/>
          <w:szCs w:val="20"/>
        </w:rPr>
        <w:t>deprioritised, due to DESNZ resourcing capacity and continued focus on scoping for a potential programme extension.  DESNZ have sought to support IFC and UK Posts on an ad-hoc basis when relevant opportunities arise.  </w:t>
      </w:r>
      <w:r w:rsidR="005E1189" w:rsidRPr="08D7F225">
        <w:rPr>
          <w:rFonts w:cs="Arial"/>
          <w:sz w:val="20"/>
          <w:szCs w:val="20"/>
        </w:rPr>
        <w:t>The work has been deprioritised, due to DESNZ resourcing capacity and continued focus on scoping for a potential programme extension. </w:t>
      </w:r>
      <w:r w:rsidR="002C6675" w:rsidRPr="08D7F225">
        <w:rPr>
          <w:rFonts w:cs="Arial"/>
          <w:sz w:val="20"/>
          <w:szCs w:val="20"/>
        </w:rPr>
        <w:t> </w:t>
      </w:r>
    </w:p>
    <w:p w14:paraId="6FA5767B" w14:textId="3F68ACCA" w:rsidR="001E2215" w:rsidRDefault="001E2215" w:rsidP="000C48FF">
      <w:pPr>
        <w:pStyle w:val="ListParagraph"/>
        <w:numPr>
          <w:ilvl w:val="0"/>
          <w:numId w:val="77"/>
        </w:numPr>
        <w:ind w:left="714" w:hanging="357"/>
        <w:contextualSpacing w:val="0"/>
        <w:jc w:val="both"/>
        <w:rPr>
          <w:rFonts w:cs="Arial"/>
          <w:sz w:val="20"/>
          <w:szCs w:val="20"/>
        </w:rPr>
      </w:pPr>
      <w:r>
        <w:rPr>
          <w:rFonts w:cs="Arial"/>
          <w:b/>
          <w:bCs/>
          <w:sz w:val="20"/>
          <w:szCs w:val="20"/>
        </w:rPr>
        <w:t xml:space="preserve">Recommendation 2: Not complete, deprioritised. </w:t>
      </w:r>
      <w:r>
        <w:rPr>
          <w:rFonts w:cs="Arial"/>
          <w:sz w:val="20"/>
          <w:szCs w:val="20"/>
        </w:rPr>
        <w:t xml:space="preserve">DESNZ aimed to </w:t>
      </w:r>
      <w:r w:rsidR="00582750">
        <w:rPr>
          <w:rFonts w:cs="Arial"/>
          <w:sz w:val="20"/>
          <w:szCs w:val="20"/>
        </w:rPr>
        <w:t xml:space="preserve">develop a communications and event strategy for MAGC. </w:t>
      </w:r>
    </w:p>
    <w:p w14:paraId="5FC1DA78" w14:textId="231C33C3" w:rsidR="00822035" w:rsidRPr="00361215" w:rsidRDefault="00822035" w:rsidP="000C48FF">
      <w:pPr>
        <w:pStyle w:val="ListParagraph"/>
        <w:numPr>
          <w:ilvl w:val="0"/>
          <w:numId w:val="77"/>
        </w:numPr>
        <w:spacing w:after="240"/>
        <w:ind w:left="714" w:hanging="357"/>
        <w:jc w:val="both"/>
        <w:rPr>
          <w:rFonts w:cs="Arial"/>
          <w:sz w:val="20"/>
          <w:szCs w:val="20"/>
        </w:rPr>
      </w:pPr>
      <w:r w:rsidRPr="0E77958D">
        <w:rPr>
          <w:rFonts w:cs="Arial"/>
          <w:b/>
          <w:bCs/>
          <w:sz w:val="20"/>
          <w:szCs w:val="20"/>
        </w:rPr>
        <w:t>Recommendation 3: Complete</w:t>
      </w:r>
      <w:r w:rsidRPr="0E77958D">
        <w:rPr>
          <w:rFonts w:cs="Arial"/>
          <w:sz w:val="20"/>
          <w:szCs w:val="20"/>
        </w:rPr>
        <w:t xml:space="preserve">. DESNZ and IFC agreed and finalised a </w:t>
      </w:r>
      <w:r w:rsidR="00451607" w:rsidRPr="0E77958D">
        <w:rPr>
          <w:rFonts w:cs="Arial"/>
          <w:sz w:val="20"/>
          <w:szCs w:val="20"/>
        </w:rPr>
        <w:t>Logframe</w:t>
      </w:r>
      <w:r w:rsidRPr="0E77958D">
        <w:rPr>
          <w:rFonts w:cs="Arial"/>
          <w:sz w:val="20"/>
          <w:szCs w:val="20"/>
        </w:rPr>
        <w:t xml:space="preserve"> update in this reporting period, which is detailed on Page 7. </w:t>
      </w:r>
    </w:p>
    <w:p w14:paraId="08426870" w14:textId="2EC32273" w:rsidR="00460F52" w:rsidRDefault="00460F52" w:rsidP="000C48FF">
      <w:pPr>
        <w:pStyle w:val="ListParagraph"/>
        <w:numPr>
          <w:ilvl w:val="0"/>
          <w:numId w:val="77"/>
        </w:numPr>
        <w:spacing w:after="240"/>
        <w:ind w:left="714" w:hanging="357"/>
        <w:contextualSpacing w:val="0"/>
        <w:jc w:val="both"/>
        <w:rPr>
          <w:rFonts w:cs="Arial"/>
          <w:sz w:val="20"/>
          <w:szCs w:val="20"/>
        </w:rPr>
      </w:pPr>
      <w:r>
        <w:rPr>
          <w:rFonts w:cs="Arial"/>
          <w:b/>
          <w:bCs/>
          <w:sz w:val="20"/>
          <w:szCs w:val="20"/>
        </w:rPr>
        <w:t xml:space="preserve">Recommendation 5: Not complete, ongoing. </w:t>
      </w:r>
      <w:r>
        <w:rPr>
          <w:rFonts w:cs="Arial"/>
          <w:sz w:val="20"/>
          <w:szCs w:val="20"/>
        </w:rPr>
        <w:t>DESNZ and IFC did not achieve amendments to the programme’s Administration Arrangements, due to lack of capacity in IFC’s Legal team. Once available, DESNZ and IFC have agreed to finalise this work and sign off amendments to the existing Administration Arrangements</w:t>
      </w:r>
      <w:r w:rsidRPr="00CE3487">
        <w:rPr>
          <w:rFonts w:cs="Arial"/>
          <w:sz w:val="20"/>
          <w:szCs w:val="20"/>
        </w:rPr>
        <w:t>.</w:t>
      </w:r>
    </w:p>
    <w:p w14:paraId="40E19E78" w14:textId="77777777" w:rsidR="00822035" w:rsidRDefault="00822035" w:rsidP="00657117">
      <w:pPr>
        <w:pStyle w:val="Paragraph"/>
        <w:spacing w:after="240"/>
        <w:rPr>
          <w:sz w:val="20"/>
          <w:szCs w:val="20"/>
          <w:u w:val="single"/>
        </w:rPr>
      </w:pPr>
      <w:r w:rsidRPr="002A0888">
        <w:rPr>
          <w:sz w:val="20"/>
          <w:szCs w:val="20"/>
          <w:u w:val="single"/>
        </w:rPr>
        <w:t>Annual Review Recommendations</w:t>
      </w:r>
    </w:p>
    <w:p w14:paraId="2A892CAC" w14:textId="77777777" w:rsidR="00822035" w:rsidRPr="00361215" w:rsidRDefault="00822035" w:rsidP="0046078C">
      <w:pPr>
        <w:pStyle w:val="ListParagraph"/>
        <w:numPr>
          <w:ilvl w:val="0"/>
          <w:numId w:val="78"/>
        </w:numPr>
        <w:spacing w:after="240"/>
        <w:jc w:val="both"/>
        <w:rPr>
          <w:rFonts w:cs="Arial"/>
          <w:sz w:val="20"/>
          <w:szCs w:val="20"/>
        </w:rPr>
      </w:pPr>
      <w:r w:rsidRPr="00241E08">
        <w:rPr>
          <w:rFonts w:cs="Arial"/>
          <w:b/>
          <w:bCs/>
          <w:sz w:val="20"/>
          <w:szCs w:val="20"/>
        </w:rPr>
        <w:t xml:space="preserve">Recommendation 1: </w:t>
      </w:r>
      <w:r w:rsidRPr="002A1B14">
        <w:rPr>
          <w:rFonts w:cs="Arial"/>
          <w:b/>
          <w:bCs/>
          <w:sz w:val="20"/>
          <w:szCs w:val="20"/>
        </w:rPr>
        <w:t xml:space="preserve">Update Administrative Arrangements. </w:t>
      </w:r>
      <w:r w:rsidRPr="00361215">
        <w:rPr>
          <w:rFonts w:cs="Arial"/>
          <w:sz w:val="20"/>
          <w:szCs w:val="20"/>
        </w:rPr>
        <w:t>DESNZ and IFC to review and update the programme’s arrangements to bring up to date with departmental/organisational regulation and national policy. This will likely include introducing policies on ESG/safeguarding and data protection.</w:t>
      </w:r>
      <w:r w:rsidRPr="002A1B14">
        <w:rPr>
          <w:rFonts w:cs="Arial"/>
          <w:b/>
          <w:bCs/>
          <w:sz w:val="20"/>
          <w:szCs w:val="20"/>
        </w:rPr>
        <w:t>  </w:t>
      </w:r>
    </w:p>
    <w:p w14:paraId="10F08EAF" w14:textId="77777777" w:rsidR="00822035" w:rsidRPr="00657117" w:rsidRDefault="00822035" w:rsidP="00657117">
      <w:pPr>
        <w:spacing w:after="240"/>
        <w:jc w:val="both"/>
        <w:rPr>
          <w:rFonts w:cs="Arial"/>
          <w:sz w:val="20"/>
          <w:szCs w:val="20"/>
        </w:rPr>
      </w:pPr>
    </w:p>
    <w:p w14:paraId="6DBDB379" w14:textId="77777777" w:rsidR="000A2486" w:rsidRPr="0040656D" w:rsidRDefault="000A2486" w:rsidP="00657117">
      <w:pPr>
        <w:spacing w:after="240" w:line="259" w:lineRule="auto"/>
        <w:rPr>
          <w:rFonts w:eastAsiaTheme="majorEastAsia" w:cs="Arial"/>
          <w:color w:val="000000" w:themeColor="text1"/>
          <w:sz w:val="20"/>
          <w:szCs w:val="20"/>
        </w:rPr>
      </w:pPr>
      <w:r>
        <w:rPr>
          <w:rFonts w:eastAsiaTheme="majorEastAsia" w:cs="Arial"/>
          <w:color w:val="000000" w:themeColor="text1"/>
          <w:sz w:val="20"/>
          <w:szCs w:val="20"/>
        </w:rPr>
        <w:br w:type="page"/>
      </w:r>
    </w:p>
    <w:tbl>
      <w:tblPr>
        <w:tblStyle w:val="TableGrid"/>
        <w:tblW w:w="9248" w:type="dxa"/>
        <w:tblInd w:w="-147" w:type="dxa"/>
        <w:tblLook w:val="04A0" w:firstRow="1" w:lastRow="0" w:firstColumn="1" w:lastColumn="0" w:noHBand="0" w:noVBand="1"/>
      </w:tblPr>
      <w:tblGrid>
        <w:gridCol w:w="1708"/>
        <w:gridCol w:w="702"/>
        <w:gridCol w:w="1276"/>
        <w:gridCol w:w="3402"/>
        <w:gridCol w:w="2160"/>
      </w:tblGrid>
      <w:tr w:rsidR="00844903" w:rsidRPr="0040656D" w14:paraId="5D1F48DB" w14:textId="77777777" w:rsidTr="1D11D0A7">
        <w:trPr>
          <w:trHeight w:val="379"/>
        </w:trPr>
        <w:tc>
          <w:tcPr>
            <w:tcW w:w="170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19B09B1" w14:textId="77777777" w:rsidR="006A123D" w:rsidRPr="0040656D" w:rsidRDefault="006A123D" w:rsidP="00657117">
            <w:pPr>
              <w:spacing w:after="240"/>
              <w:rPr>
                <w:rFonts w:cs="Arial"/>
                <w:b/>
                <w:bCs/>
                <w:sz w:val="20"/>
                <w:szCs w:val="20"/>
              </w:rPr>
            </w:pPr>
            <w:r w:rsidRPr="0040656D">
              <w:rPr>
                <w:rFonts w:cs="Arial"/>
                <w:b/>
                <w:bCs/>
                <w:sz w:val="20"/>
                <w:szCs w:val="20"/>
              </w:rPr>
              <w:lastRenderedPageBreak/>
              <w:t xml:space="preserve">Output Title </w:t>
            </w:r>
          </w:p>
        </w:tc>
        <w:tc>
          <w:tcPr>
            <w:tcW w:w="754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3CF91F5" w14:textId="77777777" w:rsidR="006A123D" w:rsidRPr="0040656D" w:rsidRDefault="006A123D" w:rsidP="00657117">
            <w:pPr>
              <w:spacing w:after="240"/>
              <w:rPr>
                <w:rFonts w:cs="Arial"/>
                <w:bCs/>
                <w:i/>
                <w:color w:val="FF0000"/>
                <w:sz w:val="20"/>
                <w:szCs w:val="20"/>
              </w:rPr>
            </w:pPr>
            <w:r w:rsidRPr="0040656D">
              <w:rPr>
                <w:rFonts w:cs="Arial"/>
                <w:sz w:val="20"/>
                <w:szCs w:val="20"/>
              </w:rPr>
              <w:t>The EDGE system is strengthened, and green construction standards encouraged.</w:t>
            </w:r>
          </w:p>
        </w:tc>
      </w:tr>
      <w:tr w:rsidR="00A27B51" w:rsidRPr="0040656D" w14:paraId="783B4138" w14:textId="77777777" w:rsidTr="1D11D0A7">
        <w:trPr>
          <w:trHeight w:val="379"/>
        </w:trPr>
        <w:tc>
          <w:tcPr>
            <w:tcW w:w="241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43AE622" w14:textId="77777777" w:rsidR="006A123D" w:rsidRPr="0040656D" w:rsidRDefault="006A123D" w:rsidP="00657117">
            <w:pPr>
              <w:spacing w:after="240"/>
              <w:rPr>
                <w:rFonts w:cs="Arial"/>
                <w:b/>
                <w:bCs/>
                <w:sz w:val="20"/>
                <w:szCs w:val="20"/>
              </w:rPr>
            </w:pPr>
            <w:r w:rsidRPr="0040656D">
              <w:rPr>
                <w:rFonts w:cs="Arial"/>
                <w:bCs/>
                <w:sz w:val="20"/>
                <w:szCs w:val="20"/>
              </w:rPr>
              <w:t xml:space="preserve">Output number: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9B6165" w14:textId="77777777" w:rsidR="006A123D" w:rsidRPr="0040656D" w:rsidRDefault="006A123D" w:rsidP="00657117">
            <w:pPr>
              <w:spacing w:after="240"/>
              <w:rPr>
                <w:rFonts w:cs="Arial"/>
                <w:sz w:val="20"/>
                <w:szCs w:val="20"/>
              </w:rPr>
            </w:pPr>
            <w:r w:rsidRPr="0040656D">
              <w:rPr>
                <w:rFonts w:cs="Arial"/>
                <w:sz w:val="20"/>
                <w:szCs w:val="20"/>
              </w:rPr>
              <w:t>3</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DF43EA1" w14:textId="77777777" w:rsidR="006A123D" w:rsidRPr="0076377B" w:rsidRDefault="006A123D" w:rsidP="00657117">
            <w:pPr>
              <w:spacing w:after="240"/>
              <w:rPr>
                <w:rFonts w:cs="Arial"/>
                <w:sz w:val="20"/>
                <w:szCs w:val="20"/>
              </w:rPr>
            </w:pPr>
            <w:r w:rsidRPr="0076377B">
              <w:rPr>
                <w:rFonts w:cs="Arial"/>
                <w:bCs/>
                <w:sz w:val="20"/>
                <w:szCs w:val="20"/>
              </w:rPr>
              <w:t xml:space="preserve">Output Score: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135F48" w14:textId="36459668" w:rsidR="006A123D" w:rsidRPr="0076377B" w:rsidRDefault="00760C19" w:rsidP="00657117">
            <w:pPr>
              <w:spacing w:after="240"/>
              <w:rPr>
                <w:rFonts w:cs="Arial"/>
                <w:b/>
                <w:bCs/>
                <w:sz w:val="20"/>
                <w:szCs w:val="20"/>
              </w:rPr>
            </w:pPr>
            <w:r w:rsidRPr="0076377B">
              <w:rPr>
                <w:rFonts w:cs="Arial"/>
                <w:b/>
                <w:bCs/>
                <w:sz w:val="20"/>
                <w:szCs w:val="20"/>
              </w:rPr>
              <w:t>A</w:t>
            </w:r>
            <w:r w:rsidR="00C24A49">
              <w:rPr>
                <w:rFonts w:cs="Arial"/>
                <w:b/>
                <w:bCs/>
                <w:sz w:val="20"/>
                <w:szCs w:val="20"/>
              </w:rPr>
              <w:t>+</w:t>
            </w:r>
          </w:p>
        </w:tc>
      </w:tr>
      <w:tr w:rsidR="00A27B51" w:rsidRPr="0040656D" w14:paraId="62D0F3FA" w14:textId="77777777" w:rsidTr="1D11D0A7">
        <w:trPr>
          <w:trHeight w:val="379"/>
        </w:trPr>
        <w:tc>
          <w:tcPr>
            <w:tcW w:w="241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441E91F" w14:textId="77777777" w:rsidR="006A123D" w:rsidRPr="0040656D" w:rsidRDefault="006A123D" w:rsidP="00657117">
            <w:pPr>
              <w:spacing w:after="240"/>
              <w:rPr>
                <w:rFonts w:cs="Arial"/>
                <w:b/>
                <w:bCs/>
                <w:sz w:val="20"/>
                <w:szCs w:val="20"/>
              </w:rPr>
            </w:pPr>
            <w:r w:rsidRPr="0040656D">
              <w:rPr>
                <w:rFonts w:cs="Arial"/>
                <w:bCs/>
                <w:sz w:val="20"/>
                <w:szCs w:val="20"/>
              </w:rPr>
              <w:t xml:space="preserve">Impact weighting (%):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9913C4" w14:textId="77777777" w:rsidR="006A123D" w:rsidRPr="0040656D" w:rsidRDefault="006A123D" w:rsidP="00657117">
            <w:pPr>
              <w:spacing w:after="240"/>
              <w:rPr>
                <w:rFonts w:cs="Arial"/>
                <w:sz w:val="20"/>
                <w:szCs w:val="20"/>
              </w:rPr>
            </w:pPr>
            <w:r w:rsidRPr="0040656D">
              <w:rPr>
                <w:rFonts w:cs="Arial"/>
                <w:bCs/>
                <w:sz w:val="20"/>
                <w:szCs w:val="20"/>
              </w:rPr>
              <w:t>15%</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E98274F" w14:textId="77777777" w:rsidR="006A123D" w:rsidRPr="0040656D" w:rsidRDefault="006A123D" w:rsidP="00657117">
            <w:pPr>
              <w:spacing w:after="240"/>
              <w:rPr>
                <w:rFonts w:cs="Arial"/>
                <w:sz w:val="20"/>
                <w:szCs w:val="20"/>
              </w:rPr>
            </w:pPr>
            <w:r w:rsidRPr="0040656D">
              <w:rPr>
                <w:rFonts w:cs="Arial"/>
                <w:bCs/>
                <w:sz w:val="20"/>
                <w:szCs w:val="20"/>
              </w:rPr>
              <w:t xml:space="preserve">Weighting revised since last AR.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8EB1F" w14:textId="6C2B2BBF" w:rsidR="006A123D" w:rsidRPr="0040656D" w:rsidRDefault="006A123D" w:rsidP="00657117">
            <w:pPr>
              <w:spacing w:after="240"/>
              <w:rPr>
                <w:rFonts w:cs="Arial"/>
                <w:sz w:val="20"/>
                <w:szCs w:val="20"/>
              </w:rPr>
            </w:pPr>
            <w:r w:rsidRPr="4585376C">
              <w:rPr>
                <w:rFonts w:cs="Arial"/>
                <w:sz w:val="20"/>
                <w:szCs w:val="20"/>
              </w:rPr>
              <w:t>No</w:t>
            </w:r>
          </w:p>
        </w:tc>
      </w:tr>
      <w:tr w:rsidR="00A27B51" w:rsidRPr="0040656D" w14:paraId="6024FBD4" w14:textId="77777777" w:rsidTr="1D11D0A7">
        <w:trPr>
          <w:trHeight w:val="379"/>
        </w:trPr>
        <w:tc>
          <w:tcPr>
            <w:tcW w:w="241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52CB75C" w14:textId="77777777" w:rsidR="006A123D" w:rsidRPr="0040656D" w:rsidRDefault="006A123D" w:rsidP="00657117">
            <w:pPr>
              <w:spacing w:after="240"/>
              <w:rPr>
                <w:rFonts w:cs="Arial"/>
                <w:b/>
                <w:bCs/>
                <w:sz w:val="20"/>
                <w:szCs w:val="20"/>
              </w:rPr>
            </w:pPr>
            <w:r w:rsidRPr="0040656D">
              <w:rPr>
                <w:rFonts w:cs="Arial"/>
                <w:bCs/>
                <w:sz w:val="20"/>
                <w:szCs w:val="20"/>
              </w:rPr>
              <w:t>Risk rating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82E95D" w14:textId="77777777" w:rsidR="006A123D" w:rsidRPr="0040656D" w:rsidRDefault="006A123D" w:rsidP="00657117">
            <w:pPr>
              <w:spacing w:after="240"/>
              <w:rPr>
                <w:rFonts w:cs="Arial"/>
                <w:sz w:val="20"/>
                <w:szCs w:val="20"/>
              </w:rPr>
            </w:pPr>
            <w:r>
              <w:rPr>
                <w:rFonts w:cs="Arial"/>
                <w:sz w:val="20"/>
                <w:szCs w:val="20"/>
              </w:rPr>
              <w:t>Minor</w:t>
            </w:r>
          </w:p>
        </w:tc>
        <w:tc>
          <w:tcPr>
            <w:tcW w:w="340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C3F5D50" w14:textId="77777777" w:rsidR="006A123D" w:rsidRPr="0040656D" w:rsidRDefault="006A123D" w:rsidP="00657117">
            <w:pPr>
              <w:spacing w:after="240"/>
              <w:rPr>
                <w:rFonts w:cs="Arial"/>
                <w:sz w:val="20"/>
                <w:szCs w:val="20"/>
              </w:rPr>
            </w:pPr>
            <w:r w:rsidRPr="0040656D">
              <w:rPr>
                <w:rFonts w:cs="Arial"/>
                <w:bCs/>
                <w:sz w:val="20"/>
                <w:szCs w:val="20"/>
              </w:rPr>
              <w:t>Risk revised since last AR?</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BBFAC" w14:textId="77777777" w:rsidR="006A123D" w:rsidRPr="0040656D" w:rsidRDefault="006A123D" w:rsidP="00657117">
            <w:pPr>
              <w:spacing w:after="240"/>
              <w:rPr>
                <w:rFonts w:cs="Arial"/>
                <w:sz w:val="20"/>
                <w:szCs w:val="20"/>
              </w:rPr>
            </w:pPr>
            <w:r>
              <w:rPr>
                <w:rFonts w:cs="Arial"/>
                <w:sz w:val="20"/>
                <w:szCs w:val="20"/>
              </w:rPr>
              <w:t>No</w:t>
            </w:r>
          </w:p>
        </w:tc>
      </w:tr>
    </w:tbl>
    <w:p w14:paraId="1C21CDCD" w14:textId="000618A7" w:rsidR="4585376C" w:rsidRDefault="4585376C"/>
    <w:tbl>
      <w:tblPr>
        <w:tblStyle w:val="TableGrid"/>
        <w:tblpPr w:leftFromText="180" w:rightFromText="180" w:vertAnchor="text" w:horzAnchor="margin" w:tblpX="-147" w:tblpY="475"/>
        <w:tblOverlap w:val="never"/>
        <w:tblW w:w="8835" w:type="dxa"/>
        <w:tblLook w:val="04A0" w:firstRow="1" w:lastRow="0" w:firstColumn="1" w:lastColumn="0" w:noHBand="0" w:noVBand="1"/>
      </w:tblPr>
      <w:tblGrid>
        <w:gridCol w:w="4110"/>
        <w:gridCol w:w="2670"/>
        <w:gridCol w:w="2055"/>
      </w:tblGrid>
      <w:tr w:rsidR="00570563" w:rsidRPr="0040656D" w14:paraId="6F39E71D" w14:textId="77777777" w:rsidTr="1E9DB8F8">
        <w:trPr>
          <w:trHeight w:val="273"/>
        </w:trPr>
        <w:tc>
          <w:tcPr>
            <w:tcW w:w="411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4ECE80E" w14:textId="77777777" w:rsidR="00570563" w:rsidRPr="0040656D" w:rsidRDefault="00570563" w:rsidP="00657117">
            <w:pPr>
              <w:spacing w:after="240"/>
              <w:rPr>
                <w:rFonts w:cs="Arial"/>
                <w:b/>
                <w:bCs/>
                <w:sz w:val="20"/>
                <w:szCs w:val="20"/>
              </w:rPr>
            </w:pPr>
            <w:r w:rsidRPr="0040656D">
              <w:rPr>
                <w:rFonts w:cs="Arial"/>
                <w:b/>
                <w:bCs/>
                <w:sz w:val="20"/>
                <w:szCs w:val="20"/>
              </w:rPr>
              <w:t>Indicator(s)</w:t>
            </w:r>
          </w:p>
        </w:tc>
        <w:tc>
          <w:tcPr>
            <w:tcW w:w="267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F8F2592" w14:textId="77777777" w:rsidR="00570563" w:rsidRPr="0040656D" w:rsidRDefault="00570563" w:rsidP="00657117">
            <w:pPr>
              <w:spacing w:after="240"/>
              <w:rPr>
                <w:rFonts w:cs="Arial"/>
                <w:b/>
                <w:bCs/>
                <w:sz w:val="20"/>
                <w:szCs w:val="20"/>
              </w:rPr>
            </w:pPr>
            <w:r w:rsidRPr="0040656D">
              <w:rPr>
                <w:rFonts w:cs="Arial"/>
                <w:b/>
                <w:bCs/>
                <w:sz w:val="20"/>
                <w:szCs w:val="20"/>
              </w:rPr>
              <w:t>Milestone(s) for this review</w:t>
            </w:r>
          </w:p>
        </w:tc>
        <w:tc>
          <w:tcPr>
            <w:tcW w:w="2055"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1A12CA1" w14:textId="299BA130" w:rsidR="00570563" w:rsidRPr="00F72217" w:rsidRDefault="00570563" w:rsidP="00657117">
            <w:pPr>
              <w:spacing w:after="240"/>
              <w:rPr>
                <w:rFonts w:cs="Arial"/>
                <w:i/>
                <w:iCs/>
                <w:sz w:val="20"/>
                <w:szCs w:val="20"/>
              </w:rPr>
            </w:pPr>
            <w:r w:rsidRPr="0040656D">
              <w:rPr>
                <w:rFonts w:cs="Arial"/>
                <w:b/>
                <w:bCs/>
                <w:sz w:val="20"/>
                <w:szCs w:val="20"/>
              </w:rPr>
              <w:t>Progress</w:t>
            </w:r>
            <w:r w:rsidR="00F72217">
              <w:rPr>
                <w:rFonts w:cs="Arial"/>
                <w:b/>
                <w:bCs/>
                <w:sz w:val="20"/>
                <w:szCs w:val="20"/>
              </w:rPr>
              <w:br/>
            </w:r>
            <w:r w:rsidR="00F72217">
              <w:rPr>
                <w:rFonts w:cs="Arial"/>
                <w:i/>
                <w:iCs/>
                <w:sz w:val="20"/>
                <w:szCs w:val="20"/>
              </w:rPr>
              <w:t>(Score)</w:t>
            </w:r>
          </w:p>
        </w:tc>
      </w:tr>
      <w:tr w:rsidR="00570563" w:rsidRPr="0040656D" w14:paraId="423DB2B5" w14:textId="77777777" w:rsidTr="1E9DB8F8">
        <w:trPr>
          <w:trHeight w:val="941"/>
        </w:trPr>
        <w:tc>
          <w:tcPr>
            <w:tcW w:w="4110" w:type="dxa"/>
            <w:vMerge w:val="restart"/>
            <w:tcBorders>
              <w:top w:val="single" w:sz="4" w:space="0" w:color="auto"/>
              <w:left w:val="single" w:sz="4" w:space="0" w:color="auto"/>
              <w:bottom w:val="single" w:sz="4" w:space="0" w:color="auto"/>
              <w:right w:val="single" w:sz="4" w:space="0" w:color="auto"/>
            </w:tcBorders>
          </w:tcPr>
          <w:p w14:paraId="1B644071" w14:textId="77777777" w:rsidR="00570563" w:rsidRPr="0040656D" w:rsidRDefault="00570563" w:rsidP="00657117">
            <w:pPr>
              <w:spacing w:after="240"/>
              <w:rPr>
                <w:rFonts w:cs="Arial"/>
                <w:bCs/>
                <w:iCs/>
                <w:sz w:val="20"/>
                <w:szCs w:val="20"/>
              </w:rPr>
            </w:pPr>
            <w:r w:rsidRPr="0040656D">
              <w:rPr>
                <w:rFonts w:cs="Arial"/>
                <w:bCs/>
                <w:iCs/>
                <w:sz w:val="20"/>
                <w:szCs w:val="20"/>
                <w:u w:val="single"/>
              </w:rPr>
              <w:t>3.1</w:t>
            </w:r>
            <w:r w:rsidRPr="0040656D">
              <w:rPr>
                <w:rFonts w:cs="Arial"/>
                <w:bCs/>
                <w:iCs/>
                <w:sz w:val="20"/>
                <w:szCs w:val="20"/>
              </w:rPr>
              <w:t xml:space="preserve"> Development and launch of EDGE tool improvements.</w:t>
            </w:r>
          </w:p>
          <w:p w14:paraId="70090118" w14:textId="77777777" w:rsidR="00570563" w:rsidRPr="0040656D" w:rsidRDefault="00570563" w:rsidP="00657117">
            <w:pPr>
              <w:spacing w:after="240"/>
              <w:rPr>
                <w:rFonts w:cs="Arial"/>
                <w:bCs/>
                <w:iCs/>
                <w:sz w:val="20"/>
                <w:szCs w:val="20"/>
              </w:rPr>
            </w:pPr>
          </w:p>
        </w:tc>
        <w:tc>
          <w:tcPr>
            <w:tcW w:w="2670" w:type="dxa"/>
            <w:tcBorders>
              <w:top w:val="single" w:sz="4" w:space="0" w:color="auto"/>
              <w:left w:val="single" w:sz="4" w:space="0" w:color="auto"/>
              <w:bottom w:val="single" w:sz="4" w:space="0" w:color="auto"/>
              <w:right w:val="single" w:sz="4" w:space="0" w:color="auto"/>
            </w:tcBorders>
          </w:tcPr>
          <w:p w14:paraId="247BF1F4" w14:textId="77777777" w:rsidR="00570563" w:rsidRPr="000677D5" w:rsidRDefault="00570563" w:rsidP="00657117">
            <w:pPr>
              <w:spacing w:after="240"/>
              <w:rPr>
                <w:rFonts w:cs="Arial"/>
                <w:bCs/>
                <w:iCs/>
                <w:sz w:val="20"/>
                <w:szCs w:val="20"/>
              </w:rPr>
            </w:pPr>
            <w:r>
              <w:rPr>
                <w:rFonts w:cs="Arial"/>
                <w:bCs/>
                <w:iCs/>
                <w:sz w:val="20"/>
                <w:szCs w:val="20"/>
              </w:rPr>
              <w:t>EDGE Retrofit Launched</w:t>
            </w:r>
          </w:p>
        </w:tc>
        <w:tc>
          <w:tcPr>
            <w:tcW w:w="2055" w:type="dxa"/>
            <w:tcBorders>
              <w:top w:val="single" w:sz="4" w:space="0" w:color="auto"/>
              <w:left w:val="single" w:sz="4" w:space="0" w:color="auto"/>
              <w:bottom w:val="single" w:sz="4" w:space="0" w:color="auto"/>
              <w:right w:val="single" w:sz="4" w:space="0" w:color="auto"/>
            </w:tcBorders>
          </w:tcPr>
          <w:p w14:paraId="41FDD769" w14:textId="468244C0" w:rsidR="00570563" w:rsidRPr="00CC62CB" w:rsidRDefault="00C4090B" w:rsidP="00CC62CB">
            <w:pPr>
              <w:spacing w:after="240"/>
              <w:contextualSpacing/>
              <w:rPr>
                <w:rFonts w:cs="Arial"/>
                <w:bCs/>
                <w:i/>
                <w:sz w:val="20"/>
                <w:szCs w:val="20"/>
              </w:rPr>
            </w:pPr>
            <w:r w:rsidRPr="00C4090B">
              <w:rPr>
                <w:rFonts w:eastAsiaTheme="minorEastAsia" w:cs="Arial"/>
                <w:b/>
                <w:bCs/>
                <w:sz w:val="20"/>
                <w:szCs w:val="20"/>
              </w:rPr>
              <w:t>L</w:t>
            </w:r>
            <w:r w:rsidR="00570563" w:rsidRPr="00C4090B">
              <w:rPr>
                <w:rFonts w:eastAsiaTheme="minorEastAsia" w:cs="Arial"/>
                <w:b/>
                <w:bCs/>
                <w:sz w:val="20"/>
                <w:szCs w:val="20"/>
              </w:rPr>
              <w:t>aunched in FY23-24</w:t>
            </w:r>
            <w:r w:rsidR="009631F7" w:rsidRPr="00C4090B">
              <w:rPr>
                <w:rFonts w:eastAsiaTheme="minorEastAsia" w:cs="Arial"/>
                <w:b/>
                <w:bCs/>
                <w:sz w:val="20"/>
                <w:szCs w:val="20"/>
              </w:rPr>
              <w:br/>
            </w:r>
            <w:r w:rsidR="00CC62CB">
              <w:rPr>
                <w:rFonts w:cs="Arial"/>
                <w:bCs/>
                <w:i/>
                <w:sz w:val="20"/>
                <w:szCs w:val="20"/>
              </w:rPr>
              <w:t>(</w:t>
            </w:r>
            <w:r w:rsidR="00CC62CB" w:rsidRPr="004D5323">
              <w:rPr>
                <w:rFonts w:cs="Arial"/>
                <w:bCs/>
                <w:i/>
                <w:sz w:val="20"/>
                <w:szCs w:val="20"/>
              </w:rPr>
              <w:t>A</w:t>
            </w:r>
            <w:r w:rsidR="00CC62CB">
              <w:rPr>
                <w:rFonts w:cs="Arial"/>
                <w:bCs/>
                <w:i/>
                <w:sz w:val="20"/>
                <w:szCs w:val="20"/>
              </w:rPr>
              <w:t>)</w:t>
            </w:r>
          </w:p>
        </w:tc>
      </w:tr>
      <w:tr w:rsidR="00570563" w:rsidRPr="0040656D" w14:paraId="5CDA89EB" w14:textId="77777777" w:rsidTr="1E9DB8F8">
        <w:trPr>
          <w:trHeight w:val="994"/>
        </w:trPr>
        <w:tc>
          <w:tcPr>
            <w:tcW w:w="4110" w:type="dxa"/>
            <w:vMerge/>
          </w:tcPr>
          <w:p w14:paraId="53FDA23E" w14:textId="77777777" w:rsidR="00570563" w:rsidRPr="0040656D" w:rsidRDefault="00570563" w:rsidP="00657117">
            <w:pPr>
              <w:spacing w:after="240"/>
              <w:rPr>
                <w:rFonts w:cs="Arial"/>
                <w:bCs/>
                <w:iCs/>
                <w:sz w:val="20"/>
                <w:szCs w:val="20"/>
              </w:rPr>
            </w:pPr>
          </w:p>
        </w:tc>
        <w:tc>
          <w:tcPr>
            <w:tcW w:w="2670" w:type="dxa"/>
            <w:tcBorders>
              <w:top w:val="single" w:sz="4" w:space="0" w:color="auto"/>
              <w:left w:val="single" w:sz="4" w:space="0" w:color="auto"/>
              <w:bottom w:val="single" w:sz="4" w:space="0" w:color="auto"/>
              <w:right w:val="single" w:sz="4" w:space="0" w:color="auto"/>
            </w:tcBorders>
          </w:tcPr>
          <w:p w14:paraId="44461238" w14:textId="77777777" w:rsidR="00570563" w:rsidRPr="0040656D" w:rsidRDefault="00570563" w:rsidP="00657117">
            <w:pPr>
              <w:spacing w:after="240"/>
              <w:rPr>
                <w:rFonts w:cs="Arial"/>
                <w:bCs/>
                <w:iCs/>
                <w:sz w:val="20"/>
                <w:szCs w:val="20"/>
              </w:rPr>
            </w:pPr>
            <w:r>
              <w:rPr>
                <w:rFonts w:cs="Arial"/>
                <w:bCs/>
                <w:iCs/>
                <w:sz w:val="20"/>
                <w:szCs w:val="20"/>
              </w:rPr>
              <w:t xml:space="preserve">EDGE App translations updated for version 3.0 </w:t>
            </w:r>
          </w:p>
        </w:tc>
        <w:tc>
          <w:tcPr>
            <w:tcW w:w="2055" w:type="dxa"/>
            <w:tcBorders>
              <w:top w:val="single" w:sz="4" w:space="0" w:color="auto"/>
              <w:left w:val="single" w:sz="4" w:space="0" w:color="auto"/>
              <w:bottom w:val="single" w:sz="4" w:space="0" w:color="auto"/>
              <w:right w:val="single" w:sz="4" w:space="0" w:color="auto"/>
            </w:tcBorders>
          </w:tcPr>
          <w:p w14:paraId="4F35C52F" w14:textId="405F6BA2" w:rsidR="00570563" w:rsidRPr="00C4090B" w:rsidRDefault="00C4090B" w:rsidP="00CC62CB">
            <w:pPr>
              <w:spacing w:after="240"/>
              <w:contextualSpacing/>
              <w:rPr>
                <w:rFonts w:cs="Arial"/>
                <w:bCs/>
                <w:i/>
                <w:sz w:val="20"/>
                <w:szCs w:val="20"/>
              </w:rPr>
            </w:pPr>
            <w:r w:rsidRPr="00C4090B">
              <w:rPr>
                <w:rFonts w:eastAsiaTheme="minorEastAsia" w:cs="Arial"/>
                <w:b/>
                <w:bCs/>
                <w:sz w:val="20"/>
                <w:szCs w:val="20"/>
              </w:rPr>
              <w:t>C</w:t>
            </w:r>
            <w:r w:rsidR="00570563" w:rsidRPr="00C4090B">
              <w:rPr>
                <w:rFonts w:eastAsiaTheme="minorEastAsia" w:cs="Arial"/>
                <w:b/>
                <w:bCs/>
                <w:sz w:val="20"/>
                <w:szCs w:val="20"/>
              </w:rPr>
              <w:t>ompleted FY23-24.</w:t>
            </w:r>
            <w:r w:rsidRPr="00C4090B">
              <w:rPr>
                <w:rFonts w:eastAsiaTheme="minorEastAsia" w:cs="Arial"/>
                <w:b/>
                <w:bCs/>
                <w:sz w:val="20"/>
                <w:szCs w:val="20"/>
              </w:rPr>
              <w:br/>
            </w:r>
            <w:r w:rsidR="00CC62CB">
              <w:rPr>
                <w:rFonts w:cs="Arial"/>
                <w:bCs/>
                <w:i/>
                <w:sz w:val="20"/>
                <w:szCs w:val="20"/>
              </w:rPr>
              <w:t>(</w:t>
            </w:r>
            <w:r w:rsidR="00CC62CB" w:rsidRPr="004D5323">
              <w:rPr>
                <w:rFonts w:cs="Arial"/>
                <w:bCs/>
                <w:i/>
                <w:sz w:val="20"/>
                <w:szCs w:val="20"/>
              </w:rPr>
              <w:t>A</w:t>
            </w:r>
            <w:r w:rsidR="00CC62CB">
              <w:rPr>
                <w:rFonts w:cs="Arial"/>
                <w:bCs/>
                <w:i/>
                <w:sz w:val="20"/>
                <w:szCs w:val="20"/>
              </w:rPr>
              <w:t>)</w:t>
            </w:r>
          </w:p>
        </w:tc>
      </w:tr>
      <w:tr w:rsidR="00570563" w:rsidRPr="0040656D" w14:paraId="60205842" w14:textId="77777777" w:rsidTr="1E9DB8F8">
        <w:trPr>
          <w:trHeight w:val="300"/>
        </w:trPr>
        <w:tc>
          <w:tcPr>
            <w:tcW w:w="4110" w:type="dxa"/>
            <w:vMerge/>
          </w:tcPr>
          <w:p w14:paraId="46E9E126" w14:textId="77777777" w:rsidR="00570563" w:rsidRPr="0040656D" w:rsidRDefault="00570563" w:rsidP="00657117">
            <w:pPr>
              <w:spacing w:after="240"/>
              <w:rPr>
                <w:rFonts w:cs="Arial"/>
                <w:bCs/>
                <w:iCs/>
                <w:sz w:val="20"/>
                <w:szCs w:val="20"/>
              </w:rPr>
            </w:pPr>
          </w:p>
        </w:tc>
        <w:tc>
          <w:tcPr>
            <w:tcW w:w="2670" w:type="dxa"/>
            <w:tcBorders>
              <w:top w:val="single" w:sz="4" w:space="0" w:color="auto"/>
              <w:left w:val="single" w:sz="4" w:space="0" w:color="auto"/>
              <w:bottom w:val="single" w:sz="4" w:space="0" w:color="auto"/>
              <w:right w:val="single" w:sz="4" w:space="0" w:color="auto"/>
            </w:tcBorders>
          </w:tcPr>
          <w:p w14:paraId="156F5469" w14:textId="77777777" w:rsidR="00570563" w:rsidRPr="004F500E" w:rsidRDefault="00570563" w:rsidP="00657117">
            <w:pPr>
              <w:spacing w:after="240"/>
              <w:rPr>
                <w:rFonts w:cs="Arial"/>
                <w:bCs/>
                <w:iCs/>
                <w:sz w:val="20"/>
                <w:szCs w:val="20"/>
              </w:rPr>
            </w:pPr>
            <w:r w:rsidRPr="0066284B">
              <w:rPr>
                <w:rFonts w:cs="Arial"/>
                <w:bCs/>
                <w:iCs/>
                <w:sz w:val="20"/>
                <w:szCs w:val="20"/>
              </w:rPr>
              <w:t>Edge App V.2 and V.3 maintained</w:t>
            </w:r>
          </w:p>
        </w:tc>
        <w:tc>
          <w:tcPr>
            <w:tcW w:w="2055" w:type="dxa"/>
            <w:tcBorders>
              <w:top w:val="single" w:sz="4" w:space="0" w:color="auto"/>
              <w:left w:val="single" w:sz="4" w:space="0" w:color="auto"/>
              <w:bottom w:val="single" w:sz="4" w:space="0" w:color="auto"/>
              <w:right w:val="single" w:sz="4" w:space="0" w:color="auto"/>
            </w:tcBorders>
          </w:tcPr>
          <w:p w14:paraId="6B05FF4F" w14:textId="023B2F0B" w:rsidR="00570563" w:rsidRPr="00C4090B" w:rsidRDefault="00570563" w:rsidP="00CC62CB">
            <w:pPr>
              <w:spacing w:after="240"/>
              <w:contextualSpacing/>
              <w:rPr>
                <w:rFonts w:cs="Arial"/>
                <w:bCs/>
                <w:i/>
                <w:sz w:val="20"/>
                <w:szCs w:val="20"/>
              </w:rPr>
            </w:pPr>
            <w:r w:rsidRPr="008B1986">
              <w:rPr>
                <w:rFonts w:cs="Arial"/>
                <w:b/>
                <w:iCs/>
                <w:sz w:val="20"/>
                <w:szCs w:val="20"/>
              </w:rPr>
              <w:t xml:space="preserve">V.2 </w:t>
            </w:r>
            <w:r w:rsidR="008B1986" w:rsidRPr="008B1986">
              <w:rPr>
                <w:rFonts w:cs="Arial"/>
                <w:b/>
                <w:iCs/>
                <w:sz w:val="20"/>
                <w:szCs w:val="20"/>
              </w:rPr>
              <w:t xml:space="preserve">&amp; </w:t>
            </w:r>
            <w:r w:rsidRPr="008B1986">
              <w:rPr>
                <w:rFonts w:cs="Arial"/>
                <w:b/>
                <w:iCs/>
                <w:sz w:val="20"/>
                <w:szCs w:val="20"/>
              </w:rPr>
              <w:t xml:space="preserve">V.3 maintained </w:t>
            </w:r>
            <w:r w:rsidRPr="008B1986">
              <w:rPr>
                <w:rFonts w:cs="Arial"/>
                <w:b/>
                <w:iCs/>
                <w:sz w:val="20"/>
                <w:szCs w:val="20"/>
                <w:u w:val="single"/>
              </w:rPr>
              <w:t xml:space="preserve"> </w:t>
            </w:r>
            <w:r w:rsidR="00C4090B" w:rsidRPr="008B1986">
              <w:rPr>
                <w:rFonts w:cs="Arial"/>
                <w:b/>
                <w:iCs/>
                <w:sz w:val="20"/>
                <w:szCs w:val="20"/>
                <w:u w:val="single"/>
              </w:rPr>
              <w:br/>
            </w:r>
            <w:r w:rsidR="00CC62CB">
              <w:rPr>
                <w:rFonts w:cs="Arial"/>
                <w:bCs/>
                <w:i/>
                <w:sz w:val="20"/>
                <w:szCs w:val="20"/>
              </w:rPr>
              <w:t>(</w:t>
            </w:r>
            <w:r w:rsidR="00CC62CB" w:rsidRPr="004D5323">
              <w:rPr>
                <w:rFonts w:cs="Arial"/>
                <w:bCs/>
                <w:i/>
                <w:sz w:val="20"/>
                <w:szCs w:val="20"/>
              </w:rPr>
              <w:t>A</w:t>
            </w:r>
            <w:r w:rsidR="00CC62CB">
              <w:rPr>
                <w:rFonts w:cs="Arial"/>
                <w:bCs/>
                <w:i/>
                <w:sz w:val="20"/>
                <w:szCs w:val="20"/>
              </w:rPr>
              <w:t>)</w:t>
            </w:r>
          </w:p>
        </w:tc>
      </w:tr>
      <w:tr w:rsidR="00570563" w:rsidRPr="0040656D" w14:paraId="6AC2A903" w14:textId="77777777" w:rsidTr="1E9DB8F8">
        <w:trPr>
          <w:trHeight w:val="300"/>
        </w:trPr>
        <w:tc>
          <w:tcPr>
            <w:tcW w:w="4110" w:type="dxa"/>
            <w:vMerge/>
          </w:tcPr>
          <w:p w14:paraId="53E6BECE" w14:textId="77777777" w:rsidR="00570563" w:rsidRPr="0040656D" w:rsidRDefault="00570563" w:rsidP="00657117">
            <w:pPr>
              <w:spacing w:after="240"/>
              <w:rPr>
                <w:rFonts w:cs="Arial"/>
                <w:bCs/>
                <w:iCs/>
                <w:sz w:val="20"/>
                <w:szCs w:val="20"/>
              </w:rPr>
            </w:pPr>
          </w:p>
        </w:tc>
        <w:tc>
          <w:tcPr>
            <w:tcW w:w="2670" w:type="dxa"/>
            <w:tcBorders>
              <w:top w:val="single" w:sz="4" w:space="0" w:color="auto"/>
              <w:left w:val="single" w:sz="4" w:space="0" w:color="auto"/>
              <w:bottom w:val="single" w:sz="4" w:space="0" w:color="auto"/>
              <w:right w:val="single" w:sz="4" w:space="0" w:color="auto"/>
            </w:tcBorders>
          </w:tcPr>
          <w:p w14:paraId="5632D514" w14:textId="77777777" w:rsidR="00570563" w:rsidRPr="0040656D" w:rsidRDefault="00570563" w:rsidP="00657117">
            <w:pPr>
              <w:spacing w:after="240"/>
              <w:rPr>
                <w:rFonts w:cs="Arial"/>
                <w:bCs/>
                <w:iCs/>
                <w:sz w:val="20"/>
                <w:szCs w:val="20"/>
              </w:rPr>
            </w:pPr>
            <w:r w:rsidRPr="0066284B">
              <w:rPr>
                <w:rFonts w:cs="Arial"/>
                <w:bCs/>
                <w:iCs/>
                <w:sz w:val="20"/>
                <w:szCs w:val="20"/>
              </w:rPr>
              <w:t>Zero Carbon new process including reviewers</w:t>
            </w:r>
          </w:p>
        </w:tc>
        <w:tc>
          <w:tcPr>
            <w:tcW w:w="2055" w:type="dxa"/>
            <w:tcBorders>
              <w:top w:val="single" w:sz="4" w:space="0" w:color="auto"/>
              <w:left w:val="single" w:sz="4" w:space="0" w:color="auto"/>
              <w:bottom w:val="single" w:sz="4" w:space="0" w:color="auto"/>
              <w:right w:val="single" w:sz="4" w:space="0" w:color="auto"/>
            </w:tcBorders>
          </w:tcPr>
          <w:p w14:paraId="05AEE9C4" w14:textId="77777777" w:rsidR="00CC62CB" w:rsidRPr="004D5323" w:rsidRDefault="008B1986" w:rsidP="00CC62CB">
            <w:pPr>
              <w:spacing w:after="240"/>
              <w:contextualSpacing/>
              <w:rPr>
                <w:rFonts w:cs="Arial"/>
                <w:bCs/>
                <w:i/>
                <w:sz w:val="20"/>
                <w:szCs w:val="20"/>
              </w:rPr>
            </w:pPr>
            <w:r w:rsidRPr="008B1986">
              <w:rPr>
                <w:rFonts w:cs="Arial"/>
                <w:b/>
                <w:iCs/>
                <w:sz w:val="20"/>
                <w:szCs w:val="20"/>
              </w:rPr>
              <w:t>L</w:t>
            </w:r>
            <w:r w:rsidR="00570563" w:rsidRPr="008B1986">
              <w:rPr>
                <w:rFonts w:cs="Arial"/>
                <w:b/>
                <w:iCs/>
                <w:sz w:val="20"/>
                <w:szCs w:val="20"/>
              </w:rPr>
              <w:t>aunched in FY23-24</w:t>
            </w:r>
            <w:r w:rsidRPr="008B1986">
              <w:rPr>
                <w:rFonts w:cs="Arial"/>
                <w:b/>
                <w:iCs/>
                <w:sz w:val="20"/>
                <w:szCs w:val="20"/>
              </w:rPr>
              <w:br/>
            </w:r>
            <w:r w:rsidR="00CC62CB">
              <w:rPr>
                <w:rFonts w:cs="Arial"/>
                <w:bCs/>
                <w:i/>
                <w:sz w:val="20"/>
                <w:szCs w:val="20"/>
              </w:rPr>
              <w:t>(</w:t>
            </w:r>
            <w:r w:rsidR="00CC62CB" w:rsidRPr="004D5323">
              <w:rPr>
                <w:rFonts w:cs="Arial"/>
                <w:bCs/>
                <w:i/>
                <w:sz w:val="20"/>
                <w:szCs w:val="20"/>
              </w:rPr>
              <w:t>A</w:t>
            </w:r>
            <w:r w:rsidR="00CC62CB">
              <w:rPr>
                <w:rFonts w:cs="Arial"/>
                <w:bCs/>
                <w:i/>
                <w:sz w:val="20"/>
                <w:szCs w:val="20"/>
              </w:rPr>
              <w:t>)</w:t>
            </w:r>
          </w:p>
          <w:p w14:paraId="77253DD9" w14:textId="224AB1E9" w:rsidR="00570563" w:rsidRPr="008B1986" w:rsidRDefault="00570563" w:rsidP="00657117">
            <w:pPr>
              <w:spacing w:after="240"/>
              <w:contextualSpacing/>
              <w:rPr>
                <w:rFonts w:cs="Arial"/>
                <w:bCs/>
                <w:i/>
                <w:sz w:val="20"/>
                <w:szCs w:val="20"/>
              </w:rPr>
            </w:pPr>
          </w:p>
        </w:tc>
      </w:tr>
      <w:tr w:rsidR="00570563" w:rsidRPr="0040656D" w14:paraId="7ED1A552" w14:textId="77777777" w:rsidTr="1E9DB8F8">
        <w:trPr>
          <w:trHeight w:val="300"/>
        </w:trPr>
        <w:tc>
          <w:tcPr>
            <w:tcW w:w="4110" w:type="dxa"/>
            <w:vMerge/>
          </w:tcPr>
          <w:p w14:paraId="48DAC99B" w14:textId="77777777" w:rsidR="00570563" w:rsidRPr="0040656D" w:rsidRDefault="00570563" w:rsidP="00657117">
            <w:pPr>
              <w:spacing w:after="240"/>
              <w:rPr>
                <w:rFonts w:cs="Arial"/>
                <w:bCs/>
                <w:iCs/>
                <w:sz w:val="20"/>
                <w:szCs w:val="20"/>
              </w:rPr>
            </w:pPr>
          </w:p>
        </w:tc>
        <w:tc>
          <w:tcPr>
            <w:tcW w:w="2670" w:type="dxa"/>
            <w:tcBorders>
              <w:top w:val="single" w:sz="4" w:space="0" w:color="auto"/>
              <w:left w:val="single" w:sz="4" w:space="0" w:color="auto"/>
              <w:bottom w:val="single" w:sz="4" w:space="0" w:color="auto"/>
              <w:right w:val="single" w:sz="4" w:space="0" w:color="auto"/>
            </w:tcBorders>
          </w:tcPr>
          <w:p w14:paraId="0C752045" w14:textId="4D35587F" w:rsidR="00570563" w:rsidRPr="00657117" w:rsidRDefault="00570563" w:rsidP="00657117">
            <w:pPr>
              <w:spacing w:after="240"/>
              <w:rPr>
                <w:rFonts w:cs="Arial"/>
                <w:bCs/>
                <w:iCs/>
                <w:sz w:val="20"/>
                <w:szCs w:val="20"/>
              </w:rPr>
            </w:pPr>
            <w:r w:rsidRPr="00657117">
              <w:rPr>
                <w:rFonts w:cs="Arial"/>
                <w:bCs/>
                <w:iCs/>
                <w:sz w:val="20"/>
                <w:szCs w:val="20"/>
              </w:rPr>
              <w:t>Launch EDGE faculty applications process</w:t>
            </w:r>
          </w:p>
        </w:tc>
        <w:tc>
          <w:tcPr>
            <w:tcW w:w="2055" w:type="dxa"/>
            <w:tcBorders>
              <w:top w:val="single" w:sz="4" w:space="0" w:color="auto"/>
              <w:left w:val="single" w:sz="4" w:space="0" w:color="auto"/>
              <w:bottom w:val="single" w:sz="4" w:space="0" w:color="auto"/>
              <w:right w:val="single" w:sz="4" w:space="0" w:color="auto"/>
            </w:tcBorders>
          </w:tcPr>
          <w:p w14:paraId="66553D33" w14:textId="316F01AE" w:rsidR="00570563" w:rsidRPr="004D5323" w:rsidRDefault="004D5323" w:rsidP="00657117">
            <w:pPr>
              <w:spacing w:after="240"/>
              <w:contextualSpacing/>
              <w:rPr>
                <w:rFonts w:cs="Arial"/>
                <w:b/>
                <w:iCs/>
                <w:sz w:val="20"/>
                <w:szCs w:val="20"/>
              </w:rPr>
            </w:pPr>
            <w:r w:rsidRPr="004D5323">
              <w:rPr>
                <w:rFonts w:cs="Arial"/>
                <w:b/>
                <w:iCs/>
                <w:sz w:val="20"/>
                <w:szCs w:val="20"/>
              </w:rPr>
              <w:t>L</w:t>
            </w:r>
            <w:r w:rsidR="004772B7" w:rsidRPr="004D5323">
              <w:rPr>
                <w:rFonts w:cs="Arial"/>
                <w:b/>
                <w:iCs/>
                <w:sz w:val="20"/>
                <w:szCs w:val="20"/>
              </w:rPr>
              <w:t xml:space="preserve">aunched </w:t>
            </w:r>
            <w:r w:rsidR="00010D5B" w:rsidRPr="004D5323">
              <w:rPr>
                <w:rFonts w:cs="Arial"/>
                <w:b/>
                <w:iCs/>
                <w:sz w:val="20"/>
                <w:szCs w:val="20"/>
              </w:rPr>
              <w:t>in FY</w:t>
            </w:r>
            <w:r w:rsidR="004772B7" w:rsidRPr="004D5323">
              <w:rPr>
                <w:rFonts w:cs="Arial"/>
                <w:b/>
                <w:iCs/>
                <w:sz w:val="20"/>
                <w:szCs w:val="20"/>
              </w:rPr>
              <w:t>24</w:t>
            </w:r>
            <w:r w:rsidR="00CF2522" w:rsidRPr="004D5323">
              <w:rPr>
                <w:rFonts w:cs="Arial"/>
                <w:b/>
                <w:iCs/>
                <w:sz w:val="20"/>
                <w:szCs w:val="20"/>
              </w:rPr>
              <w:t xml:space="preserve"> with 108 ‘licensed’ members (as of June 2025).</w:t>
            </w:r>
          </w:p>
          <w:p w14:paraId="55909089" w14:textId="0D8A3E94" w:rsidR="008B1986" w:rsidRPr="004D5323" w:rsidRDefault="00CC62CB" w:rsidP="00657117">
            <w:pPr>
              <w:spacing w:after="240"/>
              <w:contextualSpacing/>
              <w:rPr>
                <w:rFonts w:cs="Arial"/>
                <w:bCs/>
                <w:i/>
                <w:sz w:val="20"/>
                <w:szCs w:val="20"/>
              </w:rPr>
            </w:pPr>
            <w:r>
              <w:rPr>
                <w:rFonts w:cs="Arial"/>
                <w:bCs/>
                <w:i/>
                <w:sz w:val="20"/>
                <w:szCs w:val="20"/>
              </w:rPr>
              <w:t>(</w:t>
            </w:r>
            <w:r w:rsidR="008B1986" w:rsidRPr="004D5323">
              <w:rPr>
                <w:rFonts w:cs="Arial"/>
                <w:bCs/>
                <w:i/>
                <w:sz w:val="20"/>
                <w:szCs w:val="20"/>
              </w:rPr>
              <w:t>A</w:t>
            </w:r>
            <w:r>
              <w:rPr>
                <w:rFonts w:cs="Arial"/>
                <w:bCs/>
                <w:i/>
                <w:sz w:val="20"/>
                <w:szCs w:val="20"/>
              </w:rPr>
              <w:t>)</w:t>
            </w:r>
          </w:p>
          <w:p w14:paraId="0463AC32" w14:textId="23409437" w:rsidR="00CF2522" w:rsidRPr="00657117" w:rsidRDefault="00CF2522" w:rsidP="00657117">
            <w:pPr>
              <w:spacing w:after="240"/>
              <w:contextualSpacing/>
              <w:rPr>
                <w:rFonts w:cs="Arial"/>
                <w:bCs/>
                <w:iCs/>
                <w:sz w:val="20"/>
                <w:szCs w:val="20"/>
              </w:rPr>
            </w:pPr>
          </w:p>
        </w:tc>
      </w:tr>
      <w:tr w:rsidR="00570563" w:rsidRPr="0040656D" w14:paraId="7B691584" w14:textId="77777777" w:rsidTr="1E9DB8F8">
        <w:trPr>
          <w:trHeight w:val="300"/>
        </w:trPr>
        <w:tc>
          <w:tcPr>
            <w:tcW w:w="4110" w:type="dxa"/>
            <w:vMerge/>
          </w:tcPr>
          <w:p w14:paraId="4BC02C9B" w14:textId="77777777" w:rsidR="00570563" w:rsidRPr="0040656D" w:rsidRDefault="00570563" w:rsidP="00657117">
            <w:pPr>
              <w:spacing w:after="240"/>
              <w:rPr>
                <w:rFonts w:cs="Arial"/>
                <w:bCs/>
                <w:iCs/>
                <w:sz w:val="20"/>
                <w:szCs w:val="20"/>
              </w:rPr>
            </w:pPr>
          </w:p>
        </w:tc>
        <w:tc>
          <w:tcPr>
            <w:tcW w:w="2670" w:type="dxa"/>
            <w:tcBorders>
              <w:top w:val="single" w:sz="4" w:space="0" w:color="auto"/>
              <w:left w:val="single" w:sz="4" w:space="0" w:color="auto"/>
              <w:bottom w:val="single" w:sz="4" w:space="0" w:color="auto"/>
              <w:right w:val="single" w:sz="4" w:space="0" w:color="auto"/>
            </w:tcBorders>
          </w:tcPr>
          <w:p w14:paraId="267C0CDA" w14:textId="45C57C25" w:rsidR="00570563" w:rsidRPr="0066284B" w:rsidRDefault="00570563" w:rsidP="00657117">
            <w:pPr>
              <w:spacing w:after="240"/>
              <w:rPr>
                <w:rFonts w:cs="Arial"/>
                <w:bCs/>
                <w:iCs/>
                <w:sz w:val="20"/>
                <w:szCs w:val="20"/>
              </w:rPr>
            </w:pPr>
            <w:r w:rsidRPr="00AB44C7">
              <w:rPr>
                <w:rFonts w:cs="Arial"/>
                <w:bCs/>
                <w:iCs/>
                <w:sz w:val="20"/>
                <w:szCs w:val="20"/>
              </w:rPr>
              <w:t xml:space="preserve">Start development of </w:t>
            </w:r>
            <w:r w:rsidR="00780006">
              <w:rPr>
                <w:rFonts w:cs="Arial"/>
                <w:bCs/>
                <w:iCs/>
                <w:sz w:val="20"/>
                <w:szCs w:val="20"/>
              </w:rPr>
              <w:t>V.</w:t>
            </w:r>
            <w:r w:rsidRPr="00AB44C7">
              <w:rPr>
                <w:rFonts w:cs="Arial"/>
                <w:bCs/>
                <w:iCs/>
                <w:sz w:val="20"/>
                <w:szCs w:val="20"/>
              </w:rPr>
              <w:t>3.1</w:t>
            </w:r>
            <w:r>
              <w:rPr>
                <w:rFonts w:cs="Arial"/>
                <w:bCs/>
                <w:iCs/>
                <w:sz w:val="20"/>
                <w:szCs w:val="20"/>
              </w:rPr>
              <w:t xml:space="preserve">. </w:t>
            </w:r>
            <w:r w:rsidRPr="00AB44C7">
              <w:rPr>
                <w:rFonts w:cs="Arial"/>
                <w:bCs/>
                <w:iCs/>
                <w:sz w:val="20"/>
                <w:szCs w:val="20"/>
              </w:rPr>
              <w:t xml:space="preserve">This version will enhance calculation quality of </w:t>
            </w:r>
            <w:r w:rsidR="00780006">
              <w:rPr>
                <w:rFonts w:cs="Arial"/>
                <w:bCs/>
                <w:iCs/>
                <w:sz w:val="20"/>
                <w:szCs w:val="20"/>
              </w:rPr>
              <w:t>V.3</w:t>
            </w:r>
            <w:r w:rsidRPr="00AB44C7">
              <w:rPr>
                <w:rFonts w:cs="Arial"/>
                <w:bCs/>
                <w:iCs/>
                <w:sz w:val="20"/>
                <w:szCs w:val="20"/>
              </w:rPr>
              <w:t>.</w:t>
            </w:r>
          </w:p>
        </w:tc>
        <w:tc>
          <w:tcPr>
            <w:tcW w:w="2055" w:type="dxa"/>
            <w:tcBorders>
              <w:top w:val="single" w:sz="4" w:space="0" w:color="auto"/>
              <w:left w:val="single" w:sz="4" w:space="0" w:color="auto"/>
              <w:bottom w:val="single" w:sz="4" w:space="0" w:color="auto"/>
              <w:right w:val="single" w:sz="4" w:space="0" w:color="auto"/>
            </w:tcBorders>
          </w:tcPr>
          <w:p w14:paraId="0A1695BB" w14:textId="0CF9B5F9" w:rsidR="00570563" w:rsidRPr="00CC62CB" w:rsidRDefault="00570563" w:rsidP="00657117">
            <w:pPr>
              <w:spacing w:after="240"/>
              <w:contextualSpacing/>
              <w:rPr>
                <w:rFonts w:cs="Arial"/>
                <w:b/>
                <w:iCs/>
                <w:sz w:val="20"/>
                <w:szCs w:val="20"/>
              </w:rPr>
            </w:pPr>
            <w:r w:rsidRPr="00CC62CB">
              <w:rPr>
                <w:rFonts w:cs="Arial"/>
                <w:b/>
                <w:iCs/>
                <w:sz w:val="20"/>
                <w:szCs w:val="20"/>
              </w:rPr>
              <w:t xml:space="preserve">Development of </w:t>
            </w:r>
            <w:r w:rsidR="00EC352A" w:rsidRPr="00CC62CB">
              <w:rPr>
                <w:rFonts w:cs="Arial"/>
                <w:b/>
                <w:iCs/>
                <w:sz w:val="20"/>
                <w:szCs w:val="20"/>
              </w:rPr>
              <w:t>V.</w:t>
            </w:r>
            <w:r w:rsidRPr="00CC62CB">
              <w:rPr>
                <w:rFonts w:cs="Arial"/>
                <w:b/>
                <w:iCs/>
                <w:sz w:val="20"/>
                <w:szCs w:val="20"/>
              </w:rPr>
              <w:t>3.1</w:t>
            </w:r>
            <w:r w:rsidR="00CC62CB" w:rsidRPr="00CC62CB">
              <w:rPr>
                <w:rFonts w:cs="Arial"/>
                <w:b/>
                <w:iCs/>
                <w:sz w:val="20"/>
                <w:szCs w:val="20"/>
              </w:rPr>
              <w:t xml:space="preserve"> started</w:t>
            </w:r>
            <w:r w:rsidRPr="00CC62CB">
              <w:rPr>
                <w:rFonts w:cs="Arial"/>
                <w:b/>
                <w:iCs/>
                <w:sz w:val="20"/>
                <w:szCs w:val="20"/>
              </w:rPr>
              <w:t>.</w:t>
            </w:r>
          </w:p>
          <w:p w14:paraId="0005D92C" w14:textId="1B18651F" w:rsidR="004D5323" w:rsidRPr="004D5323" w:rsidRDefault="004D5323" w:rsidP="00657117">
            <w:pPr>
              <w:spacing w:after="240"/>
              <w:contextualSpacing/>
              <w:rPr>
                <w:rFonts w:cs="Arial"/>
                <w:bCs/>
                <w:i/>
                <w:sz w:val="20"/>
                <w:szCs w:val="20"/>
              </w:rPr>
            </w:pPr>
            <w:r w:rsidRPr="004D5323">
              <w:rPr>
                <w:rFonts w:cs="Arial"/>
                <w:bCs/>
                <w:i/>
                <w:sz w:val="20"/>
                <w:szCs w:val="20"/>
              </w:rPr>
              <w:t>(A)</w:t>
            </w:r>
          </w:p>
        </w:tc>
      </w:tr>
      <w:tr w:rsidR="00570563" w:rsidRPr="0040656D" w14:paraId="56F03EFC" w14:textId="77777777" w:rsidTr="1E9DB8F8">
        <w:trPr>
          <w:trHeight w:val="651"/>
        </w:trPr>
        <w:tc>
          <w:tcPr>
            <w:tcW w:w="4110" w:type="dxa"/>
            <w:tcBorders>
              <w:top w:val="single" w:sz="4" w:space="0" w:color="auto"/>
              <w:left w:val="single" w:sz="4" w:space="0" w:color="auto"/>
              <w:bottom w:val="single" w:sz="4" w:space="0" w:color="auto"/>
              <w:right w:val="single" w:sz="4" w:space="0" w:color="auto"/>
            </w:tcBorders>
          </w:tcPr>
          <w:p w14:paraId="096B736D" w14:textId="77777777" w:rsidR="00570563" w:rsidRPr="0040656D" w:rsidRDefault="00570563" w:rsidP="00657117">
            <w:pPr>
              <w:spacing w:after="240"/>
              <w:rPr>
                <w:rFonts w:cs="Arial"/>
                <w:bCs/>
                <w:sz w:val="20"/>
                <w:szCs w:val="20"/>
              </w:rPr>
            </w:pPr>
            <w:r w:rsidRPr="0040656D">
              <w:rPr>
                <w:rFonts w:cs="Arial"/>
                <w:bCs/>
                <w:sz w:val="20"/>
                <w:szCs w:val="20"/>
                <w:u w:val="single"/>
              </w:rPr>
              <w:t xml:space="preserve">3.2 </w:t>
            </w:r>
            <w:r w:rsidRPr="00F90928">
              <w:rPr>
                <w:rFonts w:cs="Arial"/>
                <w:bCs/>
                <w:sz w:val="20"/>
                <w:szCs w:val="20"/>
              </w:rPr>
              <w:t>Number of EDGE Self-Build case studies/protocols published</w:t>
            </w:r>
          </w:p>
          <w:p w14:paraId="7A37D16B" w14:textId="77777777" w:rsidR="00570563" w:rsidRPr="0040656D" w:rsidRDefault="00570563" w:rsidP="00657117">
            <w:pPr>
              <w:spacing w:after="240"/>
              <w:rPr>
                <w:rFonts w:cs="Arial"/>
                <w:bCs/>
                <w:iCs/>
                <w:sz w:val="20"/>
                <w:szCs w:val="20"/>
              </w:rPr>
            </w:pPr>
          </w:p>
        </w:tc>
        <w:tc>
          <w:tcPr>
            <w:tcW w:w="2670" w:type="dxa"/>
            <w:tcBorders>
              <w:top w:val="single" w:sz="4" w:space="0" w:color="auto"/>
              <w:left w:val="single" w:sz="4" w:space="0" w:color="auto"/>
              <w:bottom w:val="single" w:sz="4" w:space="0" w:color="auto"/>
              <w:right w:val="single" w:sz="4" w:space="0" w:color="auto"/>
            </w:tcBorders>
          </w:tcPr>
          <w:p w14:paraId="4A69F83F" w14:textId="2C5972E8" w:rsidR="00570563" w:rsidRPr="0040656D" w:rsidRDefault="00AB45DB" w:rsidP="00657117">
            <w:pPr>
              <w:spacing w:after="240"/>
              <w:rPr>
                <w:rFonts w:cs="Arial"/>
                <w:bCs/>
                <w:iCs/>
                <w:sz w:val="20"/>
                <w:szCs w:val="20"/>
              </w:rPr>
            </w:pPr>
            <w:r>
              <w:rPr>
                <w:rFonts w:cs="Arial"/>
                <w:bCs/>
                <w:iCs/>
                <w:sz w:val="20"/>
                <w:szCs w:val="20"/>
              </w:rPr>
              <w:t>0</w:t>
            </w:r>
          </w:p>
        </w:tc>
        <w:tc>
          <w:tcPr>
            <w:tcW w:w="2055" w:type="dxa"/>
            <w:tcBorders>
              <w:top w:val="single" w:sz="4" w:space="0" w:color="auto"/>
              <w:left w:val="single" w:sz="4" w:space="0" w:color="auto"/>
              <w:bottom w:val="single" w:sz="4" w:space="0" w:color="auto"/>
              <w:right w:val="single" w:sz="4" w:space="0" w:color="auto"/>
            </w:tcBorders>
          </w:tcPr>
          <w:p w14:paraId="62F96A26" w14:textId="3443D89A" w:rsidR="00CC62CB" w:rsidRPr="00CC62CB" w:rsidRDefault="006722F6" w:rsidP="00CC62CB">
            <w:pPr>
              <w:spacing w:after="240"/>
              <w:rPr>
                <w:rFonts w:cs="Arial"/>
                <w:sz w:val="20"/>
                <w:szCs w:val="20"/>
              </w:rPr>
            </w:pPr>
            <w:r w:rsidRPr="00CC62CB">
              <w:rPr>
                <w:rFonts w:cs="Arial"/>
                <w:b/>
                <w:bCs/>
                <w:sz w:val="20"/>
                <w:szCs w:val="20"/>
              </w:rPr>
              <w:t>Achieved</w:t>
            </w:r>
            <w:r w:rsidR="00CC62CB">
              <w:rPr>
                <w:rFonts w:cs="Arial"/>
                <w:b/>
                <w:bCs/>
                <w:sz w:val="20"/>
                <w:szCs w:val="20"/>
              </w:rPr>
              <w:t>:</w:t>
            </w:r>
            <w:r w:rsidRPr="00CC62CB">
              <w:rPr>
                <w:rFonts w:cs="Arial"/>
                <w:b/>
                <w:bCs/>
                <w:sz w:val="20"/>
                <w:szCs w:val="20"/>
              </w:rPr>
              <w:t xml:space="preserve"> 1</w:t>
            </w:r>
            <w:r w:rsidR="00CC62CB">
              <w:rPr>
                <w:rFonts w:cs="Arial"/>
                <w:b/>
                <w:bCs/>
                <w:sz w:val="20"/>
                <w:szCs w:val="20"/>
              </w:rPr>
              <w:br/>
            </w:r>
            <w:r w:rsidR="00CC62CB">
              <w:rPr>
                <w:rFonts w:cs="Arial"/>
                <w:i/>
                <w:iCs/>
                <w:sz w:val="20"/>
                <w:szCs w:val="20"/>
              </w:rPr>
              <w:t>(</w:t>
            </w:r>
            <w:r w:rsidR="00CC62CB" w:rsidRPr="00CC62CB">
              <w:rPr>
                <w:rFonts w:cs="Arial"/>
                <w:i/>
                <w:iCs/>
                <w:sz w:val="20"/>
                <w:szCs w:val="20"/>
              </w:rPr>
              <w:t>A+</w:t>
            </w:r>
            <w:r w:rsidR="00CC62CB">
              <w:rPr>
                <w:rFonts w:cs="Arial"/>
                <w:i/>
                <w:iCs/>
                <w:sz w:val="20"/>
                <w:szCs w:val="20"/>
              </w:rPr>
              <w:t>)</w:t>
            </w:r>
          </w:p>
          <w:p w14:paraId="27CBF7DA" w14:textId="77777777" w:rsidR="00570563" w:rsidRPr="0076377B" w:rsidRDefault="00570563" w:rsidP="00657117">
            <w:pPr>
              <w:spacing w:after="240"/>
              <w:contextualSpacing/>
              <w:rPr>
                <w:rFonts w:cs="Arial"/>
                <w:bCs/>
                <w:iCs/>
                <w:sz w:val="20"/>
                <w:szCs w:val="20"/>
              </w:rPr>
            </w:pPr>
          </w:p>
        </w:tc>
      </w:tr>
      <w:tr w:rsidR="004A32B4" w:rsidRPr="0040656D" w14:paraId="406EE97E" w14:textId="77777777" w:rsidTr="1E9DB8F8">
        <w:trPr>
          <w:trHeight w:val="651"/>
        </w:trPr>
        <w:tc>
          <w:tcPr>
            <w:tcW w:w="4110" w:type="dxa"/>
            <w:tcBorders>
              <w:top w:val="single" w:sz="4" w:space="0" w:color="auto"/>
              <w:left w:val="single" w:sz="4" w:space="0" w:color="auto"/>
              <w:bottom w:val="single" w:sz="4" w:space="0" w:color="auto"/>
              <w:right w:val="single" w:sz="4" w:space="0" w:color="auto"/>
            </w:tcBorders>
          </w:tcPr>
          <w:p w14:paraId="5CCC3EAF" w14:textId="763EE1AA" w:rsidR="004A32B4" w:rsidRPr="004A32B4" w:rsidRDefault="004A32B4" w:rsidP="00657117">
            <w:pPr>
              <w:spacing w:after="240"/>
              <w:rPr>
                <w:rFonts w:cs="Arial"/>
                <w:bCs/>
                <w:sz w:val="20"/>
                <w:szCs w:val="20"/>
              </w:rPr>
            </w:pPr>
            <w:r>
              <w:rPr>
                <w:rFonts w:cs="Arial"/>
                <w:bCs/>
                <w:sz w:val="20"/>
                <w:szCs w:val="20"/>
                <w:u w:val="single"/>
              </w:rPr>
              <w:t xml:space="preserve">3.3 </w:t>
            </w:r>
            <w:r w:rsidRPr="004A32B4">
              <w:rPr>
                <w:rFonts w:cs="Arial"/>
                <w:bCs/>
                <w:sz w:val="20"/>
                <w:szCs w:val="20"/>
              </w:rPr>
              <w:t>Development of the EDGE v.4.0 software, online app, and training materials</w:t>
            </w:r>
          </w:p>
        </w:tc>
        <w:tc>
          <w:tcPr>
            <w:tcW w:w="2670" w:type="dxa"/>
            <w:tcBorders>
              <w:top w:val="single" w:sz="4" w:space="0" w:color="auto"/>
              <w:left w:val="single" w:sz="4" w:space="0" w:color="auto"/>
              <w:bottom w:val="single" w:sz="4" w:space="0" w:color="auto"/>
              <w:right w:val="single" w:sz="4" w:space="0" w:color="auto"/>
            </w:tcBorders>
          </w:tcPr>
          <w:p w14:paraId="228D9BE3" w14:textId="69192287" w:rsidR="004A32B4" w:rsidRDefault="00C9388B" w:rsidP="00657117">
            <w:pPr>
              <w:spacing w:after="240"/>
              <w:rPr>
                <w:rFonts w:cs="Arial"/>
                <w:bCs/>
                <w:iCs/>
                <w:sz w:val="20"/>
                <w:szCs w:val="20"/>
              </w:rPr>
            </w:pPr>
            <w:r>
              <w:rPr>
                <w:rFonts w:cs="Arial"/>
                <w:bCs/>
                <w:iCs/>
                <w:sz w:val="20"/>
                <w:szCs w:val="20"/>
              </w:rPr>
              <w:t xml:space="preserve">/ </w:t>
            </w:r>
          </w:p>
        </w:tc>
        <w:tc>
          <w:tcPr>
            <w:tcW w:w="2055" w:type="dxa"/>
            <w:tcBorders>
              <w:top w:val="single" w:sz="4" w:space="0" w:color="auto"/>
              <w:left w:val="single" w:sz="4" w:space="0" w:color="auto"/>
              <w:bottom w:val="single" w:sz="4" w:space="0" w:color="auto"/>
              <w:right w:val="single" w:sz="4" w:space="0" w:color="auto"/>
            </w:tcBorders>
          </w:tcPr>
          <w:p w14:paraId="2DA224EA" w14:textId="6409CC97" w:rsidR="004A32B4" w:rsidRPr="00CC62CB" w:rsidRDefault="00C9388B" w:rsidP="00CC62CB">
            <w:pPr>
              <w:spacing w:after="240"/>
              <w:rPr>
                <w:rFonts w:cs="Arial"/>
                <w:b/>
                <w:bCs/>
                <w:sz w:val="20"/>
                <w:szCs w:val="20"/>
              </w:rPr>
            </w:pPr>
            <w:r>
              <w:rPr>
                <w:rFonts w:cs="Arial"/>
                <w:b/>
                <w:bCs/>
                <w:sz w:val="20"/>
                <w:szCs w:val="20"/>
              </w:rPr>
              <w:t>/</w:t>
            </w:r>
          </w:p>
        </w:tc>
      </w:tr>
      <w:tr w:rsidR="008E474D" w:rsidRPr="0040656D" w14:paraId="7ECC7226" w14:textId="77777777" w:rsidTr="1E9DB8F8">
        <w:trPr>
          <w:trHeight w:val="651"/>
        </w:trPr>
        <w:tc>
          <w:tcPr>
            <w:tcW w:w="4110" w:type="dxa"/>
            <w:tcBorders>
              <w:top w:val="single" w:sz="4" w:space="0" w:color="auto"/>
              <w:left w:val="single" w:sz="4" w:space="0" w:color="auto"/>
              <w:bottom w:val="single" w:sz="4" w:space="0" w:color="auto"/>
              <w:right w:val="single" w:sz="4" w:space="0" w:color="auto"/>
            </w:tcBorders>
          </w:tcPr>
          <w:p w14:paraId="60C2D409" w14:textId="609EB685" w:rsidR="008E474D" w:rsidRPr="00097275" w:rsidRDefault="008E474D" w:rsidP="00657117">
            <w:pPr>
              <w:spacing w:after="240"/>
            </w:pPr>
            <w:r w:rsidRPr="25BAB186">
              <w:rPr>
                <w:rFonts w:cs="Arial"/>
                <w:sz w:val="20"/>
                <w:szCs w:val="20"/>
                <w:u w:val="single"/>
              </w:rPr>
              <w:t>3.4</w:t>
            </w:r>
            <w:r w:rsidRPr="25BAB186">
              <w:rPr>
                <w:rFonts w:cs="Arial"/>
                <w:sz w:val="20"/>
                <w:szCs w:val="20"/>
              </w:rPr>
              <w:t xml:space="preserve"> </w:t>
            </w:r>
            <w:r w:rsidR="00097275" w:rsidRPr="25BAB186">
              <w:rPr>
                <w:rFonts w:cs="Arial"/>
                <w:sz w:val="20"/>
                <w:szCs w:val="20"/>
              </w:rPr>
              <w:t>Provide support to the different stakeholders on EDGE v. 4.0</w:t>
            </w:r>
          </w:p>
        </w:tc>
        <w:tc>
          <w:tcPr>
            <w:tcW w:w="2670" w:type="dxa"/>
            <w:tcBorders>
              <w:top w:val="single" w:sz="4" w:space="0" w:color="auto"/>
              <w:left w:val="single" w:sz="4" w:space="0" w:color="auto"/>
              <w:bottom w:val="single" w:sz="4" w:space="0" w:color="auto"/>
              <w:right w:val="single" w:sz="4" w:space="0" w:color="auto"/>
            </w:tcBorders>
          </w:tcPr>
          <w:p w14:paraId="2D4D4CD7" w14:textId="0E9E530F" w:rsidR="008E474D" w:rsidRDefault="00C9388B" w:rsidP="25BAB186">
            <w:pPr>
              <w:spacing w:after="240"/>
              <w:rPr>
                <w:rFonts w:cs="Arial"/>
                <w:sz w:val="20"/>
                <w:szCs w:val="20"/>
              </w:rPr>
            </w:pPr>
            <w:r w:rsidRPr="25BAB186">
              <w:rPr>
                <w:rFonts w:cs="Arial"/>
                <w:sz w:val="20"/>
                <w:szCs w:val="20"/>
              </w:rPr>
              <w:t>/</w:t>
            </w:r>
          </w:p>
        </w:tc>
        <w:tc>
          <w:tcPr>
            <w:tcW w:w="2055" w:type="dxa"/>
            <w:tcBorders>
              <w:top w:val="single" w:sz="4" w:space="0" w:color="auto"/>
              <w:left w:val="single" w:sz="4" w:space="0" w:color="auto"/>
              <w:bottom w:val="single" w:sz="4" w:space="0" w:color="auto"/>
              <w:right w:val="single" w:sz="4" w:space="0" w:color="auto"/>
            </w:tcBorders>
          </w:tcPr>
          <w:p w14:paraId="09899958" w14:textId="72760D8B" w:rsidR="008E474D" w:rsidRPr="00CC62CB" w:rsidRDefault="00C9388B" w:rsidP="00CC62CB">
            <w:pPr>
              <w:spacing w:after="240"/>
              <w:rPr>
                <w:rFonts w:cs="Arial"/>
                <w:b/>
                <w:bCs/>
                <w:sz w:val="20"/>
                <w:szCs w:val="20"/>
              </w:rPr>
            </w:pPr>
            <w:r w:rsidRPr="25BAB186">
              <w:rPr>
                <w:rFonts w:cs="Arial"/>
                <w:b/>
                <w:bCs/>
                <w:sz w:val="20"/>
                <w:szCs w:val="20"/>
              </w:rPr>
              <w:t>/</w:t>
            </w:r>
          </w:p>
        </w:tc>
      </w:tr>
      <w:tr w:rsidR="00570563" w:rsidRPr="0040656D" w14:paraId="653D5E85" w14:textId="77777777" w:rsidTr="1E9DB8F8">
        <w:trPr>
          <w:trHeight w:val="300"/>
        </w:trPr>
        <w:tc>
          <w:tcPr>
            <w:tcW w:w="4110" w:type="dxa"/>
            <w:tcBorders>
              <w:top w:val="single" w:sz="4" w:space="0" w:color="auto"/>
              <w:left w:val="single" w:sz="4" w:space="0" w:color="auto"/>
              <w:bottom w:val="single" w:sz="4" w:space="0" w:color="auto"/>
              <w:right w:val="single" w:sz="4" w:space="0" w:color="auto"/>
            </w:tcBorders>
          </w:tcPr>
          <w:p w14:paraId="1990C27E" w14:textId="77777777" w:rsidR="00570563" w:rsidRPr="008E5FC7" w:rsidRDefault="00570563" w:rsidP="00657117">
            <w:pPr>
              <w:spacing w:after="240"/>
              <w:rPr>
                <w:rFonts w:cs="Arial"/>
                <w:bCs/>
                <w:sz w:val="20"/>
                <w:szCs w:val="20"/>
              </w:rPr>
            </w:pPr>
            <w:r>
              <w:rPr>
                <w:rFonts w:cs="Arial"/>
                <w:bCs/>
                <w:sz w:val="20"/>
                <w:szCs w:val="20"/>
                <w:u w:val="single"/>
              </w:rPr>
              <w:t>3.5</w:t>
            </w:r>
            <w:r>
              <w:rPr>
                <w:rFonts w:cs="Arial"/>
                <w:bCs/>
                <w:sz w:val="20"/>
                <w:szCs w:val="20"/>
              </w:rPr>
              <w:t xml:space="preserve"> </w:t>
            </w:r>
            <w:r w:rsidRPr="00DC60F0">
              <w:rPr>
                <w:rFonts w:cs="Arial"/>
                <w:bCs/>
                <w:sz w:val="20"/>
                <w:szCs w:val="20"/>
              </w:rPr>
              <w:t>Cumulative number of self-build home units certified with EDGE (India and other two countries from FY26 approved in the proposal)</w:t>
            </w:r>
          </w:p>
        </w:tc>
        <w:tc>
          <w:tcPr>
            <w:tcW w:w="2670" w:type="dxa"/>
            <w:tcBorders>
              <w:top w:val="single" w:sz="4" w:space="0" w:color="auto"/>
              <w:left w:val="single" w:sz="4" w:space="0" w:color="auto"/>
              <w:bottom w:val="single" w:sz="4" w:space="0" w:color="auto"/>
              <w:right w:val="single" w:sz="4" w:space="0" w:color="auto"/>
            </w:tcBorders>
          </w:tcPr>
          <w:p w14:paraId="61821B50" w14:textId="77777777" w:rsidR="00570563" w:rsidRPr="0040656D" w:rsidRDefault="00570563" w:rsidP="00657117">
            <w:pPr>
              <w:spacing w:after="240"/>
              <w:rPr>
                <w:rFonts w:cs="Arial"/>
                <w:bCs/>
                <w:iCs/>
                <w:sz w:val="20"/>
                <w:szCs w:val="20"/>
              </w:rPr>
            </w:pPr>
            <w:r>
              <w:rPr>
                <w:rFonts w:cs="Arial"/>
                <w:bCs/>
                <w:iCs/>
                <w:sz w:val="20"/>
                <w:szCs w:val="20"/>
              </w:rPr>
              <w:t xml:space="preserve">30 </w:t>
            </w:r>
          </w:p>
        </w:tc>
        <w:tc>
          <w:tcPr>
            <w:tcW w:w="2055" w:type="dxa"/>
            <w:tcBorders>
              <w:top w:val="single" w:sz="4" w:space="0" w:color="auto"/>
              <w:left w:val="single" w:sz="4" w:space="0" w:color="auto"/>
              <w:bottom w:val="single" w:sz="4" w:space="0" w:color="auto"/>
              <w:right w:val="single" w:sz="4" w:space="0" w:color="auto"/>
            </w:tcBorders>
          </w:tcPr>
          <w:p w14:paraId="575EA719" w14:textId="222EE36F" w:rsidR="00570563" w:rsidRPr="00CC62CB" w:rsidRDefault="00570563" w:rsidP="00657117">
            <w:pPr>
              <w:spacing w:after="240"/>
              <w:contextualSpacing/>
              <w:rPr>
                <w:rFonts w:cs="Arial"/>
                <w:bCs/>
                <w:i/>
                <w:sz w:val="20"/>
                <w:szCs w:val="20"/>
              </w:rPr>
            </w:pPr>
            <w:r w:rsidRPr="00CC62CB">
              <w:rPr>
                <w:rFonts w:cs="Arial"/>
                <w:b/>
                <w:iCs/>
                <w:sz w:val="20"/>
                <w:szCs w:val="20"/>
              </w:rPr>
              <w:t>Achieved</w:t>
            </w:r>
            <w:r w:rsidR="00CC62CB">
              <w:rPr>
                <w:rFonts w:cs="Arial"/>
                <w:b/>
                <w:iCs/>
                <w:sz w:val="20"/>
                <w:szCs w:val="20"/>
              </w:rPr>
              <w:t>:</w:t>
            </w:r>
            <w:r w:rsidRPr="00CC62CB">
              <w:rPr>
                <w:rFonts w:cs="Arial"/>
                <w:b/>
                <w:iCs/>
                <w:sz w:val="20"/>
                <w:szCs w:val="20"/>
              </w:rPr>
              <w:t xml:space="preserve"> 80</w:t>
            </w:r>
            <w:r w:rsidR="00CC62CB">
              <w:rPr>
                <w:rFonts w:cs="Arial"/>
                <w:b/>
                <w:iCs/>
                <w:sz w:val="20"/>
                <w:szCs w:val="20"/>
              </w:rPr>
              <w:br/>
            </w:r>
            <w:r w:rsidR="00CC62CB">
              <w:rPr>
                <w:rFonts w:cs="Arial"/>
                <w:bCs/>
                <w:i/>
                <w:sz w:val="20"/>
                <w:szCs w:val="20"/>
              </w:rPr>
              <w:t>(A++)</w:t>
            </w:r>
          </w:p>
        </w:tc>
      </w:tr>
      <w:tr w:rsidR="00570563" w:rsidRPr="0040656D" w14:paraId="32375E5D" w14:textId="77777777" w:rsidTr="1E9DB8F8">
        <w:trPr>
          <w:trHeight w:val="300"/>
        </w:trPr>
        <w:tc>
          <w:tcPr>
            <w:tcW w:w="4110" w:type="dxa"/>
            <w:tcBorders>
              <w:top w:val="single" w:sz="4" w:space="0" w:color="auto"/>
              <w:left w:val="single" w:sz="4" w:space="0" w:color="auto"/>
              <w:bottom w:val="single" w:sz="4" w:space="0" w:color="auto"/>
              <w:right w:val="single" w:sz="4" w:space="0" w:color="auto"/>
            </w:tcBorders>
          </w:tcPr>
          <w:p w14:paraId="7E5FF87E" w14:textId="77777777" w:rsidR="00570563" w:rsidRPr="00DC60F0" w:rsidRDefault="00570563" w:rsidP="00657117">
            <w:pPr>
              <w:spacing w:after="240"/>
              <w:rPr>
                <w:rFonts w:cs="Arial"/>
                <w:bCs/>
                <w:sz w:val="20"/>
                <w:szCs w:val="20"/>
                <w:u w:val="single"/>
              </w:rPr>
            </w:pPr>
            <w:r>
              <w:rPr>
                <w:rFonts w:cs="Arial"/>
                <w:bCs/>
                <w:sz w:val="20"/>
                <w:szCs w:val="20"/>
                <w:u w:val="single"/>
              </w:rPr>
              <w:t xml:space="preserve">3.6 </w:t>
            </w:r>
            <w:r w:rsidRPr="008E5FC7">
              <w:rPr>
                <w:rFonts w:cs="Arial"/>
                <w:bCs/>
                <w:sz w:val="20"/>
                <w:szCs w:val="20"/>
              </w:rPr>
              <w:t xml:space="preserve">Cumulative number of people benefited from EDGE </w:t>
            </w:r>
            <w:r>
              <w:rPr>
                <w:rFonts w:cs="Arial"/>
                <w:bCs/>
                <w:sz w:val="20"/>
                <w:szCs w:val="20"/>
              </w:rPr>
              <w:t xml:space="preserve">Self-Build </w:t>
            </w:r>
            <w:r w:rsidRPr="008E5FC7">
              <w:rPr>
                <w:rFonts w:cs="Arial"/>
                <w:bCs/>
                <w:sz w:val="20"/>
                <w:szCs w:val="20"/>
              </w:rPr>
              <w:t xml:space="preserve">certified homes. </w:t>
            </w:r>
            <w:r w:rsidRPr="008E5FC7">
              <w:rPr>
                <w:rFonts w:cs="Arial"/>
                <w:bCs/>
                <w:sz w:val="20"/>
                <w:szCs w:val="20"/>
              </w:rPr>
              <w:lastRenderedPageBreak/>
              <w:t>(India and other two countries from FY26 approved in the proposal)</w:t>
            </w:r>
          </w:p>
        </w:tc>
        <w:tc>
          <w:tcPr>
            <w:tcW w:w="2670" w:type="dxa"/>
            <w:tcBorders>
              <w:top w:val="single" w:sz="4" w:space="0" w:color="auto"/>
              <w:left w:val="single" w:sz="4" w:space="0" w:color="auto"/>
              <w:bottom w:val="single" w:sz="4" w:space="0" w:color="auto"/>
              <w:right w:val="single" w:sz="4" w:space="0" w:color="auto"/>
            </w:tcBorders>
          </w:tcPr>
          <w:p w14:paraId="42CCF45B" w14:textId="77777777" w:rsidR="00570563" w:rsidRPr="0040656D" w:rsidRDefault="00570563" w:rsidP="00657117">
            <w:pPr>
              <w:spacing w:after="240"/>
              <w:rPr>
                <w:rFonts w:cs="Arial"/>
                <w:bCs/>
                <w:iCs/>
                <w:sz w:val="20"/>
                <w:szCs w:val="20"/>
              </w:rPr>
            </w:pPr>
            <w:r>
              <w:rPr>
                <w:rFonts w:cs="Arial"/>
                <w:bCs/>
                <w:iCs/>
                <w:sz w:val="20"/>
                <w:szCs w:val="20"/>
              </w:rPr>
              <w:lastRenderedPageBreak/>
              <w:t>150</w:t>
            </w:r>
          </w:p>
        </w:tc>
        <w:tc>
          <w:tcPr>
            <w:tcW w:w="2055" w:type="dxa"/>
            <w:tcBorders>
              <w:top w:val="single" w:sz="4" w:space="0" w:color="auto"/>
              <w:left w:val="single" w:sz="4" w:space="0" w:color="auto"/>
              <w:bottom w:val="single" w:sz="4" w:space="0" w:color="auto"/>
              <w:right w:val="single" w:sz="4" w:space="0" w:color="auto"/>
            </w:tcBorders>
          </w:tcPr>
          <w:p w14:paraId="4BC72731" w14:textId="284327E4" w:rsidR="00570563" w:rsidRPr="008E5FC7" w:rsidRDefault="00570563" w:rsidP="00657117">
            <w:pPr>
              <w:spacing w:after="240"/>
              <w:contextualSpacing/>
              <w:rPr>
                <w:rFonts w:cs="Arial"/>
                <w:bCs/>
                <w:iCs/>
                <w:sz w:val="20"/>
                <w:szCs w:val="20"/>
              </w:rPr>
            </w:pPr>
            <w:r w:rsidRPr="00CC62CB">
              <w:rPr>
                <w:rFonts w:cs="Arial"/>
                <w:b/>
                <w:iCs/>
                <w:sz w:val="20"/>
                <w:szCs w:val="20"/>
              </w:rPr>
              <w:t>Achieved</w:t>
            </w:r>
            <w:r w:rsidR="00CC62CB">
              <w:rPr>
                <w:rFonts w:cs="Arial"/>
                <w:b/>
                <w:iCs/>
                <w:sz w:val="20"/>
                <w:szCs w:val="20"/>
              </w:rPr>
              <w:t>:</w:t>
            </w:r>
            <w:r w:rsidRPr="00CC62CB">
              <w:rPr>
                <w:rFonts w:cs="Arial"/>
                <w:b/>
                <w:iCs/>
                <w:sz w:val="20"/>
                <w:szCs w:val="20"/>
              </w:rPr>
              <w:t xml:space="preserve"> 400</w:t>
            </w:r>
            <w:r w:rsidR="00CC62CB" w:rsidRPr="00CC62CB">
              <w:rPr>
                <w:rFonts w:cs="Arial"/>
                <w:b/>
                <w:iCs/>
                <w:sz w:val="20"/>
                <w:szCs w:val="20"/>
              </w:rPr>
              <w:br/>
            </w:r>
            <w:r w:rsidR="00CC62CB">
              <w:rPr>
                <w:rFonts w:cs="Arial"/>
                <w:bCs/>
                <w:i/>
                <w:sz w:val="20"/>
                <w:szCs w:val="20"/>
              </w:rPr>
              <w:t>(A++)</w:t>
            </w:r>
          </w:p>
        </w:tc>
      </w:tr>
    </w:tbl>
    <w:p w14:paraId="6F5ECDFC" w14:textId="4F45636F" w:rsidR="006A123D" w:rsidRPr="0040656D" w:rsidRDefault="006A123D" w:rsidP="4585376C">
      <w:pPr>
        <w:spacing w:after="240"/>
        <w:rPr>
          <w:rFonts w:cs="Arial"/>
          <w:b/>
          <w:bCs/>
          <w:sz w:val="20"/>
          <w:szCs w:val="20"/>
        </w:rPr>
      </w:pPr>
      <w:r w:rsidRPr="4585376C">
        <w:rPr>
          <w:rFonts w:cs="Arial"/>
          <w:b/>
          <w:bCs/>
          <w:sz w:val="20"/>
          <w:szCs w:val="20"/>
        </w:rPr>
        <w:t xml:space="preserve">Briefly describe the output and provide supporting narrative for the score. </w:t>
      </w:r>
    </w:p>
    <w:p w14:paraId="23111F3B" w14:textId="49AAE9E1" w:rsidR="006A123D" w:rsidRPr="0040656D" w:rsidRDefault="006A123D" w:rsidP="25BAB186">
      <w:pPr>
        <w:spacing w:after="240"/>
        <w:jc w:val="both"/>
        <w:rPr>
          <w:rStyle w:val="eop"/>
          <w:rFonts w:cs="Arial"/>
          <w:color w:val="000000"/>
          <w:sz w:val="20"/>
          <w:szCs w:val="20"/>
          <w:shd w:val="clear" w:color="auto" w:fill="FFFFFF"/>
        </w:rPr>
      </w:pPr>
      <w:r w:rsidRPr="0040656D">
        <w:rPr>
          <w:rStyle w:val="normaltextrun"/>
          <w:rFonts w:cs="Arial"/>
          <w:color w:val="000000"/>
          <w:sz w:val="20"/>
          <w:szCs w:val="20"/>
          <w:shd w:val="clear" w:color="auto" w:fill="FFFFFF"/>
        </w:rPr>
        <w:t>Output 3 measures the development of the Excellence in Design for Greater Efficiencies (EDGE) Platform</w:t>
      </w:r>
      <w:r w:rsidR="00E36F0A">
        <w:rPr>
          <w:rStyle w:val="normaltextrun"/>
          <w:rFonts w:cs="Arial"/>
          <w:color w:val="000000"/>
          <w:sz w:val="20"/>
          <w:szCs w:val="20"/>
          <w:shd w:val="clear" w:color="auto" w:fill="FFFFFF"/>
        </w:rPr>
        <w:t>, and</w:t>
      </w:r>
      <w:r w:rsidR="00913AF5">
        <w:rPr>
          <w:rStyle w:val="normaltextrun"/>
          <w:rFonts w:cs="Arial"/>
          <w:color w:val="000000"/>
          <w:sz w:val="20"/>
          <w:szCs w:val="20"/>
          <w:shd w:val="clear" w:color="auto" w:fill="FFFFFF"/>
        </w:rPr>
        <w:t xml:space="preserve"> more specifically the development of EDGE for self-build homes</w:t>
      </w:r>
      <w:r w:rsidRPr="0040656D">
        <w:rPr>
          <w:rStyle w:val="normaltextrun"/>
          <w:rFonts w:cs="Arial"/>
          <w:color w:val="000000"/>
          <w:sz w:val="20"/>
          <w:szCs w:val="20"/>
          <w:shd w:val="clear" w:color="auto" w:fill="FFFFFF"/>
        </w:rPr>
        <w:t>. EDGE seeks to encourage the adoption of green building standards.</w:t>
      </w:r>
      <w:r w:rsidRPr="0040656D">
        <w:rPr>
          <w:rStyle w:val="eop"/>
          <w:rFonts w:cs="Arial"/>
          <w:color w:val="000000"/>
          <w:sz w:val="20"/>
          <w:szCs w:val="20"/>
          <w:shd w:val="clear" w:color="auto" w:fill="FFFFFF"/>
        </w:rPr>
        <w:t> </w:t>
      </w:r>
    </w:p>
    <w:p w14:paraId="62E7D673" w14:textId="177B839A" w:rsidR="006A123D" w:rsidRPr="0040656D" w:rsidRDefault="006A123D" w:rsidP="00657117">
      <w:pPr>
        <w:spacing w:after="240"/>
        <w:jc w:val="both"/>
        <w:rPr>
          <w:rFonts w:cs="Arial"/>
          <w:sz w:val="20"/>
          <w:szCs w:val="20"/>
        </w:rPr>
      </w:pPr>
      <w:r w:rsidRPr="0076377B">
        <w:rPr>
          <w:rFonts w:cs="Arial"/>
          <w:sz w:val="20"/>
          <w:szCs w:val="20"/>
        </w:rPr>
        <w:t>This Output scored an A</w:t>
      </w:r>
      <w:r w:rsidR="00C24A49">
        <w:rPr>
          <w:rFonts w:cs="Arial"/>
          <w:sz w:val="20"/>
          <w:szCs w:val="20"/>
        </w:rPr>
        <w:t>+</w:t>
      </w:r>
      <w:r w:rsidRPr="0076377B">
        <w:rPr>
          <w:rFonts w:cs="Arial"/>
          <w:sz w:val="20"/>
          <w:szCs w:val="20"/>
        </w:rPr>
        <w:t>.</w:t>
      </w:r>
      <w:r w:rsidR="00D84795">
        <w:rPr>
          <w:rFonts w:cs="Arial"/>
          <w:sz w:val="20"/>
          <w:szCs w:val="20"/>
        </w:rPr>
        <w:t xml:space="preserve"> For indicator 3.1,</w:t>
      </w:r>
      <w:r w:rsidRPr="0076377B">
        <w:rPr>
          <w:rFonts w:cs="Arial"/>
          <w:sz w:val="20"/>
          <w:szCs w:val="20"/>
        </w:rPr>
        <w:t xml:space="preserve"> MAGC</w:t>
      </w:r>
      <w:r w:rsidRPr="0040656D">
        <w:rPr>
          <w:rFonts w:cs="Arial"/>
          <w:sz w:val="20"/>
          <w:szCs w:val="20"/>
        </w:rPr>
        <w:t xml:space="preserve"> </w:t>
      </w:r>
      <w:r w:rsidR="00A701A9">
        <w:rPr>
          <w:rFonts w:cs="Arial"/>
          <w:sz w:val="20"/>
          <w:szCs w:val="20"/>
        </w:rPr>
        <w:t xml:space="preserve">met </w:t>
      </w:r>
      <w:r w:rsidR="003D0E38">
        <w:rPr>
          <w:rFonts w:cs="Arial"/>
          <w:sz w:val="20"/>
          <w:szCs w:val="20"/>
        </w:rPr>
        <w:t xml:space="preserve">all </w:t>
      </w:r>
      <w:r w:rsidR="00A701A9">
        <w:rPr>
          <w:rFonts w:cs="Arial"/>
          <w:sz w:val="20"/>
          <w:szCs w:val="20"/>
        </w:rPr>
        <w:t>milestones</w:t>
      </w:r>
      <w:r w:rsidR="00A701A9" w:rsidRPr="0040656D">
        <w:rPr>
          <w:rFonts w:cs="Arial"/>
          <w:sz w:val="20"/>
          <w:szCs w:val="20"/>
        </w:rPr>
        <w:t xml:space="preserve"> </w:t>
      </w:r>
      <w:r w:rsidR="002E484D">
        <w:rPr>
          <w:rFonts w:cs="Arial"/>
          <w:sz w:val="20"/>
          <w:szCs w:val="20"/>
        </w:rPr>
        <w:t>(achieving the milestones in FY tha</w:t>
      </w:r>
      <w:r w:rsidR="00C3642B">
        <w:rPr>
          <w:rFonts w:cs="Arial"/>
          <w:sz w:val="20"/>
          <w:szCs w:val="20"/>
        </w:rPr>
        <w:t>n the</w:t>
      </w:r>
      <w:r w:rsidR="002E484D">
        <w:rPr>
          <w:rFonts w:cs="Arial"/>
          <w:sz w:val="20"/>
          <w:szCs w:val="20"/>
        </w:rPr>
        <w:t xml:space="preserve"> target date was set</w:t>
      </w:r>
      <w:r w:rsidR="00010D5B">
        <w:rPr>
          <w:rFonts w:cs="Arial"/>
          <w:sz w:val="20"/>
          <w:szCs w:val="20"/>
        </w:rPr>
        <w:t>).</w:t>
      </w:r>
      <w:r w:rsidR="00010D5B" w:rsidRPr="0040656D">
        <w:rPr>
          <w:rFonts w:cs="Arial"/>
          <w:sz w:val="20"/>
          <w:szCs w:val="20"/>
        </w:rPr>
        <w:t xml:space="preserve"> An</w:t>
      </w:r>
      <w:r w:rsidRPr="0040656D">
        <w:rPr>
          <w:rFonts w:cs="Arial"/>
          <w:sz w:val="20"/>
          <w:szCs w:val="20"/>
        </w:rPr>
        <w:t xml:space="preserve"> example milestone for indicator 3.1, EDGE Zero Carbon certification enables developers and homeowners to achieve carbon-neutral green buildings, increasing ambition from EDGE Certified baseline. It is achieved with 40% or more energy savings on site and remaining % achieved through renewables or topping off with carbon offset.</w:t>
      </w:r>
      <w:r w:rsidR="00D8401B">
        <w:rPr>
          <w:rFonts w:cs="Arial"/>
          <w:sz w:val="20"/>
          <w:szCs w:val="20"/>
        </w:rPr>
        <w:t xml:space="preserve"> This certification option was released in a previous year, with the milestone showing IFC’s continuous improvement and development of the EDGE platform.</w:t>
      </w:r>
    </w:p>
    <w:p w14:paraId="2A901108" w14:textId="52E0A73F" w:rsidR="005D1E9D" w:rsidRPr="0040656D" w:rsidRDefault="005D1E9D" w:rsidP="00657117">
      <w:pPr>
        <w:spacing w:after="240"/>
        <w:jc w:val="both"/>
        <w:rPr>
          <w:rFonts w:cs="Arial"/>
          <w:sz w:val="20"/>
          <w:szCs w:val="20"/>
        </w:rPr>
      </w:pPr>
      <w:r w:rsidRPr="25BAB186">
        <w:rPr>
          <w:rFonts w:cs="Arial"/>
          <w:sz w:val="20"/>
          <w:szCs w:val="20"/>
        </w:rPr>
        <w:t>Output indicators 3.2</w:t>
      </w:r>
      <w:r w:rsidR="001C0886" w:rsidRPr="25BAB186">
        <w:rPr>
          <w:rFonts w:cs="Arial"/>
          <w:sz w:val="20"/>
          <w:szCs w:val="20"/>
        </w:rPr>
        <w:t>, 3.</w:t>
      </w:r>
      <w:r w:rsidR="0054071D" w:rsidRPr="25BAB186">
        <w:rPr>
          <w:rFonts w:cs="Arial"/>
          <w:sz w:val="20"/>
          <w:szCs w:val="20"/>
        </w:rPr>
        <w:t>5</w:t>
      </w:r>
      <w:r w:rsidR="00D55ABA" w:rsidRPr="25BAB186">
        <w:rPr>
          <w:rFonts w:cs="Arial"/>
          <w:sz w:val="20"/>
          <w:szCs w:val="20"/>
        </w:rPr>
        <w:t>, and</w:t>
      </w:r>
      <w:r w:rsidR="001C0886" w:rsidRPr="25BAB186">
        <w:rPr>
          <w:rFonts w:cs="Arial"/>
          <w:sz w:val="20"/>
          <w:szCs w:val="20"/>
        </w:rPr>
        <w:t xml:space="preserve"> </w:t>
      </w:r>
      <w:r w:rsidRPr="25BAB186">
        <w:rPr>
          <w:rFonts w:cs="Arial"/>
          <w:sz w:val="20"/>
          <w:szCs w:val="20"/>
        </w:rPr>
        <w:t xml:space="preserve">3.6 relate to the </w:t>
      </w:r>
      <w:r w:rsidR="003A66AB" w:rsidRPr="25BAB186">
        <w:rPr>
          <w:rFonts w:cs="Arial"/>
          <w:sz w:val="20"/>
          <w:szCs w:val="20"/>
        </w:rPr>
        <w:t xml:space="preserve">development of an EDGE certification for self-build homes. This project and these indicators were introduced as part of the March 2023 Change Request to capture </w:t>
      </w:r>
      <w:r w:rsidR="00B029DB" w:rsidRPr="25BAB186">
        <w:rPr>
          <w:rFonts w:cs="Arial"/>
          <w:sz w:val="20"/>
          <w:szCs w:val="20"/>
        </w:rPr>
        <w:t xml:space="preserve">new funding to IFC, with aim to integrate the </w:t>
      </w:r>
      <w:r w:rsidR="002E0541" w:rsidRPr="25BAB186">
        <w:rPr>
          <w:rFonts w:cs="Arial"/>
          <w:sz w:val="20"/>
          <w:szCs w:val="20"/>
        </w:rPr>
        <w:t xml:space="preserve">current loan process of financiers to yield high impact for low-income families hit by increased energy costs. </w:t>
      </w:r>
      <w:r w:rsidR="006E6D1D" w:rsidRPr="25BAB186">
        <w:rPr>
          <w:rFonts w:cs="Arial"/>
          <w:sz w:val="20"/>
          <w:szCs w:val="20"/>
        </w:rPr>
        <w:t>Results for these indicators in this reporting period either met or exceeded expectations.</w:t>
      </w:r>
    </w:p>
    <w:p w14:paraId="2149F629" w14:textId="77777777" w:rsidR="006A123D" w:rsidRPr="0040656D" w:rsidRDefault="006A123D" w:rsidP="00657117">
      <w:pPr>
        <w:spacing w:after="240"/>
        <w:rPr>
          <w:rFonts w:cs="Arial"/>
          <w:b/>
          <w:bCs/>
          <w:sz w:val="20"/>
          <w:szCs w:val="20"/>
        </w:rPr>
      </w:pPr>
      <w:r w:rsidRPr="0040656D">
        <w:rPr>
          <w:rFonts w:cs="Arial"/>
          <w:b/>
          <w:bCs/>
          <w:sz w:val="20"/>
          <w:szCs w:val="20"/>
        </w:rPr>
        <w:t xml:space="preserve">Describe any changes to this output, and any planned changes </w:t>
      </w:r>
      <w:proofErr w:type="gramStart"/>
      <w:r w:rsidRPr="0040656D">
        <w:rPr>
          <w:rFonts w:cs="Arial"/>
          <w:b/>
          <w:bCs/>
          <w:sz w:val="20"/>
          <w:szCs w:val="20"/>
        </w:rPr>
        <w:t>as a result of</w:t>
      </w:r>
      <w:proofErr w:type="gramEnd"/>
      <w:r w:rsidRPr="0040656D">
        <w:rPr>
          <w:rFonts w:cs="Arial"/>
          <w:b/>
          <w:bCs/>
          <w:sz w:val="20"/>
          <w:szCs w:val="20"/>
        </w:rPr>
        <w:t xml:space="preserve"> this review. </w:t>
      </w:r>
    </w:p>
    <w:p w14:paraId="5215F59D" w14:textId="77777777" w:rsidR="001C2D49" w:rsidRPr="0040656D" w:rsidRDefault="001C2D49" w:rsidP="00657117">
      <w:pPr>
        <w:pStyle w:val="paragraph0"/>
        <w:spacing w:before="0" w:beforeAutospacing="0" w:after="240" w:afterAutospacing="0"/>
        <w:jc w:val="both"/>
        <w:textAlignment w:val="baseline"/>
        <w:rPr>
          <w:rStyle w:val="normaltextrun"/>
          <w:rFonts w:ascii="Arial" w:hAnsi="Arial" w:cs="Arial"/>
          <w:color w:val="000000"/>
          <w:sz w:val="20"/>
          <w:szCs w:val="20"/>
          <w:u w:val="single"/>
        </w:rPr>
      </w:pPr>
      <w:r w:rsidRPr="0040656D">
        <w:rPr>
          <w:rStyle w:val="normaltextrun"/>
          <w:rFonts w:ascii="Arial" w:hAnsi="Arial" w:cs="Arial"/>
          <w:color w:val="000000"/>
          <w:sz w:val="20"/>
          <w:szCs w:val="20"/>
          <w:u w:val="single"/>
        </w:rPr>
        <w:t xml:space="preserve">This Reporting Period </w:t>
      </w:r>
    </w:p>
    <w:p w14:paraId="2F7C67DF" w14:textId="21202634" w:rsidR="001C2D49" w:rsidRDefault="001C2D49" w:rsidP="00657117">
      <w:pPr>
        <w:pStyle w:val="Paragraph"/>
        <w:spacing w:after="240"/>
        <w:rPr>
          <w:sz w:val="20"/>
          <w:szCs w:val="20"/>
        </w:rPr>
      </w:pPr>
      <w:r>
        <w:rPr>
          <w:sz w:val="20"/>
          <w:szCs w:val="20"/>
        </w:rPr>
        <w:t xml:space="preserve">Following a change request in March 2023, which increased the funding and scope of components 2, 3, and 4 – and as part of a broader </w:t>
      </w:r>
      <w:r w:rsidR="00451607">
        <w:rPr>
          <w:sz w:val="20"/>
          <w:szCs w:val="20"/>
        </w:rPr>
        <w:t>Logframe</w:t>
      </w:r>
      <w:r>
        <w:rPr>
          <w:sz w:val="20"/>
          <w:szCs w:val="20"/>
        </w:rPr>
        <w:t xml:space="preserve"> review - </w:t>
      </w:r>
      <w:proofErr w:type="gramStart"/>
      <w:r>
        <w:rPr>
          <w:sz w:val="20"/>
          <w:szCs w:val="20"/>
        </w:rPr>
        <w:t>a number of</w:t>
      </w:r>
      <w:proofErr w:type="gramEnd"/>
      <w:r>
        <w:rPr>
          <w:sz w:val="20"/>
          <w:szCs w:val="20"/>
        </w:rPr>
        <w:t xml:space="preserve"> additional indicators have been added to the </w:t>
      </w:r>
      <w:r w:rsidR="00451607">
        <w:rPr>
          <w:sz w:val="20"/>
          <w:szCs w:val="20"/>
        </w:rPr>
        <w:t>Logframe</w:t>
      </w:r>
      <w:r>
        <w:rPr>
          <w:sz w:val="20"/>
          <w:szCs w:val="20"/>
        </w:rPr>
        <w:t xml:space="preserve"> to capture the scope of the new funding. For this component, </w:t>
      </w:r>
      <w:r w:rsidR="00451607">
        <w:rPr>
          <w:sz w:val="20"/>
          <w:szCs w:val="20"/>
        </w:rPr>
        <w:t>Logframe</w:t>
      </w:r>
      <w:r>
        <w:rPr>
          <w:sz w:val="20"/>
          <w:szCs w:val="20"/>
        </w:rPr>
        <w:t xml:space="preserve"> amendments and additions were:</w:t>
      </w:r>
    </w:p>
    <w:p w14:paraId="12D26D7A" w14:textId="589B8A20" w:rsidR="00B37A28" w:rsidRPr="00345273" w:rsidRDefault="00B37A28" w:rsidP="00657117">
      <w:pPr>
        <w:pStyle w:val="Paragraph"/>
        <w:numPr>
          <w:ilvl w:val="0"/>
          <w:numId w:val="45"/>
        </w:numPr>
        <w:spacing w:after="240"/>
        <w:rPr>
          <w:sz w:val="20"/>
          <w:szCs w:val="20"/>
        </w:rPr>
      </w:pPr>
      <w:r w:rsidRPr="25BAB186">
        <w:rPr>
          <w:sz w:val="20"/>
          <w:szCs w:val="20"/>
        </w:rPr>
        <w:t>Increase indicator targets to capture higher ambition for already achieved results (added stretch target of 5%) – amending output indicators 2.1</w:t>
      </w:r>
      <w:r w:rsidR="00160CCF" w:rsidRPr="25BAB186">
        <w:rPr>
          <w:sz w:val="20"/>
          <w:szCs w:val="20"/>
        </w:rPr>
        <w:t xml:space="preserve"> –</w:t>
      </w:r>
      <w:r w:rsidRPr="25BAB186">
        <w:rPr>
          <w:sz w:val="20"/>
          <w:szCs w:val="20"/>
        </w:rPr>
        <w:t xml:space="preserve"> 2.5.</w:t>
      </w:r>
    </w:p>
    <w:p w14:paraId="3197F9E5" w14:textId="4EB81214" w:rsidR="001C2D49" w:rsidRPr="001D08BE" w:rsidRDefault="001C2D49" w:rsidP="00657117">
      <w:pPr>
        <w:pStyle w:val="Paragraph"/>
        <w:numPr>
          <w:ilvl w:val="0"/>
          <w:numId w:val="45"/>
        </w:numPr>
        <w:spacing w:after="240"/>
        <w:rPr>
          <w:sz w:val="20"/>
          <w:szCs w:val="20"/>
        </w:rPr>
      </w:pPr>
      <w:r w:rsidRPr="25BAB186">
        <w:rPr>
          <w:sz w:val="20"/>
          <w:szCs w:val="20"/>
        </w:rPr>
        <w:t>Targets agreed with IFC to capture the March 2023 Change Request</w:t>
      </w:r>
      <w:r w:rsidR="006A4E1F" w:rsidRPr="25BAB186">
        <w:rPr>
          <w:sz w:val="20"/>
          <w:szCs w:val="20"/>
        </w:rPr>
        <w:t xml:space="preserve"> </w:t>
      </w:r>
      <w:r w:rsidR="00CA4211" w:rsidRPr="25BAB186">
        <w:rPr>
          <w:sz w:val="20"/>
          <w:szCs w:val="20"/>
        </w:rPr>
        <w:t>–</w:t>
      </w:r>
      <w:r w:rsidR="00A03F54" w:rsidRPr="25BAB186">
        <w:rPr>
          <w:sz w:val="20"/>
          <w:szCs w:val="20"/>
        </w:rPr>
        <w:t xml:space="preserve"> introducing output indicators </w:t>
      </w:r>
      <w:r w:rsidR="00F71DB9" w:rsidRPr="25BAB186">
        <w:rPr>
          <w:sz w:val="20"/>
          <w:szCs w:val="20"/>
        </w:rPr>
        <w:t>3.2</w:t>
      </w:r>
      <w:r w:rsidR="00E01A45" w:rsidRPr="25BAB186">
        <w:rPr>
          <w:sz w:val="20"/>
          <w:szCs w:val="20"/>
        </w:rPr>
        <w:t xml:space="preserve"> </w:t>
      </w:r>
      <w:r w:rsidR="00B11D24" w:rsidRPr="25BAB186">
        <w:rPr>
          <w:sz w:val="20"/>
          <w:szCs w:val="20"/>
        </w:rPr>
        <w:t>–</w:t>
      </w:r>
      <w:r w:rsidR="00E01A45" w:rsidRPr="25BAB186">
        <w:rPr>
          <w:sz w:val="20"/>
          <w:szCs w:val="20"/>
        </w:rPr>
        <w:t xml:space="preserve"> </w:t>
      </w:r>
      <w:r w:rsidR="00F71DB9" w:rsidRPr="25BAB186">
        <w:rPr>
          <w:sz w:val="20"/>
          <w:szCs w:val="20"/>
        </w:rPr>
        <w:t>3.6</w:t>
      </w:r>
      <w:r w:rsidR="00724567" w:rsidRPr="25BAB186">
        <w:rPr>
          <w:sz w:val="20"/>
          <w:szCs w:val="20"/>
        </w:rPr>
        <w:t>.</w:t>
      </w:r>
      <w:r w:rsidR="00F71DB9" w:rsidRPr="25BAB186">
        <w:rPr>
          <w:sz w:val="20"/>
          <w:szCs w:val="20"/>
        </w:rPr>
        <w:t xml:space="preserve"> </w:t>
      </w:r>
    </w:p>
    <w:p w14:paraId="2E5AA37B" w14:textId="77777777" w:rsidR="001C2D49" w:rsidRDefault="001C2D49"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u w:val="single"/>
        </w:rPr>
      </w:pPr>
      <w:r w:rsidRPr="0080392B">
        <w:rPr>
          <w:rStyle w:val="normaltextrun"/>
          <w:rFonts w:ascii="Arial" w:hAnsi="Arial" w:cs="Arial"/>
          <w:color w:val="000000" w:themeColor="text1"/>
          <w:sz w:val="20"/>
          <w:szCs w:val="20"/>
          <w:u w:val="single"/>
        </w:rPr>
        <w:t>Future Changes:</w:t>
      </w:r>
    </w:p>
    <w:p w14:paraId="2BA412D6" w14:textId="4200EC58" w:rsidR="00DD7797" w:rsidRPr="0040656D" w:rsidRDefault="001C2D49"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highlight w:val="yellow"/>
          <w:lang w:eastAsia="en-US"/>
        </w:rPr>
      </w:pPr>
      <w:r>
        <w:rPr>
          <w:rStyle w:val="normaltextrun"/>
          <w:rFonts w:ascii="Arial" w:hAnsi="Arial" w:cs="Arial"/>
          <w:color w:val="000000" w:themeColor="text1"/>
          <w:sz w:val="20"/>
          <w:szCs w:val="20"/>
        </w:rPr>
        <w:t>No changes to this output planned in the next reporting period.</w:t>
      </w:r>
    </w:p>
    <w:p w14:paraId="4EB085D4" w14:textId="77777777" w:rsidR="006A123D" w:rsidRPr="0040656D" w:rsidRDefault="006A123D" w:rsidP="00657117">
      <w:pPr>
        <w:spacing w:after="240"/>
        <w:jc w:val="both"/>
        <w:rPr>
          <w:rFonts w:cs="Arial"/>
          <w:b/>
          <w:bCs/>
          <w:sz w:val="20"/>
          <w:szCs w:val="20"/>
        </w:rPr>
      </w:pPr>
      <w:r w:rsidRPr="00A96A8D">
        <w:rPr>
          <w:rFonts w:cs="Arial"/>
          <w:b/>
          <w:bCs/>
          <w:sz w:val="20"/>
          <w:szCs w:val="20"/>
        </w:rPr>
        <w:t>Progress on recommendations from the previous AR (if completed), lessons learned this year and recommendations for the year ahead.</w:t>
      </w:r>
      <w:r w:rsidRPr="0040656D">
        <w:rPr>
          <w:rFonts w:cs="Arial"/>
          <w:b/>
          <w:bCs/>
          <w:sz w:val="20"/>
          <w:szCs w:val="20"/>
        </w:rPr>
        <w:t xml:space="preserve"> </w:t>
      </w:r>
    </w:p>
    <w:p w14:paraId="72CF5AD6" w14:textId="77777777" w:rsidR="001079C2" w:rsidRPr="0040656D" w:rsidRDefault="001079C2" w:rsidP="00657117">
      <w:pPr>
        <w:spacing w:after="240"/>
        <w:jc w:val="both"/>
        <w:rPr>
          <w:rFonts w:cs="Arial"/>
          <w:b/>
          <w:bCs/>
          <w:sz w:val="20"/>
          <w:szCs w:val="20"/>
        </w:rPr>
      </w:pPr>
      <w:r>
        <w:rPr>
          <w:rFonts w:cs="Arial"/>
          <w:sz w:val="20"/>
          <w:szCs w:val="20"/>
          <w:u w:val="single"/>
        </w:rPr>
        <w:t xml:space="preserve">Previous Annual Review Recommendations </w:t>
      </w:r>
      <w:r w:rsidRPr="0040656D">
        <w:rPr>
          <w:rFonts w:cs="Arial"/>
          <w:b/>
          <w:bCs/>
          <w:sz w:val="20"/>
          <w:szCs w:val="20"/>
        </w:rPr>
        <w:t xml:space="preserve"> </w:t>
      </w:r>
    </w:p>
    <w:p w14:paraId="17DCC05A" w14:textId="70798BAD" w:rsidR="001079C2" w:rsidRDefault="001079C2" w:rsidP="000C48FF">
      <w:pPr>
        <w:pStyle w:val="ListParagraph"/>
        <w:numPr>
          <w:ilvl w:val="0"/>
          <w:numId w:val="79"/>
        </w:numPr>
        <w:spacing w:after="240"/>
        <w:ind w:left="357" w:hanging="357"/>
        <w:jc w:val="both"/>
        <w:rPr>
          <w:rFonts w:cs="Arial"/>
          <w:sz w:val="20"/>
          <w:szCs w:val="20"/>
        </w:rPr>
      </w:pPr>
      <w:r w:rsidRPr="08D7F225">
        <w:rPr>
          <w:rFonts w:cs="Arial"/>
          <w:b/>
          <w:bCs/>
          <w:sz w:val="20"/>
          <w:szCs w:val="20"/>
        </w:rPr>
        <w:t xml:space="preserve">Recommendation 1: Not complete, deprioritised. </w:t>
      </w:r>
      <w:r w:rsidRPr="08D7F225">
        <w:rPr>
          <w:rFonts w:cs="Arial"/>
          <w:sz w:val="20"/>
          <w:szCs w:val="20"/>
        </w:rPr>
        <w:t>DESNZ aimed to develop a systematic engagement strategy for MAGC delivery in priority ICF countries. This work has been deprioritised, due to DESNZ resourcing capacity and continued focus on scoping for a potential programme extension.  DESNZ have sought to support IFC and UK Posts on an ad-hoc basis when relevant opportunities arise.  The work has been deprioritised, due to DESNZ resourcing capacity and continued focus on scoping for a potential programme extension.  </w:t>
      </w:r>
    </w:p>
    <w:p w14:paraId="0ACBF2DF" w14:textId="77777777" w:rsidR="00643B0C" w:rsidRPr="00DD3E69" w:rsidRDefault="001079C2" w:rsidP="00DD3E69">
      <w:pPr>
        <w:pStyle w:val="ListParagraph"/>
        <w:numPr>
          <w:ilvl w:val="0"/>
          <w:numId w:val="79"/>
        </w:numPr>
        <w:ind w:left="357" w:hanging="357"/>
        <w:contextualSpacing w:val="0"/>
        <w:jc w:val="both"/>
        <w:rPr>
          <w:rFonts w:cs="Arial"/>
          <w:sz w:val="20"/>
          <w:szCs w:val="20"/>
        </w:rPr>
      </w:pPr>
      <w:r>
        <w:rPr>
          <w:rFonts w:cs="Arial"/>
          <w:b/>
          <w:bCs/>
          <w:sz w:val="20"/>
          <w:szCs w:val="20"/>
        </w:rPr>
        <w:t xml:space="preserve">Recommendation 2: Not complete, deprioritised. </w:t>
      </w:r>
      <w:r>
        <w:rPr>
          <w:rFonts w:cs="Arial"/>
          <w:sz w:val="20"/>
          <w:szCs w:val="20"/>
        </w:rPr>
        <w:t xml:space="preserve">DESNZ aimed to develop a communications and event strategy for MAGC. </w:t>
      </w:r>
    </w:p>
    <w:p w14:paraId="4D311500" w14:textId="17442487" w:rsidR="001079C2" w:rsidRPr="00361215" w:rsidRDefault="001079C2" w:rsidP="000C48FF">
      <w:pPr>
        <w:pStyle w:val="ListParagraph"/>
        <w:numPr>
          <w:ilvl w:val="0"/>
          <w:numId w:val="79"/>
        </w:numPr>
        <w:spacing w:after="240"/>
        <w:ind w:left="357" w:hanging="357"/>
        <w:jc w:val="both"/>
        <w:rPr>
          <w:rFonts w:cs="Arial"/>
          <w:sz w:val="20"/>
          <w:szCs w:val="20"/>
        </w:rPr>
      </w:pPr>
      <w:r w:rsidRPr="0E77958D">
        <w:rPr>
          <w:rFonts w:cs="Arial"/>
          <w:b/>
          <w:bCs/>
          <w:sz w:val="20"/>
          <w:szCs w:val="20"/>
        </w:rPr>
        <w:t>Recommendation 3: Complete</w:t>
      </w:r>
      <w:r w:rsidRPr="0E77958D">
        <w:rPr>
          <w:rFonts w:cs="Arial"/>
          <w:sz w:val="20"/>
          <w:szCs w:val="20"/>
        </w:rPr>
        <w:t xml:space="preserve">. DESNZ and IFC agreed and finalised a </w:t>
      </w:r>
      <w:r w:rsidR="00451607" w:rsidRPr="0E77958D">
        <w:rPr>
          <w:rFonts w:cs="Arial"/>
          <w:sz w:val="20"/>
          <w:szCs w:val="20"/>
        </w:rPr>
        <w:t>Logframe</w:t>
      </w:r>
      <w:r w:rsidRPr="0E77958D">
        <w:rPr>
          <w:rFonts w:cs="Arial"/>
          <w:sz w:val="20"/>
          <w:szCs w:val="20"/>
        </w:rPr>
        <w:t xml:space="preserve"> update in this reporting period, which is detailed on Page 7. </w:t>
      </w:r>
    </w:p>
    <w:p w14:paraId="6EFF7F7B" w14:textId="77777777" w:rsidR="001079C2" w:rsidRDefault="001079C2" w:rsidP="000C48FF">
      <w:pPr>
        <w:pStyle w:val="ListParagraph"/>
        <w:numPr>
          <w:ilvl w:val="0"/>
          <w:numId w:val="79"/>
        </w:numPr>
        <w:spacing w:after="240"/>
        <w:ind w:left="357" w:hanging="357"/>
        <w:contextualSpacing w:val="0"/>
        <w:jc w:val="both"/>
        <w:rPr>
          <w:rFonts w:cs="Arial"/>
          <w:sz w:val="20"/>
          <w:szCs w:val="20"/>
        </w:rPr>
      </w:pPr>
      <w:r>
        <w:rPr>
          <w:rFonts w:cs="Arial"/>
          <w:b/>
          <w:bCs/>
          <w:sz w:val="20"/>
          <w:szCs w:val="20"/>
        </w:rPr>
        <w:t xml:space="preserve">Recommendation 5: Not complete, ongoing. </w:t>
      </w:r>
      <w:r>
        <w:rPr>
          <w:rFonts w:cs="Arial"/>
          <w:sz w:val="20"/>
          <w:szCs w:val="20"/>
        </w:rPr>
        <w:t>DESNZ and IFC did not achieve amendments to the programme’s Administration Arrangements, due to lack of capacity in IFC’s Legal team. Once available, DESNZ and IFC have agreed to finalise this work and sign off amendments to the existing Administration Arrangements</w:t>
      </w:r>
      <w:r w:rsidRPr="00CE3487">
        <w:rPr>
          <w:rFonts w:cs="Arial"/>
          <w:sz w:val="20"/>
          <w:szCs w:val="20"/>
        </w:rPr>
        <w:t>.</w:t>
      </w:r>
    </w:p>
    <w:p w14:paraId="68344D08" w14:textId="77777777" w:rsidR="004B5B75" w:rsidRDefault="004B5B75" w:rsidP="00657117">
      <w:pPr>
        <w:pStyle w:val="Paragraph"/>
        <w:spacing w:after="240"/>
        <w:rPr>
          <w:sz w:val="20"/>
          <w:szCs w:val="20"/>
          <w:u w:val="single"/>
        </w:rPr>
      </w:pPr>
    </w:p>
    <w:p w14:paraId="5ACA93C2" w14:textId="59107A65" w:rsidR="001079C2" w:rsidRDefault="001079C2" w:rsidP="00657117">
      <w:pPr>
        <w:pStyle w:val="Paragraph"/>
        <w:spacing w:after="240"/>
        <w:rPr>
          <w:sz w:val="20"/>
          <w:szCs w:val="20"/>
          <w:u w:val="single"/>
        </w:rPr>
      </w:pPr>
      <w:r w:rsidRPr="002A0888">
        <w:rPr>
          <w:sz w:val="20"/>
          <w:szCs w:val="20"/>
          <w:u w:val="single"/>
        </w:rPr>
        <w:t>Annual Review Recommendations</w:t>
      </w:r>
    </w:p>
    <w:p w14:paraId="28935FE8" w14:textId="77777777" w:rsidR="001079C2" w:rsidRPr="00361215" w:rsidRDefault="001079C2" w:rsidP="0046078C">
      <w:pPr>
        <w:pStyle w:val="ListParagraph"/>
        <w:numPr>
          <w:ilvl w:val="0"/>
          <w:numId w:val="80"/>
        </w:numPr>
        <w:spacing w:after="240"/>
        <w:jc w:val="both"/>
        <w:rPr>
          <w:rFonts w:cs="Arial"/>
          <w:sz w:val="20"/>
          <w:szCs w:val="20"/>
        </w:rPr>
      </w:pPr>
      <w:r w:rsidRPr="00241E08">
        <w:rPr>
          <w:rFonts w:cs="Arial"/>
          <w:b/>
          <w:bCs/>
          <w:sz w:val="20"/>
          <w:szCs w:val="20"/>
        </w:rPr>
        <w:t xml:space="preserve">Recommendation 1: </w:t>
      </w:r>
      <w:r w:rsidRPr="002A1B14">
        <w:rPr>
          <w:rFonts w:cs="Arial"/>
          <w:b/>
          <w:bCs/>
          <w:sz w:val="20"/>
          <w:szCs w:val="20"/>
        </w:rPr>
        <w:t xml:space="preserve">Update Administrative Arrangements. </w:t>
      </w:r>
      <w:r w:rsidRPr="00361215">
        <w:rPr>
          <w:rFonts w:cs="Arial"/>
          <w:sz w:val="20"/>
          <w:szCs w:val="20"/>
        </w:rPr>
        <w:t>DESNZ and IFC to review and update the programme’s arrangements to bring up to date with departmental/organisational regulation and national policy. This will likely include introducing policies on ESG/safeguarding and data protection.</w:t>
      </w:r>
      <w:r w:rsidRPr="002A1B14">
        <w:rPr>
          <w:rFonts w:cs="Arial"/>
          <w:b/>
          <w:bCs/>
          <w:sz w:val="20"/>
          <w:szCs w:val="20"/>
        </w:rPr>
        <w:t>  </w:t>
      </w:r>
    </w:p>
    <w:p w14:paraId="753C4D87" w14:textId="77777777" w:rsidR="000A2486" w:rsidRPr="00723D20" w:rsidRDefault="000A2486" w:rsidP="00657117">
      <w:pPr>
        <w:pStyle w:val="ListParagraph"/>
        <w:spacing w:after="240"/>
        <w:ind w:left="1440"/>
        <w:rPr>
          <w:rFonts w:cs="Arial"/>
          <w:color w:val="000000" w:themeColor="text1"/>
          <w:kern w:val="2"/>
          <w:sz w:val="20"/>
          <w:szCs w:val="20"/>
          <w14:ligatures w14:val="standardContextual"/>
        </w:rPr>
      </w:pPr>
    </w:p>
    <w:p w14:paraId="6FE5A613" w14:textId="0EEE3F76" w:rsidR="006A123D" w:rsidRPr="0040656D" w:rsidRDefault="006A123D" w:rsidP="00657117">
      <w:pPr>
        <w:pStyle w:val="Paragraph"/>
        <w:spacing w:after="240"/>
        <w:rPr>
          <w:i/>
          <w:iCs/>
          <w:sz w:val="20"/>
          <w:szCs w:val="20"/>
        </w:rPr>
      </w:pPr>
      <w:r w:rsidRPr="0040656D">
        <w:rPr>
          <w:i/>
          <w:iCs/>
          <w:sz w:val="20"/>
          <w:szCs w:val="20"/>
        </w:rPr>
        <w:br w:type="page"/>
      </w:r>
    </w:p>
    <w:tbl>
      <w:tblPr>
        <w:tblStyle w:val="TableGrid"/>
        <w:tblW w:w="9294" w:type="dxa"/>
        <w:tblInd w:w="-147" w:type="dxa"/>
        <w:tblLook w:val="04A0" w:firstRow="1" w:lastRow="0" w:firstColumn="1" w:lastColumn="0" w:noHBand="0" w:noVBand="1"/>
      </w:tblPr>
      <w:tblGrid>
        <w:gridCol w:w="1654"/>
        <w:gridCol w:w="543"/>
        <w:gridCol w:w="1562"/>
        <w:gridCol w:w="3187"/>
        <w:gridCol w:w="2348"/>
      </w:tblGrid>
      <w:tr w:rsidR="00C9388B" w:rsidRPr="0040656D" w14:paraId="20B90908" w14:textId="77777777" w:rsidTr="4585376C">
        <w:trPr>
          <w:trHeight w:val="379"/>
        </w:trPr>
        <w:tc>
          <w:tcPr>
            <w:tcW w:w="165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821132C" w14:textId="77777777" w:rsidR="006A123D" w:rsidRPr="0040656D" w:rsidRDefault="006A123D" w:rsidP="00657117">
            <w:pPr>
              <w:spacing w:after="240"/>
              <w:rPr>
                <w:rFonts w:cs="Arial"/>
                <w:b/>
                <w:bCs/>
                <w:sz w:val="20"/>
                <w:szCs w:val="20"/>
              </w:rPr>
            </w:pPr>
            <w:r w:rsidRPr="0040656D">
              <w:rPr>
                <w:rFonts w:cs="Arial"/>
                <w:b/>
                <w:bCs/>
                <w:sz w:val="20"/>
                <w:szCs w:val="20"/>
              </w:rPr>
              <w:lastRenderedPageBreak/>
              <w:t xml:space="preserve">Output Title </w:t>
            </w:r>
          </w:p>
        </w:tc>
        <w:tc>
          <w:tcPr>
            <w:tcW w:w="764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E96AF6" w14:textId="77777777" w:rsidR="006A123D" w:rsidRPr="0040656D" w:rsidRDefault="006A123D" w:rsidP="00657117">
            <w:pPr>
              <w:spacing w:after="240"/>
              <w:rPr>
                <w:rFonts w:cs="Arial"/>
                <w:bCs/>
                <w:i/>
                <w:color w:val="FF0000"/>
                <w:sz w:val="20"/>
                <w:szCs w:val="20"/>
              </w:rPr>
            </w:pPr>
            <w:r w:rsidRPr="0040656D">
              <w:rPr>
                <w:rFonts w:cs="Arial"/>
                <w:sz w:val="20"/>
                <w:szCs w:val="20"/>
              </w:rPr>
              <w:t>Key stakeholders in participating countries understand and value certified green buildings.</w:t>
            </w:r>
          </w:p>
        </w:tc>
      </w:tr>
      <w:tr w:rsidR="00DD5465" w:rsidRPr="0040656D" w14:paraId="0991B502" w14:textId="77777777" w:rsidTr="4585376C">
        <w:trPr>
          <w:trHeight w:val="379"/>
        </w:trPr>
        <w:tc>
          <w:tcPr>
            <w:tcW w:w="2197"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59C2B14" w14:textId="77777777" w:rsidR="006A123D" w:rsidRPr="0040656D" w:rsidRDefault="006A123D" w:rsidP="00657117">
            <w:pPr>
              <w:spacing w:after="240"/>
              <w:rPr>
                <w:rFonts w:cs="Arial"/>
                <w:b/>
                <w:bCs/>
                <w:sz w:val="20"/>
                <w:szCs w:val="20"/>
              </w:rPr>
            </w:pPr>
            <w:r w:rsidRPr="0040656D">
              <w:rPr>
                <w:rFonts w:cs="Arial"/>
                <w:bCs/>
                <w:sz w:val="20"/>
                <w:szCs w:val="20"/>
              </w:rPr>
              <w:t xml:space="preserve">Output number: </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32DA0CB" w14:textId="77777777" w:rsidR="006A123D" w:rsidRPr="0040656D" w:rsidRDefault="006A123D" w:rsidP="00657117">
            <w:pPr>
              <w:spacing w:after="240"/>
              <w:rPr>
                <w:rFonts w:cs="Arial"/>
                <w:sz w:val="20"/>
                <w:szCs w:val="20"/>
              </w:rPr>
            </w:pPr>
            <w:r w:rsidRPr="0040656D">
              <w:rPr>
                <w:rFonts w:cs="Arial"/>
                <w:sz w:val="20"/>
                <w:szCs w:val="20"/>
              </w:rPr>
              <w:t>4</w:t>
            </w:r>
          </w:p>
        </w:tc>
        <w:tc>
          <w:tcPr>
            <w:tcW w:w="3187"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87E4F69" w14:textId="77777777" w:rsidR="006A123D" w:rsidRPr="0040656D" w:rsidRDefault="006A123D" w:rsidP="00657117">
            <w:pPr>
              <w:spacing w:after="240"/>
              <w:rPr>
                <w:rFonts w:cs="Arial"/>
                <w:sz w:val="20"/>
                <w:szCs w:val="20"/>
              </w:rPr>
            </w:pPr>
            <w:r w:rsidRPr="0040656D">
              <w:rPr>
                <w:rFonts w:cs="Arial"/>
                <w:bCs/>
                <w:sz w:val="20"/>
                <w:szCs w:val="20"/>
              </w:rPr>
              <w:t xml:space="preserve">Output Score: </w:t>
            </w:r>
          </w:p>
        </w:tc>
        <w:tc>
          <w:tcPr>
            <w:tcW w:w="2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0B92372" w14:textId="77777777" w:rsidR="006A123D" w:rsidRPr="0040656D" w:rsidRDefault="006A123D" w:rsidP="00657117">
            <w:pPr>
              <w:spacing w:after="240"/>
              <w:rPr>
                <w:rFonts w:cs="Arial"/>
                <w:sz w:val="20"/>
                <w:szCs w:val="20"/>
              </w:rPr>
            </w:pPr>
            <w:r w:rsidRPr="0040656D">
              <w:rPr>
                <w:rFonts w:cs="Arial"/>
                <w:b/>
                <w:sz w:val="20"/>
                <w:szCs w:val="20"/>
              </w:rPr>
              <w:t>A</w:t>
            </w:r>
          </w:p>
        </w:tc>
      </w:tr>
      <w:tr w:rsidR="00DD5465" w:rsidRPr="0040656D" w14:paraId="28E58D3C" w14:textId="77777777" w:rsidTr="4585376C">
        <w:trPr>
          <w:trHeight w:val="379"/>
        </w:trPr>
        <w:tc>
          <w:tcPr>
            <w:tcW w:w="2197"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5D9C7F2" w14:textId="77777777" w:rsidR="006A123D" w:rsidRPr="0040656D" w:rsidRDefault="006A123D" w:rsidP="00657117">
            <w:pPr>
              <w:spacing w:after="240"/>
              <w:rPr>
                <w:rFonts w:cs="Arial"/>
                <w:b/>
                <w:bCs/>
                <w:sz w:val="20"/>
                <w:szCs w:val="20"/>
              </w:rPr>
            </w:pPr>
            <w:r w:rsidRPr="0040656D">
              <w:rPr>
                <w:rFonts w:cs="Arial"/>
                <w:bCs/>
                <w:sz w:val="20"/>
                <w:szCs w:val="20"/>
              </w:rPr>
              <w:t xml:space="preserve">Impact weighting (%):  </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ED86DEB" w14:textId="77777777" w:rsidR="006A123D" w:rsidRPr="0040656D" w:rsidRDefault="006A123D" w:rsidP="00657117">
            <w:pPr>
              <w:spacing w:after="240"/>
              <w:rPr>
                <w:rFonts w:cs="Arial"/>
                <w:sz w:val="20"/>
                <w:szCs w:val="20"/>
              </w:rPr>
            </w:pPr>
            <w:r w:rsidRPr="0040656D">
              <w:rPr>
                <w:rFonts w:cs="Arial"/>
                <w:bCs/>
                <w:sz w:val="20"/>
                <w:szCs w:val="20"/>
              </w:rPr>
              <w:t>10%</w:t>
            </w:r>
          </w:p>
        </w:tc>
        <w:tc>
          <w:tcPr>
            <w:tcW w:w="3187"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FFDDCDC" w14:textId="77777777" w:rsidR="006A123D" w:rsidRPr="0040656D" w:rsidRDefault="006A123D" w:rsidP="00657117">
            <w:pPr>
              <w:spacing w:after="240"/>
              <w:rPr>
                <w:rFonts w:cs="Arial"/>
                <w:sz w:val="20"/>
                <w:szCs w:val="20"/>
              </w:rPr>
            </w:pPr>
            <w:r w:rsidRPr="0040656D">
              <w:rPr>
                <w:rFonts w:cs="Arial"/>
                <w:bCs/>
                <w:sz w:val="20"/>
                <w:szCs w:val="20"/>
              </w:rPr>
              <w:t xml:space="preserve">Weighting revised since last AR. </w:t>
            </w:r>
          </w:p>
        </w:tc>
        <w:tc>
          <w:tcPr>
            <w:tcW w:w="2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90ED3F0" w14:textId="77777777" w:rsidR="006A123D" w:rsidRPr="0040656D" w:rsidRDefault="006A123D" w:rsidP="00657117">
            <w:pPr>
              <w:spacing w:after="240"/>
              <w:rPr>
                <w:rFonts w:cs="Arial"/>
                <w:sz w:val="20"/>
                <w:szCs w:val="20"/>
              </w:rPr>
            </w:pPr>
            <w:r>
              <w:rPr>
                <w:rFonts w:cs="Arial"/>
                <w:bCs/>
                <w:sz w:val="20"/>
                <w:szCs w:val="20"/>
              </w:rPr>
              <w:t>No</w:t>
            </w:r>
          </w:p>
        </w:tc>
      </w:tr>
      <w:tr w:rsidR="00DD5465" w:rsidRPr="0040656D" w14:paraId="22C20DE1" w14:textId="77777777" w:rsidTr="4585376C">
        <w:trPr>
          <w:trHeight w:val="379"/>
        </w:trPr>
        <w:tc>
          <w:tcPr>
            <w:tcW w:w="2197"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967F19F" w14:textId="77777777" w:rsidR="006A123D" w:rsidRPr="0040656D" w:rsidRDefault="006A123D" w:rsidP="00657117">
            <w:pPr>
              <w:spacing w:after="240"/>
              <w:rPr>
                <w:rFonts w:cs="Arial"/>
                <w:b/>
                <w:bCs/>
                <w:sz w:val="20"/>
                <w:szCs w:val="20"/>
              </w:rPr>
            </w:pPr>
            <w:r w:rsidRPr="0040656D">
              <w:rPr>
                <w:rFonts w:cs="Arial"/>
                <w:bCs/>
                <w:sz w:val="20"/>
                <w:szCs w:val="20"/>
              </w:rPr>
              <w:t>Risk rating</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D046D" w14:textId="77777777" w:rsidR="006A123D" w:rsidRPr="0040656D" w:rsidRDefault="006A123D" w:rsidP="00657117">
            <w:pPr>
              <w:spacing w:after="240"/>
              <w:rPr>
                <w:rFonts w:cs="Arial"/>
                <w:sz w:val="20"/>
                <w:szCs w:val="20"/>
              </w:rPr>
            </w:pPr>
            <w:r>
              <w:rPr>
                <w:rFonts w:cs="Arial"/>
                <w:bCs/>
                <w:sz w:val="20"/>
                <w:szCs w:val="20"/>
              </w:rPr>
              <w:t>Moderate</w:t>
            </w:r>
          </w:p>
        </w:tc>
        <w:tc>
          <w:tcPr>
            <w:tcW w:w="3187"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F8FB51E" w14:textId="77777777" w:rsidR="006A123D" w:rsidRPr="0040656D" w:rsidRDefault="006A123D" w:rsidP="00657117">
            <w:pPr>
              <w:spacing w:after="240"/>
              <w:rPr>
                <w:rFonts w:cs="Arial"/>
                <w:sz w:val="20"/>
                <w:szCs w:val="20"/>
              </w:rPr>
            </w:pPr>
            <w:r w:rsidRPr="0040656D">
              <w:rPr>
                <w:rFonts w:cs="Arial"/>
                <w:bCs/>
                <w:sz w:val="20"/>
                <w:szCs w:val="20"/>
              </w:rPr>
              <w:t>Risk revised since last AR?</w:t>
            </w:r>
          </w:p>
        </w:tc>
        <w:tc>
          <w:tcPr>
            <w:tcW w:w="2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72432EA" w14:textId="77777777" w:rsidR="006A123D" w:rsidRPr="0040656D" w:rsidRDefault="006A123D" w:rsidP="00657117">
            <w:pPr>
              <w:spacing w:after="240"/>
              <w:rPr>
                <w:rFonts w:cs="Arial"/>
                <w:sz w:val="20"/>
                <w:szCs w:val="20"/>
              </w:rPr>
            </w:pPr>
            <w:r>
              <w:rPr>
                <w:rFonts w:cs="Arial"/>
                <w:bCs/>
                <w:sz w:val="20"/>
                <w:szCs w:val="20"/>
              </w:rPr>
              <w:t>Increased from Minor</w:t>
            </w:r>
          </w:p>
        </w:tc>
      </w:tr>
    </w:tbl>
    <w:p w14:paraId="099B4689" w14:textId="77777777" w:rsidR="006A123D" w:rsidRPr="0040656D" w:rsidRDefault="006A123D" w:rsidP="00657117">
      <w:pPr>
        <w:spacing w:after="240"/>
        <w:rPr>
          <w:rFonts w:cs="Arial"/>
          <w:b/>
          <w:sz w:val="20"/>
          <w:szCs w:val="20"/>
        </w:rPr>
      </w:pPr>
    </w:p>
    <w:tbl>
      <w:tblPr>
        <w:tblStyle w:val="TableGrid"/>
        <w:tblpPr w:leftFromText="180" w:rightFromText="180" w:vertAnchor="text" w:horzAnchor="page" w:tblpX="1325" w:tblpY="-10"/>
        <w:tblOverlap w:val="never"/>
        <w:tblW w:w="8876" w:type="dxa"/>
        <w:tblLook w:val="04A0" w:firstRow="1" w:lastRow="0" w:firstColumn="1" w:lastColumn="0" w:noHBand="0" w:noVBand="1"/>
      </w:tblPr>
      <w:tblGrid>
        <w:gridCol w:w="4260"/>
        <w:gridCol w:w="2557"/>
        <w:gridCol w:w="2059"/>
      </w:tblGrid>
      <w:tr w:rsidR="006A123D" w:rsidRPr="0040656D" w14:paraId="09B04F9B" w14:textId="77777777" w:rsidTr="60561D0A">
        <w:trPr>
          <w:trHeight w:val="273"/>
        </w:trPr>
        <w:tc>
          <w:tcPr>
            <w:tcW w:w="426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4EDA86C" w14:textId="760C9BEE" w:rsidR="006A123D" w:rsidRPr="0040656D" w:rsidRDefault="006A123D" w:rsidP="00657117">
            <w:pPr>
              <w:spacing w:after="240"/>
              <w:rPr>
                <w:rFonts w:cs="Arial"/>
                <w:b/>
                <w:bCs/>
                <w:sz w:val="20"/>
                <w:szCs w:val="20"/>
              </w:rPr>
            </w:pPr>
            <w:r w:rsidRPr="0040656D">
              <w:rPr>
                <w:rFonts w:cs="Arial"/>
                <w:b/>
                <w:bCs/>
                <w:sz w:val="20"/>
                <w:szCs w:val="20"/>
              </w:rPr>
              <w:t>Indicator(s)</w:t>
            </w:r>
          </w:p>
        </w:tc>
        <w:tc>
          <w:tcPr>
            <w:tcW w:w="2557"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C6308FB" w14:textId="77777777" w:rsidR="006A123D" w:rsidRPr="0040656D" w:rsidRDefault="006A123D" w:rsidP="00657117">
            <w:pPr>
              <w:spacing w:after="240"/>
              <w:rPr>
                <w:rFonts w:cs="Arial"/>
                <w:b/>
                <w:bCs/>
                <w:sz w:val="20"/>
                <w:szCs w:val="20"/>
              </w:rPr>
            </w:pPr>
            <w:r w:rsidRPr="0040656D">
              <w:rPr>
                <w:rFonts w:cs="Arial"/>
                <w:b/>
                <w:bCs/>
                <w:sz w:val="20"/>
                <w:szCs w:val="20"/>
              </w:rPr>
              <w:t>Milestone(s) for this review</w:t>
            </w:r>
          </w:p>
        </w:tc>
        <w:tc>
          <w:tcPr>
            <w:tcW w:w="205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E5C658B" w14:textId="4BBA8F27" w:rsidR="006A123D" w:rsidRPr="0040656D" w:rsidRDefault="00F72217" w:rsidP="00657117">
            <w:pPr>
              <w:spacing w:after="240"/>
              <w:rPr>
                <w:rFonts w:cs="Arial"/>
                <w:b/>
                <w:bCs/>
                <w:sz w:val="20"/>
                <w:szCs w:val="20"/>
              </w:rPr>
            </w:pPr>
            <w:r w:rsidRPr="0040656D">
              <w:rPr>
                <w:rFonts w:cs="Arial"/>
                <w:b/>
                <w:bCs/>
                <w:sz w:val="20"/>
                <w:szCs w:val="20"/>
              </w:rPr>
              <w:t>Progress</w:t>
            </w:r>
            <w:r>
              <w:rPr>
                <w:rFonts w:cs="Arial"/>
                <w:b/>
                <w:bCs/>
                <w:sz w:val="20"/>
                <w:szCs w:val="20"/>
              </w:rPr>
              <w:br/>
            </w:r>
            <w:r>
              <w:rPr>
                <w:rFonts w:cs="Arial"/>
                <w:i/>
                <w:iCs/>
                <w:sz w:val="20"/>
                <w:szCs w:val="20"/>
              </w:rPr>
              <w:t>(Score)</w:t>
            </w:r>
          </w:p>
        </w:tc>
      </w:tr>
      <w:tr w:rsidR="006A123D" w:rsidRPr="0040656D" w14:paraId="590CF8E1" w14:textId="77777777" w:rsidTr="60561D0A">
        <w:trPr>
          <w:trHeight w:val="941"/>
        </w:trPr>
        <w:tc>
          <w:tcPr>
            <w:tcW w:w="4260" w:type="dxa"/>
            <w:tcBorders>
              <w:top w:val="single" w:sz="4" w:space="0" w:color="auto"/>
              <w:left w:val="single" w:sz="4" w:space="0" w:color="auto"/>
              <w:bottom w:val="single" w:sz="4" w:space="0" w:color="auto"/>
              <w:right w:val="single" w:sz="4" w:space="0" w:color="auto"/>
            </w:tcBorders>
          </w:tcPr>
          <w:p w14:paraId="4BEA9312" w14:textId="77777777" w:rsidR="006A123D" w:rsidRPr="00A96A8D" w:rsidRDefault="006A123D" w:rsidP="00657117">
            <w:pPr>
              <w:spacing w:after="240"/>
              <w:rPr>
                <w:rFonts w:cs="Arial"/>
                <w:bCs/>
                <w:sz w:val="20"/>
                <w:szCs w:val="20"/>
                <w:u w:val="single"/>
              </w:rPr>
            </w:pPr>
            <w:r w:rsidRPr="00A96A8D">
              <w:rPr>
                <w:rFonts w:cs="Arial"/>
                <w:bCs/>
                <w:sz w:val="20"/>
                <w:szCs w:val="20"/>
                <w:u w:val="single"/>
              </w:rPr>
              <w:t>4.4</w:t>
            </w:r>
            <w:r w:rsidRPr="00A96A8D">
              <w:rPr>
                <w:rFonts w:cs="Arial"/>
                <w:bCs/>
                <w:sz w:val="20"/>
                <w:szCs w:val="20"/>
              </w:rPr>
              <w:t xml:space="preserve"> Percent of MAGC Research Panel recommendations satisfactorily addressed by MAGC team and actioned. </w:t>
            </w:r>
          </w:p>
        </w:tc>
        <w:tc>
          <w:tcPr>
            <w:tcW w:w="2557" w:type="dxa"/>
            <w:tcBorders>
              <w:top w:val="single" w:sz="4" w:space="0" w:color="auto"/>
              <w:left w:val="single" w:sz="4" w:space="0" w:color="auto"/>
              <w:bottom w:val="single" w:sz="4" w:space="0" w:color="auto"/>
              <w:right w:val="single" w:sz="4" w:space="0" w:color="auto"/>
            </w:tcBorders>
          </w:tcPr>
          <w:p w14:paraId="0119085D" w14:textId="77777777" w:rsidR="006A123D" w:rsidRPr="00A96A8D" w:rsidRDefault="006A123D" w:rsidP="00657117">
            <w:pPr>
              <w:spacing w:after="240"/>
              <w:rPr>
                <w:rFonts w:cs="Arial"/>
                <w:bCs/>
                <w:sz w:val="20"/>
                <w:szCs w:val="20"/>
              </w:rPr>
            </w:pPr>
            <w:r w:rsidRPr="00A96A8D">
              <w:rPr>
                <w:rFonts w:cs="Arial"/>
                <w:bCs/>
                <w:sz w:val="20"/>
                <w:szCs w:val="20"/>
              </w:rPr>
              <w:t xml:space="preserve">Monitoring only </w:t>
            </w:r>
          </w:p>
        </w:tc>
        <w:tc>
          <w:tcPr>
            <w:tcW w:w="2059" w:type="dxa"/>
            <w:tcBorders>
              <w:top w:val="single" w:sz="4" w:space="0" w:color="auto"/>
              <w:left w:val="single" w:sz="4" w:space="0" w:color="auto"/>
              <w:bottom w:val="single" w:sz="4" w:space="0" w:color="auto"/>
              <w:right w:val="single" w:sz="4" w:space="0" w:color="auto"/>
            </w:tcBorders>
          </w:tcPr>
          <w:p w14:paraId="05E2636D" w14:textId="27C8ED7D" w:rsidR="006A123D" w:rsidRPr="000900C3" w:rsidRDefault="00CD7584" w:rsidP="00657117">
            <w:pPr>
              <w:spacing w:after="240"/>
              <w:rPr>
                <w:rStyle w:val="normaltextrun"/>
                <w:rFonts w:cs="Arial"/>
                <w:color w:val="000000"/>
                <w:sz w:val="20"/>
                <w:szCs w:val="20"/>
                <w:highlight w:val="yellow"/>
                <w:shd w:val="clear" w:color="auto" w:fill="FFFFFF"/>
                <w:lang w:val="en-US"/>
              </w:rPr>
            </w:pPr>
            <w:r w:rsidRPr="000900C3">
              <w:rPr>
                <w:rStyle w:val="normaltextrun"/>
                <w:rFonts w:cs="Arial"/>
                <w:color w:val="000000"/>
                <w:sz w:val="20"/>
                <w:szCs w:val="20"/>
                <w:shd w:val="clear" w:color="auto" w:fill="FFFFFF"/>
                <w:lang w:val="en-US"/>
              </w:rPr>
              <w:t>NA</w:t>
            </w:r>
          </w:p>
        </w:tc>
      </w:tr>
      <w:tr w:rsidR="006A123D" w:rsidRPr="0040656D" w14:paraId="66883FC9" w14:textId="77777777" w:rsidTr="60561D0A">
        <w:trPr>
          <w:trHeight w:val="941"/>
        </w:trPr>
        <w:tc>
          <w:tcPr>
            <w:tcW w:w="4260" w:type="dxa"/>
            <w:tcBorders>
              <w:top w:val="single" w:sz="4" w:space="0" w:color="auto"/>
              <w:left w:val="single" w:sz="4" w:space="0" w:color="auto"/>
              <w:bottom w:val="single" w:sz="4" w:space="0" w:color="auto"/>
              <w:right w:val="single" w:sz="4" w:space="0" w:color="auto"/>
            </w:tcBorders>
          </w:tcPr>
          <w:p w14:paraId="61B4B6FD" w14:textId="77777777" w:rsidR="006A123D" w:rsidRPr="0040656D" w:rsidRDefault="006A123D" w:rsidP="00657117">
            <w:pPr>
              <w:spacing w:after="240"/>
              <w:rPr>
                <w:rFonts w:cs="Arial"/>
                <w:bCs/>
                <w:iCs/>
                <w:sz w:val="20"/>
                <w:szCs w:val="20"/>
              </w:rPr>
            </w:pPr>
            <w:r w:rsidRPr="0040656D">
              <w:rPr>
                <w:rFonts w:cs="Arial"/>
                <w:bCs/>
                <w:sz w:val="20"/>
                <w:szCs w:val="20"/>
                <w:u w:val="single"/>
              </w:rPr>
              <w:t>4.5</w:t>
            </w:r>
            <w:r w:rsidRPr="0040656D">
              <w:rPr>
                <w:rFonts w:cs="Arial"/>
                <w:bCs/>
                <w:sz w:val="20"/>
                <w:szCs w:val="20"/>
              </w:rPr>
              <w:t xml:space="preserve"> Cumulative number of core reports quality assured and published. </w:t>
            </w:r>
          </w:p>
        </w:tc>
        <w:tc>
          <w:tcPr>
            <w:tcW w:w="2557" w:type="dxa"/>
            <w:tcBorders>
              <w:top w:val="single" w:sz="4" w:space="0" w:color="auto"/>
              <w:left w:val="single" w:sz="4" w:space="0" w:color="auto"/>
              <w:bottom w:val="single" w:sz="4" w:space="0" w:color="auto"/>
              <w:right w:val="single" w:sz="4" w:space="0" w:color="auto"/>
            </w:tcBorders>
          </w:tcPr>
          <w:p w14:paraId="6CDCED49" w14:textId="139970D9" w:rsidR="006A123D" w:rsidRPr="00560C6F" w:rsidRDefault="00F74295" w:rsidP="00657117">
            <w:pPr>
              <w:spacing w:after="240"/>
              <w:rPr>
                <w:rFonts w:cs="Arial"/>
                <w:bCs/>
                <w:iCs/>
                <w:sz w:val="20"/>
                <w:szCs w:val="20"/>
              </w:rPr>
            </w:pPr>
            <w:r>
              <w:rPr>
                <w:rFonts w:cs="Arial"/>
                <w:bCs/>
                <w:iCs/>
                <w:sz w:val="20"/>
                <w:szCs w:val="20"/>
              </w:rPr>
              <w:t>2</w:t>
            </w:r>
          </w:p>
        </w:tc>
        <w:tc>
          <w:tcPr>
            <w:tcW w:w="2059" w:type="dxa"/>
            <w:tcBorders>
              <w:top w:val="single" w:sz="4" w:space="0" w:color="auto"/>
              <w:left w:val="single" w:sz="4" w:space="0" w:color="auto"/>
              <w:bottom w:val="single" w:sz="4" w:space="0" w:color="auto"/>
              <w:right w:val="single" w:sz="4" w:space="0" w:color="auto"/>
            </w:tcBorders>
          </w:tcPr>
          <w:p w14:paraId="72880081" w14:textId="1745D455" w:rsidR="006A123D" w:rsidRPr="000900C3" w:rsidRDefault="006A123D" w:rsidP="00657117">
            <w:pPr>
              <w:spacing w:after="240"/>
              <w:rPr>
                <w:rFonts w:cs="Arial"/>
                <w:color w:val="000000"/>
                <w:sz w:val="20"/>
                <w:szCs w:val="20"/>
                <w:shd w:val="clear" w:color="auto" w:fill="FFFFFF"/>
              </w:rPr>
            </w:pPr>
            <w:r w:rsidRPr="00F72217">
              <w:rPr>
                <w:rStyle w:val="normaltextrun"/>
                <w:rFonts w:cs="Arial"/>
                <w:b/>
                <w:bCs/>
                <w:color w:val="000000"/>
                <w:sz w:val="20"/>
                <w:szCs w:val="20"/>
                <w:shd w:val="clear" w:color="auto" w:fill="FFFFFF"/>
              </w:rPr>
              <w:t>Achieved</w:t>
            </w:r>
            <w:r w:rsidR="000900C3" w:rsidRPr="00F72217">
              <w:rPr>
                <w:rStyle w:val="normaltextrun"/>
                <w:rFonts w:cs="Arial"/>
                <w:b/>
                <w:bCs/>
                <w:color w:val="000000"/>
                <w:sz w:val="20"/>
                <w:szCs w:val="20"/>
                <w:shd w:val="clear" w:color="auto" w:fill="FFFFFF"/>
              </w:rPr>
              <w:t>:</w:t>
            </w:r>
            <w:r w:rsidRPr="00F72217">
              <w:rPr>
                <w:rStyle w:val="normaltextrun"/>
                <w:rFonts w:cs="Arial"/>
                <w:b/>
                <w:bCs/>
                <w:color w:val="000000"/>
                <w:sz w:val="20"/>
                <w:szCs w:val="20"/>
                <w:shd w:val="clear" w:color="auto" w:fill="FFFFFF"/>
              </w:rPr>
              <w:t xml:space="preserve"> </w:t>
            </w:r>
            <w:r w:rsidR="008C2673" w:rsidRPr="00F72217">
              <w:rPr>
                <w:rStyle w:val="normaltextrun"/>
                <w:rFonts w:cs="Arial"/>
                <w:b/>
                <w:bCs/>
                <w:color w:val="000000"/>
                <w:sz w:val="20"/>
                <w:szCs w:val="20"/>
                <w:shd w:val="clear" w:color="auto" w:fill="FFFFFF"/>
              </w:rPr>
              <w:t>2</w:t>
            </w:r>
            <w:r w:rsidR="000900C3" w:rsidRPr="00F72217">
              <w:rPr>
                <w:rStyle w:val="normaltextrun"/>
                <w:rFonts w:cs="Arial"/>
                <w:b/>
                <w:bCs/>
                <w:color w:val="000000"/>
                <w:sz w:val="20"/>
                <w:szCs w:val="20"/>
                <w:shd w:val="clear" w:color="auto" w:fill="FFFFFF"/>
              </w:rPr>
              <w:br/>
            </w:r>
            <w:r w:rsidR="00CC62CB" w:rsidRPr="00F72217">
              <w:rPr>
                <w:rStyle w:val="normaltextrun"/>
                <w:i/>
                <w:iCs/>
                <w:color w:val="000000"/>
                <w:sz w:val="20"/>
                <w:szCs w:val="20"/>
                <w:shd w:val="clear" w:color="auto" w:fill="FFFFFF"/>
              </w:rPr>
              <w:t>(A)</w:t>
            </w:r>
          </w:p>
        </w:tc>
      </w:tr>
      <w:tr w:rsidR="006A123D" w:rsidRPr="0040656D" w14:paraId="1B58FC10" w14:textId="77777777" w:rsidTr="60561D0A">
        <w:trPr>
          <w:trHeight w:val="941"/>
        </w:trPr>
        <w:tc>
          <w:tcPr>
            <w:tcW w:w="4260" w:type="dxa"/>
            <w:tcBorders>
              <w:top w:val="single" w:sz="4" w:space="0" w:color="auto"/>
              <w:left w:val="single" w:sz="4" w:space="0" w:color="auto"/>
              <w:bottom w:val="single" w:sz="4" w:space="0" w:color="auto"/>
              <w:right w:val="single" w:sz="4" w:space="0" w:color="auto"/>
            </w:tcBorders>
          </w:tcPr>
          <w:p w14:paraId="1403E3A7" w14:textId="77777777" w:rsidR="006A123D" w:rsidRPr="0040656D" w:rsidRDefault="006A123D" w:rsidP="00657117">
            <w:pPr>
              <w:spacing w:after="240"/>
              <w:rPr>
                <w:rFonts w:cs="Arial"/>
                <w:bCs/>
                <w:sz w:val="20"/>
                <w:szCs w:val="20"/>
              </w:rPr>
            </w:pPr>
            <w:r w:rsidRPr="0040656D">
              <w:rPr>
                <w:rFonts w:cs="Arial"/>
                <w:bCs/>
                <w:sz w:val="20"/>
                <w:szCs w:val="20"/>
                <w:u w:val="single"/>
              </w:rPr>
              <w:t>4.6</w:t>
            </w:r>
            <w:r w:rsidRPr="0040656D">
              <w:rPr>
                <w:rFonts w:cs="Arial"/>
                <w:bCs/>
                <w:sz w:val="20"/>
                <w:szCs w:val="20"/>
              </w:rPr>
              <w:t xml:space="preserve"> Cumulative number of stakeholders interacting with MAGC Research outputs (by download, access to link, comments, likes and shares in social media). </w:t>
            </w:r>
          </w:p>
        </w:tc>
        <w:tc>
          <w:tcPr>
            <w:tcW w:w="2557" w:type="dxa"/>
            <w:tcBorders>
              <w:top w:val="single" w:sz="4" w:space="0" w:color="auto"/>
              <w:left w:val="single" w:sz="4" w:space="0" w:color="auto"/>
              <w:bottom w:val="single" w:sz="4" w:space="0" w:color="auto"/>
              <w:right w:val="single" w:sz="4" w:space="0" w:color="auto"/>
            </w:tcBorders>
          </w:tcPr>
          <w:p w14:paraId="74414B24" w14:textId="57A8BD64" w:rsidR="006A123D" w:rsidRPr="00207A36" w:rsidRDefault="00207A36" w:rsidP="00657117">
            <w:pPr>
              <w:spacing w:after="240"/>
              <w:rPr>
                <w:rFonts w:cs="Arial"/>
                <w:bCs/>
                <w:sz w:val="20"/>
                <w:szCs w:val="20"/>
              </w:rPr>
            </w:pPr>
            <w:r w:rsidRPr="00207A36">
              <w:rPr>
                <w:rFonts w:cs="Arial"/>
                <w:bCs/>
                <w:sz w:val="20"/>
                <w:szCs w:val="20"/>
              </w:rPr>
              <w:t>1</w:t>
            </w:r>
            <w:r w:rsidR="00DD5067">
              <w:rPr>
                <w:rFonts w:cs="Arial"/>
                <w:bCs/>
                <w:sz w:val="20"/>
                <w:szCs w:val="20"/>
              </w:rPr>
              <w:t>,</w:t>
            </w:r>
            <w:r w:rsidRPr="008E5FC7">
              <w:rPr>
                <w:rFonts w:cs="Arial"/>
                <w:sz w:val="20"/>
                <w:szCs w:val="20"/>
              </w:rPr>
              <w:t>500</w:t>
            </w:r>
          </w:p>
        </w:tc>
        <w:tc>
          <w:tcPr>
            <w:tcW w:w="2059" w:type="dxa"/>
            <w:tcBorders>
              <w:top w:val="single" w:sz="4" w:space="0" w:color="auto"/>
              <w:left w:val="single" w:sz="4" w:space="0" w:color="auto"/>
              <w:bottom w:val="single" w:sz="4" w:space="0" w:color="auto"/>
              <w:right w:val="single" w:sz="4" w:space="0" w:color="auto"/>
            </w:tcBorders>
          </w:tcPr>
          <w:p w14:paraId="07EC9D3E" w14:textId="44D936E1" w:rsidR="006A123D" w:rsidRPr="000900C3" w:rsidRDefault="006A123D" w:rsidP="00657117">
            <w:pPr>
              <w:spacing w:after="240"/>
              <w:rPr>
                <w:rStyle w:val="normaltextrun"/>
                <w:rFonts w:cs="Arial"/>
                <w:color w:val="000000"/>
                <w:sz w:val="20"/>
                <w:szCs w:val="20"/>
                <w:shd w:val="clear" w:color="auto" w:fill="FFFFFF"/>
              </w:rPr>
            </w:pPr>
            <w:r w:rsidRPr="00F72217">
              <w:rPr>
                <w:rStyle w:val="normaltextrun"/>
                <w:rFonts w:cs="Arial"/>
                <w:b/>
                <w:bCs/>
                <w:color w:val="000000"/>
                <w:sz w:val="20"/>
                <w:szCs w:val="20"/>
                <w:shd w:val="clear" w:color="auto" w:fill="FFFFFF"/>
              </w:rPr>
              <w:t>Achieved</w:t>
            </w:r>
            <w:r w:rsidR="000900C3" w:rsidRPr="00F72217">
              <w:rPr>
                <w:rStyle w:val="normaltextrun"/>
                <w:rFonts w:cs="Arial"/>
                <w:b/>
                <w:bCs/>
                <w:color w:val="000000"/>
                <w:sz w:val="20"/>
                <w:szCs w:val="20"/>
                <w:shd w:val="clear" w:color="auto" w:fill="FFFFFF"/>
              </w:rPr>
              <w:t>:</w:t>
            </w:r>
            <w:r w:rsidRPr="00F72217">
              <w:rPr>
                <w:rStyle w:val="normaltextrun"/>
                <w:rFonts w:cs="Arial"/>
                <w:b/>
                <w:bCs/>
                <w:color w:val="000000"/>
                <w:sz w:val="20"/>
                <w:szCs w:val="20"/>
                <w:shd w:val="clear" w:color="auto" w:fill="FFFFFF"/>
              </w:rPr>
              <w:t xml:space="preserve"> </w:t>
            </w:r>
            <w:r w:rsidR="00207A36" w:rsidRPr="00F72217">
              <w:rPr>
                <w:rStyle w:val="normaltextrun"/>
                <w:rFonts w:cs="Arial"/>
                <w:b/>
                <w:bCs/>
                <w:color w:val="000000"/>
                <w:sz w:val="20"/>
                <w:szCs w:val="20"/>
                <w:shd w:val="clear" w:color="auto" w:fill="FFFFFF"/>
              </w:rPr>
              <w:t>2,373</w:t>
            </w:r>
            <w:r w:rsidRPr="000900C3">
              <w:rPr>
                <w:rStyle w:val="normaltextrun"/>
                <w:rFonts w:cs="Arial"/>
                <w:color w:val="000000"/>
                <w:sz w:val="20"/>
                <w:szCs w:val="20"/>
                <w:shd w:val="clear" w:color="auto" w:fill="FFFFFF"/>
              </w:rPr>
              <w:t xml:space="preserve">, of which </w:t>
            </w:r>
            <w:r w:rsidR="00207A36" w:rsidRPr="000900C3">
              <w:rPr>
                <w:rStyle w:val="normaltextrun"/>
                <w:rFonts w:cs="Arial"/>
                <w:color w:val="000000"/>
                <w:sz w:val="20"/>
                <w:szCs w:val="20"/>
                <w:shd w:val="clear" w:color="auto" w:fill="FFFFFF"/>
              </w:rPr>
              <w:t xml:space="preserve">1,912 </w:t>
            </w:r>
            <w:r w:rsidRPr="000900C3">
              <w:rPr>
                <w:rStyle w:val="normaltextrun"/>
                <w:rFonts w:cs="Arial"/>
                <w:color w:val="000000"/>
                <w:sz w:val="20"/>
                <w:szCs w:val="20"/>
                <w:shd w:val="clear" w:color="auto" w:fill="FFFFFF"/>
              </w:rPr>
              <w:t xml:space="preserve">were downloads </w:t>
            </w:r>
            <w:r w:rsidR="00CC62CB" w:rsidRPr="000900C3">
              <w:rPr>
                <w:rStyle w:val="normaltextrun"/>
                <w:rFonts w:cs="Arial"/>
                <w:color w:val="000000"/>
                <w:sz w:val="20"/>
                <w:szCs w:val="20"/>
                <w:shd w:val="clear" w:color="auto" w:fill="FFFFFF"/>
              </w:rPr>
              <w:br/>
            </w:r>
            <w:r w:rsidR="00CC62CB" w:rsidRPr="00F72217">
              <w:rPr>
                <w:rStyle w:val="normaltextrun"/>
                <w:i/>
                <w:iCs/>
                <w:color w:val="000000"/>
                <w:sz w:val="20"/>
                <w:szCs w:val="20"/>
                <w:shd w:val="clear" w:color="auto" w:fill="FFFFFF"/>
              </w:rPr>
              <w:t>(A+)</w:t>
            </w:r>
          </w:p>
        </w:tc>
      </w:tr>
      <w:tr w:rsidR="006A123D" w:rsidRPr="0040656D" w14:paraId="5E1931D3" w14:textId="77777777" w:rsidTr="60561D0A">
        <w:trPr>
          <w:trHeight w:val="941"/>
        </w:trPr>
        <w:tc>
          <w:tcPr>
            <w:tcW w:w="4260" w:type="dxa"/>
            <w:tcBorders>
              <w:top w:val="single" w:sz="4" w:space="0" w:color="auto"/>
              <w:left w:val="single" w:sz="4" w:space="0" w:color="auto"/>
              <w:bottom w:val="single" w:sz="4" w:space="0" w:color="auto"/>
              <w:right w:val="single" w:sz="4" w:space="0" w:color="auto"/>
            </w:tcBorders>
          </w:tcPr>
          <w:p w14:paraId="3FCAAF8E" w14:textId="77777777" w:rsidR="006A123D" w:rsidRPr="0040656D" w:rsidRDefault="006A123D" w:rsidP="00657117">
            <w:pPr>
              <w:spacing w:after="240"/>
              <w:rPr>
                <w:rFonts w:cs="Arial"/>
                <w:bCs/>
                <w:sz w:val="20"/>
                <w:szCs w:val="20"/>
              </w:rPr>
            </w:pPr>
            <w:r w:rsidRPr="29CA07FD">
              <w:rPr>
                <w:rFonts w:cs="Arial"/>
                <w:sz w:val="20"/>
                <w:szCs w:val="20"/>
                <w:u w:val="single"/>
              </w:rPr>
              <w:t>4.7</w:t>
            </w:r>
            <w:r w:rsidRPr="29CA07FD">
              <w:rPr>
                <w:rFonts w:cs="Arial"/>
                <w:sz w:val="20"/>
                <w:szCs w:val="20"/>
              </w:rPr>
              <w:t xml:space="preserve"> Cumulative number of key</w:t>
            </w:r>
            <w:r w:rsidRPr="29CA07FD">
              <w:rPr>
                <w:rStyle w:val="FootnoteReference"/>
                <w:rFonts w:cs="Arial"/>
                <w:sz w:val="20"/>
                <w:szCs w:val="20"/>
              </w:rPr>
              <w:footnoteReference w:id="6"/>
            </w:r>
            <w:r w:rsidRPr="29CA07FD">
              <w:rPr>
                <w:rFonts w:cs="Arial"/>
                <w:sz w:val="20"/>
                <w:szCs w:val="20"/>
              </w:rPr>
              <w:t xml:space="preserve"> stakeholders participating in MAGC Research dissemination events </w:t>
            </w:r>
          </w:p>
        </w:tc>
        <w:tc>
          <w:tcPr>
            <w:tcW w:w="2557" w:type="dxa"/>
            <w:tcBorders>
              <w:top w:val="single" w:sz="4" w:space="0" w:color="auto"/>
              <w:left w:val="single" w:sz="4" w:space="0" w:color="auto"/>
              <w:bottom w:val="single" w:sz="4" w:space="0" w:color="auto"/>
              <w:right w:val="single" w:sz="4" w:space="0" w:color="auto"/>
            </w:tcBorders>
          </w:tcPr>
          <w:p w14:paraId="5DBDA7D6" w14:textId="156009C9" w:rsidR="006A123D" w:rsidRPr="00DD5067" w:rsidRDefault="00DD5067" w:rsidP="00657117">
            <w:pPr>
              <w:spacing w:after="240"/>
              <w:rPr>
                <w:rFonts w:cs="Arial"/>
                <w:bCs/>
                <w:sz w:val="20"/>
                <w:szCs w:val="20"/>
              </w:rPr>
            </w:pPr>
            <w:r w:rsidRPr="00DD5067">
              <w:rPr>
                <w:rFonts w:cs="Arial"/>
                <w:bCs/>
                <w:sz w:val="20"/>
                <w:szCs w:val="20"/>
              </w:rPr>
              <w:t>4</w:t>
            </w:r>
            <w:r w:rsidRPr="008E5FC7">
              <w:rPr>
                <w:rFonts w:cs="Arial"/>
                <w:sz w:val="20"/>
                <w:szCs w:val="20"/>
              </w:rPr>
              <w:t>15</w:t>
            </w:r>
          </w:p>
        </w:tc>
        <w:tc>
          <w:tcPr>
            <w:tcW w:w="2059" w:type="dxa"/>
            <w:tcBorders>
              <w:top w:val="single" w:sz="4" w:space="0" w:color="auto"/>
              <w:left w:val="single" w:sz="4" w:space="0" w:color="auto"/>
              <w:bottom w:val="single" w:sz="4" w:space="0" w:color="auto"/>
              <w:right w:val="single" w:sz="4" w:space="0" w:color="auto"/>
            </w:tcBorders>
          </w:tcPr>
          <w:p w14:paraId="4FDCA0FF" w14:textId="69202E0B" w:rsidR="006A123D" w:rsidRPr="000900C3" w:rsidRDefault="006A123D" w:rsidP="00657117">
            <w:pPr>
              <w:spacing w:after="240"/>
              <w:rPr>
                <w:rStyle w:val="normaltextrun"/>
                <w:rFonts w:cs="Arial"/>
                <w:color w:val="000000"/>
                <w:sz w:val="20"/>
                <w:szCs w:val="20"/>
                <w:u w:val="single"/>
                <w:shd w:val="clear" w:color="auto" w:fill="FFFFFF"/>
              </w:rPr>
            </w:pPr>
            <w:r w:rsidRPr="00F72217">
              <w:rPr>
                <w:rStyle w:val="normaltextrun"/>
                <w:rFonts w:cs="Arial"/>
                <w:b/>
                <w:bCs/>
                <w:color w:val="000000"/>
                <w:sz w:val="20"/>
                <w:szCs w:val="20"/>
                <w:shd w:val="clear" w:color="auto" w:fill="FFFFFF"/>
              </w:rPr>
              <w:t>Achieved</w:t>
            </w:r>
            <w:r w:rsidR="00F72217" w:rsidRPr="00F72217">
              <w:rPr>
                <w:rStyle w:val="normaltextrun"/>
                <w:rFonts w:cs="Arial"/>
                <w:b/>
                <w:bCs/>
                <w:color w:val="000000"/>
                <w:sz w:val="20"/>
                <w:szCs w:val="20"/>
                <w:shd w:val="clear" w:color="auto" w:fill="FFFFFF"/>
              </w:rPr>
              <w:t>:</w:t>
            </w:r>
            <w:r w:rsidRPr="00F72217">
              <w:rPr>
                <w:rStyle w:val="normaltextrun"/>
                <w:rFonts w:cs="Arial"/>
                <w:b/>
                <w:bCs/>
                <w:color w:val="000000"/>
                <w:sz w:val="20"/>
                <w:szCs w:val="20"/>
                <w:shd w:val="clear" w:color="auto" w:fill="FFFFFF"/>
              </w:rPr>
              <w:t xml:space="preserve"> </w:t>
            </w:r>
            <w:r w:rsidR="00DD5067" w:rsidRPr="00F72217">
              <w:rPr>
                <w:rStyle w:val="normaltextrun"/>
                <w:rFonts w:cs="Arial"/>
                <w:b/>
                <w:bCs/>
                <w:color w:val="000000"/>
                <w:sz w:val="20"/>
                <w:szCs w:val="20"/>
                <w:shd w:val="clear" w:color="auto" w:fill="FFFFFF"/>
              </w:rPr>
              <w:t>598</w:t>
            </w:r>
            <w:r w:rsidR="000900C3" w:rsidRPr="00F72217">
              <w:rPr>
                <w:rStyle w:val="normaltextrun"/>
                <w:rFonts w:cs="Arial"/>
                <w:b/>
                <w:bCs/>
                <w:color w:val="000000"/>
                <w:sz w:val="20"/>
                <w:szCs w:val="20"/>
                <w:shd w:val="clear" w:color="auto" w:fill="FFFFFF"/>
              </w:rPr>
              <w:br/>
            </w:r>
            <w:r w:rsidR="00CC62CB" w:rsidRPr="00F72217">
              <w:rPr>
                <w:rStyle w:val="normaltextrun"/>
                <w:i/>
                <w:iCs/>
                <w:color w:val="000000"/>
                <w:sz w:val="20"/>
                <w:szCs w:val="20"/>
                <w:shd w:val="clear" w:color="auto" w:fill="FFFFFF"/>
              </w:rPr>
              <w:t>(A+)</w:t>
            </w:r>
          </w:p>
        </w:tc>
      </w:tr>
      <w:tr w:rsidR="006A123D" w:rsidRPr="0040656D" w14:paraId="48F51CF1" w14:textId="77777777" w:rsidTr="60561D0A">
        <w:trPr>
          <w:trHeight w:val="941"/>
        </w:trPr>
        <w:tc>
          <w:tcPr>
            <w:tcW w:w="4260" w:type="dxa"/>
            <w:tcBorders>
              <w:top w:val="single" w:sz="4" w:space="0" w:color="auto"/>
              <w:left w:val="single" w:sz="4" w:space="0" w:color="auto"/>
              <w:bottom w:val="single" w:sz="4" w:space="0" w:color="auto"/>
              <w:right w:val="single" w:sz="4" w:space="0" w:color="auto"/>
            </w:tcBorders>
          </w:tcPr>
          <w:p w14:paraId="079947AB" w14:textId="77777777" w:rsidR="006A123D" w:rsidRPr="00CE71EE" w:rsidRDefault="006A123D" w:rsidP="00657117">
            <w:pPr>
              <w:spacing w:after="240"/>
              <w:rPr>
                <w:rFonts w:cs="Arial"/>
                <w:bCs/>
                <w:sz w:val="20"/>
                <w:szCs w:val="20"/>
              </w:rPr>
            </w:pPr>
            <w:r w:rsidRPr="00CE71EE">
              <w:rPr>
                <w:rFonts w:cs="Arial"/>
                <w:bCs/>
                <w:sz w:val="20"/>
                <w:szCs w:val="20"/>
                <w:u w:val="single"/>
              </w:rPr>
              <w:t>4.8</w:t>
            </w:r>
            <w:r w:rsidRPr="00CE71EE">
              <w:rPr>
                <w:rFonts w:cs="Arial"/>
                <w:bCs/>
                <w:sz w:val="20"/>
                <w:szCs w:val="20"/>
              </w:rPr>
              <w:t xml:space="preserve"> Percent of survey respondents (attending MAGC Research events) reporting increased knowledge of certified green buildings.</w:t>
            </w:r>
          </w:p>
        </w:tc>
        <w:tc>
          <w:tcPr>
            <w:tcW w:w="2557" w:type="dxa"/>
            <w:tcBorders>
              <w:top w:val="single" w:sz="4" w:space="0" w:color="auto"/>
              <w:left w:val="single" w:sz="4" w:space="0" w:color="auto"/>
              <w:bottom w:val="single" w:sz="4" w:space="0" w:color="auto"/>
              <w:right w:val="single" w:sz="4" w:space="0" w:color="auto"/>
            </w:tcBorders>
          </w:tcPr>
          <w:p w14:paraId="1E5F20B2" w14:textId="77777777" w:rsidR="006A123D" w:rsidRPr="00657117" w:rsidRDefault="006A123D" w:rsidP="00657117">
            <w:pPr>
              <w:spacing w:after="240"/>
              <w:rPr>
                <w:rFonts w:cs="Arial"/>
                <w:sz w:val="20"/>
                <w:szCs w:val="20"/>
              </w:rPr>
            </w:pPr>
            <w:r w:rsidRPr="00657117">
              <w:rPr>
                <w:rFonts w:cs="Arial"/>
                <w:sz w:val="20"/>
                <w:szCs w:val="20"/>
              </w:rPr>
              <w:t>80% of survey respondents</w:t>
            </w:r>
          </w:p>
        </w:tc>
        <w:tc>
          <w:tcPr>
            <w:tcW w:w="2059" w:type="dxa"/>
            <w:tcBorders>
              <w:top w:val="single" w:sz="4" w:space="0" w:color="auto"/>
              <w:left w:val="single" w:sz="4" w:space="0" w:color="auto"/>
              <w:bottom w:val="single" w:sz="4" w:space="0" w:color="auto"/>
              <w:right w:val="single" w:sz="4" w:space="0" w:color="auto"/>
            </w:tcBorders>
          </w:tcPr>
          <w:p w14:paraId="427621A2" w14:textId="2E69A89F" w:rsidR="006A123D" w:rsidRPr="000900C3" w:rsidRDefault="00B44ABB" w:rsidP="00657117">
            <w:pPr>
              <w:spacing w:after="240"/>
              <w:rPr>
                <w:rStyle w:val="normaltextrun"/>
                <w:rFonts w:cs="Arial"/>
                <w:color w:val="000000"/>
                <w:sz w:val="20"/>
                <w:szCs w:val="20"/>
                <w:shd w:val="clear" w:color="auto" w:fill="FFFFFF"/>
              </w:rPr>
            </w:pPr>
            <w:r w:rsidRPr="00F72217">
              <w:rPr>
                <w:rStyle w:val="normaltextrun"/>
                <w:rFonts w:cs="Arial"/>
                <w:b/>
                <w:bCs/>
                <w:color w:val="000000"/>
                <w:sz w:val="20"/>
                <w:szCs w:val="20"/>
                <w:shd w:val="clear" w:color="auto" w:fill="FFFFFF"/>
              </w:rPr>
              <w:t xml:space="preserve">No output result received, as insufficient data. </w:t>
            </w:r>
            <w:r w:rsidR="00CC62CB" w:rsidRPr="000900C3">
              <w:rPr>
                <w:rStyle w:val="normaltextrun"/>
                <w:rFonts w:cs="Arial"/>
                <w:color w:val="000000"/>
                <w:sz w:val="20"/>
                <w:szCs w:val="20"/>
                <w:shd w:val="clear" w:color="auto" w:fill="FFFFFF"/>
              </w:rPr>
              <w:br/>
            </w:r>
            <w:r w:rsidR="000900C3" w:rsidRPr="00F72217">
              <w:rPr>
                <w:rStyle w:val="normaltextrun"/>
                <w:i/>
                <w:iCs/>
                <w:color w:val="000000"/>
                <w:sz w:val="20"/>
                <w:szCs w:val="20"/>
                <w:shd w:val="clear" w:color="auto" w:fill="FFFFFF"/>
              </w:rPr>
              <w:t>(B)</w:t>
            </w:r>
          </w:p>
        </w:tc>
      </w:tr>
    </w:tbl>
    <w:p w14:paraId="2BFA6DD4" w14:textId="77777777" w:rsidR="00160CCF" w:rsidRDefault="00160CCF" w:rsidP="00657117">
      <w:pPr>
        <w:spacing w:after="240"/>
        <w:jc w:val="both"/>
        <w:rPr>
          <w:rFonts w:cs="Arial"/>
          <w:b/>
          <w:bCs/>
          <w:sz w:val="20"/>
          <w:szCs w:val="20"/>
        </w:rPr>
      </w:pPr>
    </w:p>
    <w:p w14:paraId="7E642243" w14:textId="171C1911" w:rsidR="006A123D" w:rsidRPr="0040656D" w:rsidRDefault="006A123D" w:rsidP="00657117">
      <w:pPr>
        <w:spacing w:after="240"/>
        <w:jc w:val="both"/>
        <w:rPr>
          <w:rFonts w:cs="Arial"/>
          <w:sz w:val="20"/>
          <w:szCs w:val="20"/>
        </w:rPr>
      </w:pPr>
      <w:r w:rsidRPr="0040656D">
        <w:rPr>
          <w:rFonts w:cs="Arial"/>
          <w:b/>
          <w:bCs/>
          <w:sz w:val="20"/>
          <w:szCs w:val="20"/>
        </w:rPr>
        <w:t xml:space="preserve">Briefly describe the output and provide supporting narrative for the score. </w:t>
      </w:r>
    </w:p>
    <w:p w14:paraId="628366F0" w14:textId="77777777" w:rsidR="006A123D" w:rsidRDefault="006A123D" w:rsidP="00657117">
      <w:pPr>
        <w:pStyle w:val="Paragraph"/>
        <w:spacing w:after="240"/>
        <w:rPr>
          <w:sz w:val="20"/>
          <w:szCs w:val="20"/>
        </w:rPr>
      </w:pPr>
      <w:r w:rsidRPr="0040656D">
        <w:rPr>
          <w:sz w:val="20"/>
          <w:szCs w:val="20"/>
        </w:rPr>
        <w:t>This output assesses the delivery of MAGC’s knowledge and evidence component (MAGC-Research), which seeks to increase awareness and understanding of the business case for green buildings and motivate behavioural change of key stakeholders through the development and dissemination of evidence. This Output scored an A.</w:t>
      </w:r>
    </w:p>
    <w:p w14:paraId="6610F61A" w14:textId="73A7A58C" w:rsidR="006A123D" w:rsidRPr="0040656D" w:rsidRDefault="00A963C8" w:rsidP="00657117">
      <w:pPr>
        <w:pStyle w:val="Paragraph"/>
        <w:spacing w:after="240"/>
        <w:rPr>
          <w:sz w:val="20"/>
          <w:szCs w:val="20"/>
        </w:rPr>
      </w:pPr>
      <w:r w:rsidRPr="2766A81D">
        <w:rPr>
          <w:sz w:val="20"/>
          <w:szCs w:val="20"/>
        </w:rPr>
        <w:t>MAGC met</w:t>
      </w:r>
      <w:r w:rsidR="00B064A5" w:rsidRPr="2766A81D">
        <w:rPr>
          <w:sz w:val="20"/>
          <w:szCs w:val="20"/>
        </w:rPr>
        <w:t xml:space="preserve"> or exceeded</w:t>
      </w:r>
      <w:r w:rsidRPr="2766A81D">
        <w:rPr>
          <w:sz w:val="20"/>
          <w:szCs w:val="20"/>
        </w:rPr>
        <w:t xml:space="preserve"> its targets for Output indicators 4.5</w:t>
      </w:r>
      <w:r w:rsidR="00160CCF" w:rsidRPr="2766A81D">
        <w:rPr>
          <w:sz w:val="20"/>
          <w:szCs w:val="20"/>
        </w:rPr>
        <w:t xml:space="preserve"> – </w:t>
      </w:r>
      <w:r w:rsidR="00B064A5" w:rsidRPr="2766A81D">
        <w:rPr>
          <w:sz w:val="20"/>
          <w:szCs w:val="20"/>
        </w:rPr>
        <w:t>4.7, but did not meet its target for indicator</w:t>
      </w:r>
      <w:r w:rsidRPr="2766A81D">
        <w:rPr>
          <w:sz w:val="20"/>
          <w:szCs w:val="20"/>
        </w:rPr>
        <w:t xml:space="preserve"> </w:t>
      </w:r>
      <w:r w:rsidR="00217EFB" w:rsidRPr="2766A81D">
        <w:rPr>
          <w:sz w:val="20"/>
          <w:szCs w:val="20"/>
        </w:rPr>
        <w:t>4.8</w:t>
      </w:r>
      <w:r w:rsidR="00B064A5" w:rsidRPr="2766A81D">
        <w:rPr>
          <w:sz w:val="20"/>
          <w:szCs w:val="20"/>
        </w:rPr>
        <w:t xml:space="preserve">. </w:t>
      </w:r>
      <w:r w:rsidR="006A123D" w:rsidRPr="2766A81D">
        <w:rPr>
          <w:sz w:val="20"/>
          <w:szCs w:val="20"/>
        </w:rPr>
        <w:t xml:space="preserve">The response to the MAGC research outputs has been overwhelmingly positive. For example, with output indicator 4.7, </w:t>
      </w:r>
      <w:r w:rsidR="00217EFB" w:rsidRPr="2766A81D">
        <w:rPr>
          <w:sz w:val="20"/>
          <w:szCs w:val="20"/>
        </w:rPr>
        <w:t xml:space="preserve">598 </w:t>
      </w:r>
      <w:r w:rsidR="006A123D" w:rsidRPr="2766A81D">
        <w:rPr>
          <w:sz w:val="20"/>
          <w:szCs w:val="20"/>
        </w:rPr>
        <w:t xml:space="preserve">participants attended MAGC dissemination events and attendees were from a variety of stakeholder groups, including Academia, Investors, DFI, Green Building Consultants, Real Estate Developers, and other such as companies for Energy Efficiency, Air Condition, Quality Assurance. </w:t>
      </w:r>
      <w:r w:rsidR="00217EFB" w:rsidRPr="2766A81D">
        <w:rPr>
          <w:sz w:val="20"/>
          <w:szCs w:val="20"/>
        </w:rPr>
        <w:t xml:space="preserve">Results were achieved through a variety of events, including a virtual regional Asia event, a hybrid academic seminar </w:t>
      </w:r>
      <w:r w:rsidR="00833B4A" w:rsidRPr="2766A81D">
        <w:rPr>
          <w:sz w:val="20"/>
          <w:szCs w:val="20"/>
        </w:rPr>
        <w:t xml:space="preserve">and in-person events held in Cape Town </w:t>
      </w:r>
      <w:r w:rsidR="00F4647D" w:rsidRPr="2766A81D">
        <w:rPr>
          <w:sz w:val="20"/>
          <w:szCs w:val="20"/>
        </w:rPr>
        <w:t xml:space="preserve">and Colombia. </w:t>
      </w:r>
      <w:r w:rsidR="006A123D" w:rsidRPr="2766A81D">
        <w:rPr>
          <w:sz w:val="20"/>
          <w:szCs w:val="20"/>
        </w:rPr>
        <w:t xml:space="preserve">294 participants joined from MAGC countries and 48 from the rest of the world. The events had </w:t>
      </w:r>
      <w:r w:rsidR="003F7C07" w:rsidRPr="2766A81D">
        <w:rPr>
          <w:sz w:val="20"/>
          <w:szCs w:val="20"/>
        </w:rPr>
        <w:t xml:space="preserve">203 </w:t>
      </w:r>
      <w:r w:rsidR="006A123D" w:rsidRPr="2766A81D">
        <w:rPr>
          <w:sz w:val="20"/>
          <w:szCs w:val="20"/>
        </w:rPr>
        <w:t xml:space="preserve">female participants, up from </w:t>
      </w:r>
      <w:r w:rsidR="000C74C7" w:rsidRPr="2766A81D">
        <w:rPr>
          <w:sz w:val="20"/>
          <w:szCs w:val="20"/>
        </w:rPr>
        <w:t>193</w:t>
      </w:r>
      <w:r w:rsidR="002628F9" w:rsidRPr="2766A81D">
        <w:rPr>
          <w:sz w:val="20"/>
          <w:szCs w:val="20"/>
        </w:rPr>
        <w:t xml:space="preserve"> </w:t>
      </w:r>
      <w:r w:rsidR="006A123D" w:rsidRPr="2766A81D">
        <w:rPr>
          <w:sz w:val="20"/>
          <w:szCs w:val="20"/>
        </w:rPr>
        <w:t>in the previous reporting period</w:t>
      </w:r>
      <w:r w:rsidR="003F7C07" w:rsidRPr="2766A81D">
        <w:rPr>
          <w:sz w:val="20"/>
          <w:szCs w:val="20"/>
        </w:rPr>
        <w:t>.</w:t>
      </w:r>
    </w:p>
    <w:p w14:paraId="42997EEE" w14:textId="0D0A0989" w:rsidR="003F7C07" w:rsidRDefault="002628F9" w:rsidP="00657117">
      <w:pPr>
        <w:pStyle w:val="Paragraph"/>
        <w:spacing w:after="240"/>
        <w:rPr>
          <w:sz w:val="20"/>
          <w:szCs w:val="20"/>
        </w:rPr>
      </w:pPr>
      <w:r w:rsidRPr="2766A81D">
        <w:rPr>
          <w:sz w:val="20"/>
          <w:szCs w:val="20"/>
        </w:rPr>
        <w:t>Output indicator</w:t>
      </w:r>
      <w:r w:rsidR="003F7C07" w:rsidRPr="2766A81D">
        <w:rPr>
          <w:sz w:val="20"/>
          <w:szCs w:val="20"/>
        </w:rPr>
        <w:t xml:space="preserve"> 4.8 was not met</w:t>
      </w:r>
      <w:r w:rsidR="00F86F17" w:rsidRPr="2766A81D">
        <w:rPr>
          <w:sz w:val="20"/>
          <w:szCs w:val="20"/>
        </w:rPr>
        <w:t xml:space="preserve">. This is because sufficient survey data was not available, as </w:t>
      </w:r>
      <w:r w:rsidR="00D5117F" w:rsidRPr="2766A81D">
        <w:rPr>
          <w:sz w:val="20"/>
          <w:szCs w:val="20"/>
        </w:rPr>
        <w:t xml:space="preserve">out of the </w:t>
      </w:r>
      <w:r w:rsidR="0061458B" w:rsidRPr="2766A81D">
        <w:rPr>
          <w:sz w:val="20"/>
          <w:szCs w:val="20"/>
        </w:rPr>
        <w:t>seven</w:t>
      </w:r>
      <w:r w:rsidR="00D5117F" w:rsidRPr="2766A81D">
        <w:rPr>
          <w:sz w:val="20"/>
          <w:szCs w:val="20"/>
        </w:rPr>
        <w:t xml:space="preserve"> events held over this reporting period, only </w:t>
      </w:r>
      <w:r w:rsidR="0061458B" w:rsidRPr="2766A81D">
        <w:rPr>
          <w:sz w:val="20"/>
          <w:szCs w:val="20"/>
        </w:rPr>
        <w:t>two</w:t>
      </w:r>
      <w:r w:rsidR="00743993" w:rsidRPr="2766A81D">
        <w:rPr>
          <w:sz w:val="20"/>
          <w:szCs w:val="20"/>
        </w:rPr>
        <w:t xml:space="preserve"> that were</w:t>
      </w:r>
      <w:r w:rsidR="00D5117F" w:rsidRPr="2766A81D">
        <w:rPr>
          <w:sz w:val="20"/>
          <w:szCs w:val="20"/>
        </w:rPr>
        <w:t xml:space="preserve"> organised solely by IFC </w:t>
      </w:r>
      <w:r w:rsidR="008E1504" w:rsidRPr="2766A81D">
        <w:rPr>
          <w:sz w:val="20"/>
          <w:szCs w:val="20"/>
        </w:rPr>
        <w:t xml:space="preserve">recorded </w:t>
      </w:r>
      <w:r w:rsidR="008E1504" w:rsidRPr="2766A81D">
        <w:rPr>
          <w:sz w:val="20"/>
          <w:szCs w:val="20"/>
        </w:rPr>
        <w:lastRenderedPageBreak/>
        <w:t xml:space="preserve">participant satisfaction. </w:t>
      </w:r>
      <w:r w:rsidR="000F7670" w:rsidRPr="2766A81D">
        <w:rPr>
          <w:sz w:val="20"/>
          <w:szCs w:val="20"/>
        </w:rPr>
        <w:t>As a recommendation for the year ahead</w:t>
      </w:r>
      <w:r w:rsidR="00CE71EE" w:rsidRPr="2766A81D">
        <w:rPr>
          <w:sz w:val="20"/>
          <w:szCs w:val="20"/>
        </w:rPr>
        <w:t xml:space="preserve"> (Recommendation </w:t>
      </w:r>
      <w:r w:rsidR="00825778" w:rsidRPr="2766A81D">
        <w:rPr>
          <w:sz w:val="20"/>
          <w:szCs w:val="20"/>
        </w:rPr>
        <w:t>4</w:t>
      </w:r>
      <w:r w:rsidR="00CE71EE" w:rsidRPr="2766A81D">
        <w:rPr>
          <w:sz w:val="20"/>
          <w:szCs w:val="20"/>
        </w:rPr>
        <w:t>)</w:t>
      </w:r>
      <w:r w:rsidR="000F7670" w:rsidRPr="2766A81D">
        <w:rPr>
          <w:sz w:val="20"/>
          <w:szCs w:val="20"/>
        </w:rPr>
        <w:t>,</w:t>
      </w:r>
      <w:r w:rsidR="0016166F" w:rsidRPr="2766A81D">
        <w:rPr>
          <w:sz w:val="20"/>
          <w:szCs w:val="20"/>
        </w:rPr>
        <w:t xml:space="preserve"> DESNZ will expect IFC to introduce necessary steps, such as co-hosting events to ensure satisfaction surveys are provided and the necessary data is captured</w:t>
      </w:r>
      <w:r w:rsidR="005B52D0" w:rsidRPr="2766A81D">
        <w:rPr>
          <w:sz w:val="20"/>
          <w:szCs w:val="20"/>
        </w:rPr>
        <w:t>.</w:t>
      </w:r>
      <w:r w:rsidR="008E1504" w:rsidRPr="2766A81D">
        <w:rPr>
          <w:sz w:val="20"/>
          <w:szCs w:val="20"/>
        </w:rPr>
        <w:t xml:space="preserve"> </w:t>
      </w:r>
    </w:p>
    <w:p w14:paraId="21548D31" w14:textId="160514EE" w:rsidR="006A123D" w:rsidRPr="0040656D" w:rsidRDefault="006A123D" w:rsidP="00657117">
      <w:pPr>
        <w:pStyle w:val="Paragraph"/>
        <w:spacing w:after="240"/>
        <w:rPr>
          <w:sz w:val="20"/>
          <w:szCs w:val="20"/>
        </w:rPr>
      </w:pPr>
      <w:r w:rsidRPr="0040656D">
        <w:rPr>
          <w:sz w:val="20"/>
          <w:szCs w:val="20"/>
        </w:rPr>
        <w:t>The workplan covers the four workstreams for the component</w:t>
      </w:r>
      <w:r w:rsidR="005C4A10">
        <w:rPr>
          <w:sz w:val="20"/>
          <w:szCs w:val="20"/>
        </w:rPr>
        <w:t xml:space="preserve">. </w:t>
      </w:r>
      <w:r w:rsidRPr="0040656D">
        <w:rPr>
          <w:sz w:val="20"/>
          <w:szCs w:val="20"/>
        </w:rPr>
        <w:t>In this reporting period, evidence of delivery was as anticipated and includes:</w:t>
      </w:r>
    </w:p>
    <w:p w14:paraId="43B95210" w14:textId="118699E9" w:rsidR="006A123D" w:rsidRPr="0040656D" w:rsidRDefault="006A123D" w:rsidP="000C48FF">
      <w:pPr>
        <w:pStyle w:val="ListParagraph"/>
        <w:numPr>
          <w:ilvl w:val="0"/>
          <w:numId w:val="6"/>
        </w:numPr>
        <w:spacing w:after="240"/>
        <w:ind w:left="714" w:hanging="357"/>
        <w:jc w:val="both"/>
        <w:rPr>
          <w:rFonts w:cs="Arial"/>
          <w:sz w:val="20"/>
          <w:szCs w:val="20"/>
        </w:rPr>
      </w:pPr>
      <w:r w:rsidRPr="08D7F225">
        <w:rPr>
          <w:rFonts w:cs="Arial"/>
          <w:b/>
          <w:bCs/>
          <w:i/>
          <w:iCs/>
          <w:sz w:val="20"/>
          <w:szCs w:val="20"/>
        </w:rPr>
        <w:t>Stakeholder Assessment</w:t>
      </w:r>
      <w:r w:rsidR="00275FB1" w:rsidRPr="08D7F225">
        <w:rPr>
          <w:rFonts w:cs="Arial"/>
          <w:b/>
          <w:bCs/>
          <w:i/>
          <w:iCs/>
          <w:sz w:val="20"/>
          <w:szCs w:val="20"/>
        </w:rPr>
        <w:t>.</w:t>
      </w:r>
      <w:r w:rsidRPr="08D7F225">
        <w:rPr>
          <w:rFonts w:cs="Arial"/>
          <w:sz w:val="20"/>
          <w:szCs w:val="20"/>
        </w:rPr>
        <w:t xml:space="preserve"> </w:t>
      </w:r>
      <w:r w:rsidR="00FA0CBB" w:rsidRPr="08D7F225">
        <w:rPr>
          <w:rFonts w:cs="Arial"/>
          <w:sz w:val="20"/>
          <w:szCs w:val="20"/>
        </w:rPr>
        <w:t xml:space="preserve">Given the continued difficulty to reach some stakeholder groups in some countries and the overall low response rates, DESNZ and IFC held discussions to explore adjustments to this workstream and sought the strategic advice of the MAGC Research Panel. Based on this, DESNZ and IFC agreed to reduce the number of Stakeholder Assessments to seven, including the original two pilot reports (Colombia, South Africa) published in FY23, and five additional reports completed in FY24 (Indonesia, Kenya, Mexico, Philippines, Vietnam). The Stakeholder Assessment Summative Report, covering these seven countries, was published in FY24 as well. </w:t>
      </w:r>
    </w:p>
    <w:p w14:paraId="378E11AB" w14:textId="62330F6F" w:rsidR="006A123D" w:rsidRPr="00FA0CBB" w:rsidRDefault="006A123D" w:rsidP="000C48FF">
      <w:pPr>
        <w:pStyle w:val="ListParagraph"/>
        <w:numPr>
          <w:ilvl w:val="0"/>
          <w:numId w:val="6"/>
        </w:numPr>
        <w:spacing w:after="240"/>
        <w:ind w:left="714" w:hanging="357"/>
        <w:jc w:val="both"/>
        <w:rPr>
          <w:rFonts w:cs="Arial"/>
          <w:sz w:val="20"/>
          <w:szCs w:val="20"/>
        </w:rPr>
      </w:pPr>
      <w:r w:rsidRPr="08D7F225">
        <w:rPr>
          <w:rFonts w:cs="Arial"/>
          <w:b/>
          <w:bCs/>
          <w:i/>
          <w:iCs/>
          <w:sz w:val="20"/>
          <w:szCs w:val="20"/>
        </w:rPr>
        <w:t>Market Baseline Assessments</w:t>
      </w:r>
      <w:r w:rsidR="00FA0CBB" w:rsidRPr="08D7F225">
        <w:rPr>
          <w:rFonts w:cs="Arial"/>
          <w:sz w:val="20"/>
          <w:szCs w:val="20"/>
        </w:rPr>
        <w:t xml:space="preserve">. Additional Market Baseline Assessments for Brazil and Egypt published in FY24. Market Baseline Assessment Summative </w:t>
      </w:r>
      <w:r w:rsidR="00804EDE" w:rsidRPr="08D7F225">
        <w:rPr>
          <w:rFonts w:cs="Arial"/>
          <w:sz w:val="20"/>
          <w:szCs w:val="20"/>
        </w:rPr>
        <w:t>Report,</w:t>
      </w:r>
      <w:r w:rsidR="00FA0CBB" w:rsidRPr="08D7F225">
        <w:rPr>
          <w:rFonts w:cs="Arial"/>
          <w:sz w:val="20"/>
          <w:szCs w:val="20"/>
        </w:rPr>
        <w:t xml:space="preserve"> originally published in FY23, updated in FY24 to include these additional two countries</w:t>
      </w:r>
      <w:r w:rsidR="00932841" w:rsidRPr="08D7F225">
        <w:rPr>
          <w:rFonts w:cs="Arial"/>
          <w:sz w:val="20"/>
          <w:szCs w:val="20"/>
        </w:rPr>
        <w:t xml:space="preserve"> Preparation for the Endline Maturity Assessments will begin in the </w:t>
      </w:r>
      <w:r w:rsidR="003C0125" w:rsidRPr="08D7F225">
        <w:rPr>
          <w:rFonts w:cs="Arial"/>
          <w:sz w:val="20"/>
          <w:szCs w:val="20"/>
        </w:rPr>
        <w:t>2025/2026</w:t>
      </w:r>
      <w:r w:rsidR="00932841" w:rsidRPr="08D7F225">
        <w:rPr>
          <w:rFonts w:cs="Arial"/>
          <w:sz w:val="20"/>
          <w:szCs w:val="20"/>
        </w:rPr>
        <w:t xml:space="preserve"> period, and these are due for completion in December 2026</w:t>
      </w:r>
      <w:r w:rsidR="00FA0CBB" w:rsidRPr="08D7F225">
        <w:rPr>
          <w:rFonts w:cs="Arial"/>
          <w:sz w:val="20"/>
          <w:szCs w:val="20"/>
        </w:rPr>
        <w:t>.</w:t>
      </w:r>
    </w:p>
    <w:p w14:paraId="5F81AE4B" w14:textId="259C9AC4" w:rsidR="006A123D" w:rsidRDefault="005C4A10" w:rsidP="000C48FF">
      <w:pPr>
        <w:pStyle w:val="ListParagraph"/>
        <w:numPr>
          <w:ilvl w:val="0"/>
          <w:numId w:val="6"/>
        </w:numPr>
        <w:spacing w:after="240"/>
        <w:ind w:left="714" w:hanging="357"/>
        <w:jc w:val="both"/>
        <w:rPr>
          <w:sz w:val="20"/>
          <w:szCs w:val="20"/>
        </w:rPr>
      </w:pPr>
      <w:r w:rsidRPr="08D7F225">
        <w:rPr>
          <w:rFonts w:cs="Arial"/>
          <w:b/>
          <w:bCs/>
          <w:i/>
          <w:iCs/>
          <w:sz w:val="20"/>
          <w:szCs w:val="20"/>
        </w:rPr>
        <w:t>EDGE Impact Evaluation (</w:t>
      </w:r>
      <w:r w:rsidR="006A123D" w:rsidRPr="08D7F225">
        <w:rPr>
          <w:rFonts w:cs="Arial"/>
          <w:b/>
          <w:bCs/>
          <w:i/>
          <w:iCs/>
          <w:sz w:val="20"/>
          <w:szCs w:val="20"/>
        </w:rPr>
        <w:t>Smart Metering Stud</w:t>
      </w:r>
      <w:r w:rsidRPr="08D7F225">
        <w:rPr>
          <w:rFonts w:cs="Arial"/>
          <w:b/>
          <w:bCs/>
          <w:i/>
          <w:iCs/>
          <w:sz w:val="20"/>
          <w:szCs w:val="20"/>
        </w:rPr>
        <w:t>ies)</w:t>
      </w:r>
      <w:r w:rsidRPr="08D7F225">
        <w:rPr>
          <w:rFonts w:cs="Arial"/>
          <w:sz w:val="20"/>
          <w:szCs w:val="20"/>
        </w:rPr>
        <w:t xml:space="preserve">. South Africa pilot phase was completed in FY24Q2. Competitive procurement process for in-country teams for the main phase in South Africa </w:t>
      </w:r>
      <w:r w:rsidR="00010D5B" w:rsidRPr="08D7F225">
        <w:rPr>
          <w:rFonts w:cs="Arial"/>
          <w:sz w:val="20"/>
          <w:szCs w:val="20"/>
        </w:rPr>
        <w:t>was</w:t>
      </w:r>
      <w:r w:rsidRPr="08D7F225">
        <w:rPr>
          <w:rFonts w:cs="Arial"/>
          <w:sz w:val="20"/>
          <w:szCs w:val="20"/>
        </w:rPr>
        <w:t xml:space="preserve"> launched in FY24Q2 and completed in FY24Q3 (the Energy Systems Research Group at the University of Cape Town was the selected vendor). The main phase in South Africa was launched in FY24Q4. DESNZ and IFC held discussions to select countries for two additional studies in Latin America and East Asia regions and sought the strategic advice of the MAGC Research Panel. Based on these discussions and consultations, Colombia and Indonesia were selected. Competitive procurement for central research and in-country teams for both countries were launched in FY24Q2 and completed in FY24Q3 (the Smart Energy Research Lab at University College London was the selected central research vendor for both countries; Miyamoto International and the University of New South Wales were the selected in-country team vendors for Colombia and Indonesia, respectively, in consortium with other local partners). The pilot phases in Colombia and Indonesia were launched in FY24Q4, with kick-off missions conducted in May 2024 and April 2024, respectively. The main phases in both countries are expected to commence during</w:t>
      </w:r>
      <w:r w:rsidR="00932841" w:rsidRPr="08D7F225">
        <w:rPr>
          <w:rFonts w:cs="Arial"/>
          <w:sz w:val="20"/>
          <w:szCs w:val="20"/>
        </w:rPr>
        <w:t xml:space="preserve"> June 2025</w:t>
      </w:r>
      <w:r w:rsidRPr="08D7F225">
        <w:rPr>
          <w:rFonts w:cs="Arial"/>
          <w:sz w:val="20"/>
          <w:szCs w:val="20"/>
        </w:rPr>
        <w:t xml:space="preserve">, after the pilot phases are completed. </w:t>
      </w:r>
      <w:r w:rsidR="006A123D" w:rsidRPr="08D7F225">
        <w:rPr>
          <w:sz w:val="20"/>
          <w:szCs w:val="20"/>
        </w:rPr>
        <w:t>The projects are running on track against the workplan as expected at this stage of the programme. DESNZ is confident that in the year ahead, the programme will continue to deliver as expected.</w:t>
      </w:r>
    </w:p>
    <w:p w14:paraId="004EF7B7" w14:textId="4245CB54" w:rsidR="005C4A10" w:rsidRPr="005C4A10" w:rsidRDefault="00B37A28" w:rsidP="000C48FF">
      <w:pPr>
        <w:pStyle w:val="ListParagraph"/>
        <w:numPr>
          <w:ilvl w:val="0"/>
          <w:numId w:val="6"/>
        </w:numPr>
        <w:spacing w:after="240"/>
        <w:ind w:left="714" w:hanging="357"/>
        <w:jc w:val="both"/>
        <w:rPr>
          <w:sz w:val="20"/>
          <w:szCs w:val="20"/>
        </w:rPr>
      </w:pPr>
      <w:r w:rsidRPr="08D7F225">
        <w:rPr>
          <w:b/>
          <w:bCs/>
          <w:i/>
          <w:iCs/>
          <w:sz w:val="20"/>
          <w:szCs w:val="20"/>
        </w:rPr>
        <w:t>Embodied Carbon Study</w:t>
      </w:r>
      <w:r w:rsidRPr="08D7F225">
        <w:rPr>
          <w:b/>
          <w:bCs/>
          <w:sz w:val="20"/>
          <w:szCs w:val="20"/>
        </w:rPr>
        <w:t>.</w:t>
      </w:r>
      <w:r w:rsidRPr="08D7F225">
        <w:rPr>
          <w:i/>
          <w:iCs/>
          <w:sz w:val="20"/>
          <w:szCs w:val="20"/>
        </w:rPr>
        <w:t xml:space="preserve"> </w:t>
      </w:r>
      <w:r w:rsidRPr="08D7F225">
        <w:rPr>
          <w:sz w:val="20"/>
          <w:szCs w:val="20"/>
        </w:rPr>
        <w:t>Introduced as part of the March 2023 Change Request and following DESNZ approval of the final Terms of Reference</w:t>
      </w:r>
      <w:r w:rsidR="005541D3">
        <w:rPr>
          <w:sz w:val="20"/>
          <w:szCs w:val="20"/>
        </w:rPr>
        <w:t xml:space="preserve"> </w:t>
      </w:r>
      <w:r w:rsidRPr="08D7F225">
        <w:rPr>
          <w:sz w:val="20"/>
          <w:szCs w:val="20"/>
        </w:rPr>
        <w:t xml:space="preserve">for this new workstream, the competitive procurement for a vendor was launched in FY24Q2 and completed in FY24Q3 (Arup International Consultants was the selected vendor). The Embodied Carbon Study was launched in </w:t>
      </w:r>
      <w:r w:rsidR="00010D5B" w:rsidRPr="08D7F225">
        <w:rPr>
          <w:sz w:val="20"/>
          <w:szCs w:val="20"/>
        </w:rPr>
        <w:t>FY24Q4,</w:t>
      </w:r>
      <w:r w:rsidR="00932841" w:rsidRPr="08D7F225">
        <w:rPr>
          <w:sz w:val="20"/>
          <w:szCs w:val="20"/>
        </w:rPr>
        <w:t xml:space="preserve"> and the final report is expected in April 2026</w:t>
      </w:r>
      <w:r w:rsidRPr="08D7F225">
        <w:rPr>
          <w:sz w:val="20"/>
          <w:szCs w:val="20"/>
        </w:rPr>
        <w:t>.</w:t>
      </w:r>
    </w:p>
    <w:p w14:paraId="54317F99" w14:textId="77777777" w:rsidR="006A123D" w:rsidRPr="0040656D" w:rsidRDefault="006A123D" w:rsidP="00657117">
      <w:pPr>
        <w:spacing w:after="240"/>
        <w:rPr>
          <w:rFonts w:cs="Arial"/>
          <w:sz w:val="20"/>
          <w:szCs w:val="20"/>
        </w:rPr>
      </w:pPr>
      <w:r w:rsidRPr="0040656D">
        <w:rPr>
          <w:rFonts w:cs="Arial"/>
          <w:b/>
          <w:bCs/>
          <w:sz w:val="20"/>
          <w:szCs w:val="20"/>
        </w:rPr>
        <w:t xml:space="preserve">Describe any changes to this output, and any planned changes </w:t>
      </w:r>
      <w:proofErr w:type="gramStart"/>
      <w:r w:rsidRPr="0040656D">
        <w:rPr>
          <w:rFonts w:cs="Arial"/>
          <w:b/>
          <w:bCs/>
          <w:sz w:val="20"/>
          <w:szCs w:val="20"/>
        </w:rPr>
        <w:t>as a result of</w:t>
      </w:r>
      <w:proofErr w:type="gramEnd"/>
      <w:r w:rsidRPr="0040656D">
        <w:rPr>
          <w:rFonts w:cs="Arial"/>
          <w:b/>
          <w:bCs/>
          <w:sz w:val="20"/>
          <w:szCs w:val="20"/>
        </w:rPr>
        <w:t xml:space="preserve"> this review. </w:t>
      </w:r>
    </w:p>
    <w:p w14:paraId="5330DFD1" w14:textId="77777777" w:rsidR="00B37A28" w:rsidRPr="0040656D" w:rsidRDefault="00B37A28" w:rsidP="00657117">
      <w:pPr>
        <w:pStyle w:val="paragraph0"/>
        <w:spacing w:before="0" w:beforeAutospacing="0" w:after="240" w:afterAutospacing="0"/>
        <w:jc w:val="both"/>
        <w:textAlignment w:val="baseline"/>
        <w:rPr>
          <w:rStyle w:val="normaltextrun"/>
          <w:rFonts w:ascii="Arial" w:hAnsi="Arial" w:cs="Arial"/>
          <w:color w:val="000000"/>
          <w:sz w:val="20"/>
          <w:szCs w:val="20"/>
          <w:u w:val="single"/>
        </w:rPr>
      </w:pPr>
      <w:r w:rsidRPr="0040656D">
        <w:rPr>
          <w:rStyle w:val="normaltextrun"/>
          <w:rFonts w:ascii="Arial" w:hAnsi="Arial" w:cs="Arial"/>
          <w:color w:val="000000"/>
          <w:sz w:val="20"/>
          <w:szCs w:val="20"/>
          <w:u w:val="single"/>
        </w:rPr>
        <w:t xml:space="preserve">This Reporting Period </w:t>
      </w:r>
    </w:p>
    <w:p w14:paraId="150731C4" w14:textId="42B6EA82" w:rsidR="00B37A28" w:rsidRDefault="00B37A28" w:rsidP="00657117">
      <w:pPr>
        <w:pStyle w:val="Paragraph"/>
        <w:spacing w:after="240"/>
        <w:rPr>
          <w:sz w:val="20"/>
          <w:szCs w:val="20"/>
        </w:rPr>
      </w:pPr>
      <w:r>
        <w:rPr>
          <w:sz w:val="20"/>
          <w:szCs w:val="20"/>
        </w:rPr>
        <w:t xml:space="preserve">Following a change request in March 2023, which increased the funding and scope of components 2, 3, and 4 – and as part of a broader </w:t>
      </w:r>
      <w:r w:rsidR="00451607">
        <w:rPr>
          <w:sz w:val="20"/>
          <w:szCs w:val="20"/>
        </w:rPr>
        <w:t>Logframe</w:t>
      </w:r>
      <w:r>
        <w:rPr>
          <w:sz w:val="20"/>
          <w:szCs w:val="20"/>
        </w:rPr>
        <w:t xml:space="preserve"> review - </w:t>
      </w:r>
      <w:proofErr w:type="gramStart"/>
      <w:r>
        <w:rPr>
          <w:sz w:val="20"/>
          <w:szCs w:val="20"/>
        </w:rPr>
        <w:t>a number of</w:t>
      </w:r>
      <w:proofErr w:type="gramEnd"/>
      <w:r>
        <w:rPr>
          <w:sz w:val="20"/>
          <w:szCs w:val="20"/>
        </w:rPr>
        <w:t xml:space="preserve"> additional indicators have been added to the </w:t>
      </w:r>
      <w:r w:rsidR="00451607">
        <w:rPr>
          <w:sz w:val="20"/>
          <w:szCs w:val="20"/>
        </w:rPr>
        <w:t>Logframe</w:t>
      </w:r>
      <w:r>
        <w:rPr>
          <w:sz w:val="20"/>
          <w:szCs w:val="20"/>
        </w:rPr>
        <w:t xml:space="preserve"> to capture the scope of the new funding. For this component, </w:t>
      </w:r>
      <w:r w:rsidR="00451607">
        <w:rPr>
          <w:sz w:val="20"/>
          <w:szCs w:val="20"/>
        </w:rPr>
        <w:t>Logframe</w:t>
      </w:r>
      <w:r>
        <w:rPr>
          <w:sz w:val="20"/>
          <w:szCs w:val="20"/>
        </w:rPr>
        <w:t xml:space="preserve"> amendments and additions were:</w:t>
      </w:r>
    </w:p>
    <w:p w14:paraId="044B5904" w14:textId="0EAE50B0" w:rsidR="00D24DF2" w:rsidRPr="00345273" w:rsidRDefault="00D24DF2" w:rsidP="00657117">
      <w:pPr>
        <w:pStyle w:val="Paragraph"/>
        <w:numPr>
          <w:ilvl w:val="0"/>
          <w:numId w:val="45"/>
        </w:numPr>
        <w:spacing w:after="240"/>
        <w:rPr>
          <w:sz w:val="20"/>
          <w:szCs w:val="20"/>
        </w:rPr>
      </w:pPr>
      <w:r>
        <w:rPr>
          <w:sz w:val="20"/>
          <w:szCs w:val="20"/>
        </w:rPr>
        <w:t>Increase indicator targets for 4.</w:t>
      </w:r>
      <w:r w:rsidR="002B2101">
        <w:rPr>
          <w:sz w:val="20"/>
          <w:szCs w:val="20"/>
        </w:rPr>
        <w:t>6 and</w:t>
      </w:r>
      <w:r>
        <w:rPr>
          <w:sz w:val="20"/>
          <w:szCs w:val="20"/>
        </w:rPr>
        <w:t xml:space="preserve"> 4.7 to </w:t>
      </w:r>
      <w:r w:rsidRPr="0018242F">
        <w:rPr>
          <w:sz w:val="20"/>
          <w:szCs w:val="20"/>
        </w:rPr>
        <w:t xml:space="preserve">capture higher ambition for already achieved </w:t>
      </w:r>
      <w:r>
        <w:rPr>
          <w:sz w:val="20"/>
          <w:szCs w:val="20"/>
        </w:rPr>
        <w:t>results.</w:t>
      </w:r>
    </w:p>
    <w:p w14:paraId="59A2AA3F" w14:textId="020884C0" w:rsidR="00D24DF2" w:rsidRPr="001D08BE" w:rsidRDefault="00D24DF2" w:rsidP="00657117">
      <w:pPr>
        <w:pStyle w:val="Paragraph"/>
        <w:numPr>
          <w:ilvl w:val="0"/>
          <w:numId w:val="45"/>
        </w:numPr>
        <w:spacing w:after="240"/>
        <w:rPr>
          <w:sz w:val="20"/>
          <w:szCs w:val="20"/>
        </w:rPr>
      </w:pPr>
      <w:r w:rsidRPr="418D93A9">
        <w:rPr>
          <w:sz w:val="20"/>
          <w:szCs w:val="20"/>
        </w:rPr>
        <w:t xml:space="preserve">Targets agreed with IFC to capture the March 2023 Change Request – </w:t>
      </w:r>
      <w:r w:rsidR="00190ABC" w:rsidRPr="418D93A9">
        <w:rPr>
          <w:sz w:val="20"/>
          <w:szCs w:val="20"/>
        </w:rPr>
        <w:t xml:space="preserve">increasing </w:t>
      </w:r>
      <w:r w:rsidR="008E5FC7" w:rsidRPr="418D93A9">
        <w:rPr>
          <w:sz w:val="20"/>
          <w:szCs w:val="20"/>
        </w:rPr>
        <w:t>output</w:t>
      </w:r>
      <w:r w:rsidRPr="418D93A9">
        <w:rPr>
          <w:sz w:val="20"/>
          <w:szCs w:val="20"/>
        </w:rPr>
        <w:t xml:space="preserve"> indicator targets 4.5 and </w:t>
      </w:r>
      <w:r w:rsidR="00804EDE" w:rsidRPr="418D93A9">
        <w:rPr>
          <w:sz w:val="20"/>
          <w:szCs w:val="20"/>
        </w:rPr>
        <w:t>4.7 and</w:t>
      </w:r>
      <w:r w:rsidRPr="418D93A9">
        <w:rPr>
          <w:sz w:val="20"/>
          <w:szCs w:val="20"/>
        </w:rPr>
        <w:t xml:space="preserve"> introducing output indicators 4.9 and 4.10.</w:t>
      </w:r>
    </w:p>
    <w:p w14:paraId="4B954E68" w14:textId="5CEEFC5E" w:rsidR="418D93A9" w:rsidRDefault="418D93A9" w:rsidP="418D93A9">
      <w:pPr>
        <w:pStyle w:val="Paragraph"/>
        <w:spacing w:after="240"/>
        <w:ind w:left="720"/>
        <w:rPr>
          <w:sz w:val="20"/>
          <w:szCs w:val="20"/>
        </w:rPr>
      </w:pPr>
    </w:p>
    <w:p w14:paraId="193B8465" w14:textId="77777777" w:rsidR="00B37A28" w:rsidRDefault="00B37A28" w:rsidP="00657117">
      <w:pPr>
        <w:pStyle w:val="paragraph0"/>
        <w:spacing w:before="0" w:beforeAutospacing="0" w:after="240" w:afterAutospacing="0"/>
        <w:jc w:val="both"/>
        <w:textAlignment w:val="baseline"/>
        <w:rPr>
          <w:rStyle w:val="normaltextrun"/>
          <w:rFonts w:ascii="Arial" w:hAnsi="Arial" w:cs="Arial"/>
          <w:color w:val="000000" w:themeColor="text1"/>
          <w:sz w:val="20"/>
          <w:szCs w:val="20"/>
          <w:u w:val="single"/>
        </w:rPr>
      </w:pPr>
      <w:r w:rsidRPr="0080392B">
        <w:rPr>
          <w:rStyle w:val="normaltextrun"/>
          <w:rFonts w:ascii="Arial" w:hAnsi="Arial" w:cs="Arial"/>
          <w:color w:val="000000" w:themeColor="text1"/>
          <w:sz w:val="20"/>
          <w:szCs w:val="20"/>
          <w:u w:val="single"/>
        </w:rPr>
        <w:lastRenderedPageBreak/>
        <w:t>Future Changes:</w:t>
      </w:r>
    </w:p>
    <w:p w14:paraId="37148329" w14:textId="585CA61C" w:rsidR="006A123D" w:rsidRPr="0040656D" w:rsidRDefault="002905E6" w:rsidP="00657117">
      <w:pPr>
        <w:pStyle w:val="paragraph0"/>
        <w:spacing w:before="0" w:beforeAutospacing="0" w:after="240" w:afterAutospacing="0"/>
        <w:jc w:val="both"/>
        <w:textAlignment w:val="baseline"/>
        <w:rPr>
          <w:rStyle w:val="normaltextrun"/>
          <w:rFonts w:ascii="Arial" w:hAnsi="Arial" w:cs="Arial"/>
          <w:color w:val="000000"/>
          <w:sz w:val="20"/>
          <w:szCs w:val="20"/>
        </w:rPr>
      </w:pPr>
      <w:r>
        <w:rPr>
          <w:rStyle w:val="normaltextrun"/>
          <w:rFonts w:ascii="Arial" w:hAnsi="Arial" w:cs="Arial"/>
          <w:color w:val="000000" w:themeColor="text1"/>
          <w:sz w:val="20"/>
          <w:szCs w:val="20"/>
        </w:rPr>
        <w:t>No changes to this output planned in the next reporting period.</w:t>
      </w:r>
    </w:p>
    <w:p w14:paraId="28F87F8E" w14:textId="77777777" w:rsidR="006A123D" w:rsidRPr="0040656D" w:rsidRDefault="006A123D" w:rsidP="00657117">
      <w:pPr>
        <w:spacing w:after="240"/>
        <w:jc w:val="both"/>
        <w:rPr>
          <w:rFonts w:cs="Arial"/>
          <w:b/>
          <w:bCs/>
          <w:sz w:val="20"/>
          <w:szCs w:val="20"/>
        </w:rPr>
      </w:pPr>
      <w:r w:rsidRPr="0040656D">
        <w:rPr>
          <w:rFonts w:cs="Arial"/>
          <w:b/>
          <w:bCs/>
          <w:sz w:val="20"/>
          <w:szCs w:val="20"/>
        </w:rPr>
        <w:t xml:space="preserve">Progress on recommendations from the previous AR (if completed), lessons learned this year and recommendations for the year ahead. </w:t>
      </w:r>
    </w:p>
    <w:p w14:paraId="236CC90A" w14:textId="02F66F18" w:rsidR="00825778" w:rsidRPr="00743993" w:rsidRDefault="00825778" w:rsidP="204B4058">
      <w:pPr>
        <w:spacing w:after="240"/>
        <w:jc w:val="both"/>
        <w:rPr>
          <w:rFonts w:cs="Arial"/>
        </w:rPr>
      </w:pPr>
      <w:r w:rsidRPr="204B4058">
        <w:rPr>
          <w:rFonts w:cs="Arial"/>
          <w:sz w:val="20"/>
          <w:szCs w:val="20"/>
          <w:u w:val="single"/>
        </w:rPr>
        <w:t xml:space="preserve">Previous Annual Review Recommendations </w:t>
      </w:r>
    </w:p>
    <w:p w14:paraId="1BF43686" w14:textId="63A4572B" w:rsidR="00825778" w:rsidRPr="00743993" w:rsidRDefault="00825778" w:rsidP="204B4058">
      <w:pPr>
        <w:spacing w:after="240"/>
        <w:jc w:val="both"/>
        <w:rPr>
          <w:rFonts w:cs="Arial"/>
        </w:rPr>
      </w:pPr>
      <w:r w:rsidRPr="204B4058">
        <w:rPr>
          <w:rFonts w:cs="Arial"/>
          <w:b/>
          <w:bCs/>
          <w:sz w:val="20"/>
          <w:szCs w:val="20"/>
        </w:rPr>
        <w:t xml:space="preserve">Recommendation 1: Not complete, deprioritised. </w:t>
      </w:r>
      <w:r w:rsidRPr="204B4058">
        <w:rPr>
          <w:rFonts w:cs="Arial"/>
          <w:sz w:val="20"/>
          <w:szCs w:val="20"/>
        </w:rPr>
        <w:t>DESNZ aimed to develop a systematic engagement strategy for MAGC delivery in priority ICF countries. This work has been deprioritised, due to DESNZ resourcing capacity and continued focus on scoping for a potential programme extension.  DESNZ have sought to support IFC and UK Posts on an ad-hoc basis when relevant opportunities arise.  The work has been deprioritised, due to DESNZ resourcing capacity and continued focus on scoping for a potential programme extension. </w:t>
      </w:r>
    </w:p>
    <w:p w14:paraId="0A3AAEEA" w14:textId="76CB6082" w:rsidR="00825778" w:rsidRPr="00743993" w:rsidRDefault="00825778" w:rsidP="204B4058">
      <w:pPr>
        <w:spacing w:after="240"/>
        <w:jc w:val="both"/>
        <w:rPr>
          <w:rFonts w:cs="Arial"/>
        </w:rPr>
      </w:pPr>
      <w:r w:rsidRPr="204B4058">
        <w:rPr>
          <w:rFonts w:cs="Arial"/>
          <w:b/>
          <w:bCs/>
          <w:sz w:val="20"/>
          <w:szCs w:val="20"/>
        </w:rPr>
        <w:t xml:space="preserve">Recommendation 2: Not complete, deprioritised. </w:t>
      </w:r>
      <w:r w:rsidRPr="204B4058">
        <w:rPr>
          <w:rFonts w:cs="Arial"/>
          <w:sz w:val="20"/>
          <w:szCs w:val="20"/>
        </w:rPr>
        <w:t xml:space="preserve">DESNZ aimed to develop a communications and event strategy for MAGC. </w:t>
      </w:r>
    </w:p>
    <w:p w14:paraId="3519CA77" w14:textId="44BAD0A0" w:rsidR="00825778" w:rsidRPr="00743993" w:rsidRDefault="2E76B293" w:rsidP="204B4058">
      <w:pPr>
        <w:spacing w:after="240"/>
        <w:jc w:val="both"/>
        <w:rPr>
          <w:rFonts w:cs="Arial"/>
        </w:rPr>
      </w:pPr>
      <w:r w:rsidRPr="204B4058">
        <w:rPr>
          <w:rFonts w:cs="Arial"/>
          <w:b/>
          <w:bCs/>
          <w:sz w:val="20"/>
          <w:szCs w:val="20"/>
        </w:rPr>
        <w:t>Recommendation 3: Complete</w:t>
      </w:r>
      <w:r w:rsidRPr="204B4058">
        <w:rPr>
          <w:rFonts w:cs="Arial"/>
          <w:sz w:val="20"/>
          <w:szCs w:val="20"/>
        </w:rPr>
        <w:t xml:space="preserve">. DESNZ and IFC agreed and finalised a </w:t>
      </w:r>
      <w:r w:rsidR="00451607" w:rsidRPr="204B4058">
        <w:rPr>
          <w:rFonts w:cs="Arial"/>
          <w:sz w:val="20"/>
          <w:szCs w:val="20"/>
        </w:rPr>
        <w:t>Logframe</w:t>
      </w:r>
      <w:r w:rsidRPr="204B4058">
        <w:rPr>
          <w:rFonts w:cs="Arial"/>
          <w:sz w:val="20"/>
          <w:szCs w:val="20"/>
        </w:rPr>
        <w:t xml:space="preserve"> update in this reporting period, which is detailed on Page 7.</w:t>
      </w:r>
    </w:p>
    <w:p w14:paraId="61EF518E" w14:textId="14AEC034" w:rsidR="00743993" w:rsidRPr="004B5B75" w:rsidRDefault="00825778" w:rsidP="0046078C">
      <w:pPr>
        <w:spacing w:after="240"/>
        <w:jc w:val="both"/>
        <w:rPr>
          <w:rFonts w:cs="Arial"/>
          <w:sz w:val="20"/>
          <w:szCs w:val="20"/>
        </w:rPr>
      </w:pPr>
      <w:r w:rsidRPr="204B4058">
        <w:rPr>
          <w:rFonts w:cs="Arial"/>
          <w:b/>
          <w:bCs/>
          <w:sz w:val="20"/>
          <w:szCs w:val="20"/>
        </w:rPr>
        <w:t xml:space="preserve">Recommendation 5: Not complete, ongoing. </w:t>
      </w:r>
      <w:r w:rsidRPr="204B4058">
        <w:rPr>
          <w:rFonts w:cs="Arial"/>
          <w:sz w:val="20"/>
          <w:szCs w:val="20"/>
        </w:rPr>
        <w:t>DESNZ and IFC did not achieve amendments to the programme’s Administration Arrangements, due to lack of capacity in IFC’s Legal team. Once available, DESNZ and IFC have agreed to finalise this work and sign off amendments to the existing Administration Arrangements.</w:t>
      </w:r>
    </w:p>
    <w:p w14:paraId="0AB4E7DF" w14:textId="13F55953" w:rsidR="00825778" w:rsidRPr="00361215" w:rsidRDefault="00825778" w:rsidP="204B4058">
      <w:pPr>
        <w:pStyle w:val="Paragraph"/>
        <w:spacing w:after="240"/>
        <w:rPr>
          <w:sz w:val="20"/>
          <w:szCs w:val="20"/>
        </w:rPr>
      </w:pPr>
      <w:r w:rsidRPr="204B4058">
        <w:rPr>
          <w:sz w:val="20"/>
          <w:szCs w:val="20"/>
          <w:u w:val="single"/>
        </w:rPr>
        <w:t>Annual Review Recommendations</w:t>
      </w:r>
    </w:p>
    <w:p w14:paraId="2FCDAD34" w14:textId="3651AC19" w:rsidR="00825778" w:rsidRPr="00361215" w:rsidRDefault="00825778" w:rsidP="204B4058">
      <w:pPr>
        <w:pStyle w:val="Paragraph"/>
        <w:spacing w:after="240"/>
        <w:rPr>
          <w:sz w:val="20"/>
          <w:szCs w:val="20"/>
        </w:rPr>
      </w:pPr>
      <w:r w:rsidRPr="204B4058">
        <w:rPr>
          <w:b/>
          <w:bCs/>
          <w:sz w:val="20"/>
          <w:szCs w:val="20"/>
        </w:rPr>
        <w:t xml:space="preserve">Recommendation 1: Update Administrative Arrangements. </w:t>
      </w:r>
      <w:r w:rsidRPr="204B4058">
        <w:rPr>
          <w:sz w:val="20"/>
          <w:szCs w:val="20"/>
        </w:rPr>
        <w:t>DESNZ and IFC to review and update the programme’s arrangements to bring up to date with departmental/organisational regulation and national policy. This will likely include introducing policies on ESG/safeguarding and data protection.</w:t>
      </w:r>
      <w:r w:rsidRPr="204B4058">
        <w:rPr>
          <w:b/>
          <w:bCs/>
          <w:sz w:val="20"/>
          <w:szCs w:val="20"/>
        </w:rPr>
        <w:t>  </w:t>
      </w:r>
    </w:p>
    <w:p w14:paraId="3451538A" w14:textId="56A5EA89" w:rsidR="00825778" w:rsidRPr="00361215" w:rsidRDefault="00825778" w:rsidP="204B4058">
      <w:pPr>
        <w:pStyle w:val="Paragraph"/>
        <w:spacing w:after="240"/>
        <w:rPr>
          <w:sz w:val="20"/>
          <w:szCs w:val="20"/>
        </w:rPr>
      </w:pPr>
      <w:r w:rsidRPr="204B4058">
        <w:rPr>
          <w:b/>
          <w:bCs/>
          <w:sz w:val="20"/>
          <w:szCs w:val="20"/>
        </w:rPr>
        <w:t>Recommendation 4:</w:t>
      </w:r>
      <w:r w:rsidRPr="204B4058">
        <w:rPr>
          <w:sz w:val="20"/>
          <w:szCs w:val="20"/>
        </w:rPr>
        <w:t xml:space="preserve"> </w:t>
      </w:r>
      <w:r w:rsidR="00EE5EFE" w:rsidRPr="204B4058">
        <w:rPr>
          <w:b/>
          <w:bCs/>
          <w:sz w:val="20"/>
          <w:szCs w:val="20"/>
        </w:rPr>
        <w:t>MAGC Research Events Survey Responses.</w:t>
      </w:r>
      <w:r w:rsidR="00EE5EFE" w:rsidRPr="204B4058">
        <w:rPr>
          <w:sz w:val="20"/>
          <w:szCs w:val="20"/>
        </w:rPr>
        <w:t xml:space="preserve"> DESNZ will expect IFC to introduce necessary steps, such as co-hosting events to ensure satisfaction surveys are provided and the necessary data is captured. </w:t>
      </w:r>
    </w:p>
    <w:p w14:paraId="2E7D8300" w14:textId="77777777" w:rsidR="000A2486" w:rsidRPr="00723D20" w:rsidRDefault="000A2486" w:rsidP="00657117">
      <w:pPr>
        <w:pStyle w:val="ListParagraph"/>
        <w:spacing w:after="240"/>
        <w:ind w:left="1440"/>
        <w:rPr>
          <w:rFonts w:cs="Arial"/>
          <w:color w:val="000000" w:themeColor="text1"/>
          <w:kern w:val="2"/>
          <w:sz w:val="20"/>
          <w:szCs w:val="20"/>
          <w14:ligatures w14:val="standardContextual"/>
        </w:rPr>
      </w:pPr>
    </w:p>
    <w:p w14:paraId="43A7CB24" w14:textId="77777777" w:rsidR="000A2486" w:rsidRPr="003E7313" w:rsidRDefault="000A2486" w:rsidP="00657117">
      <w:pPr>
        <w:pStyle w:val="ListParagraph"/>
        <w:spacing w:after="240"/>
        <w:rPr>
          <w:rFonts w:eastAsiaTheme="majorEastAsia"/>
          <w:color w:val="000000"/>
          <w:sz w:val="20"/>
          <w:szCs w:val="20"/>
          <w:shd w:val="clear" w:color="auto" w:fill="FFFFFF"/>
        </w:rPr>
      </w:pPr>
    </w:p>
    <w:p w14:paraId="3047DDF6" w14:textId="77777777" w:rsidR="000A2486" w:rsidRPr="0040656D" w:rsidRDefault="000A2486" w:rsidP="00657117">
      <w:pPr>
        <w:pStyle w:val="Paragraph"/>
        <w:spacing w:after="240"/>
        <w:rPr>
          <w:sz w:val="20"/>
          <w:szCs w:val="20"/>
          <w:u w:val="single"/>
        </w:rPr>
      </w:pPr>
    </w:p>
    <w:p w14:paraId="230C2BF6" w14:textId="77777777" w:rsidR="006A123D" w:rsidRPr="0040656D" w:rsidRDefault="006A123D" w:rsidP="00657117">
      <w:pPr>
        <w:spacing w:after="240"/>
        <w:jc w:val="both"/>
        <w:rPr>
          <w:rFonts w:cs="Arial"/>
          <w:sz w:val="20"/>
          <w:u w:val="single"/>
        </w:rPr>
      </w:pPr>
    </w:p>
    <w:p w14:paraId="24FF47BF" w14:textId="77777777" w:rsidR="006A123D" w:rsidRPr="0040656D" w:rsidRDefault="006A123D" w:rsidP="00657117">
      <w:pPr>
        <w:spacing w:after="240"/>
        <w:jc w:val="both"/>
        <w:rPr>
          <w:rFonts w:cs="Arial"/>
          <w:sz w:val="20"/>
          <w:szCs w:val="20"/>
          <w:u w:val="single"/>
        </w:rPr>
      </w:pPr>
    </w:p>
    <w:p w14:paraId="707039E2" w14:textId="77777777" w:rsidR="006A123D" w:rsidRPr="0040656D" w:rsidRDefault="006A123D" w:rsidP="00657117">
      <w:pPr>
        <w:spacing w:after="240"/>
        <w:jc w:val="both"/>
        <w:rPr>
          <w:rFonts w:cs="Arial"/>
          <w:sz w:val="20"/>
          <w:szCs w:val="20"/>
          <w:u w:val="single"/>
        </w:rPr>
      </w:pPr>
    </w:p>
    <w:p w14:paraId="1C698897" w14:textId="77777777" w:rsidR="006A123D" w:rsidRPr="0040656D" w:rsidRDefault="006A123D" w:rsidP="00657117">
      <w:pPr>
        <w:spacing w:after="240"/>
        <w:jc w:val="both"/>
        <w:rPr>
          <w:rFonts w:cs="Arial"/>
          <w:sz w:val="20"/>
          <w:szCs w:val="20"/>
          <w:u w:val="single"/>
        </w:rPr>
      </w:pPr>
    </w:p>
    <w:p w14:paraId="6A56A4C0" w14:textId="3A8914A5" w:rsidR="006A123D" w:rsidRPr="0040656D" w:rsidRDefault="006A123D" w:rsidP="3A10AEBD">
      <w:pPr>
        <w:spacing w:after="240"/>
        <w:jc w:val="both"/>
        <w:rPr>
          <w:rFonts w:cs="Arial"/>
          <w:sz w:val="20"/>
          <w:szCs w:val="20"/>
          <w:u w:val="single"/>
        </w:rPr>
      </w:pPr>
    </w:p>
    <w:p w14:paraId="18FB3F21" w14:textId="77777777" w:rsidR="006A123D" w:rsidRPr="0040656D" w:rsidRDefault="006A123D" w:rsidP="00657117">
      <w:pPr>
        <w:spacing w:after="240"/>
        <w:jc w:val="both"/>
        <w:rPr>
          <w:rFonts w:cs="Arial"/>
          <w:sz w:val="20"/>
          <w:szCs w:val="20"/>
          <w:u w:val="single"/>
        </w:rPr>
      </w:pPr>
    </w:p>
    <w:p w14:paraId="79B1A59C" w14:textId="77777777" w:rsidR="006A123D" w:rsidRPr="0040656D" w:rsidRDefault="006A123D" w:rsidP="00657117">
      <w:pPr>
        <w:spacing w:after="240"/>
        <w:jc w:val="both"/>
        <w:rPr>
          <w:rFonts w:cs="Arial"/>
          <w:sz w:val="20"/>
          <w:szCs w:val="20"/>
          <w:u w:val="single"/>
        </w:rPr>
      </w:pPr>
    </w:p>
    <w:p w14:paraId="28C074DA" w14:textId="4DD02D50" w:rsidR="006A123D" w:rsidRPr="0040656D" w:rsidRDefault="006A123D" w:rsidP="418D93A9">
      <w:pPr>
        <w:spacing w:after="240"/>
        <w:jc w:val="both"/>
        <w:rPr>
          <w:rFonts w:cs="Arial"/>
          <w:sz w:val="20"/>
          <w:szCs w:val="20"/>
          <w:u w:val="single"/>
        </w:rPr>
      </w:pPr>
    </w:p>
    <w:p w14:paraId="7A4F9CAB" w14:textId="77777777" w:rsidR="006A123D" w:rsidRPr="0040656D" w:rsidRDefault="006A123D" w:rsidP="00657117">
      <w:pPr>
        <w:spacing w:after="240" w:line="259" w:lineRule="auto"/>
        <w:rPr>
          <w:rFonts w:cs="Arial"/>
          <w:sz w:val="20"/>
          <w:szCs w:val="20"/>
          <w:u w:val="single"/>
        </w:rPr>
      </w:pPr>
      <w:r w:rsidRPr="0040656D">
        <w:rPr>
          <w:rFonts w:cs="Arial"/>
          <w:sz w:val="20"/>
          <w:szCs w:val="20"/>
          <w:u w:val="single"/>
        </w:rPr>
        <w:br w:type="page"/>
      </w:r>
    </w:p>
    <w:p w14:paraId="5B3A4547" w14:textId="77777777" w:rsidR="006A123D" w:rsidRPr="0040656D" w:rsidRDefault="006A123D" w:rsidP="00657117">
      <w:pPr>
        <w:pBdr>
          <w:top w:val="single" w:sz="4" w:space="1" w:color="auto"/>
          <w:left w:val="single" w:sz="4" w:space="4" w:color="auto"/>
          <w:bottom w:val="single" w:sz="4" w:space="1" w:color="auto"/>
          <w:right w:val="single" w:sz="4" w:space="4" w:color="auto"/>
        </w:pBdr>
        <w:shd w:val="clear" w:color="auto" w:fill="C1E4F5" w:themeFill="accent1" w:themeFillTint="33"/>
        <w:spacing w:after="240"/>
        <w:rPr>
          <w:rFonts w:cs="Arial"/>
          <w:bCs/>
          <w:sz w:val="20"/>
          <w:szCs w:val="20"/>
        </w:rPr>
      </w:pPr>
      <w:r w:rsidRPr="0040656D">
        <w:rPr>
          <w:rFonts w:cs="Arial"/>
          <w:b/>
          <w:bCs/>
          <w:sz w:val="20"/>
          <w:szCs w:val="20"/>
        </w:rPr>
        <w:lastRenderedPageBreak/>
        <w:t xml:space="preserve">D: PROJECT PERFORMANCE NOT CAPTURED BY OUTPUTS </w:t>
      </w:r>
    </w:p>
    <w:p w14:paraId="6580AA0E" w14:textId="4394D8B4" w:rsidR="006A123D" w:rsidRPr="008E5FC7" w:rsidRDefault="006A123D" w:rsidP="00657117">
      <w:pPr>
        <w:spacing w:after="240"/>
        <w:rPr>
          <w:rFonts w:cs="Arial"/>
          <w:i/>
          <w:iCs/>
          <w:sz w:val="20"/>
          <w:u w:val="single"/>
        </w:rPr>
      </w:pPr>
      <w:r w:rsidRPr="008E5FC7">
        <w:rPr>
          <w:rFonts w:cs="Arial"/>
          <w:i/>
          <w:iCs/>
          <w:sz w:val="20"/>
          <w:u w:val="single"/>
        </w:rPr>
        <w:t xml:space="preserve">Funding </w:t>
      </w:r>
      <w:r w:rsidR="002905E6">
        <w:rPr>
          <w:rFonts w:cs="Arial"/>
          <w:i/>
          <w:iCs/>
          <w:sz w:val="20"/>
          <w:u w:val="single"/>
        </w:rPr>
        <w:t>I</w:t>
      </w:r>
      <w:r w:rsidR="002905E6" w:rsidRPr="008E5FC7">
        <w:rPr>
          <w:rFonts w:cs="Arial"/>
          <w:i/>
          <w:iCs/>
          <w:sz w:val="20"/>
          <w:u w:val="single"/>
        </w:rPr>
        <w:t xml:space="preserve">ncrease and </w:t>
      </w:r>
      <w:r w:rsidR="002905E6">
        <w:rPr>
          <w:rFonts w:cs="Arial"/>
          <w:i/>
          <w:iCs/>
          <w:sz w:val="20"/>
          <w:u w:val="single"/>
        </w:rPr>
        <w:t>T</w:t>
      </w:r>
      <w:r w:rsidR="005A6997" w:rsidRPr="008E5FC7">
        <w:rPr>
          <w:rFonts w:cs="Arial"/>
          <w:i/>
          <w:iCs/>
          <w:sz w:val="20"/>
          <w:u w:val="single"/>
        </w:rPr>
        <w:t xml:space="preserve">ime </w:t>
      </w:r>
      <w:r w:rsidR="002905E6">
        <w:rPr>
          <w:rFonts w:cs="Arial"/>
          <w:i/>
          <w:iCs/>
          <w:sz w:val="20"/>
          <w:u w:val="single"/>
        </w:rPr>
        <w:t>E</w:t>
      </w:r>
      <w:r w:rsidR="002905E6" w:rsidRPr="008E5FC7">
        <w:rPr>
          <w:rFonts w:cs="Arial"/>
          <w:i/>
          <w:iCs/>
          <w:sz w:val="20"/>
          <w:u w:val="single"/>
        </w:rPr>
        <w:t xml:space="preserve">xtension </w:t>
      </w:r>
      <w:r w:rsidRPr="008E5FC7">
        <w:rPr>
          <w:rFonts w:cs="Arial"/>
          <w:i/>
          <w:iCs/>
          <w:sz w:val="20"/>
          <w:u w:val="single"/>
        </w:rPr>
        <w:t xml:space="preserve">for MAGC </w:t>
      </w:r>
      <w:r w:rsidR="005A6997" w:rsidRPr="008E5FC7">
        <w:rPr>
          <w:rFonts w:cs="Arial"/>
          <w:i/>
          <w:iCs/>
          <w:sz w:val="20"/>
          <w:szCs w:val="20"/>
          <w:u w:val="single"/>
        </w:rPr>
        <w:t>Concessional Finance and Advisory Services</w:t>
      </w:r>
    </w:p>
    <w:p w14:paraId="1408BF31" w14:textId="39110C7D" w:rsidR="006A123D" w:rsidRPr="0040656D" w:rsidRDefault="006A123D" w:rsidP="00657117">
      <w:pPr>
        <w:spacing w:after="240"/>
        <w:jc w:val="both"/>
        <w:rPr>
          <w:rStyle w:val="normaltextrun"/>
          <w:rFonts w:cs="Arial"/>
          <w:sz w:val="20"/>
        </w:rPr>
      </w:pPr>
      <w:r w:rsidRPr="0040656D">
        <w:rPr>
          <w:rStyle w:val="normaltextrun"/>
          <w:rFonts w:cs="Arial"/>
          <w:sz w:val="20"/>
        </w:rPr>
        <w:t xml:space="preserve">On </w:t>
      </w:r>
      <w:r w:rsidR="00672825">
        <w:rPr>
          <w:rStyle w:val="normaltextrun"/>
          <w:rFonts w:cs="Arial"/>
          <w:sz w:val="20"/>
        </w:rPr>
        <w:t xml:space="preserve">December </w:t>
      </w:r>
      <w:r w:rsidR="003A6094">
        <w:rPr>
          <w:rStyle w:val="normaltextrun"/>
          <w:rFonts w:cs="Arial"/>
          <w:sz w:val="20"/>
        </w:rPr>
        <w:t>12</w:t>
      </w:r>
      <w:r w:rsidRPr="0040656D">
        <w:rPr>
          <w:rStyle w:val="normaltextrun"/>
          <w:rFonts w:cs="Arial"/>
          <w:sz w:val="20"/>
        </w:rPr>
        <w:t xml:space="preserve">, 2023, MAGC increased funding and </w:t>
      </w:r>
      <w:r w:rsidR="00923815">
        <w:rPr>
          <w:rStyle w:val="normaltextrun"/>
          <w:rFonts w:cs="Arial"/>
          <w:sz w:val="20"/>
        </w:rPr>
        <w:t>introduced a time extension for</w:t>
      </w:r>
      <w:r w:rsidRPr="0040656D">
        <w:rPr>
          <w:rStyle w:val="normaltextrun"/>
          <w:rFonts w:cs="Arial"/>
          <w:sz w:val="20"/>
        </w:rPr>
        <w:t xml:space="preserve"> Component</w:t>
      </w:r>
      <w:r w:rsidR="00672825">
        <w:rPr>
          <w:rStyle w:val="normaltextrun"/>
          <w:rFonts w:cs="Arial"/>
          <w:sz w:val="20"/>
        </w:rPr>
        <w:t xml:space="preserve"> 1.</w:t>
      </w:r>
      <w:r w:rsidRPr="0040656D">
        <w:rPr>
          <w:rStyle w:val="normaltextrun"/>
          <w:rFonts w:cs="Arial"/>
          <w:sz w:val="20"/>
        </w:rPr>
        <w:t xml:space="preserve"> DESNZ and IFC signed an amendment of the Advisory Administration Arrangement, agreeing to increase funding in the amount of additional £</w:t>
      </w:r>
      <w:r w:rsidR="00923815">
        <w:rPr>
          <w:rStyle w:val="normaltextrun"/>
          <w:rFonts w:cs="Arial"/>
          <w:sz w:val="20"/>
        </w:rPr>
        <w:t>24</w:t>
      </w:r>
      <w:r w:rsidRPr="0040656D">
        <w:rPr>
          <w:rStyle w:val="normaltextrun"/>
          <w:rFonts w:cs="Arial"/>
          <w:sz w:val="20"/>
        </w:rPr>
        <w:t xml:space="preserve"> million</w:t>
      </w:r>
      <w:r w:rsidR="00923815">
        <w:rPr>
          <w:rStyle w:val="normaltextrun"/>
          <w:rFonts w:cs="Arial"/>
          <w:sz w:val="20"/>
        </w:rPr>
        <w:t xml:space="preserve"> (£22m for blended finance investments and £2m for supporting advisory services)</w:t>
      </w:r>
      <w:r w:rsidRPr="0040656D">
        <w:rPr>
          <w:rStyle w:val="normaltextrun"/>
          <w:rFonts w:cs="Arial"/>
          <w:sz w:val="20"/>
        </w:rPr>
        <w:t xml:space="preserve">. With this increase, MAGC’s </w:t>
      </w:r>
      <w:r w:rsidR="00923815">
        <w:rPr>
          <w:rStyle w:val="normaltextrun"/>
          <w:rFonts w:cs="Arial"/>
          <w:sz w:val="20"/>
        </w:rPr>
        <w:t>investments</w:t>
      </w:r>
      <w:r w:rsidR="00923815" w:rsidRPr="0040656D">
        <w:rPr>
          <w:rStyle w:val="normaltextrun"/>
          <w:rFonts w:cs="Arial"/>
          <w:sz w:val="20"/>
        </w:rPr>
        <w:t xml:space="preserve"> </w:t>
      </w:r>
      <w:r w:rsidRPr="0040656D">
        <w:rPr>
          <w:rStyle w:val="normaltextrun"/>
          <w:rFonts w:cs="Arial"/>
          <w:sz w:val="20"/>
        </w:rPr>
        <w:t xml:space="preserve">services </w:t>
      </w:r>
      <w:r w:rsidR="00923815">
        <w:rPr>
          <w:rStyle w:val="normaltextrun"/>
          <w:rFonts w:cs="Arial"/>
          <w:sz w:val="20"/>
        </w:rPr>
        <w:t xml:space="preserve">and </w:t>
      </w:r>
      <w:r w:rsidR="002071AA">
        <w:rPr>
          <w:rStyle w:val="normaltextrun"/>
          <w:rFonts w:cs="Arial"/>
          <w:sz w:val="20"/>
        </w:rPr>
        <w:t xml:space="preserve">FI-level advisory services </w:t>
      </w:r>
      <w:r w:rsidRPr="0040656D">
        <w:rPr>
          <w:rStyle w:val="normaltextrun"/>
          <w:rFonts w:cs="Arial"/>
          <w:sz w:val="20"/>
        </w:rPr>
        <w:t>segment</w:t>
      </w:r>
      <w:r w:rsidR="002071AA">
        <w:rPr>
          <w:rStyle w:val="normaltextrun"/>
          <w:rFonts w:cs="Arial"/>
          <w:sz w:val="20"/>
        </w:rPr>
        <w:t>s</w:t>
      </w:r>
      <w:r w:rsidRPr="0040656D">
        <w:rPr>
          <w:rStyle w:val="normaltextrun"/>
          <w:rFonts w:cs="Arial"/>
          <w:sz w:val="20"/>
        </w:rPr>
        <w:t xml:space="preserve"> increase to £</w:t>
      </w:r>
      <w:r w:rsidR="00923815">
        <w:rPr>
          <w:rStyle w:val="normaltextrun"/>
          <w:rFonts w:cs="Arial"/>
          <w:sz w:val="20"/>
        </w:rPr>
        <w:t>102</w:t>
      </w:r>
      <w:r w:rsidRPr="0040656D">
        <w:rPr>
          <w:rStyle w:val="normaltextrun"/>
          <w:rFonts w:cs="Arial"/>
          <w:sz w:val="20"/>
        </w:rPr>
        <w:t xml:space="preserve"> million</w:t>
      </w:r>
      <w:r w:rsidR="002071AA">
        <w:rPr>
          <w:rStyle w:val="normaltextrun"/>
          <w:rFonts w:cs="Arial"/>
          <w:sz w:val="20"/>
        </w:rPr>
        <w:t xml:space="preserve"> and £7.46 million respectively</w:t>
      </w:r>
      <w:r w:rsidRPr="0040656D">
        <w:rPr>
          <w:rStyle w:val="normaltextrun"/>
          <w:rFonts w:cs="Arial"/>
          <w:sz w:val="20"/>
        </w:rPr>
        <w:t xml:space="preserve">. </w:t>
      </w:r>
      <w:r w:rsidR="003A6094">
        <w:rPr>
          <w:rStyle w:val="normaltextrun"/>
          <w:rFonts w:cs="Arial"/>
          <w:sz w:val="20"/>
        </w:rPr>
        <w:t>As well as a two-year time extension for the programme’s investment window to run to December 2027.</w:t>
      </w:r>
    </w:p>
    <w:p w14:paraId="2E9B880E" w14:textId="5E18D872" w:rsidR="006A123D" w:rsidRDefault="006A123D" w:rsidP="00657117">
      <w:pPr>
        <w:spacing w:after="240"/>
        <w:jc w:val="both"/>
        <w:rPr>
          <w:rStyle w:val="normaltextrun"/>
          <w:rFonts w:cs="Arial"/>
          <w:sz w:val="20"/>
        </w:rPr>
      </w:pPr>
      <w:r w:rsidRPr="0040656D">
        <w:rPr>
          <w:rStyle w:val="normaltextrun"/>
          <w:rFonts w:cs="Arial"/>
          <w:sz w:val="20"/>
        </w:rPr>
        <w:t xml:space="preserve">The additional funding </w:t>
      </w:r>
      <w:r w:rsidR="005A1613">
        <w:rPr>
          <w:rStyle w:val="normaltextrun"/>
          <w:rFonts w:cs="Arial"/>
          <w:sz w:val="20"/>
        </w:rPr>
        <w:t xml:space="preserve">and time extension will </w:t>
      </w:r>
      <w:r w:rsidR="005A1613" w:rsidRPr="005A1613">
        <w:rPr>
          <w:rStyle w:val="normaltextrun"/>
          <w:rFonts w:cs="Arial"/>
          <w:sz w:val="20"/>
        </w:rPr>
        <w:t>allow IFC to progress its strong investment pipeline, which has exceeded expectations to dat</w:t>
      </w:r>
      <w:r w:rsidR="005A1613">
        <w:rPr>
          <w:rStyle w:val="normaltextrun"/>
          <w:rFonts w:cs="Arial"/>
          <w:sz w:val="20"/>
        </w:rPr>
        <w:t xml:space="preserve">e. It is anticipated that this will enable IFC to </w:t>
      </w:r>
      <w:r w:rsidR="00B96BB9">
        <w:rPr>
          <w:rStyle w:val="normaltextrun"/>
          <w:rFonts w:cs="Arial"/>
          <w:sz w:val="20"/>
        </w:rPr>
        <w:t>commit</w:t>
      </w:r>
      <w:r w:rsidR="005A1613" w:rsidRPr="005A1613">
        <w:rPr>
          <w:rStyle w:val="normaltextrun"/>
          <w:rFonts w:cs="Arial"/>
          <w:sz w:val="20"/>
        </w:rPr>
        <w:t xml:space="preserve"> an estimated 12 extra transactions to local financial intermediaries</w:t>
      </w:r>
      <w:r w:rsidR="00B96BB9">
        <w:rPr>
          <w:rStyle w:val="normaltextrun"/>
          <w:rFonts w:cs="Arial"/>
          <w:sz w:val="20"/>
        </w:rPr>
        <w:t>.</w:t>
      </w:r>
    </w:p>
    <w:p w14:paraId="32B33D22" w14:textId="036C3206" w:rsidR="0071671A" w:rsidRDefault="0071671A" w:rsidP="00657117">
      <w:pPr>
        <w:spacing w:after="240"/>
        <w:jc w:val="both"/>
        <w:rPr>
          <w:rStyle w:val="normaltextrun"/>
          <w:rFonts w:cs="Arial"/>
          <w:sz w:val="20"/>
        </w:rPr>
      </w:pPr>
      <w:r>
        <w:rPr>
          <w:rStyle w:val="normaltextrun"/>
          <w:rFonts w:cs="Arial"/>
          <w:sz w:val="20"/>
        </w:rPr>
        <w:t xml:space="preserve">In the next reporting period, DESNZ and IFC will agree </w:t>
      </w:r>
      <w:r w:rsidR="002211BC">
        <w:rPr>
          <w:rStyle w:val="normaltextrun"/>
          <w:rFonts w:cs="Arial"/>
          <w:sz w:val="20"/>
        </w:rPr>
        <w:t xml:space="preserve">amendments to the </w:t>
      </w:r>
      <w:r w:rsidR="00451607">
        <w:rPr>
          <w:rStyle w:val="normaltextrun"/>
          <w:rFonts w:cs="Arial"/>
          <w:sz w:val="20"/>
        </w:rPr>
        <w:t>Logframe</w:t>
      </w:r>
      <w:r w:rsidR="002211BC">
        <w:rPr>
          <w:rStyle w:val="normaltextrun"/>
          <w:rFonts w:cs="Arial"/>
          <w:sz w:val="20"/>
        </w:rPr>
        <w:t xml:space="preserve"> to capture </w:t>
      </w:r>
      <w:r w:rsidR="005B0EA1">
        <w:rPr>
          <w:rStyle w:val="normaltextrun"/>
          <w:rFonts w:cs="Arial"/>
          <w:sz w:val="20"/>
        </w:rPr>
        <w:t xml:space="preserve">the implementation of the activities that were </w:t>
      </w:r>
      <w:r w:rsidR="005B0EA1" w:rsidRPr="00EC6219">
        <w:rPr>
          <w:rStyle w:val="normaltextrun"/>
          <w:rFonts w:cs="Arial"/>
          <w:sz w:val="20"/>
        </w:rPr>
        <w:t>agreed</w:t>
      </w:r>
      <w:r w:rsidR="000F5A4D" w:rsidRPr="00EC6219">
        <w:rPr>
          <w:rStyle w:val="normaltextrun"/>
          <w:rFonts w:cs="Arial"/>
          <w:sz w:val="20"/>
        </w:rPr>
        <w:t xml:space="preserve"> (Recommendation </w:t>
      </w:r>
      <w:r w:rsidR="00EC6219">
        <w:rPr>
          <w:rStyle w:val="normaltextrun"/>
          <w:rFonts w:cs="Arial"/>
          <w:sz w:val="20"/>
        </w:rPr>
        <w:t>3</w:t>
      </w:r>
      <w:r w:rsidR="000F5A4D" w:rsidRPr="00EC6219">
        <w:rPr>
          <w:rStyle w:val="normaltextrun"/>
          <w:rFonts w:cs="Arial"/>
          <w:sz w:val="20"/>
        </w:rPr>
        <w:t>)</w:t>
      </w:r>
      <w:r w:rsidR="005B0EA1" w:rsidRPr="00EC6219">
        <w:rPr>
          <w:rStyle w:val="normaltextrun"/>
          <w:rFonts w:cs="Arial"/>
          <w:sz w:val="20"/>
        </w:rPr>
        <w:t>.</w:t>
      </w:r>
      <w:r w:rsidR="005B0EA1">
        <w:rPr>
          <w:rStyle w:val="normaltextrun"/>
          <w:rFonts w:cs="Arial"/>
          <w:sz w:val="20"/>
        </w:rPr>
        <w:t xml:space="preserve"> </w:t>
      </w:r>
    </w:p>
    <w:p w14:paraId="2C07FAE5" w14:textId="77777777" w:rsidR="006A123D" w:rsidRPr="000C48FF" w:rsidRDefault="006A123D" w:rsidP="729F1C53">
      <w:pPr>
        <w:spacing w:after="240"/>
        <w:rPr>
          <w:rFonts w:cs="Arial"/>
          <w:b/>
          <w:bCs/>
          <w:i/>
          <w:iCs/>
          <w:sz w:val="20"/>
          <w:szCs w:val="20"/>
        </w:rPr>
      </w:pPr>
      <w:r w:rsidRPr="729F1C53">
        <w:rPr>
          <w:rFonts w:cs="Arial"/>
          <w:b/>
          <w:bCs/>
          <w:i/>
          <w:iCs/>
          <w:sz w:val="20"/>
          <w:szCs w:val="20"/>
        </w:rPr>
        <w:t>Independent Evaluation</w:t>
      </w:r>
    </w:p>
    <w:p w14:paraId="4930DAB7" w14:textId="1D2020CD" w:rsidR="006A123D" w:rsidRPr="0040656D" w:rsidRDefault="006A123D" w:rsidP="729F1C53">
      <w:pPr>
        <w:spacing w:after="240"/>
        <w:jc w:val="both"/>
        <w:rPr>
          <w:rFonts w:cs="Arial"/>
          <w:sz w:val="20"/>
          <w:szCs w:val="20"/>
        </w:rPr>
      </w:pPr>
      <w:r w:rsidRPr="729F1C53">
        <w:rPr>
          <w:rFonts w:cs="Arial"/>
          <w:sz w:val="20"/>
          <w:szCs w:val="20"/>
        </w:rPr>
        <w:t xml:space="preserve">On June 12, 2023, DESNZ successfully contracted a monitoring, evaluation, and learning (MEL) partner to conduct an independent evaluation of MAGC. The contract was awarded to IPSOS (Market Research) Ltd and will run from </w:t>
      </w:r>
      <w:r w:rsidR="00546BE6" w:rsidRPr="729F1C53">
        <w:rPr>
          <w:rFonts w:cs="Arial"/>
          <w:sz w:val="20"/>
          <w:szCs w:val="20"/>
        </w:rPr>
        <w:t>August 2023 – December 2027.</w:t>
      </w:r>
      <w:r w:rsidRPr="729F1C53">
        <w:rPr>
          <w:rFonts w:cs="Arial"/>
          <w:sz w:val="20"/>
          <w:szCs w:val="20"/>
        </w:rPr>
        <w:t xml:space="preserve"> </w:t>
      </w:r>
    </w:p>
    <w:p w14:paraId="724368CE" w14:textId="62BC7D4E" w:rsidR="006A123D" w:rsidRPr="0040656D" w:rsidRDefault="006A028A" w:rsidP="729F1C53">
      <w:pPr>
        <w:spacing w:after="240"/>
        <w:jc w:val="both"/>
        <w:rPr>
          <w:rFonts w:cs="Arial"/>
          <w:sz w:val="20"/>
          <w:szCs w:val="20"/>
        </w:rPr>
      </w:pPr>
      <w:r w:rsidRPr="729F1C53">
        <w:rPr>
          <w:rFonts w:cs="Arial"/>
          <w:sz w:val="20"/>
          <w:szCs w:val="20"/>
        </w:rPr>
        <w:t xml:space="preserve">IPSOS are contracted to </w:t>
      </w:r>
      <w:r w:rsidR="006A123D" w:rsidRPr="729F1C53">
        <w:rPr>
          <w:rFonts w:cs="Arial"/>
          <w:sz w:val="20"/>
          <w:szCs w:val="20"/>
        </w:rPr>
        <w:t>undertake a process, outcome, impact, and value for money evaluation</w:t>
      </w:r>
      <w:r w:rsidR="00FB1A6C" w:rsidRPr="729F1C53">
        <w:rPr>
          <w:rFonts w:cs="Arial"/>
          <w:sz w:val="20"/>
          <w:szCs w:val="20"/>
        </w:rPr>
        <w:t>,</w:t>
      </w:r>
      <w:r w:rsidRPr="729F1C53">
        <w:rPr>
          <w:rFonts w:cs="Arial"/>
          <w:sz w:val="20"/>
          <w:szCs w:val="20"/>
        </w:rPr>
        <w:t xml:space="preserve"> delivered </w:t>
      </w:r>
      <w:r w:rsidR="00FB1A6C" w:rsidRPr="729F1C53">
        <w:rPr>
          <w:rFonts w:cs="Arial"/>
          <w:sz w:val="20"/>
          <w:szCs w:val="20"/>
        </w:rPr>
        <w:t xml:space="preserve">as </w:t>
      </w:r>
      <w:r w:rsidR="006A123D" w:rsidRPr="729F1C53">
        <w:rPr>
          <w:rFonts w:cs="Arial"/>
          <w:sz w:val="20"/>
          <w:szCs w:val="20"/>
        </w:rPr>
        <w:t>interim and final evaluation</w:t>
      </w:r>
      <w:r w:rsidR="00FB1A6C" w:rsidRPr="729F1C53">
        <w:rPr>
          <w:rFonts w:cs="Arial"/>
          <w:sz w:val="20"/>
          <w:szCs w:val="20"/>
        </w:rPr>
        <w:t>s</w:t>
      </w:r>
      <w:r w:rsidR="006A123D" w:rsidRPr="729F1C53">
        <w:rPr>
          <w:rFonts w:cs="Arial"/>
          <w:sz w:val="20"/>
          <w:szCs w:val="20"/>
        </w:rPr>
        <w:t xml:space="preserve">. </w:t>
      </w:r>
      <w:r w:rsidR="00FB1A6C" w:rsidRPr="729F1C53">
        <w:rPr>
          <w:rFonts w:cs="Arial"/>
          <w:sz w:val="20"/>
          <w:szCs w:val="20"/>
        </w:rPr>
        <w:t>F</w:t>
      </w:r>
      <w:r w:rsidR="006A123D" w:rsidRPr="729F1C53">
        <w:rPr>
          <w:rFonts w:cs="Arial"/>
          <w:sz w:val="20"/>
          <w:szCs w:val="20"/>
        </w:rPr>
        <w:t xml:space="preserve">indings will be used to </w:t>
      </w:r>
      <w:r w:rsidR="00D71B75" w:rsidRPr="729F1C53">
        <w:rPr>
          <w:rFonts w:cs="Arial"/>
          <w:sz w:val="20"/>
          <w:szCs w:val="20"/>
        </w:rPr>
        <w:t xml:space="preserve">inform and </w:t>
      </w:r>
      <w:r w:rsidR="006A123D" w:rsidRPr="729F1C53">
        <w:rPr>
          <w:rFonts w:cs="Arial"/>
          <w:sz w:val="20"/>
          <w:szCs w:val="20"/>
        </w:rPr>
        <w:t>improve the ongoing delivery</w:t>
      </w:r>
      <w:r w:rsidR="00D71B75" w:rsidRPr="729F1C53">
        <w:rPr>
          <w:rFonts w:cs="Arial"/>
          <w:sz w:val="20"/>
          <w:szCs w:val="20"/>
        </w:rPr>
        <w:t xml:space="preserve"> of MAGC</w:t>
      </w:r>
      <w:r w:rsidR="006A123D" w:rsidRPr="729F1C53">
        <w:rPr>
          <w:rFonts w:cs="Arial"/>
          <w:sz w:val="20"/>
          <w:szCs w:val="20"/>
        </w:rPr>
        <w:t xml:space="preserve">. Moreover, findings will be used to improve the design, strategy, and governance of other programmes </w:t>
      </w:r>
      <w:proofErr w:type="gramStart"/>
      <w:r w:rsidR="006A123D" w:rsidRPr="729F1C53">
        <w:rPr>
          <w:rFonts w:cs="Arial"/>
          <w:sz w:val="20"/>
          <w:szCs w:val="20"/>
        </w:rPr>
        <w:t>similar to</w:t>
      </w:r>
      <w:proofErr w:type="gramEnd"/>
      <w:r w:rsidR="006A123D" w:rsidRPr="729F1C53">
        <w:rPr>
          <w:rFonts w:cs="Arial"/>
          <w:sz w:val="20"/>
          <w:szCs w:val="20"/>
        </w:rPr>
        <w:t xml:space="preserve"> MAGC, including other TA programmes within DESNZ’</w:t>
      </w:r>
      <w:r w:rsidR="00D71B75" w:rsidRPr="729F1C53">
        <w:rPr>
          <w:rFonts w:cs="Arial"/>
          <w:sz w:val="20"/>
          <w:szCs w:val="20"/>
        </w:rPr>
        <w:t>s</w:t>
      </w:r>
      <w:r w:rsidR="006A123D" w:rsidRPr="729F1C53">
        <w:rPr>
          <w:rFonts w:cs="Arial"/>
          <w:sz w:val="20"/>
          <w:szCs w:val="20"/>
        </w:rPr>
        <w:t xml:space="preserve"> ICF portfolio.</w:t>
      </w:r>
    </w:p>
    <w:p w14:paraId="1F18AE3C" w14:textId="044A1AF8" w:rsidR="006A123D" w:rsidRPr="0040656D" w:rsidRDefault="006A123D" w:rsidP="729F1C53">
      <w:pPr>
        <w:spacing w:after="240"/>
        <w:rPr>
          <w:rFonts w:cs="Arial"/>
          <w:sz w:val="20"/>
          <w:szCs w:val="20"/>
        </w:rPr>
      </w:pPr>
      <w:r w:rsidRPr="729F1C53">
        <w:rPr>
          <w:rFonts w:cs="Arial"/>
          <w:sz w:val="20"/>
          <w:szCs w:val="20"/>
        </w:rPr>
        <w:t>The key aims and objectives of this evaluation are</w:t>
      </w:r>
      <w:r w:rsidR="00D71B75" w:rsidRPr="729F1C53">
        <w:rPr>
          <w:rFonts w:cs="Arial"/>
          <w:sz w:val="20"/>
          <w:szCs w:val="20"/>
        </w:rPr>
        <w:t xml:space="preserve"> to</w:t>
      </w:r>
      <w:r w:rsidRPr="729F1C53">
        <w:rPr>
          <w:rFonts w:cs="Arial"/>
          <w:sz w:val="20"/>
          <w:szCs w:val="20"/>
        </w:rPr>
        <w:t>:</w:t>
      </w:r>
    </w:p>
    <w:p w14:paraId="10E0EFF8" w14:textId="1F020E20" w:rsidR="006A123D" w:rsidRPr="0040656D" w:rsidRDefault="00D71B75" w:rsidP="000C48FF">
      <w:pPr>
        <w:pStyle w:val="ListParagraph"/>
        <w:numPr>
          <w:ilvl w:val="0"/>
          <w:numId w:val="24"/>
        </w:numPr>
        <w:spacing w:after="240"/>
        <w:ind w:left="714" w:hanging="357"/>
        <w:jc w:val="both"/>
        <w:rPr>
          <w:rFonts w:cs="Arial"/>
          <w:sz w:val="20"/>
          <w:szCs w:val="20"/>
        </w:rPr>
      </w:pPr>
      <w:r w:rsidRPr="08D7F225">
        <w:rPr>
          <w:rFonts w:cs="Arial"/>
          <w:b/>
          <w:bCs/>
          <w:sz w:val="20"/>
          <w:szCs w:val="20"/>
        </w:rPr>
        <w:t>A</w:t>
      </w:r>
      <w:r w:rsidR="006A123D" w:rsidRPr="08D7F225">
        <w:rPr>
          <w:rFonts w:cs="Arial"/>
          <w:b/>
          <w:bCs/>
          <w:sz w:val="20"/>
          <w:szCs w:val="20"/>
        </w:rPr>
        <w:t>ssess</w:t>
      </w:r>
      <w:r w:rsidR="006A123D" w:rsidRPr="08D7F225">
        <w:rPr>
          <w:rFonts w:cs="Arial"/>
          <w:sz w:val="20"/>
          <w:szCs w:val="20"/>
        </w:rPr>
        <w:t xml:space="preserve"> whether the programme is achieving its intended benefits through a process, outcome, impact, and value for money evaluation.  </w:t>
      </w:r>
    </w:p>
    <w:p w14:paraId="2062AB1A" w14:textId="555CBF54" w:rsidR="006A123D" w:rsidRPr="0040656D" w:rsidRDefault="00D71B75" w:rsidP="000C48FF">
      <w:pPr>
        <w:pStyle w:val="ListParagraph"/>
        <w:numPr>
          <w:ilvl w:val="0"/>
          <w:numId w:val="24"/>
        </w:numPr>
        <w:spacing w:after="240"/>
        <w:ind w:left="714" w:hanging="357"/>
        <w:jc w:val="both"/>
        <w:rPr>
          <w:rFonts w:cs="Arial"/>
          <w:sz w:val="20"/>
          <w:szCs w:val="20"/>
        </w:rPr>
      </w:pPr>
      <w:r w:rsidRPr="729F1C53">
        <w:rPr>
          <w:rFonts w:cs="Arial"/>
          <w:b/>
          <w:bCs/>
          <w:sz w:val="20"/>
          <w:szCs w:val="20"/>
        </w:rPr>
        <w:t>M</w:t>
      </w:r>
      <w:r w:rsidR="006A123D" w:rsidRPr="729F1C53">
        <w:rPr>
          <w:rFonts w:cs="Arial"/>
          <w:b/>
          <w:bCs/>
          <w:sz w:val="20"/>
          <w:szCs w:val="20"/>
        </w:rPr>
        <w:t>aximise</w:t>
      </w:r>
      <w:r w:rsidR="006A123D" w:rsidRPr="729F1C53">
        <w:rPr>
          <w:rFonts w:cs="Arial"/>
          <w:sz w:val="20"/>
          <w:szCs w:val="20"/>
        </w:rPr>
        <w:t xml:space="preserve"> learning from the evaluation to inform the delivery of MAGC, as well as to inform future strategic decisions. </w:t>
      </w:r>
    </w:p>
    <w:p w14:paraId="044ACC28" w14:textId="4730BAC5" w:rsidR="006A123D" w:rsidRDefault="00D71B75" w:rsidP="000C48FF">
      <w:pPr>
        <w:pStyle w:val="ListParagraph"/>
        <w:numPr>
          <w:ilvl w:val="0"/>
          <w:numId w:val="24"/>
        </w:numPr>
        <w:spacing w:after="240"/>
        <w:ind w:left="714" w:hanging="357"/>
        <w:jc w:val="both"/>
        <w:rPr>
          <w:rFonts w:cs="Arial"/>
          <w:sz w:val="20"/>
          <w:szCs w:val="20"/>
        </w:rPr>
      </w:pPr>
      <w:r w:rsidRPr="729F1C53">
        <w:rPr>
          <w:rFonts w:cs="Arial"/>
          <w:b/>
          <w:bCs/>
          <w:sz w:val="20"/>
          <w:szCs w:val="20"/>
        </w:rPr>
        <w:t>D</w:t>
      </w:r>
      <w:r w:rsidR="006A123D" w:rsidRPr="729F1C53">
        <w:rPr>
          <w:rFonts w:cs="Arial"/>
          <w:b/>
          <w:bCs/>
          <w:sz w:val="20"/>
          <w:szCs w:val="20"/>
        </w:rPr>
        <w:t>isseminate</w:t>
      </w:r>
      <w:r w:rsidR="006A123D" w:rsidRPr="729F1C53">
        <w:rPr>
          <w:rFonts w:cs="Arial"/>
          <w:sz w:val="20"/>
          <w:szCs w:val="20"/>
        </w:rPr>
        <w:t xml:space="preserve"> lessons learned more broadly on what works, why and in what contexts in interventions that aim to incentivise the green buildings sector.</w:t>
      </w:r>
    </w:p>
    <w:p w14:paraId="0B0BF8F1" w14:textId="2A6A0C4A" w:rsidR="00534311" w:rsidRDefault="005B0EA1" w:rsidP="00657117">
      <w:pPr>
        <w:spacing w:after="240"/>
        <w:jc w:val="both"/>
        <w:rPr>
          <w:rFonts w:cs="Arial"/>
          <w:sz w:val="20"/>
        </w:rPr>
      </w:pPr>
      <w:r>
        <w:rPr>
          <w:rFonts w:cs="Arial"/>
          <w:sz w:val="20"/>
        </w:rPr>
        <w:t xml:space="preserve">In this reporting period, IPSOS completed </w:t>
      </w:r>
      <w:r w:rsidR="00517086">
        <w:rPr>
          <w:rFonts w:cs="Arial"/>
          <w:sz w:val="20"/>
        </w:rPr>
        <w:t>the Process Evaluation report</w:t>
      </w:r>
      <w:r w:rsidR="000974E6">
        <w:rPr>
          <w:rFonts w:cs="Arial"/>
          <w:sz w:val="20"/>
        </w:rPr>
        <w:t xml:space="preserve"> and began the Early Outcome Evaluation</w:t>
      </w:r>
      <w:r w:rsidR="00517086">
        <w:rPr>
          <w:rFonts w:cs="Arial"/>
          <w:sz w:val="20"/>
        </w:rPr>
        <w:t>.</w:t>
      </w:r>
      <w:r w:rsidR="00B94B5A">
        <w:rPr>
          <w:rFonts w:cs="Arial"/>
          <w:sz w:val="20"/>
        </w:rPr>
        <w:t xml:space="preserve"> </w:t>
      </w:r>
    </w:p>
    <w:p w14:paraId="531142CE" w14:textId="349223B2" w:rsidR="00C50C0D" w:rsidRDefault="00534311" w:rsidP="00657117">
      <w:pPr>
        <w:spacing w:after="240"/>
        <w:jc w:val="both"/>
        <w:rPr>
          <w:rFonts w:cs="Arial"/>
          <w:sz w:val="20"/>
        </w:rPr>
      </w:pPr>
      <w:r>
        <w:rPr>
          <w:rFonts w:cs="Arial"/>
          <w:sz w:val="20"/>
        </w:rPr>
        <w:t xml:space="preserve">The Process Evaluation </w:t>
      </w:r>
      <w:r w:rsidR="00645933">
        <w:rPr>
          <w:rFonts w:cs="Arial"/>
          <w:sz w:val="20"/>
        </w:rPr>
        <w:t xml:space="preserve">focused on a) a review of MAGC’s Theory of Change, b) the design and processes of the management approach to MAGC, and c) </w:t>
      </w:r>
      <w:r w:rsidR="00BD3313">
        <w:rPr>
          <w:rFonts w:cs="Arial"/>
          <w:sz w:val="20"/>
        </w:rPr>
        <w:t xml:space="preserve">the processes of country and project selection to assess relevance of the programme in the countries it operates. </w:t>
      </w:r>
      <w:r w:rsidR="00F52F18">
        <w:rPr>
          <w:rFonts w:cs="Arial"/>
          <w:sz w:val="20"/>
        </w:rPr>
        <w:t>A summary of key findings:</w:t>
      </w:r>
    </w:p>
    <w:p w14:paraId="0AE47A17" w14:textId="0507682B" w:rsidR="00F52F18" w:rsidRPr="00EC6219" w:rsidRDefault="00F52F18" w:rsidP="000C48FF">
      <w:pPr>
        <w:pStyle w:val="ListParagraph"/>
        <w:numPr>
          <w:ilvl w:val="0"/>
          <w:numId w:val="59"/>
        </w:numPr>
        <w:spacing w:after="240"/>
        <w:ind w:left="714" w:hanging="357"/>
        <w:jc w:val="both"/>
        <w:rPr>
          <w:rFonts w:cs="Arial"/>
          <w:sz w:val="20"/>
          <w:szCs w:val="20"/>
        </w:rPr>
      </w:pPr>
      <w:r w:rsidRPr="08D7F225">
        <w:rPr>
          <w:rFonts w:cs="Arial"/>
          <w:i/>
          <w:iCs/>
          <w:sz w:val="20"/>
          <w:szCs w:val="20"/>
        </w:rPr>
        <w:t xml:space="preserve">MAGC Theory of Change. </w:t>
      </w:r>
      <w:r w:rsidR="00422343" w:rsidRPr="08D7F225">
        <w:rPr>
          <w:rFonts w:cs="Arial"/>
          <w:sz w:val="20"/>
          <w:szCs w:val="20"/>
        </w:rPr>
        <w:t>The programme Theory of Change demonstrates several strengths, including clear long-term objectives, relevance to the policy context, and valid causal pathways, but there is room for improvement to enhance its effectiveness</w:t>
      </w:r>
      <w:r w:rsidR="003E0CCC" w:rsidRPr="08D7F225">
        <w:rPr>
          <w:rFonts w:cs="Arial"/>
          <w:sz w:val="20"/>
          <w:szCs w:val="20"/>
        </w:rPr>
        <w:t xml:space="preserve"> (R</w:t>
      </w:r>
      <w:r w:rsidR="003C4BE0" w:rsidRPr="08D7F225">
        <w:rPr>
          <w:rFonts w:cs="Arial"/>
          <w:sz w:val="20"/>
          <w:szCs w:val="20"/>
        </w:rPr>
        <w:t xml:space="preserve">ecommendation </w:t>
      </w:r>
      <w:r w:rsidR="00EC6219" w:rsidRPr="08D7F225">
        <w:rPr>
          <w:rFonts w:cs="Arial"/>
          <w:sz w:val="20"/>
          <w:szCs w:val="20"/>
        </w:rPr>
        <w:t>5</w:t>
      </w:r>
      <w:r w:rsidR="003C4BE0" w:rsidRPr="08D7F225">
        <w:rPr>
          <w:rFonts w:cs="Arial"/>
          <w:sz w:val="20"/>
          <w:szCs w:val="20"/>
        </w:rPr>
        <w:t>)</w:t>
      </w:r>
      <w:r w:rsidR="00422343" w:rsidRPr="08D7F225">
        <w:rPr>
          <w:rFonts w:cs="Arial"/>
          <w:sz w:val="20"/>
          <w:szCs w:val="20"/>
        </w:rPr>
        <w:t>.</w:t>
      </w:r>
      <w:r w:rsidR="009B77E7" w:rsidRPr="08D7F225">
        <w:rPr>
          <w:rFonts w:cs="Arial"/>
          <w:sz w:val="20"/>
          <w:szCs w:val="20"/>
        </w:rPr>
        <w:t xml:space="preserve"> </w:t>
      </w:r>
    </w:p>
    <w:p w14:paraId="7E30C752" w14:textId="5AE4F2A5" w:rsidR="00422343" w:rsidRDefault="00422343" w:rsidP="000C48FF">
      <w:pPr>
        <w:pStyle w:val="ListParagraph"/>
        <w:numPr>
          <w:ilvl w:val="0"/>
          <w:numId w:val="59"/>
        </w:numPr>
        <w:spacing w:after="240"/>
        <w:ind w:left="714" w:hanging="357"/>
        <w:jc w:val="both"/>
        <w:rPr>
          <w:rFonts w:cs="Arial"/>
          <w:sz w:val="20"/>
          <w:szCs w:val="20"/>
        </w:rPr>
      </w:pPr>
      <w:r w:rsidRPr="08D7F225">
        <w:rPr>
          <w:rFonts w:cs="Arial"/>
          <w:i/>
          <w:iCs/>
          <w:sz w:val="20"/>
          <w:szCs w:val="20"/>
        </w:rPr>
        <w:t>Management Approach.</w:t>
      </w:r>
      <w:r w:rsidRPr="08D7F225">
        <w:rPr>
          <w:rFonts w:cs="Arial"/>
          <w:sz w:val="20"/>
          <w:szCs w:val="20"/>
        </w:rPr>
        <w:t xml:space="preserve"> </w:t>
      </w:r>
      <w:r w:rsidR="00452752" w:rsidRPr="08D7F225">
        <w:rPr>
          <w:rFonts w:cs="Arial"/>
          <w:sz w:val="20"/>
          <w:szCs w:val="20"/>
        </w:rPr>
        <w:t>The management approach and monitoring and governance processes in place are generally suitable, appropriate, and working well, but communication could be improved. There were some tensions in programme management between IFC and DESNZ stakeholders around the level of involvement of DESNZ and the reporting requirements. Whilst the reporting requirements were in line with the requirements across the ICF portfolio, IFC perceived it to be greater than experienced on other programmes.</w:t>
      </w:r>
    </w:p>
    <w:p w14:paraId="6B2521BE" w14:textId="03EA0E0C" w:rsidR="00C50C0D" w:rsidRPr="009B77E7" w:rsidRDefault="00452752" w:rsidP="000C48FF">
      <w:pPr>
        <w:pStyle w:val="ListParagraph"/>
        <w:numPr>
          <w:ilvl w:val="0"/>
          <w:numId w:val="59"/>
        </w:numPr>
        <w:spacing w:after="240"/>
        <w:ind w:left="714" w:hanging="357"/>
        <w:jc w:val="both"/>
        <w:rPr>
          <w:rFonts w:cs="Arial"/>
          <w:sz w:val="20"/>
          <w:szCs w:val="20"/>
        </w:rPr>
      </w:pPr>
      <w:r w:rsidRPr="08D7F225">
        <w:rPr>
          <w:rFonts w:cs="Arial"/>
          <w:i/>
          <w:iCs/>
          <w:sz w:val="20"/>
          <w:szCs w:val="20"/>
        </w:rPr>
        <w:t>Programme Countries and Projects.</w:t>
      </w:r>
      <w:r w:rsidRPr="08D7F225">
        <w:rPr>
          <w:rFonts w:cs="Arial"/>
          <w:sz w:val="20"/>
          <w:szCs w:val="20"/>
        </w:rPr>
        <w:t xml:space="preserve"> </w:t>
      </w:r>
      <w:r w:rsidR="009B77E7" w:rsidRPr="08D7F225">
        <w:rPr>
          <w:rFonts w:cs="Arial"/>
          <w:sz w:val="20"/>
          <w:szCs w:val="20"/>
        </w:rPr>
        <w:t>The choice of countries for MAGC implementation is based on clear selection criteria and aligns well with the strategic objectives of both IFC and DESNZ, as well as with the needs of the countries considered. However, the balance between the breadth and depth of the intervention emerged as an area of consideration in the evaluation, with the high number of countries supported potentially limiting the transformational change potential of the programme.</w:t>
      </w:r>
    </w:p>
    <w:p w14:paraId="0F911E36" w14:textId="77777777" w:rsidR="000517AD" w:rsidRDefault="00517086" w:rsidP="00657117">
      <w:pPr>
        <w:spacing w:after="240"/>
        <w:jc w:val="both"/>
        <w:rPr>
          <w:rFonts w:cs="Arial"/>
          <w:sz w:val="20"/>
        </w:rPr>
      </w:pPr>
      <w:r>
        <w:rPr>
          <w:rFonts w:cs="Arial"/>
          <w:sz w:val="20"/>
        </w:rPr>
        <w:lastRenderedPageBreak/>
        <w:t xml:space="preserve">In the next reporting period, the </w:t>
      </w:r>
      <w:r w:rsidR="00031463">
        <w:rPr>
          <w:rFonts w:cs="Arial"/>
          <w:sz w:val="20"/>
        </w:rPr>
        <w:t>Early Outcome Evaluation will be complete</w:t>
      </w:r>
      <w:r w:rsidR="00C50C0D">
        <w:rPr>
          <w:rFonts w:cs="Arial"/>
          <w:sz w:val="20"/>
        </w:rPr>
        <w:t>. Following this, the evaluation w</w:t>
      </w:r>
      <w:r>
        <w:rPr>
          <w:rFonts w:cs="Arial"/>
          <w:sz w:val="20"/>
        </w:rPr>
        <w:t xml:space="preserve">ill enter an interval period running from </w:t>
      </w:r>
      <w:r w:rsidR="000E0C1B">
        <w:rPr>
          <w:rFonts w:cs="Arial"/>
          <w:sz w:val="20"/>
        </w:rPr>
        <w:t xml:space="preserve">July 2025 to July 2026. </w:t>
      </w:r>
    </w:p>
    <w:p w14:paraId="1C821592" w14:textId="67887067" w:rsidR="000517AD" w:rsidRDefault="000517AD" w:rsidP="74B26C0D">
      <w:pPr>
        <w:pStyle w:val="NoSpacing"/>
        <w:spacing w:after="240"/>
        <w:jc w:val="both"/>
        <w:rPr>
          <w:rFonts w:cs="Arial"/>
          <w:sz w:val="20"/>
          <w:szCs w:val="20"/>
        </w:rPr>
        <w:sectPr w:rsidR="000517AD" w:rsidSect="00840DEE">
          <w:headerReference w:type="default" r:id="rId27"/>
          <w:pgSz w:w="11906" w:h="16838"/>
          <w:pgMar w:top="709" w:right="1440" w:bottom="709" w:left="1440" w:header="708" w:footer="708" w:gutter="0"/>
          <w:cols w:space="708"/>
          <w:docGrid w:linePitch="360"/>
        </w:sectPr>
      </w:pPr>
    </w:p>
    <w:p w14:paraId="73FD9634" w14:textId="3429185B" w:rsidR="006A123D" w:rsidRPr="00505D32" w:rsidRDefault="006A123D" w:rsidP="00657117">
      <w:pPr>
        <w:pBdr>
          <w:top w:val="single" w:sz="4" w:space="1" w:color="auto"/>
          <w:left w:val="single" w:sz="4" w:space="4" w:color="auto"/>
          <w:bottom w:val="single" w:sz="4" w:space="1" w:color="auto"/>
          <w:right w:val="single" w:sz="4" w:space="4" w:color="auto"/>
        </w:pBdr>
        <w:shd w:val="clear" w:color="auto" w:fill="C1E4F5" w:themeFill="accent1" w:themeFillTint="33"/>
        <w:spacing w:after="240"/>
        <w:rPr>
          <w:rFonts w:cs="Arial"/>
          <w:bCs/>
          <w:sz w:val="20"/>
          <w:szCs w:val="20"/>
        </w:rPr>
      </w:pPr>
      <w:r w:rsidRPr="00505D32">
        <w:rPr>
          <w:rFonts w:cs="Arial"/>
          <w:b/>
          <w:bCs/>
          <w:sz w:val="20"/>
          <w:szCs w:val="20"/>
        </w:rPr>
        <w:lastRenderedPageBreak/>
        <w:t xml:space="preserve">E: RISK </w:t>
      </w:r>
    </w:p>
    <w:p w14:paraId="62783C6E" w14:textId="77777777" w:rsidR="006A123D" w:rsidRPr="0040656D" w:rsidRDefault="006A123D" w:rsidP="00657117">
      <w:pPr>
        <w:spacing w:after="240"/>
        <w:jc w:val="both"/>
        <w:textAlignment w:val="baseline"/>
        <w:rPr>
          <w:rFonts w:cs="Arial"/>
          <w:sz w:val="20"/>
          <w:szCs w:val="20"/>
          <w:lang w:eastAsia="en-GB"/>
        </w:rPr>
      </w:pPr>
      <w:r w:rsidRPr="00505D32">
        <w:rPr>
          <w:rFonts w:cs="Arial"/>
          <w:b/>
          <w:sz w:val="20"/>
          <w:szCs w:val="20"/>
          <w:lang w:eastAsia="en-GB"/>
        </w:rPr>
        <w:t>Overall risk rating</w:t>
      </w:r>
      <w:r w:rsidRPr="00505D32">
        <w:rPr>
          <w:rFonts w:cs="Arial"/>
          <w:sz w:val="20"/>
          <w:szCs w:val="20"/>
          <w:lang w:eastAsia="en-GB"/>
        </w:rPr>
        <w:t>: Moderate</w:t>
      </w:r>
      <w:r w:rsidRPr="0040656D">
        <w:rPr>
          <w:rFonts w:cs="Arial"/>
          <w:sz w:val="20"/>
          <w:szCs w:val="20"/>
          <w:lang w:eastAsia="en-GB"/>
        </w:rPr>
        <w:t> </w:t>
      </w:r>
    </w:p>
    <w:p w14:paraId="39B32566" w14:textId="521C8929" w:rsidR="006A123D" w:rsidRPr="0040656D" w:rsidRDefault="006A123D" w:rsidP="00657117">
      <w:pPr>
        <w:spacing w:after="240"/>
        <w:jc w:val="both"/>
        <w:textAlignment w:val="baseline"/>
        <w:rPr>
          <w:rFonts w:cs="Arial"/>
          <w:sz w:val="20"/>
          <w:szCs w:val="20"/>
          <w:lang w:eastAsia="en-GB"/>
        </w:rPr>
      </w:pPr>
      <w:r w:rsidRPr="0040656D">
        <w:rPr>
          <w:rFonts w:cs="Arial"/>
          <w:sz w:val="20"/>
          <w:szCs w:val="20"/>
          <w:lang w:eastAsia="en-GB"/>
        </w:rPr>
        <w:t xml:space="preserve">DESNZ monitors risks </w:t>
      </w:r>
      <w:r w:rsidR="00C3276E">
        <w:rPr>
          <w:rFonts w:cs="Arial"/>
          <w:sz w:val="20"/>
          <w:szCs w:val="20"/>
          <w:lang w:eastAsia="en-GB"/>
        </w:rPr>
        <w:t>with</w:t>
      </w:r>
      <w:r w:rsidR="00C3276E" w:rsidRPr="0040656D">
        <w:rPr>
          <w:rFonts w:cs="Arial"/>
          <w:sz w:val="20"/>
          <w:szCs w:val="20"/>
          <w:lang w:eastAsia="en-GB"/>
        </w:rPr>
        <w:t xml:space="preserve"> </w:t>
      </w:r>
      <w:r w:rsidRPr="0040656D">
        <w:rPr>
          <w:rFonts w:cs="Arial"/>
          <w:sz w:val="20"/>
          <w:szCs w:val="20"/>
          <w:lang w:eastAsia="en-GB"/>
        </w:rPr>
        <w:t>mitigating actions</w:t>
      </w:r>
      <w:r w:rsidR="00C3276E">
        <w:rPr>
          <w:rFonts w:cs="Arial"/>
          <w:sz w:val="20"/>
          <w:szCs w:val="20"/>
          <w:lang w:eastAsia="en-GB"/>
        </w:rPr>
        <w:t xml:space="preserve"> and delivery issues </w:t>
      </w:r>
      <w:r w:rsidRPr="0040656D">
        <w:rPr>
          <w:rFonts w:cs="Arial"/>
          <w:sz w:val="20"/>
          <w:szCs w:val="20"/>
          <w:lang w:eastAsia="en-GB"/>
        </w:rPr>
        <w:t xml:space="preserve">through a live risk register in the Project Delivery </w:t>
      </w:r>
      <w:r w:rsidR="00804EDE" w:rsidRPr="0040656D">
        <w:rPr>
          <w:rFonts w:cs="Arial"/>
          <w:sz w:val="20"/>
          <w:szCs w:val="20"/>
          <w:lang w:eastAsia="en-GB"/>
        </w:rPr>
        <w:t>Plan</w:t>
      </w:r>
      <w:r w:rsidRPr="0040656D">
        <w:rPr>
          <w:rFonts w:cs="Arial"/>
          <w:sz w:val="20"/>
          <w:szCs w:val="20"/>
          <w:lang w:eastAsia="en-GB"/>
        </w:rPr>
        <w:t>. The key delivery issues and programme-level risks relating to the reporting period of this Annual Review are provided in two separate tables below: </w:t>
      </w:r>
    </w:p>
    <w:tbl>
      <w:tblPr>
        <w:tblW w:w="15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12048"/>
        <w:gridCol w:w="1418"/>
      </w:tblGrid>
      <w:tr w:rsidR="006A123D" w:rsidRPr="0040656D" w14:paraId="6474C3C5" w14:textId="77777777" w:rsidTr="67DC1B00">
        <w:tc>
          <w:tcPr>
            <w:tcW w:w="2119"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28AE80F0" w14:textId="77777777" w:rsidR="006A123D" w:rsidRPr="0040656D" w:rsidRDefault="006A123D" w:rsidP="00657117">
            <w:pPr>
              <w:spacing w:after="240"/>
              <w:textAlignment w:val="baseline"/>
              <w:rPr>
                <w:rFonts w:cs="Arial"/>
                <w:b/>
                <w:bCs/>
                <w:sz w:val="22"/>
                <w:szCs w:val="22"/>
                <w:lang w:eastAsia="en-GB"/>
              </w:rPr>
            </w:pPr>
            <w:r w:rsidRPr="0040656D">
              <w:rPr>
                <w:rFonts w:cs="Arial"/>
                <w:b/>
                <w:bCs/>
                <w:sz w:val="22"/>
                <w:szCs w:val="22"/>
                <w:lang w:eastAsia="en-GB"/>
              </w:rPr>
              <w:t>Component</w:t>
            </w:r>
          </w:p>
        </w:tc>
        <w:tc>
          <w:tcPr>
            <w:tcW w:w="12048" w:type="dxa"/>
            <w:tcBorders>
              <w:top w:val="single" w:sz="6" w:space="0" w:color="auto"/>
              <w:left w:val="nil"/>
              <w:bottom w:val="single" w:sz="6" w:space="0" w:color="auto"/>
              <w:right w:val="single" w:sz="6" w:space="0" w:color="auto"/>
            </w:tcBorders>
            <w:shd w:val="clear" w:color="auto" w:fill="A5C9EB" w:themeFill="text2" w:themeFillTint="40"/>
            <w:hideMark/>
          </w:tcPr>
          <w:p w14:paraId="49954A95" w14:textId="77777777" w:rsidR="006A123D" w:rsidRPr="0040656D" w:rsidRDefault="006A123D" w:rsidP="00657117">
            <w:pPr>
              <w:spacing w:after="240"/>
              <w:textAlignment w:val="baseline"/>
              <w:rPr>
                <w:rFonts w:cs="Arial"/>
                <w:sz w:val="22"/>
                <w:szCs w:val="22"/>
                <w:lang w:eastAsia="en-GB"/>
              </w:rPr>
            </w:pPr>
            <w:r w:rsidRPr="0040656D">
              <w:rPr>
                <w:rFonts w:cs="Arial"/>
                <w:b/>
                <w:bCs/>
                <w:sz w:val="20"/>
                <w:szCs w:val="20"/>
                <w:lang w:eastAsia="en-GB"/>
              </w:rPr>
              <w:t>Key Delivery Issues</w:t>
            </w:r>
          </w:p>
        </w:tc>
        <w:tc>
          <w:tcPr>
            <w:tcW w:w="1418" w:type="dxa"/>
            <w:tcBorders>
              <w:top w:val="single" w:sz="6" w:space="0" w:color="auto"/>
              <w:left w:val="nil"/>
              <w:bottom w:val="single" w:sz="6" w:space="0" w:color="auto"/>
              <w:right w:val="single" w:sz="6" w:space="0" w:color="auto"/>
            </w:tcBorders>
            <w:shd w:val="clear" w:color="auto" w:fill="A5C9EB" w:themeFill="text2" w:themeFillTint="40"/>
            <w:hideMark/>
          </w:tcPr>
          <w:p w14:paraId="7F5B1655" w14:textId="77777777" w:rsidR="006A123D" w:rsidRPr="0040656D" w:rsidRDefault="006A123D" w:rsidP="00657117">
            <w:pPr>
              <w:spacing w:after="240"/>
              <w:textAlignment w:val="baseline"/>
              <w:rPr>
                <w:rFonts w:cs="Arial"/>
                <w:sz w:val="22"/>
                <w:szCs w:val="22"/>
                <w:lang w:eastAsia="en-GB"/>
              </w:rPr>
            </w:pPr>
            <w:r w:rsidRPr="0040656D">
              <w:rPr>
                <w:rFonts w:cs="Arial"/>
                <w:b/>
                <w:bCs/>
                <w:sz w:val="20"/>
                <w:szCs w:val="20"/>
                <w:lang w:eastAsia="en-GB"/>
              </w:rPr>
              <w:t>Severity (impact on delivery)</w:t>
            </w:r>
            <w:r w:rsidRPr="0040656D">
              <w:rPr>
                <w:rFonts w:cs="Arial"/>
                <w:sz w:val="20"/>
                <w:szCs w:val="20"/>
                <w:lang w:eastAsia="en-GB"/>
              </w:rPr>
              <w:t> </w:t>
            </w:r>
          </w:p>
        </w:tc>
      </w:tr>
      <w:tr w:rsidR="00EC6219" w:rsidRPr="0040656D" w14:paraId="102FCB1B" w14:textId="77777777" w:rsidTr="67DC1B00">
        <w:tc>
          <w:tcPr>
            <w:tcW w:w="2119" w:type="dxa"/>
            <w:tcBorders>
              <w:top w:val="nil"/>
              <w:left w:val="single" w:sz="6" w:space="0" w:color="auto"/>
              <w:bottom w:val="single" w:sz="4" w:space="0" w:color="auto"/>
              <w:right w:val="single" w:sz="6" w:space="0" w:color="auto"/>
            </w:tcBorders>
            <w:hideMark/>
          </w:tcPr>
          <w:p w14:paraId="6E87575F" w14:textId="77777777" w:rsidR="006A123D" w:rsidRPr="0040656D" w:rsidRDefault="006A123D" w:rsidP="00657117">
            <w:pPr>
              <w:spacing w:after="240"/>
              <w:textAlignment w:val="baseline"/>
              <w:rPr>
                <w:rFonts w:cs="Arial"/>
                <w:sz w:val="22"/>
                <w:szCs w:val="22"/>
                <w:lang w:eastAsia="en-GB"/>
              </w:rPr>
            </w:pPr>
            <w:r w:rsidRPr="0040656D">
              <w:rPr>
                <w:rFonts w:cs="Arial"/>
                <w:b/>
                <w:bCs/>
                <w:color w:val="000000"/>
                <w:sz w:val="20"/>
                <w:szCs w:val="20"/>
                <w:lang w:eastAsia="en-GB"/>
              </w:rPr>
              <w:t xml:space="preserve">Component 1: </w:t>
            </w:r>
            <w:r w:rsidRPr="0040656D">
              <w:rPr>
                <w:rFonts w:cs="Arial"/>
                <w:color w:val="000000"/>
                <w:sz w:val="20"/>
                <w:szCs w:val="20"/>
                <w:lang w:eastAsia="en-GB"/>
              </w:rPr>
              <w:t>Firm level AS and Blended Finance to FIs</w:t>
            </w:r>
          </w:p>
        </w:tc>
        <w:tc>
          <w:tcPr>
            <w:tcW w:w="12048" w:type="dxa"/>
            <w:tcBorders>
              <w:top w:val="nil"/>
              <w:left w:val="nil"/>
              <w:bottom w:val="single" w:sz="4" w:space="0" w:color="auto"/>
              <w:right w:val="single" w:sz="6" w:space="0" w:color="auto"/>
            </w:tcBorders>
            <w:hideMark/>
          </w:tcPr>
          <w:p w14:paraId="7C9E6250" w14:textId="351243E7" w:rsidR="00052F6E" w:rsidRDefault="00E772BB" w:rsidP="237C27C5">
            <w:pPr>
              <w:spacing w:after="240"/>
              <w:textAlignment w:val="baseline"/>
              <w:rPr>
                <w:rFonts w:cs="Arial"/>
                <w:sz w:val="20"/>
                <w:szCs w:val="20"/>
              </w:rPr>
            </w:pPr>
            <w:r w:rsidRPr="67DC1B00">
              <w:rPr>
                <w:rFonts w:cs="Arial"/>
                <w:b/>
                <w:bCs/>
                <w:sz w:val="20"/>
                <w:szCs w:val="20"/>
              </w:rPr>
              <w:t>Unallocated MAGC finance for investment projects</w:t>
            </w:r>
            <w:r w:rsidR="00651A32" w:rsidRPr="67DC1B00">
              <w:rPr>
                <w:rFonts w:cs="Arial"/>
                <w:b/>
                <w:bCs/>
                <w:sz w:val="20"/>
                <w:szCs w:val="20"/>
              </w:rPr>
              <w:t xml:space="preserve">: </w:t>
            </w:r>
            <w:r w:rsidR="002959FF" w:rsidRPr="67DC1B00">
              <w:rPr>
                <w:rFonts w:cs="Arial"/>
                <w:sz w:val="20"/>
                <w:szCs w:val="20"/>
              </w:rPr>
              <w:t xml:space="preserve">A </w:t>
            </w:r>
            <w:r w:rsidR="00AE69A5" w:rsidRPr="67DC1B00">
              <w:rPr>
                <w:rFonts w:cs="Arial"/>
                <w:sz w:val="20"/>
                <w:szCs w:val="20"/>
              </w:rPr>
              <w:t xml:space="preserve">combination of initial </w:t>
            </w:r>
            <w:r w:rsidR="002959FF" w:rsidRPr="67DC1B00">
              <w:rPr>
                <w:rFonts w:cs="Arial"/>
                <w:sz w:val="20"/>
                <w:szCs w:val="20"/>
              </w:rPr>
              <w:t>delay</w:t>
            </w:r>
            <w:r w:rsidR="00AE69A5" w:rsidRPr="67DC1B00">
              <w:rPr>
                <w:rFonts w:cs="Arial"/>
                <w:sz w:val="20"/>
                <w:szCs w:val="20"/>
              </w:rPr>
              <w:t>s</w:t>
            </w:r>
            <w:r w:rsidR="00904004" w:rsidRPr="67DC1B00">
              <w:rPr>
                <w:rFonts w:cs="Arial"/>
                <w:sz w:val="20"/>
                <w:szCs w:val="20"/>
              </w:rPr>
              <w:t xml:space="preserve"> in</w:t>
            </w:r>
            <w:r w:rsidR="002959FF" w:rsidRPr="67DC1B00">
              <w:rPr>
                <w:rFonts w:cs="Arial"/>
                <w:sz w:val="20"/>
                <w:szCs w:val="20"/>
              </w:rPr>
              <w:t xml:space="preserve"> </w:t>
            </w:r>
            <w:r w:rsidR="00EA1540" w:rsidRPr="67DC1B00">
              <w:rPr>
                <w:rFonts w:cs="Arial"/>
                <w:sz w:val="20"/>
                <w:szCs w:val="20"/>
              </w:rPr>
              <w:t>closure of investment projects</w:t>
            </w:r>
            <w:r w:rsidR="00AE69A5" w:rsidRPr="67DC1B00">
              <w:rPr>
                <w:rFonts w:cs="Arial"/>
                <w:sz w:val="20"/>
                <w:szCs w:val="20"/>
              </w:rPr>
              <w:t xml:space="preserve"> (</w:t>
            </w:r>
            <w:r w:rsidR="00EA1540" w:rsidRPr="67DC1B00">
              <w:rPr>
                <w:rFonts w:cs="Arial"/>
                <w:sz w:val="20"/>
                <w:szCs w:val="20"/>
              </w:rPr>
              <w:t>especially due to COVID 19</w:t>
            </w:r>
            <w:r w:rsidR="00AE69A5" w:rsidRPr="67DC1B00">
              <w:rPr>
                <w:rFonts w:cs="Arial"/>
                <w:sz w:val="20"/>
                <w:szCs w:val="20"/>
              </w:rPr>
              <w:t>)</w:t>
            </w:r>
            <w:r w:rsidR="00EA1540" w:rsidRPr="67DC1B00">
              <w:rPr>
                <w:rFonts w:cs="Arial"/>
                <w:sz w:val="20"/>
                <w:szCs w:val="20"/>
              </w:rPr>
              <w:t xml:space="preserve">, and </w:t>
            </w:r>
            <w:r w:rsidR="00AE69A5" w:rsidRPr="67DC1B00">
              <w:rPr>
                <w:rFonts w:cs="Arial"/>
                <w:sz w:val="20"/>
                <w:szCs w:val="20"/>
              </w:rPr>
              <w:t xml:space="preserve">the use of highly-efficient PBIs leaves an </w:t>
            </w:r>
            <w:r w:rsidR="00EA1540" w:rsidRPr="67DC1B00">
              <w:rPr>
                <w:rFonts w:cs="Arial"/>
                <w:sz w:val="20"/>
                <w:szCs w:val="20"/>
              </w:rPr>
              <w:t xml:space="preserve">outstanding </w:t>
            </w:r>
            <w:r w:rsidRPr="67DC1B00">
              <w:rPr>
                <w:rFonts w:cs="Arial"/>
                <w:sz w:val="20"/>
                <w:szCs w:val="20"/>
              </w:rPr>
              <w:t xml:space="preserve">unallocated balance </w:t>
            </w:r>
            <w:r w:rsidR="007B74DB" w:rsidRPr="67DC1B00">
              <w:rPr>
                <w:rFonts w:cs="Arial"/>
                <w:sz w:val="20"/>
                <w:szCs w:val="20"/>
              </w:rPr>
              <w:t xml:space="preserve">at </w:t>
            </w:r>
            <w:r w:rsidRPr="67DC1B00">
              <w:rPr>
                <w:rFonts w:cs="Arial"/>
                <w:sz w:val="20"/>
                <w:szCs w:val="20"/>
              </w:rPr>
              <w:t>£</w:t>
            </w:r>
            <w:r w:rsidR="70543866" w:rsidRPr="67DC1B00">
              <w:rPr>
                <w:rFonts w:cs="Arial"/>
                <w:sz w:val="20"/>
                <w:szCs w:val="20"/>
              </w:rPr>
              <w:t>58</w:t>
            </w:r>
            <w:r w:rsidR="1FA8C4A3" w:rsidRPr="67DC1B00">
              <w:rPr>
                <w:rFonts w:cs="Arial"/>
                <w:sz w:val="20"/>
                <w:szCs w:val="20"/>
              </w:rPr>
              <w:t>m</w:t>
            </w:r>
            <w:r w:rsidR="661BF0D3" w:rsidRPr="67DC1B00">
              <w:rPr>
                <w:rFonts w:cs="Arial"/>
                <w:sz w:val="20"/>
                <w:szCs w:val="20"/>
              </w:rPr>
              <w:t xml:space="preserve"> (</w:t>
            </w:r>
            <w:r w:rsidR="30DC4ED3" w:rsidRPr="67DC1B00">
              <w:rPr>
                <w:rFonts w:cs="Arial"/>
                <w:sz w:val="20"/>
                <w:szCs w:val="20"/>
              </w:rPr>
              <w:t>56</w:t>
            </w:r>
            <w:r w:rsidR="0B603D66" w:rsidRPr="67DC1B00">
              <w:rPr>
                <w:rFonts w:cs="Arial"/>
                <w:sz w:val="20"/>
                <w:szCs w:val="20"/>
              </w:rPr>
              <w:t>.8</w:t>
            </w:r>
            <w:r w:rsidR="661BF0D3" w:rsidRPr="67DC1B00">
              <w:rPr>
                <w:rFonts w:cs="Arial"/>
                <w:sz w:val="20"/>
                <w:szCs w:val="20"/>
              </w:rPr>
              <w:t>%)</w:t>
            </w:r>
            <w:r w:rsidR="51C669B2" w:rsidRPr="67DC1B00">
              <w:rPr>
                <w:rFonts w:cs="Arial"/>
                <w:sz w:val="20"/>
                <w:szCs w:val="20"/>
              </w:rPr>
              <w:t xml:space="preserve"> as of June 2024</w:t>
            </w:r>
            <w:r w:rsidR="007B74DB" w:rsidRPr="67DC1B00">
              <w:rPr>
                <w:rFonts w:cs="Arial"/>
                <w:sz w:val="20"/>
                <w:szCs w:val="20"/>
              </w:rPr>
              <w:t xml:space="preserve">. </w:t>
            </w:r>
            <w:r w:rsidR="00203D39" w:rsidRPr="67DC1B00">
              <w:rPr>
                <w:rFonts w:cs="Arial"/>
                <w:sz w:val="20"/>
                <w:szCs w:val="20"/>
              </w:rPr>
              <w:t>With just three</w:t>
            </w:r>
            <w:r w:rsidR="20A8E215" w:rsidRPr="67DC1B00">
              <w:rPr>
                <w:rFonts w:cs="Arial"/>
                <w:sz w:val="20"/>
                <w:szCs w:val="20"/>
              </w:rPr>
              <w:t xml:space="preserve"> </w:t>
            </w:r>
            <w:r w:rsidR="00453E57" w:rsidRPr="67DC1B00">
              <w:rPr>
                <w:rFonts w:cs="Arial"/>
                <w:sz w:val="20"/>
                <w:szCs w:val="20"/>
              </w:rPr>
              <w:t>years of programme delivery</w:t>
            </w:r>
            <w:r w:rsidR="00203D39" w:rsidRPr="67DC1B00">
              <w:rPr>
                <w:rFonts w:cs="Arial"/>
                <w:sz w:val="20"/>
                <w:szCs w:val="20"/>
              </w:rPr>
              <w:t xml:space="preserve"> remaining</w:t>
            </w:r>
            <w:r w:rsidR="00453E57" w:rsidRPr="67DC1B00">
              <w:rPr>
                <w:rFonts w:cs="Arial"/>
                <w:sz w:val="20"/>
                <w:szCs w:val="20"/>
              </w:rPr>
              <w:t xml:space="preserve">, </w:t>
            </w:r>
            <w:r w:rsidR="00F91960" w:rsidRPr="67DC1B00">
              <w:rPr>
                <w:rFonts w:cs="Arial"/>
                <w:sz w:val="20"/>
                <w:szCs w:val="20"/>
              </w:rPr>
              <w:t xml:space="preserve">risks </w:t>
            </w:r>
            <w:r w:rsidR="00E333D9" w:rsidRPr="67DC1B00">
              <w:rPr>
                <w:rFonts w:cs="Arial"/>
                <w:sz w:val="20"/>
                <w:szCs w:val="20"/>
              </w:rPr>
              <w:t xml:space="preserve">exist </w:t>
            </w:r>
            <w:r w:rsidR="00F91960" w:rsidRPr="67DC1B00">
              <w:rPr>
                <w:rFonts w:cs="Arial"/>
                <w:sz w:val="20"/>
                <w:szCs w:val="20"/>
              </w:rPr>
              <w:t xml:space="preserve">regarding the full commitment of the remaining unallocated balance, including a) </w:t>
            </w:r>
            <w:r w:rsidR="000E77A1" w:rsidRPr="67DC1B00">
              <w:rPr>
                <w:rFonts w:cs="Arial"/>
                <w:sz w:val="20"/>
                <w:szCs w:val="20"/>
              </w:rPr>
              <w:t>the commitment target is not met</w:t>
            </w:r>
            <w:r w:rsidR="00052F6E" w:rsidRPr="67DC1B00">
              <w:rPr>
                <w:rFonts w:cs="Arial"/>
                <w:sz w:val="20"/>
                <w:szCs w:val="20"/>
              </w:rPr>
              <w:t>, presenting an opportunity cost on unused funds</w:t>
            </w:r>
            <w:r w:rsidR="00FD75C8" w:rsidRPr="67DC1B00">
              <w:rPr>
                <w:rFonts w:cs="Arial"/>
                <w:sz w:val="20"/>
                <w:szCs w:val="20"/>
              </w:rPr>
              <w:t xml:space="preserve">, b) less favourable investment projects </w:t>
            </w:r>
            <w:r w:rsidR="00052F6E" w:rsidRPr="67DC1B00">
              <w:rPr>
                <w:rFonts w:cs="Arial"/>
                <w:sz w:val="20"/>
                <w:szCs w:val="20"/>
              </w:rPr>
              <w:t xml:space="preserve">are pursued </w:t>
            </w:r>
            <w:r w:rsidR="00FD75C8" w:rsidRPr="67DC1B00">
              <w:rPr>
                <w:rFonts w:cs="Arial"/>
                <w:sz w:val="20"/>
                <w:szCs w:val="20"/>
              </w:rPr>
              <w:t xml:space="preserve">to meet the commitment targets, and c) </w:t>
            </w:r>
            <w:r w:rsidR="005B302C" w:rsidRPr="67DC1B00">
              <w:rPr>
                <w:rFonts w:cs="Arial"/>
                <w:sz w:val="20"/>
                <w:szCs w:val="20"/>
              </w:rPr>
              <w:t>commitment target</w:t>
            </w:r>
            <w:r w:rsidR="00052F6E" w:rsidRPr="67DC1B00">
              <w:rPr>
                <w:rFonts w:cs="Arial"/>
                <w:sz w:val="20"/>
                <w:szCs w:val="20"/>
              </w:rPr>
              <w:t>s</w:t>
            </w:r>
            <w:r w:rsidR="005B302C" w:rsidRPr="67DC1B00">
              <w:rPr>
                <w:rFonts w:cs="Arial"/>
                <w:sz w:val="20"/>
                <w:szCs w:val="20"/>
              </w:rPr>
              <w:t xml:space="preserve"> </w:t>
            </w:r>
            <w:r w:rsidR="00F446C6" w:rsidRPr="67DC1B00">
              <w:rPr>
                <w:rFonts w:cs="Arial"/>
                <w:sz w:val="20"/>
                <w:szCs w:val="20"/>
              </w:rPr>
              <w:t xml:space="preserve">are </w:t>
            </w:r>
            <w:r w:rsidR="005B302C" w:rsidRPr="67DC1B00">
              <w:rPr>
                <w:rFonts w:cs="Arial"/>
                <w:sz w:val="20"/>
                <w:szCs w:val="20"/>
              </w:rPr>
              <w:t xml:space="preserve">met but this creates a cliff-edge between the current programme pipeline and a future programme extension pipeline. </w:t>
            </w:r>
          </w:p>
          <w:p w14:paraId="4917F8E4" w14:textId="37259463" w:rsidR="005B302C" w:rsidRPr="00505D32" w:rsidRDefault="009943F6" w:rsidP="207146D3">
            <w:pPr>
              <w:spacing w:after="240"/>
              <w:textAlignment w:val="baseline"/>
              <w:rPr>
                <w:rFonts w:cs="Arial"/>
                <w:i/>
                <w:iCs/>
                <w:sz w:val="20"/>
                <w:szCs w:val="20"/>
              </w:rPr>
            </w:pPr>
            <w:r w:rsidRPr="207146D3">
              <w:rPr>
                <w:rFonts w:cs="Arial"/>
                <w:i/>
                <w:iCs/>
                <w:sz w:val="20"/>
                <w:szCs w:val="20"/>
              </w:rPr>
              <w:t>To monitor, DESNZ require IFC to provide a full written assessment of this risk against future pipeline projections (inc. project size and likely commitment dates) as well as suggested risk solutions (i.e., country eligibility expansion to open investment opportunities in new markets)</w:t>
            </w:r>
            <w:r w:rsidR="000F5A4D" w:rsidRPr="207146D3">
              <w:rPr>
                <w:rFonts w:cs="Arial"/>
                <w:i/>
                <w:iCs/>
                <w:sz w:val="20"/>
                <w:szCs w:val="20"/>
              </w:rPr>
              <w:t xml:space="preserve">. Recommendation </w:t>
            </w:r>
            <w:r w:rsidR="00EC6219" w:rsidRPr="207146D3">
              <w:rPr>
                <w:rFonts w:cs="Arial"/>
                <w:i/>
                <w:iCs/>
                <w:sz w:val="20"/>
                <w:szCs w:val="20"/>
              </w:rPr>
              <w:t>6</w:t>
            </w:r>
            <w:r w:rsidRPr="207146D3">
              <w:rPr>
                <w:rFonts w:cs="Arial"/>
                <w:i/>
                <w:iCs/>
                <w:sz w:val="20"/>
                <w:szCs w:val="20"/>
              </w:rPr>
              <w:t xml:space="preserve">. </w:t>
            </w:r>
          </w:p>
          <w:p w14:paraId="19C70C93" w14:textId="5365B6B5" w:rsidR="006A123D" w:rsidRDefault="006A123D" w:rsidP="00657117">
            <w:pPr>
              <w:spacing w:after="240"/>
              <w:textAlignment w:val="baseline"/>
              <w:rPr>
                <w:rFonts w:cs="Arial"/>
                <w:sz w:val="20"/>
              </w:rPr>
            </w:pPr>
            <w:r w:rsidRPr="0040656D">
              <w:rPr>
                <w:rFonts w:cs="Arial"/>
                <w:b/>
                <w:bCs/>
                <w:sz w:val="20"/>
              </w:rPr>
              <w:t>Green Buildings loans disbursed by FIs:</w:t>
            </w:r>
            <w:r w:rsidRPr="0040656D">
              <w:rPr>
                <w:rFonts w:cs="Arial"/>
                <w:sz w:val="20"/>
              </w:rPr>
              <w:t xml:space="preserve"> A delay in materializing the first investments, especially due to COVID 19 led to discrepancies from assumptions to actual of FIs disbursing green building finance. IFC has received results of green building disbursements from five FIs as of FY23 and observed a significant catch up vis-à-vis the FI disbursement targets compared to FY22. IFC expects this catch-up to continue but until receiving further results confirming this positive trend, the risk rating for this component will remain high.</w:t>
            </w:r>
          </w:p>
          <w:p w14:paraId="70C3FA5A" w14:textId="5A5B3374" w:rsidR="008F3541" w:rsidRDefault="00342CF1" w:rsidP="00657117">
            <w:pPr>
              <w:spacing w:after="240"/>
              <w:textAlignment w:val="baseline"/>
              <w:rPr>
                <w:rFonts w:cs="Arial"/>
                <w:i/>
                <w:iCs/>
                <w:sz w:val="20"/>
              </w:rPr>
            </w:pPr>
            <w:r>
              <w:rPr>
                <w:rFonts w:cs="Arial"/>
                <w:i/>
                <w:iCs/>
                <w:sz w:val="20"/>
              </w:rPr>
              <w:t>A</w:t>
            </w:r>
            <w:r w:rsidRPr="00342CF1">
              <w:rPr>
                <w:rFonts w:cs="Arial"/>
                <w:i/>
                <w:iCs/>
                <w:sz w:val="20"/>
              </w:rPr>
              <w:t>s of FY24, MAGC exceeded the cumulative total project cost of green buildings financed related to sub-loans financed with MAGC blended finance and the cumulative total private sector financing provided to MAGC funded green building projects.</w:t>
            </w:r>
          </w:p>
          <w:p w14:paraId="5821FD9A" w14:textId="77777777" w:rsidR="00221176" w:rsidRPr="00221176" w:rsidRDefault="00221176" w:rsidP="00657117">
            <w:pPr>
              <w:spacing w:after="240"/>
              <w:textAlignment w:val="baseline"/>
              <w:rPr>
                <w:rFonts w:cs="Arial"/>
                <w:i/>
                <w:iCs/>
                <w:sz w:val="20"/>
              </w:rPr>
            </w:pPr>
            <w:r w:rsidRPr="00221176">
              <w:rPr>
                <w:rFonts w:cs="Arial"/>
                <w:i/>
                <w:iCs/>
                <w:sz w:val="20"/>
              </w:rPr>
              <w:t xml:space="preserve">IFC has continued to work with FIs to accelerate disbursement and reporting on CAFI through advisory engagements, CAFI training, and active engagement with the FI for reporting. IFC has received impact results of green building disbursements from 9 FIs as of April 2024 and observed a significant catch up vis-à-vis the FI disbursement targets. </w:t>
            </w:r>
          </w:p>
          <w:p w14:paraId="37335EFE" w14:textId="531710CA" w:rsidR="00342CF1" w:rsidRPr="00505D32" w:rsidRDefault="00221176" w:rsidP="00657117">
            <w:pPr>
              <w:spacing w:after="240"/>
              <w:textAlignment w:val="baseline"/>
              <w:rPr>
                <w:rFonts w:cs="Arial"/>
                <w:i/>
                <w:iCs/>
                <w:sz w:val="20"/>
              </w:rPr>
            </w:pPr>
            <w:r w:rsidRPr="00221176">
              <w:rPr>
                <w:rFonts w:cs="Arial"/>
                <w:i/>
                <w:iCs/>
                <w:sz w:val="20"/>
              </w:rPr>
              <w:t xml:space="preserve">In addition, IFC and DESNZ have revised the </w:t>
            </w:r>
            <w:r w:rsidR="00451607" w:rsidRPr="00221176">
              <w:rPr>
                <w:rFonts w:cs="Arial"/>
                <w:i/>
                <w:iCs/>
                <w:sz w:val="20"/>
              </w:rPr>
              <w:t>Logframe</w:t>
            </w:r>
            <w:r w:rsidRPr="00221176">
              <w:rPr>
                <w:rFonts w:cs="Arial"/>
                <w:i/>
                <w:iCs/>
                <w:sz w:val="20"/>
              </w:rPr>
              <w:t xml:space="preserve"> Indicators 1b.1 and 1b.</w:t>
            </w:r>
            <w:r>
              <w:rPr>
                <w:rFonts w:cs="Arial"/>
                <w:i/>
                <w:iCs/>
                <w:sz w:val="20"/>
              </w:rPr>
              <w:t xml:space="preserve">2, reflecting more accurate </w:t>
            </w:r>
            <w:r w:rsidR="008127FA">
              <w:rPr>
                <w:rFonts w:cs="Arial"/>
                <w:i/>
                <w:iCs/>
                <w:sz w:val="20"/>
              </w:rPr>
              <w:t>real-world</w:t>
            </w:r>
            <w:r>
              <w:rPr>
                <w:rFonts w:cs="Arial"/>
                <w:i/>
                <w:iCs/>
                <w:sz w:val="20"/>
              </w:rPr>
              <w:t xml:space="preserve"> assumptions in the model, as a result building</w:t>
            </w:r>
            <w:r w:rsidRPr="00221176">
              <w:rPr>
                <w:rFonts w:cs="Arial"/>
                <w:i/>
                <w:iCs/>
                <w:sz w:val="20"/>
              </w:rPr>
              <w:t xml:space="preserve"> in more lags and a longer time profile in the assumed disbursements by FIs.</w:t>
            </w:r>
          </w:p>
          <w:p w14:paraId="52399252" w14:textId="0C41C77A" w:rsidR="00997F19" w:rsidRDefault="00997F19" w:rsidP="00657117">
            <w:pPr>
              <w:spacing w:after="240"/>
              <w:textAlignment w:val="baseline"/>
              <w:rPr>
                <w:sz w:val="20"/>
              </w:rPr>
            </w:pPr>
            <w:r>
              <w:rPr>
                <w:b/>
                <w:bCs/>
                <w:sz w:val="20"/>
              </w:rPr>
              <w:lastRenderedPageBreak/>
              <w:t xml:space="preserve">Poor or lack of replication of private finance in the markets: </w:t>
            </w:r>
            <w:r w:rsidR="00265A2D">
              <w:rPr>
                <w:sz w:val="20"/>
              </w:rPr>
              <w:t>T</w:t>
            </w:r>
            <w:r w:rsidR="00265A2D" w:rsidRPr="00265A2D">
              <w:rPr>
                <w:sz w:val="20"/>
              </w:rPr>
              <w:t xml:space="preserve">he </w:t>
            </w:r>
            <w:r w:rsidR="00265A2D">
              <w:rPr>
                <w:sz w:val="20"/>
              </w:rPr>
              <w:t>FIs</w:t>
            </w:r>
            <w:r w:rsidR="00265A2D" w:rsidRPr="00265A2D">
              <w:rPr>
                <w:sz w:val="20"/>
              </w:rPr>
              <w:t xml:space="preserve"> fails to continue to provide green construction finance beyond the programme's investment</w:t>
            </w:r>
            <w:r w:rsidR="00265A2D">
              <w:rPr>
                <w:sz w:val="20"/>
              </w:rPr>
              <w:t xml:space="preserve"> projects. </w:t>
            </w:r>
          </w:p>
          <w:p w14:paraId="09661A3F" w14:textId="77777777" w:rsidR="007E7846" w:rsidRDefault="00A84EA3" w:rsidP="00657117">
            <w:pPr>
              <w:spacing w:after="240"/>
              <w:textAlignment w:val="baseline"/>
              <w:rPr>
                <w:rFonts w:cs="Arial"/>
                <w:i/>
                <w:iCs/>
                <w:sz w:val="20"/>
              </w:rPr>
            </w:pPr>
            <w:r w:rsidRPr="00A84EA3">
              <w:rPr>
                <w:rFonts w:cs="Arial"/>
                <w:i/>
                <w:iCs/>
                <w:sz w:val="20"/>
              </w:rPr>
              <w:t xml:space="preserve">With careful selection of Financial Intermediaries, </w:t>
            </w:r>
            <w:r w:rsidR="000B5E5F" w:rsidRPr="00A84EA3">
              <w:rPr>
                <w:rFonts w:cs="Arial"/>
                <w:i/>
                <w:iCs/>
                <w:sz w:val="20"/>
              </w:rPr>
              <w:t>and targeted</w:t>
            </w:r>
            <w:r w:rsidRPr="00A84EA3">
              <w:rPr>
                <w:rFonts w:cs="Arial"/>
                <w:i/>
                <w:iCs/>
                <w:sz w:val="20"/>
              </w:rPr>
              <w:t xml:space="preserve"> Advisory Services providing training and process support, it is believed that it is likely that the FIs will continue to provide green construction finance after completion of the loan/instrument if the experience is positive.</w:t>
            </w:r>
            <w:r w:rsidR="000B5E5F">
              <w:rPr>
                <w:rFonts w:cs="Arial"/>
                <w:i/>
                <w:iCs/>
                <w:sz w:val="20"/>
              </w:rPr>
              <w:t xml:space="preserve"> </w:t>
            </w:r>
          </w:p>
          <w:p w14:paraId="5C65C529" w14:textId="66F172EC" w:rsidR="00A54FC4" w:rsidRDefault="00DD4ECF" w:rsidP="00657117">
            <w:pPr>
              <w:spacing w:after="240"/>
              <w:textAlignment w:val="baseline"/>
              <w:rPr>
                <w:rFonts w:cs="Arial"/>
                <w:i/>
                <w:iCs/>
                <w:sz w:val="20"/>
              </w:rPr>
            </w:pPr>
            <w:r>
              <w:rPr>
                <w:rFonts w:cs="Arial"/>
                <w:i/>
                <w:iCs/>
                <w:sz w:val="20"/>
              </w:rPr>
              <w:t xml:space="preserve">So far, in the programme lifetime ‘replicated finance’ has been defined at the individual FI level </w:t>
            </w:r>
            <w:r w:rsidR="000050FA">
              <w:rPr>
                <w:rFonts w:cs="Arial"/>
                <w:i/>
                <w:iCs/>
                <w:sz w:val="20"/>
              </w:rPr>
              <w:t xml:space="preserve">which prevents subsequent transactions by the same FI from being reported. As part of the Logframe update anticipated in the next reporting </w:t>
            </w:r>
            <w:r w:rsidR="000050FA" w:rsidRPr="00EC6219">
              <w:rPr>
                <w:rFonts w:cs="Arial"/>
                <w:i/>
                <w:iCs/>
                <w:sz w:val="20"/>
              </w:rPr>
              <w:t>period</w:t>
            </w:r>
            <w:r w:rsidR="00201736" w:rsidRPr="00EC6219">
              <w:rPr>
                <w:rFonts w:cs="Arial"/>
                <w:i/>
                <w:iCs/>
                <w:sz w:val="20"/>
              </w:rPr>
              <w:t xml:space="preserve"> (Recommendation </w:t>
            </w:r>
            <w:r w:rsidR="00EC6219">
              <w:rPr>
                <w:rFonts w:cs="Arial"/>
                <w:i/>
                <w:iCs/>
                <w:sz w:val="20"/>
              </w:rPr>
              <w:t>3</w:t>
            </w:r>
            <w:r w:rsidR="00201736" w:rsidRPr="00EC6219">
              <w:rPr>
                <w:rFonts w:cs="Arial"/>
                <w:i/>
                <w:iCs/>
                <w:sz w:val="20"/>
              </w:rPr>
              <w:t>)</w:t>
            </w:r>
            <w:r w:rsidR="007303C2" w:rsidRPr="00EC6219">
              <w:rPr>
                <w:rFonts w:cs="Arial"/>
                <w:i/>
                <w:iCs/>
                <w:sz w:val="20"/>
              </w:rPr>
              <w:t>,</w:t>
            </w:r>
            <w:r w:rsidR="007303C2">
              <w:rPr>
                <w:rFonts w:cs="Arial"/>
                <w:i/>
                <w:iCs/>
                <w:sz w:val="20"/>
              </w:rPr>
              <w:t xml:space="preserve"> this definition will be updated </w:t>
            </w:r>
            <w:r w:rsidR="009A50A5">
              <w:rPr>
                <w:rFonts w:cs="Arial"/>
                <w:i/>
                <w:iCs/>
                <w:sz w:val="20"/>
              </w:rPr>
              <w:t xml:space="preserve">to ensure accurate reporting in future years of the programme. DESNZ </w:t>
            </w:r>
            <w:r w:rsidR="000B5E5F">
              <w:rPr>
                <w:rFonts w:cs="Arial"/>
                <w:i/>
                <w:iCs/>
                <w:sz w:val="20"/>
              </w:rPr>
              <w:t xml:space="preserve">will continue to monitor </w:t>
            </w:r>
            <w:r w:rsidR="009A50A5">
              <w:rPr>
                <w:rFonts w:cs="Arial"/>
                <w:i/>
                <w:iCs/>
                <w:sz w:val="20"/>
              </w:rPr>
              <w:t xml:space="preserve">this risk </w:t>
            </w:r>
            <w:r w:rsidR="000B5E5F">
              <w:rPr>
                <w:rFonts w:cs="Arial"/>
                <w:i/>
                <w:iCs/>
                <w:sz w:val="20"/>
              </w:rPr>
              <w:t xml:space="preserve">as part of the MAGC governance cycle. </w:t>
            </w:r>
          </w:p>
          <w:p w14:paraId="05AF3520" w14:textId="2DEA8B3F" w:rsidR="00997F19" w:rsidRDefault="00997F19" w:rsidP="00657117">
            <w:pPr>
              <w:spacing w:after="240"/>
              <w:textAlignment w:val="baseline"/>
              <w:rPr>
                <w:rFonts w:cs="Arial"/>
                <w:sz w:val="20"/>
              </w:rPr>
            </w:pPr>
            <w:r w:rsidRPr="00505D32">
              <w:rPr>
                <w:rFonts w:cs="Arial"/>
                <w:b/>
                <w:bCs/>
                <w:sz w:val="20"/>
              </w:rPr>
              <w:t>Market distortion</w:t>
            </w:r>
            <w:r w:rsidR="00051950">
              <w:rPr>
                <w:rFonts w:cs="Arial"/>
                <w:b/>
                <w:bCs/>
                <w:sz w:val="20"/>
              </w:rPr>
              <w:t xml:space="preserve">: </w:t>
            </w:r>
            <w:r w:rsidR="00051950">
              <w:rPr>
                <w:rFonts w:cs="Arial"/>
                <w:sz w:val="20"/>
              </w:rPr>
              <w:t xml:space="preserve">Concessional finance is used </w:t>
            </w:r>
            <w:r w:rsidR="007D63D2" w:rsidRPr="007D63D2">
              <w:rPr>
                <w:rFonts w:cs="Arial"/>
                <w:sz w:val="20"/>
              </w:rPr>
              <w:t>where it is not required, distorting the market or crowding out private sector finance.</w:t>
            </w:r>
          </w:p>
          <w:p w14:paraId="459A8FBE" w14:textId="4552C2AF" w:rsidR="006A123D" w:rsidRPr="00505D32" w:rsidRDefault="007D63D2" w:rsidP="00657117">
            <w:pPr>
              <w:spacing w:after="240"/>
              <w:textAlignment w:val="baseline"/>
            </w:pPr>
            <w:r>
              <w:rPr>
                <w:rFonts w:cs="Arial"/>
                <w:i/>
                <w:iCs/>
                <w:sz w:val="20"/>
              </w:rPr>
              <w:t xml:space="preserve">This risk will be monitored as part of the MAGC governance </w:t>
            </w:r>
            <w:r w:rsidR="00010D5B">
              <w:rPr>
                <w:rFonts w:cs="Arial"/>
                <w:i/>
                <w:iCs/>
                <w:sz w:val="20"/>
              </w:rPr>
              <w:t>cycle but</w:t>
            </w:r>
            <w:r>
              <w:rPr>
                <w:rFonts w:cs="Arial"/>
                <w:i/>
                <w:iCs/>
                <w:sz w:val="20"/>
              </w:rPr>
              <w:t xml:space="preserve"> remains unlikely as a</w:t>
            </w:r>
            <w:r w:rsidRPr="007D63D2">
              <w:rPr>
                <w:rFonts w:cs="Arial"/>
                <w:i/>
                <w:iCs/>
                <w:sz w:val="20"/>
              </w:rPr>
              <w:t xml:space="preserve"> key role of the IFC Blended Finance Committee is to test and approve the appropriate level of concessionality </w:t>
            </w:r>
            <w:r w:rsidR="00DD2159" w:rsidRPr="007D63D2">
              <w:rPr>
                <w:rFonts w:cs="Arial"/>
                <w:i/>
                <w:iCs/>
                <w:sz w:val="20"/>
              </w:rPr>
              <w:t>according to</w:t>
            </w:r>
            <w:r w:rsidRPr="007D63D2">
              <w:rPr>
                <w:rFonts w:cs="Arial"/>
                <w:i/>
                <w:iCs/>
                <w:sz w:val="20"/>
              </w:rPr>
              <w:t xml:space="preserve"> each investment and market, in line with the Blended Finance Principles.</w:t>
            </w:r>
          </w:p>
        </w:tc>
        <w:tc>
          <w:tcPr>
            <w:tcW w:w="1418" w:type="dxa"/>
            <w:tcBorders>
              <w:top w:val="nil"/>
              <w:left w:val="nil"/>
              <w:bottom w:val="single" w:sz="4" w:space="0" w:color="auto"/>
              <w:right w:val="single" w:sz="6" w:space="0" w:color="auto"/>
            </w:tcBorders>
            <w:shd w:val="clear" w:color="auto" w:fill="FFABAB"/>
            <w:hideMark/>
          </w:tcPr>
          <w:p w14:paraId="55895286" w14:textId="35CC0277" w:rsidR="006A123D" w:rsidRPr="0040656D" w:rsidRDefault="000C1E8C" w:rsidP="00657117">
            <w:pPr>
              <w:spacing w:after="240"/>
              <w:textAlignment w:val="baseline"/>
              <w:rPr>
                <w:rFonts w:cs="Arial"/>
                <w:sz w:val="22"/>
                <w:szCs w:val="22"/>
                <w:lang w:eastAsia="en-GB"/>
              </w:rPr>
            </w:pPr>
            <w:r>
              <w:rPr>
                <w:rFonts w:cs="Arial"/>
                <w:color w:val="000000"/>
                <w:sz w:val="20"/>
                <w:szCs w:val="20"/>
                <w:lang w:eastAsia="en-GB"/>
              </w:rPr>
              <w:lastRenderedPageBreak/>
              <w:t>Major</w:t>
            </w:r>
          </w:p>
        </w:tc>
      </w:tr>
      <w:tr w:rsidR="00EC6219" w:rsidRPr="0040656D" w14:paraId="53DD5845" w14:textId="77777777" w:rsidTr="67DC1B00">
        <w:tc>
          <w:tcPr>
            <w:tcW w:w="2119" w:type="dxa"/>
            <w:tcBorders>
              <w:top w:val="single" w:sz="4" w:space="0" w:color="auto"/>
              <w:left w:val="single" w:sz="6" w:space="0" w:color="auto"/>
              <w:bottom w:val="single" w:sz="4" w:space="0" w:color="auto"/>
              <w:right w:val="single" w:sz="6" w:space="0" w:color="auto"/>
            </w:tcBorders>
          </w:tcPr>
          <w:p w14:paraId="0F15363C" w14:textId="529987BC" w:rsidR="00B16A4A" w:rsidRPr="0040656D" w:rsidRDefault="00B16A4A" w:rsidP="00657117">
            <w:pPr>
              <w:spacing w:after="240"/>
              <w:textAlignment w:val="baseline"/>
              <w:rPr>
                <w:rFonts w:cs="Arial"/>
                <w:b/>
                <w:bCs/>
                <w:color w:val="000000"/>
                <w:sz w:val="20"/>
                <w:szCs w:val="20"/>
                <w:lang w:eastAsia="en-GB"/>
              </w:rPr>
            </w:pPr>
            <w:r w:rsidRPr="0040656D">
              <w:rPr>
                <w:rFonts w:cs="Arial"/>
                <w:b/>
                <w:bCs/>
                <w:color w:val="000000"/>
                <w:sz w:val="20"/>
                <w:szCs w:val="20"/>
                <w:lang w:eastAsia="en-GB"/>
              </w:rPr>
              <w:t xml:space="preserve">Component 2: </w:t>
            </w:r>
            <w:r w:rsidRPr="0040656D">
              <w:rPr>
                <w:rFonts w:cs="Arial"/>
                <w:color w:val="000000"/>
                <w:sz w:val="20"/>
                <w:szCs w:val="20"/>
                <w:lang w:eastAsia="en-GB"/>
              </w:rPr>
              <w:t>Country-level Advisory Services</w:t>
            </w:r>
            <w:r w:rsidRPr="0040656D">
              <w:rPr>
                <w:rFonts w:cs="Arial"/>
                <w:b/>
                <w:bCs/>
                <w:color w:val="000000"/>
                <w:sz w:val="20"/>
                <w:szCs w:val="20"/>
                <w:lang w:eastAsia="en-GB"/>
              </w:rPr>
              <w:br/>
            </w:r>
          </w:p>
        </w:tc>
        <w:tc>
          <w:tcPr>
            <w:tcW w:w="12048" w:type="dxa"/>
            <w:tcBorders>
              <w:top w:val="single" w:sz="4" w:space="0" w:color="auto"/>
              <w:left w:val="nil"/>
              <w:bottom w:val="single" w:sz="4" w:space="0" w:color="auto"/>
              <w:right w:val="single" w:sz="6" w:space="0" w:color="auto"/>
            </w:tcBorders>
          </w:tcPr>
          <w:p w14:paraId="66F90632" w14:textId="77777777" w:rsidR="00B16A4A" w:rsidRDefault="00B16A4A" w:rsidP="00657117">
            <w:pPr>
              <w:spacing w:after="240"/>
              <w:textAlignment w:val="baseline"/>
              <w:rPr>
                <w:rFonts w:cs="Arial"/>
                <w:color w:val="000000"/>
                <w:sz w:val="20"/>
                <w:szCs w:val="20"/>
                <w:lang w:val="en-US" w:eastAsia="en-GB"/>
              </w:rPr>
            </w:pPr>
            <w:r>
              <w:rPr>
                <w:rFonts w:cs="Arial"/>
                <w:b/>
                <w:bCs/>
                <w:color w:val="000000"/>
                <w:sz w:val="20"/>
                <w:szCs w:val="20"/>
                <w:lang w:val="en-US" w:eastAsia="en-GB"/>
              </w:rPr>
              <w:t xml:space="preserve">Potential cliff edge to TA funding: </w:t>
            </w:r>
            <w:r w:rsidRPr="00E87456">
              <w:rPr>
                <w:rFonts w:cs="Arial"/>
                <w:color w:val="000000"/>
                <w:sz w:val="20"/>
                <w:szCs w:val="20"/>
                <w:lang w:val="en-US" w:eastAsia="en-GB"/>
              </w:rPr>
              <w:t>There is a risk that funding of TA activities ends (2026) before funding of investment activities (2027). This could create a gap between existing MAGC funding to TA activities and future funding options</w:t>
            </w:r>
            <w:r>
              <w:rPr>
                <w:rFonts w:cs="Arial"/>
                <w:color w:val="000000"/>
                <w:sz w:val="20"/>
                <w:szCs w:val="20"/>
                <w:lang w:val="en-US" w:eastAsia="en-GB"/>
              </w:rPr>
              <w:t xml:space="preserve"> (such as a possible MAGC Extension Programme)</w:t>
            </w:r>
            <w:r w:rsidRPr="00E87456">
              <w:rPr>
                <w:rFonts w:cs="Arial"/>
                <w:color w:val="000000"/>
                <w:sz w:val="20"/>
                <w:szCs w:val="20"/>
                <w:lang w:val="en-US" w:eastAsia="en-GB"/>
              </w:rPr>
              <w:t xml:space="preserve">, which could </w:t>
            </w:r>
            <w:r w:rsidRPr="003341E3">
              <w:rPr>
                <w:rFonts w:cs="Arial"/>
                <w:color w:val="000000"/>
                <w:sz w:val="20"/>
                <w:szCs w:val="20"/>
                <w:lang w:val="en-US" w:eastAsia="en-GB"/>
              </w:rPr>
              <w:t>impact on</w:t>
            </w:r>
            <w:r w:rsidRPr="00E87456">
              <w:rPr>
                <w:rFonts w:cs="Arial"/>
                <w:color w:val="000000"/>
                <w:sz w:val="20"/>
                <w:szCs w:val="20"/>
                <w:lang w:val="en-US" w:eastAsia="en-GB"/>
              </w:rPr>
              <w:t xml:space="preserve"> the delivery of components</w:t>
            </w:r>
            <w:r>
              <w:rPr>
                <w:rFonts w:cs="Arial"/>
                <w:color w:val="000000"/>
                <w:sz w:val="20"/>
                <w:szCs w:val="20"/>
                <w:lang w:val="en-US" w:eastAsia="en-GB"/>
              </w:rPr>
              <w:t xml:space="preserve"> 2 and 3. </w:t>
            </w:r>
          </w:p>
          <w:p w14:paraId="3BCE4A2E" w14:textId="7154FAA7" w:rsidR="00B16A4A" w:rsidRDefault="00B16A4A" w:rsidP="00657117">
            <w:pPr>
              <w:spacing w:after="240"/>
              <w:textAlignment w:val="baseline"/>
              <w:rPr>
                <w:rFonts w:cs="Arial"/>
                <w:b/>
                <w:bCs/>
                <w:sz w:val="20"/>
              </w:rPr>
            </w:pPr>
            <w:r w:rsidRPr="00E87456">
              <w:rPr>
                <w:rFonts w:cs="Arial"/>
                <w:i/>
                <w:iCs/>
                <w:color w:val="000000"/>
                <w:sz w:val="20"/>
                <w:szCs w:val="20"/>
                <w:lang w:val="en-US" w:eastAsia="en-GB"/>
              </w:rPr>
              <w:t xml:space="preserve">Once position established for future UK ICF funding, DESNZ can explore stop-gap funding to cover this potential cliff edge or explore slowing disbursements for activities to allowed for funding in the ‘gap </w:t>
            </w:r>
            <w:proofErr w:type="gramStart"/>
            <w:r w:rsidR="001F0A64" w:rsidRPr="00E87456">
              <w:rPr>
                <w:rFonts w:cs="Arial"/>
                <w:i/>
                <w:iCs/>
                <w:color w:val="000000"/>
                <w:sz w:val="20"/>
                <w:szCs w:val="20"/>
                <w:lang w:val="en-US" w:eastAsia="en-GB"/>
              </w:rPr>
              <w:t>years</w:t>
            </w:r>
            <w:r w:rsidR="001F0A64">
              <w:rPr>
                <w:rFonts w:cs="Arial"/>
                <w:i/>
                <w:iCs/>
                <w:color w:val="000000"/>
                <w:sz w:val="20"/>
                <w:szCs w:val="20"/>
                <w:lang w:val="en-US" w:eastAsia="en-GB"/>
              </w:rPr>
              <w:t>’</w:t>
            </w:r>
            <w:proofErr w:type="gramEnd"/>
            <w:r w:rsidR="00010D5B">
              <w:rPr>
                <w:rFonts w:cs="Arial"/>
                <w:i/>
                <w:iCs/>
                <w:color w:val="000000"/>
                <w:sz w:val="20"/>
                <w:szCs w:val="20"/>
                <w:lang w:val="en-US" w:eastAsia="en-GB"/>
              </w:rPr>
              <w:t xml:space="preserve"> or</w:t>
            </w:r>
            <w:r>
              <w:rPr>
                <w:rFonts w:cs="Arial"/>
                <w:i/>
                <w:iCs/>
                <w:color w:val="000000"/>
                <w:sz w:val="20"/>
                <w:szCs w:val="20"/>
                <w:lang w:val="en-US" w:eastAsia="en-GB"/>
              </w:rPr>
              <w:t xml:space="preserve"> managing the cliff-edge if it occurs.</w:t>
            </w:r>
          </w:p>
        </w:tc>
        <w:tc>
          <w:tcPr>
            <w:tcW w:w="1418" w:type="dxa"/>
            <w:tcBorders>
              <w:top w:val="single" w:sz="4" w:space="0" w:color="auto"/>
              <w:left w:val="nil"/>
              <w:bottom w:val="single" w:sz="4" w:space="0" w:color="auto"/>
              <w:right w:val="single" w:sz="6" w:space="0" w:color="auto"/>
            </w:tcBorders>
            <w:shd w:val="clear" w:color="auto" w:fill="D9F2D0" w:themeFill="accent6" w:themeFillTint="33"/>
          </w:tcPr>
          <w:p w14:paraId="74008AE5" w14:textId="24FE7452" w:rsidR="00B16A4A" w:rsidDel="000C1E8C" w:rsidRDefault="00B16A4A" w:rsidP="00657117">
            <w:pPr>
              <w:spacing w:after="240"/>
              <w:textAlignment w:val="baseline"/>
              <w:rPr>
                <w:rFonts w:cs="Arial"/>
                <w:color w:val="000000"/>
                <w:sz w:val="20"/>
                <w:szCs w:val="20"/>
                <w:lang w:eastAsia="en-GB"/>
              </w:rPr>
            </w:pPr>
            <w:r w:rsidRPr="0040656D">
              <w:rPr>
                <w:rFonts w:cs="Arial"/>
                <w:color w:val="000000"/>
                <w:sz w:val="20"/>
                <w:szCs w:val="20"/>
                <w:lang w:eastAsia="en-GB"/>
              </w:rPr>
              <w:t>Minor</w:t>
            </w:r>
          </w:p>
        </w:tc>
      </w:tr>
      <w:tr w:rsidR="00EC6219" w:rsidRPr="0040656D" w14:paraId="0830FD43" w14:textId="77777777" w:rsidTr="67DC1B00">
        <w:tc>
          <w:tcPr>
            <w:tcW w:w="2119" w:type="dxa"/>
            <w:tcBorders>
              <w:top w:val="single" w:sz="4" w:space="0" w:color="auto"/>
              <w:left w:val="single" w:sz="6" w:space="0" w:color="auto"/>
              <w:bottom w:val="single" w:sz="4" w:space="0" w:color="auto"/>
              <w:right w:val="single" w:sz="6" w:space="0" w:color="auto"/>
            </w:tcBorders>
          </w:tcPr>
          <w:p w14:paraId="011936D0" w14:textId="574D7F32" w:rsidR="00B16A4A" w:rsidRPr="0040656D" w:rsidRDefault="00B16A4A" w:rsidP="00657117">
            <w:pPr>
              <w:spacing w:after="240"/>
              <w:textAlignment w:val="baseline"/>
              <w:rPr>
                <w:rFonts w:cs="Arial"/>
                <w:b/>
                <w:bCs/>
                <w:color w:val="000000"/>
                <w:sz w:val="20"/>
                <w:szCs w:val="20"/>
                <w:lang w:eastAsia="en-GB"/>
              </w:rPr>
            </w:pPr>
            <w:r w:rsidRPr="0040656D">
              <w:rPr>
                <w:rFonts w:cs="Arial"/>
                <w:b/>
                <w:bCs/>
                <w:color w:val="000000"/>
                <w:sz w:val="20"/>
                <w:szCs w:val="20"/>
                <w:lang w:val="en-US" w:eastAsia="en-GB"/>
              </w:rPr>
              <w:t xml:space="preserve">Component 3: </w:t>
            </w:r>
            <w:r w:rsidRPr="0040656D">
              <w:rPr>
                <w:rFonts w:cs="Arial"/>
                <w:color w:val="000000"/>
                <w:sz w:val="20"/>
                <w:szCs w:val="20"/>
                <w:lang w:val="en-US" w:eastAsia="en-GB"/>
              </w:rPr>
              <w:t>Maintenance and Improvement of EDGE</w:t>
            </w:r>
          </w:p>
        </w:tc>
        <w:tc>
          <w:tcPr>
            <w:tcW w:w="12048" w:type="dxa"/>
            <w:tcBorders>
              <w:top w:val="single" w:sz="4" w:space="0" w:color="auto"/>
              <w:left w:val="nil"/>
              <w:bottom w:val="single" w:sz="4" w:space="0" w:color="auto"/>
              <w:right w:val="single" w:sz="6" w:space="0" w:color="auto"/>
            </w:tcBorders>
          </w:tcPr>
          <w:p w14:paraId="53158784" w14:textId="13BB3597" w:rsidR="00B16A4A" w:rsidRDefault="00B16A4A" w:rsidP="00657117">
            <w:pPr>
              <w:spacing w:after="240"/>
              <w:textAlignment w:val="baseline"/>
              <w:rPr>
                <w:rFonts w:cs="Arial"/>
                <w:color w:val="000000"/>
                <w:sz w:val="20"/>
                <w:szCs w:val="20"/>
                <w:lang w:val="en-US" w:eastAsia="en-GB"/>
              </w:rPr>
            </w:pPr>
            <w:r>
              <w:rPr>
                <w:rFonts w:cs="Arial"/>
                <w:b/>
                <w:bCs/>
                <w:color w:val="000000"/>
                <w:sz w:val="20"/>
                <w:szCs w:val="20"/>
                <w:lang w:val="en-US" w:eastAsia="en-GB"/>
              </w:rPr>
              <w:t xml:space="preserve">EDGE growth rates: </w:t>
            </w:r>
            <w:r w:rsidRPr="00E87456">
              <w:rPr>
                <w:rFonts w:cs="Arial"/>
                <w:color w:val="000000"/>
                <w:sz w:val="20"/>
                <w:szCs w:val="20"/>
                <w:lang w:val="en-US" w:eastAsia="en-GB"/>
              </w:rPr>
              <w:t>In FY24 MAGC</w:t>
            </w:r>
            <w:r>
              <w:rPr>
                <w:rFonts w:cs="Arial"/>
                <w:color w:val="000000"/>
                <w:sz w:val="20"/>
                <w:szCs w:val="20"/>
                <w:lang w:val="en-US" w:eastAsia="en-GB"/>
              </w:rPr>
              <w:t xml:space="preserve">’s </w:t>
            </w:r>
            <w:r w:rsidR="00451607" w:rsidRPr="00E87456">
              <w:rPr>
                <w:rFonts w:cs="Arial"/>
                <w:color w:val="000000"/>
                <w:sz w:val="20"/>
                <w:szCs w:val="20"/>
                <w:lang w:val="en-US" w:eastAsia="en-GB"/>
              </w:rPr>
              <w:t>Logframe</w:t>
            </w:r>
            <w:r w:rsidRPr="00E87456">
              <w:rPr>
                <w:rFonts w:cs="Arial"/>
                <w:color w:val="000000"/>
                <w:sz w:val="20"/>
                <w:szCs w:val="20"/>
                <w:lang w:val="en-US" w:eastAsia="en-GB"/>
              </w:rPr>
              <w:t xml:space="preserve"> </w:t>
            </w:r>
            <w:r>
              <w:rPr>
                <w:rFonts w:cs="Arial"/>
                <w:color w:val="000000"/>
                <w:sz w:val="20"/>
                <w:szCs w:val="20"/>
                <w:lang w:val="en-US" w:eastAsia="en-GB"/>
              </w:rPr>
              <w:t xml:space="preserve">update increased targets for </w:t>
            </w:r>
            <w:proofErr w:type="gramStart"/>
            <w:r>
              <w:rPr>
                <w:rFonts w:cs="Arial"/>
                <w:color w:val="000000"/>
                <w:sz w:val="20"/>
                <w:szCs w:val="20"/>
                <w:lang w:val="en-US" w:eastAsia="en-GB"/>
              </w:rPr>
              <w:t>a number of</w:t>
            </w:r>
            <w:proofErr w:type="gramEnd"/>
            <w:r>
              <w:rPr>
                <w:rFonts w:cs="Arial"/>
                <w:color w:val="000000"/>
                <w:sz w:val="20"/>
                <w:szCs w:val="20"/>
                <w:lang w:val="en-US" w:eastAsia="en-GB"/>
              </w:rPr>
              <w:t xml:space="preserve"> indicators</w:t>
            </w:r>
            <w:r w:rsidRPr="00E87456">
              <w:rPr>
                <w:rFonts w:cs="Arial"/>
                <w:color w:val="000000"/>
                <w:sz w:val="20"/>
                <w:szCs w:val="20"/>
                <w:lang w:val="en-US" w:eastAsia="en-GB"/>
              </w:rPr>
              <w:t xml:space="preserve">. The new floor space m2 certification targets were set considering EDGE will keep </w:t>
            </w:r>
            <w:r>
              <w:rPr>
                <w:rFonts w:cs="Arial"/>
                <w:color w:val="000000"/>
                <w:sz w:val="20"/>
                <w:szCs w:val="20"/>
                <w:lang w:val="en-US" w:eastAsia="en-GB"/>
              </w:rPr>
              <w:t>increasing by the same assumptions</w:t>
            </w:r>
            <w:r w:rsidRPr="00E87456">
              <w:rPr>
                <w:rFonts w:cs="Arial"/>
                <w:color w:val="000000"/>
                <w:sz w:val="20"/>
                <w:szCs w:val="20"/>
                <w:lang w:val="en-US" w:eastAsia="en-GB"/>
              </w:rPr>
              <w:t>.</w:t>
            </w:r>
            <w:r>
              <w:rPr>
                <w:rFonts w:cs="Arial"/>
                <w:color w:val="000000"/>
                <w:sz w:val="20"/>
                <w:szCs w:val="20"/>
                <w:lang w:val="en-US" w:eastAsia="en-GB"/>
              </w:rPr>
              <w:t xml:space="preserve"> This introduces a risk that</w:t>
            </w:r>
            <w:r w:rsidRPr="00E87456">
              <w:rPr>
                <w:rFonts w:cs="Arial"/>
                <w:color w:val="000000"/>
                <w:sz w:val="20"/>
                <w:szCs w:val="20"/>
                <w:lang w:val="en-US" w:eastAsia="en-GB"/>
              </w:rPr>
              <w:t xml:space="preserve"> when EDGE </w:t>
            </w:r>
            <w:r>
              <w:rPr>
                <w:rFonts w:cs="Arial"/>
                <w:color w:val="000000"/>
                <w:sz w:val="20"/>
                <w:szCs w:val="20"/>
                <w:lang w:val="en-US" w:eastAsia="en-GB"/>
              </w:rPr>
              <w:t>V.</w:t>
            </w:r>
            <w:r w:rsidRPr="00E87456">
              <w:rPr>
                <w:rFonts w:cs="Arial"/>
                <w:color w:val="000000"/>
                <w:sz w:val="20"/>
                <w:szCs w:val="20"/>
                <w:lang w:val="en-US" w:eastAsia="en-GB"/>
              </w:rPr>
              <w:t xml:space="preserve">4 </w:t>
            </w:r>
            <w:r>
              <w:rPr>
                <w:rFonts w:cs="Arial"/>
                <w:color w:val="000000"/>
                <w:sz w:val="20"/>
                <w:szCs w:val="20"/>
                <w:lang w:val="en-US" w:eastAsia="en-GB"/>
              </w:rPr>
              <w:t>is</w:t>
            </w:r>
            <w:r w:rsidRPr="00E87456">
              <w:rPr>
                <w:rFonts w:cs="Arial"/>
                <w:color w:val="000000"/>
                <w:sz w:val="20"/>
                <w:szCs w:val="20"/>
                <w:lang w:val="en-US" w:eastAsia="en-GB"/>
              </w:rPr>
              <w:t xml:space="preserve"> introduced the certification speed will be slower until EDGE users are trained and adapted to the new version.</w:t>
            </w:r>
          </w:p>
          <w:p w14:paraId="7BFCB16F" w14:textId="77777777" w:rsidR="00B16A4A" w:rsidRDefault="00B16A4A" w:rsidP="00657117">
            <w:pPr>
              <w:spacing w:after="240"/>
              <w:textAlignment w:val="baseline"/>
              <w:rPr>
                <w:rFonts w:cs="Arial"/>
                <w:i/>
                <w:iCs/>
                <w:color w:val="000000"/>
                <w:sz w:val="20"/>
                <w:szCs w:val="20"/>
                <w:lang w:val="en-US" w:eastAsia="en-GB"/>
              </w:rPr>
            </w:pPr>
            <w:r w:rsidRPr="00353B95">
              <w:rPr>
                <w:rFonts w:cs="Arial"/>
                <w:i/>
                <w:iCs/>
                <w:color w:val="000000"/>
                <w:sz w:val="20"/>
                <w:szCs w:val="20"/>
                <w:lang w:val="en-US" w:eastAsia="en-GB"/>
              </w:rPr>
              <w:t>IFC continues</w:t>
            </w:r>
            <w:r>
              <w:rPr>
                <w:rFonts w:cs="Arial"/>
                <w:i/>
                <w:iCs/>
                <w:color w:val="000000"/>
                <w:sz w:val="20"/>
                <w:szCs w:val="20"/>
                <w:lang w:val="en-US" w:eastAsia="en-GB"/>
              </w:rPr>
              <w:t xml:space="preserve"> </w:t>
            </w:r>
            <w:r w:rsidRPr="00353B95">
              <w:rPr>
                <w:rFonts w:cs="Arial"/>
                <w:i/>
                <w:iCs/>
                <w:color w:val="000000"/>
                <w:sz w:val="20"/>
                <w:szCs w:val="20"/>
                <w:lang w:val="en-US" w:eastAsia="en-GB"/>
              </w:rPr>
              <w:t>proactive business development targeting conglomerate real estate companies</w:t>
            </w:r>
            <w:r>
              <w:rPr>
                <w:rFonts w:cs="Arial"/>
                <w:i/>
                <w:iCs/>
                <w:color w:val="000000"/>
                <w:sz w:val="20"/>
                <w:szCs w:val="20"/>
                <w:lang w:val="en-US" w:eastAsia="en-GB"/>
              </w:rPr>
              <w:t xml:space="preserve">. Targeting these larger real estate portfolios reduces the </w:t>
            </w:r>
            <w:r w:rsidRPr="00353B95">
              <w:rPr>
                <w:rFonts w:cs="Arial"/>
                <w:i/>
                <w:iCs/>
                <w:color w:val="000000"/>
                <w:sz w:val="20"/>
                <w:szCs w:val="20"/>
                <w:lang w:val="en-US" w:eastAsia="en-GB"/>
              </w:rPr>
              <w:t>risk of missing targets of floor space certifications</w:t>
            </w:r>
            <w:r>
              <w:rPr>
                <w:rFonts w:cs="Arial"/>
                <w:i/>
                <w:iCs/>
                <w:color w:val="000000"/>
                <w:sz w:val="20"/>
                <w:szCs w:val="20"/>
                <w:lang w:val="en-US" w:eastAsia="en-GB"/>
              </w:rPr>
              <w:t xml:space="preserve">. </w:t>
            </w:r>
          </w:p>
          <w:p w14:paraId="282FF167" w14:textId="77777777" w:rsidR="00B16A4A" w:rsidRDefault="00B16A4A" w:rsidP="00657117">
            <w:pPr>
              <w:spacing w:after="240"/>
              <w:textAlignment w:val="baseline"/>
              <w:rPr>
                <w:rFonts w:cs="Arial"/>
                <w:color w:val="000000"/>
                <w:sz w:val="20"/>
                <w:szCs w:val="20"/>
                <w:lang w:val="en-US" w:eastAsia="en-GB"/>
              </w:rPr>
            </w:pPr>
            <w:r>
              <w:rPr>
                <w:rFonts w:cs="Arial"/>
                <w:b/>
                <w:bCs/>
                <w:color w:val="000000"/>
                <w:sz w:val="20"/>
                <w:szCs w:val="20"/>
                <w:lang w:val="en-US" w:eastAsia="en-GB"/>
              </w:rPr>
              <w:t xml:space="preserve">Potential cliff edge to TA funding: </w:t>
            </w:r>
            <w:r w:rsidRPr="00E87456">
              <w:rPr>
                <w:rFonts w:cs="Arial"/>
                <w:color w:val="000000"/>
                <w:sz w:val="20"/>
                <w:szCs w:val="20"/>
                <w:lang w:val="en-US" w:eastAsia="en-GB"/>
              </w:rPr>
              <w:t>There is a risk that funding of TA activities ends (2026) before funding of investment activities (2027). This could create a gap between existing MAGC funding to TA activities and future funding options</w:t>
            </w:r>
            <w:r>
              <w:rPr>
                <w:rFonts w:cs="Arial"/>
                <w:color w:val="000000"/>
                <w:sz w:val="20"/>
                <w:szCs w:val="20"/>
                <w:lang w:val="en-US" w:eastAsia="en-GB"/>
              </w:rPr>
              <w:t xml:space="preserve"> (such as a possible MAGC Extension Programme)</w:t>
            </w:r>
            <w:r w:rsidRPr="00E87456">
              <w:rPr>
                <w:rFonts w:cs="Arial"/>
                <w:color w:val="000000"/>
                <w:sz w:val="20"/>
                <w:szCs w:val="20"/>
                <w:lang w:val="en-US" w:eastAsia="en-GB"/>
              </w:rPr>
              <w:t xml:space="preserve">, which could </w:t>
            </w:r>
            <w:r w:rsidRPr="003341E3">
              <w:rPr>
                <w:rFonts w:cs="Arial"/>
                <w:color w:val="000000"/>
                <w:sz w:val="20"/>
                <w:szCs w:val="20"/>
                <w:lang w:val="en-US" w:eastAsia="en-GB"/>
              </w:rPr>
              <w:t>impact on</w:t>
            </w:r>
            <w:r w:rsidRPr="00E87456">
              <w:rPr>
                <w:rFonts w:cs="Arial"/>
                <w:color w:val="000000"/>
                <w:sz w:val="20"/>
                <w:szCs w:val="20"/>
                <w:lang w:val="en-US" w:eastAsia="en-GB"/>
              </w:rPr>
              <w:t xml:space="preserve"> the delivery of components</w:t>
            </w:r>
            <w:r>
              <w:rPr>
                <w:rFonts w:cs="Arial"/>
                <w:color w:val="000000"/>
                <w:sz w:val="20"/>
                <w:szCs w:val="20"/>
                <w:lang w:val="en-US" w:eastAsia="en-GB"/>
              </w:rPr>
              <w:t xml:space="preserve"> 2 and 3. </w:t>
            </w:r>
          </w:p>
          <w:p w14:paraId="3F588954" w14:textId="35DE627D" w:rsidR="00B16A4A" w:rsidRDefault="00B16A4A" w:rsidP="00657117">
            <w:pPr>
              <w:spacing w:after="240"/>
              <w:textAlignment w:val="baseline"/>
              <w:rPr>
                <w:rFonts w:cs="Arial"/>
                <w:b/>
                <w:bCs/>
                <w:sz w:val="20"/>
              </w:rPr>
            </w:pPr>
            <w:r w:rsidRPr="00E87456">
              <w:rPr>
                <w:rFonts w:cs="Arial"/>
                <w:i/>
                <w:iCs/>
                <w:color w:val="000000"/>
                <w:sz w:val="20"/>
                <w:szCs w:val="20"/>
                <w:lang w:val="en-US" w:eastAsia="en-GB"/>
              </w:rPr>
              <w:lastRenderedPageBreak/>
              <w:t xml:space="preserve">Once position established for future UK ICF funding, DESNZ can explore stop-gap funding to cover this potential cliff edge or explore slowing disbursements for activities to allowed for funding in the ‘gap </w:t>
            </w:r>
            <w:proofErr w:type="gramStart"/>
            <w:r w:rsidR="001F0A64" w:rsidRPr="00E87456">
              <w:rPr>
                <w:rFonts w:cs="Arial"/>
                <w:i/>
                <w:iCs/>
                <w:color w:val="000000"/>
                <w:sz w:val="20"/>
                <w:szCs w:val="20"/>
                <w:lang w:val="en-US" w:eastAsia="en-GB"/>
              </w:rPr>
              <w:t>years</w:t>
            </w:r>
            <w:r w:rsidR="001F0A64">
              <w:rPr>
                <w:rFonts w:cs="Arial"/>
                <w:i/>
                <w:iCs/>
                <w:color w:val="000000"/>
                <w:sz w:val="20"/>
                <w:szCs w:val="20"/>
                <w:lang w:val="en-US" w:eastAsia="en-GB"/>
              </w:rPr>
              <w:t>’</w:t>
            </w:r>
            <w:proofErr w:type="gramEnd"/>
            <w:r w:rsidR="00010D5B">
              <w:rPr>
                <w:rFonts w:cs="Arial"/>
                <w:i/>
                <w:iCs/>
                <w:color w:val="000000"/>
                <w:sz w:val="20"/>
                <w:szCs w:val="20"/>
                <w:lang w:val="en-US" w:eastAsia="en-GB"/>
              </w:rPr>
              <w:t xml:space="preserve"> or</w:t>
            </w:r>
            <w:r>
              <w:rPr>
                <w:rFonts w:cs="Arial"/>
                <w:i/>
                <w:iCs/>
                <w:color w:val="000000"/>
                <w:sz w:val="20"/>
                <w:szCs w:val="20"/>
                <w:lang w:val="en-US" w:eastAsia="en-GB"/>
              </w:rPr>
              <w:t xml:space="preserve"> managing the cliff-edge if it occurs.</w:t>
            </w:r>
          </w:p>
        </w:tc>
        <w:tc>
          <w:tcPr>
            <w:tcW w:w="1418" w:type="dxa"/>
            <w:tcBorders>
              <w:top w:val="single" w:sz="4" w:space="0" w:color="auto"/>
              <w:left w:val="nil"/>
              <w:bottom w:val="single" w:sz="4" w:space="0" w:color="auto"/>
              <w:right w:val="single" w:sz="6" w:space="0" w:color="auto"/>
            </w:tcBorders>
            <w:shd w:val="clear" w:color="auto" w:fill="D9F2D0" w:themeFill="accent6" w:themeFillTint="33"/>
          </w:tcPr>
          <w:p w14:paraId="42992519" w14:textId="64E7A022" w:rsidR="00B16A4A" w:rsidDel="000C1E8C" w:rsidRDefault="00B16A4A" w:rsidP="00657117">
            <w:pPr>
              <w:spacing w:after="240"/>
              <w:textAlignment w:val="baseline"/>
              <w:rPr>
                <w:rFonts w:cs="Arial"/>
                <w:color w:val="000000"/>
                <w:sz w:val="20"/>
                <w:szCs w:val="20"/>
                <w:lang w:eastAsia="en-GB"/>
              </w:rPr>
            </w:pPr>
            <w:r>
              <w:rPr>
                <w:rFonts w:cs="Arial"/>
                <w:color w:val="000000"/>
                <w:sz w:val="20"/>
                <w:szCs w:val="20"/>
                <w:lang w:eastAsia="en-GB"/>
              </w:rPr>
              <w:lastRenderedPageBreak/>
              <w:t>Minor</w:t>
            </w:r>
          </w:p>
        </w:tc>
      </w:tr>
      <w:tr w:rsidR="00EC6219" w:rsidRPr="0040656D" w14:paraId="7E563178" w14:textId="77777777" w:rsidTr="67DC1B00">
        <w:tc>
          <w:tcPr>
            <w:tcW w:w="2119" w:type="dxa"/>
            <w:tcBorders>
              <w:top w:val="single" w:sz="4" w:space="0" w:color="auto"/>
              <w:left w:val="single" w:sz="6" w:space="0" w:color="auto"/>
              <w:bottom w:val="single" w:sz="6" w:space="0" w:color="auto"/>
              <w:right w:val="single" w:sz="6" w:space="0" w:color="auto"/>
            </w:tcBorders>
          </w:tcPr>
          <w:p w14:paraId="01898165" w14:textId="281FA159" w:rsidR="00B16A4A" w:rsidRPr="0040656D" w:rsidRDefault="00B16A4A" w:rsidP="00657117">
            <w:pPr>
              <w:spacing w:after="240"/>
              <w:textAlignment w:val="baseline"/>
              <w:rPr>
                <w:rFonts w:cs="Arial"/>
                <w:b/>
                <w:bCs/>
                <w:color w:val="000000"/>
                <w:sz w:val="20"/>
                <w:szCs w:val="20"/>
                <w:lang w:eastAsia="en-GB"/>
              </w:rPr>
            </w:pPr>
            <w:r w:rsidRPr="0040656D">
              <w:rPr>
                <w:rFonts w:cs="Arial"/>
                <w:b/>
                <w:bCs/>
                <w:color w:val="000000"/>
                <w:sz w:val="20"/>
                <w:szCs w:val="20"/>
                <w:lang w:eastAsia="en-GB"/>
              </w:rPr>
              <w:t xml:space="preserve">Component 4: </w:t>
            </w:r>
            <w:r w:rsidRPr="0040656D">
              <w:rPr>
                <w:rFonts w:cs="Arial"/>
                <w:color w:val="000000"/>
                <w:sz w:val="20"/>
                <w:szCs w:val="20"/>
                <w:lang w:eastAsia="en-GB"/>
              </w:rPr>
              <w:t>The MAGC Research programme</w:t>
            </w:r>
          </w:p>
        </w:tc>
        <w:tc>
          <w:tcPr>
            <w:tcW w:w="12048" w:type="dxa"/>
            <w:tcBorders>
              <w:top w:val="single" w:sz="4" w:space="0" w:color="auto"/>
              <w:left w:val="nil"/>
              <w:bottom w:val="single" w:sz="6" w:space="0" w:color="auto"/>
              <w:right w:val="single" w:sz="6" w:space="0" w:color="auto"/>
            </w:tcBorders>
          </w:tcPr>
          <w:p w14:paraId="607D9BC9" w14:textId="755965FA" w:rsidR="00B16A4A" w:rsidRDefault="00B16A4A" w:rsidP="00657117">
            <w:pPr>
              <w:spacing w:after="240"/>
              <w:textAlignment w:val="baseline"/>
              <w:rPr>
                <w:rFonts w:eastAsiaTheme="minorHAnsi" w:cs="Arial"/>
                <w:color w:val="000000"/>
                <w:sz w:val="20"/>
                <w:szCs w:val="20"/>
                <w:lang w:val="en-US"/>
              </w:rPr>
            </w:pPr>
            <w:r>
              <w:rPr>
                <w:rFonts w:eastAsiaTheme="minorHAnsi" w:cs="Arial"/>
                <w:b/>
                <w:bCs/>
                <w:color w:val="000000"/>
                <w:sz w:val="20"/>
                <w:szCs w:val="20"/>
                <w:lang w:val="en-US"/>
              </w:rPr>
              <w:t xml:space="preserve">Knowledge dissemination: </w:t>
            </w:r>
            <w:r w:rsidRPr="00E87456">
              <w:rPr>
                <w:rFonts w:eastAsiaTheme="minorHAnsi" w:cs="Arial"/>
                <w:color w:val="000000"/>
                <w:sz w:val="20"/>
                <w:szCs w:val="20"/>
                <w:lang w:val="en-US"/>
              </w:rPr>
              <w:t xml:space="preserve">Although DESNZ </w:t>
            </w:r>
            <w:r w:rsidR="006B5703" w:rsidRPr="00E87456">
              <w:rPr>
                <w:rFonts w:eastAsiaTheme="minorHAnsi" w:cs="Arial"/>
                <w:color w:val="000000"/>
                <w:sz w:val="20"/>
                <w:szCs w:val="20"/>
                <w:lang w:val="en-US"/>
              </w:rPr>
              <w:t>recogni</w:t>
            </w:r>
            <w:r w:rsidR="006B5703">
              <w:rPr>
                <w:rFonts w:eastAsiaTheme="minorHAnsi" w:cs="Arial"/>
                <w:color w:val="000000"/>
                <w:sz w:val="20"/>
                <w:szCs w:val="20"/>
                <w:lang w:val="en-US"/>
              </w:rPr>
              <w:t>z</w:t>
            </w:r>
            <w:r w:rsidR="006B5703" w:rsidRPr="00E87456">
              <w:rPr>
                <w:rFonts w:eastAsiaTheme="minorHAnsi" w:cs="Arial"/>
                <w:color w:val="000000"/>
                <w:sz w:val="20"/>
                <w:szCs w:val="20"/>
                <w:lang w:val="en-US"/>
              </w:rPr>
              <w:t>es</w:t>
            </w:r>
            <w:r w:rsidRPr="00E87456">
              <w:rPr>
                <w:rFonts w:eastAsiaTheme="minorHAnsi" w:cs="Arial"/>
                <w:color w:val="000000"/>
                <w:sz w:val="20"/>
                <w:szCs w:val="20"/>
                <w:lang w:val="en-US"/>
              </w:rPr>
              <w:t xml:space="preserve"> the work done to publish the MAGC Research outputs, and IFC have consistently scored well in the </w:t>
            </w:r>
            <w:r w:rsidR="00451607">
              <w:rPr>
                <w:rFonts w:eastAsiaTheme="minorHAnsi" w:cs="Arial"/>
                <w:color w:val="000000"/>
                <w:sz w:val="20"/>
                <w:szCs w:val="20"/>
                <w:lang w:val="en-US"/>
              </w:rPr>
              <w:t>Logframe</w:t>
            </w:r>
            <w:r w:rsidRPr="00E87456">
              <w:rPr>
                <w:rFonts w:eastAsiaTheme="minorHAnsi" w:cs="Arial"/>
                <w:color w:val="000000"/>
                <w:sz w:val="20"/>
                <w:szCs w:val="20"/>
                <w:lang w:val="en-US"/>
              </w:rPr>
              <w:t xml:space="preserve"> regarding knowledge dissemination, it is not clear whether this dissemination is leading to an increased awareness of the benefits of EDGE or certification over the perceived costs. This is seen as vital to the success of the </w:t>
            </w:r>
            <w:r w:rsidR="00ED1ABC" w:rsidRPr="00E87456">
              <w:rPr>
                <w:rFonts w:eastAsiaTheme="minorHAnsi" w:cs="Arial"/>
                <w:color w:val="000000"/>
                <w:sz w:val="20"/>
                <w:szCs w:val="20"/>
                <w:lang w:val="en-US"/>
              </w:rPr>
              <w:t>Programme</w:t>
            </w:r>
            <w:r w:rsidRPr="00E87456">
              <w:rPr>
                <w:rFonts w:eastAsiaTheme="minorHAnsi" w:cs="Arial"/>
                <w:color w:val="000000"/>
                <w:sz w:val="20"/>
                <w:szCs w:val="20"/>
                <w:lang w:val="en-US"/>
              </w:rPr>
              <w:t xml:space="preserve"> in moving from funding individual FIs and moving to a transformation of the GB sector in MAGC countries.</w:t>
            </w:r>
            <w:r>
              <w:rPr>
                <w:rFonts w:eastAsiaTheme="minorHAnsi" w:cs="Arial"/>
                <w:color w:val="000000"/>
                <w:sz w:val="20"/>
                <w:szCs w:val="20"/>
                <w:lang w:val="en-US"/>
              </w:rPr>
              <w:t xml:space="preserve"> </w:t>
            </w:r>
          </w:p>
          <w:p w14:paraId="4DCE60A9" w14:textId="77777777" w:rsidR="00B16A4A" w:rsidRDefault="00B16A4A" w:rsidP="00657117">
            <w:pPr>
              <w:spacing w:after="240"/>
              <w:textAlignment w:val="baseline"/>
              <w:rPr>
                <w:rFonts w:eastAsiaTheme="minorHAnsi" w:cs="Arial"/>
                <w:color w:val="000000"/>
                <w:sz w:val="20"/>
                <w:szCs w:val="20"/>
                <w:lang w:val="en-US"/>
              </w:rPr>
            </w:pPr>
            <w:r>
              <w:rPr>
                <w:rFonts w:eastAsiaTheme="minorHAnsi" w:cs="Arial"/>
                <w:i/>
                <w:iCs/>
                <w:color w:val="000000"/>
                <w:sz w:val="20"/>
                <w:szCs w:val="20"/>
                <w:lang w:val="en-US"/>
              </w:rPr>
              <w:t xml:space="preserve">IFC will </w:t>
            </w:r>
            <w:r w:rsidRPr="00DA48AF">
              <w:rPr>
                <w:rFonts w:eastAsiaTheme="minorHAnsi" w:cs="Arial"/>
                <w:i/>
                <w:iCs/>
                <w:color w:val="000000"/>
                <w:sz w:val="20"/>
                <w:szCs w:val="20"/>
                <w:lang w:val="en-US"/>
              </w:rPr>
              <w:t xml:space="preserve">continue related knowledge dissemination efforts, both through MAGC Component 4 and through the work of local EDGE teams. The studies will produce robust evidence on the actual energy and water savings of EDGE certified buildings. </w:t>
            </w:r>
            <w:r>
              <w:rPr>
                <w:rFonts w:eastAsiaTheme="minorHAnsi" w:cs="Arial"/>
                <w:i/>
                <w:iCs/>
                <w:color w:val="000000"/>
                <w:sz w:val="20"/>
                <w:szCs w:val="20"/>
                <w:lang w:val="en-US"/>
              </w:rPr>
              <w:t>IFC</w:t>
            </w:r>
            <w:r w:rsidRPr="00DA48AF">
              <w:rPr>
                <w:rFonts w:eastAsiaTheme="minorHAnsi" w:cs="Arial"/>
                <w:i/>
                <w:iCs/>
                <w:color w:val="000000"/>
                <w:sz w:val="20"/>
                <w:szCs w:val="20"/>
                <w:lang w:val="en-US"/>
              </w:rPr>
              <w:t xml:space="preserve"> will also continue to explore with DESNZ options to increase the number of respondents to post-event surveys</w:t>
            </w:r>
            <w:r>
              <w:rPr>
                <w:rFonts w:eastAsiaTheme="minorHAnsi" w:cs="Arial"/>
                <w:i/>
                <w:iCs/>
                <w:color w:val="000000"/>
                <w:sz w:val="20"/>
                <w:szCs w:val="20"/>
                <w:lang w:val="en-US"/>
              </w:rPr>
              <w:t xml:space="preserve">. </w:t>
            </w:r>
          </w:p>
          <w:p w14:paraId="015F09CA" w14:textId="38E59DC1" w:rsidR="00B16A4A" w:rsidRDefault="00B16A4A" w:rsidP="00657117">
            <w:pPr>
              <w:spacing w:after="240"/>
              <w:textAlignment w:val="baseline"/>
              <w:rPr>
                <w:rFonts w:eastAsiaTheme="minorHAnsi" w:cs="Arial"/>
                <w:color w:val="000000"/>
                <w:sz w:val="20"/>
                <w:szCs w:val="20"/>
                <w:lang w:val="en-US"/>
              </w:rPr>
            </w:pPr>
            <w:r>
              <w:rPr>
                <w:rFonts w:eastAsiaTheme="minorHAnsi" w:cs="Arial"/>
                <w:b/>
                <w:bCs/>
                <w:color w:val="000000"/>
                <w:sz w:val="20"/>
                <w:szCs w:val="20"/>
                <w:lang w:val="en-US"/>
              </w:rPr>
              <w:t xml:space="preserve">Smart Metering Study. </w:t>
            </w:r>
            <w:r w:rsidRPr="00E87456">
              <w:rPr>
                <w:rFonts w:eastAsiaTheme="minorHAnsi" w:cs="Arial"/>
                <w:color w:val="000000"/>
                <w:sz w:val="20"/>
                <w:szCs w:val="20"/>
                <w:lang w:val="en-US"/>
              </w:rPr>
              <w:t xml:space="preserve">The smart metering study involves surveys and granular energy consumption data collection using additional monitoring equipment. The surveys require permission from </w:t>
            </w:r>
            <w:r w:rsidR="001F0A64" w:rsidRPr="00E87456">
              <w:rPr>
                <w:rFonts w:eastAsiaTheme="minorHAnsi" w:cs="Arial"/>
                <w:color w:val="000000"/>
                <w:sz w:val="20"/>
                <w:szCs w:val="20"/>
                <w:lang w:val="en-US"/>
              </w:rPr>
              <w:t>the Ethics</w:t>
            </w:r>
            <w:r w:rsidRPr="00E87456">
              <w:rPr>
                <w:rFonts w:eastAsiaTheme="minorHAnsi" w:cs="Arial"/>
                <w:color w:val="000000"/>
                <w:sz w:val="20"/>
                <w:szCs w:val="20"/>
                <w:lang w:val="en-US"/>
              </w:rPr>
              <w:t xml:space="preserve"> Review Boards (IERB) to proceed </w:t>
            </w:r>
            <w:r w:rsidR="001F0A64" w:rsidRPr="00E87456">
              <w:rPr>
                <w:rFonts w:eastAsiaTheme="minorHAnsi" w:cs="Arial"/>
                <w:color w:val="000000"/>
                <w:sz w:val="20"/>
                <w:szCs w:val="20"/>
                <w:lang w:val="en-US"/>
              </w:rPr>
              <w:t>with</w:t>
            </w:r>
            <w:r w:rsidRPr="00E87456">
              <w:rPr>
                <w:rFonts w:eastAsiaTheme="minorHAnsi" w:cs="Arial"/>
                <w:color w:val="000000"/>
                <w:sz w:val="20"/>
                <w:szCs w:val="20"/>
                <w:lang w:val="en-US"/>
              </w:rPr>
              <w:t xml:space="preserve"> data collection, which has taken longer than anticipated. Procurement of monitoring equipment for the main phase in South Africa has been significantly delayed due to vendor registration issues and procurement clearance. The other in-country teams may also experience similar delays. Moreover, implementation of monitoring equipment is almost always complex/difficult in residential buildings so it is likely significant issues</w:t>
            </w:r>
            <w:r>
              <w:t xml:space="preserve"> </w:t>
            </w:r>
            <w:r w:rsidRPr="00BE1B41">
              <w:rPr>
                <w:rFonts w:eastAsiaTheme="minorHAnsi" w:cs="Arial"/>
                <w:color w:val="000000"/>
                <w:sz w:val="20"/>
                <w:szCs w:val="20"/>
                <w:lang w:val="en-US"/>
              </w:rPr>
              <w:t>will be encountered.</w:t>
            </w:r>
          </w:p>
          <w:p w14:paraId="36074E6B" w14:textId="77777777" w:rsidR="00B16A4A" w:rsidRPr="00E87456" w:rsidRDefault="00B16A4A" w:rsidP="00657117">
            <w:pPr>
              <w:spacing w:after="240"/>
              <w:textAlignment w:val="baseline"/>
              <w:rPr>
                <w:rFonts w:eastAsiaTheme="minorHAnsi" w:cs="Arial"/>
                <w:i/>
                <w:iCs/>
                <w:color w:val="000000"/>
                <w:sz w:val="20"/>
                <w:szCs w:val="20"/>
                <w:lang w:val="en-US"/>
              </w:rPr>
            </w:pPr>
            <w:r w:rsidRPr="00C32E26">
              <w:rPr>
                <w:rFonts w:eastAsiaTheme="minorHAnsi" w:cs="Arial"/>
                <w:i/>
                <w:iCs/>
                <w:color w:val="000000"/>
                <w:sz w:val="20"/>
                <w:szCs w:val="20"/>
                <w:lang w:val="en-US"/>
              </w:rPr>
              <w:t xml:space="preserve">To save time, the </w:t>
            </w:r>
            <w:r>
              <w:rPr>
                <w:rFonts w:eastAsiaTheme="minorHAnsi" w:cs="Arial"/>
                <w:i/>
                <w:iCs/>
                <w:color w:val="000000"/>
                <w:sz w:val="20"/>
                <w:szCs w:val="20"/>
                <w:lang w:val="en-US"/>
              </w:rPr>
              <w:t xml:space="preserve">DESNZ </w:t>
            </w:r>
            <w:r w:rsidRPr="00C32E26">
              <w:rPr>
                <w:rFonts w:eastAsiaTheme="minorHAnsi" w:cs="Arial"/>
                <w:i/>
                <w:iCs/>
                <w:color w:val="000000"/>
                <w:sz w:val="20"/>
                <w:szCs w:val="20"/>
                <w:lang w:val="en-US"/>
              </w:rPr>
              <w:t>research team is advancing tasks that do not require IRB approval, allowing pilot and main phase preparations to proceed in parallel. Following consultations with the procurement specialist, delays for other countries are not expected for the processing of the award or the commencement of work. The planned pilots are expected to provide insights into the main issues that may arise during the testing and implementation of the additional monitoring equipment and speed up its implementation.</w:t>
            </w:r>
          </w:p>
          <w:p w14:paraId="1335C155" w14:textId="77777777" w:rsidR="00B16A4A" w:rsidRDefault="00B16A4A" w:rsidP="00657117">
            <w:pPr>
              <w:spacing w:after="240"/>
              <w:textAlignment w:val="baseline"/>
              <w:rPr>
                <w:rFonts w:cs="Arial"/>
                <w:b/>
                <w:bCs/>
                <w:sz w:val="20"/>
              </w:rPr>
            </w:pPr>
          </w:p>
        </w:tc>
        <w:tc>
          <w:tcPr>
            <w:tcW w:w="1418" w:type="dxa"/>
            <w:tcBorders>
              <w:top w:val="single" w:sz="4" w:space="0" w:color="auto"/>
              <w:left w:val="nil"/>
              <w:bottom w:val="single" w:sz="6" w:space="0" w:color="auto"/>
              <w:right w:val="single" w:sz="6" w:space="0" w:color="auto"/>
            </w:tcBorders>
            <w:shd w:val="clear" w:color="auto" w:fill="FFEF8D"/>
          </w:tcPr>
          <w:p w14:paraId="104691DB" w14:textId="51583603" w:rsidR="00B16A4A" w:rsidDel="000C1E8C" w:rsidRDefault="00B16A4A" w:rsidP="00657117">
            <w:pPr>
              <w:spacing w:after="240"/>
              <w:textAlignment w:val="baseline"/>
              <w:rPr>
                <w:rFonts w:cs="Arial"/>
                <w:color w:val="000000"/>
                <w:sz w:val="20"/>
                <w:szCs w:val="20"/>
                <w:lang w:eastAsia="en-GB"/>
              </w:rPr>
            </w:pPr>
            <w:r w:rsidRPr="0040656D">
              <w:rPr>
                <w:rFonts w:cs="Arial"/>
                <w:color w:val="000000"/>
                <w:sz w:val="20"/>
                <w:szCs w:val="20"/>
                <w:lang w:eastAsia="en-GB"/>
              </w:rPr>
              <w:t>Moderate</w:t>
            </w:r>
          </w:p>
        </w:tc>
      </w:tr>
    </w:tbl>
    <w:p w14:paraId="634AA8B5" w14:textId="2586CDBA" w:rsidR="00A8586D" w:rsidRDefault="00A8586D" w:rsidP="00657117">
      <w:pPr>
        <w:spacing w:after="240"/>
        <w:jc w:val="both"/>
        <w:textAlignment w:val="baseline"/>
        <w:rPr>
          <w:rFonts w:cs="Arial"/>
          <w:sz w:val="16"/>
          <w:szCs w:val="16"/>
          <w:lang w:eastAsia="en-GB"/>
        </w:rPr>
      </w:pPr>
    </w:p>
    <w:p w14:paraId="500D33BE" w14:textId="76BBBD9C" w:rsidR="006A123D" w:rsidRPr="0040656D" w:rsidRDefault="00A8586D" w:rsidP="00A8586D">
      <w:pPr>
        <w:spacing w:after="160" w:line="259" w:lineRule="auto"/>
        <w:rPr>
          <w:rFonts w:cs="Arial"/>
          <w:sz w:val="16"/>
          <w:szCs w:val="16"/>
          <w:lang w:eastAsia="en-GB"/>
        </w:rPr>
      </w:pPr>
      <w:r>
        <w:rPr>
          <w:rFonts w:cs="Arial"/>
          <w:sz w:val="16"/>
          <w:szCs w:val="16"/>
          <w:lang w:eastAsia="en-GB"/>
        </w:rPr>
        <w:br w:type="page"/>
      </w:r>
    </w:p>
    <w:tbl>
      <w:tblPr>
        <w:tblW w:w="15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3"/>
        <w:gridCol w:w="7084"/>
        <w:gridCol w:w="1418"/>
      </w:tblGrid>
      <w:tr w:rsidR="000D5B3A" w:rsidRPr="0040656D" w14:paraId="3EB772C7" w14:textId="77777777" w:rsidTr="000517AD">
        <w:trPr>
          <w:trHeight w:val="419"/>
        </w:trPr>
        <w:tc>
          <w:tcPr>
            <w:tcW w:w="7083"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2370677" w14:textId="77777777" w:rsidR="000D5B3A" w:rsidRPr="000E009F" w:rsidRDefault="000D5B3A" w:rsidP="00657117">
            <w:pPr>
              <w:spacing w:after="240"/>
              <w:textAlignment w:val="baseline"/>
              <w:rPr>
                <w:rFonts w:cs="Arial"/>
                <w:sz w:val="20"/>
                <w:szCs w:val="20"/>
                <w:lang w:eastAsia="en-GB"/>
              </w:rPr>
            </w:pPr>
            <w:r w:rsidRPr="000E009F">
              <w:rPr>
                <w:rFonts w:cs="Arial"/>
                <w:b/>
                <w:bCs/>
                <w:sz w:val="20"/>
                <w:szCs w:val="20"/>
                <w:lang w:eastAsia="en-GB"/>
              </w:rPr>
              <w:lastRenderedPageBreak/>
              <w:t>Risk description </w:t>
            </w:r>
            <w:r w:rsidRPr="000E009F">
              <w:rPr>
                <w:rFonts w:cs="Arial"/>
                <w:sz w:val="20"/>
                <w:szCs w:val="20"/>
                <w:lang w:eastAsia="en-GB"/>
              </w:rPr>
              <w:t> </w:t>
            </w:r>
          </w:p>
        </w:tc>
        <w:tc>
          <w:tcPr>
            <w:tcW w:w="7084" w:type="dxa"/>
            <w:tcBorders>
              <w:top w:val="single" w:sz="6" w:space="0" w:color="auto"/>
              <w:left w:val="single" w:sz="4" w:space="0" w:color="auto"/>
              <w:bottom w:val="single" w:sz="6" w:space="0" w:color="auto"/>
              <w:right w:val="single" w:sz="6" w:space="0" w:color="auto"/>
            </w:tcBorders>
            <w:shd w:val="clear" w:color="auto" w:fill="A5C9EB" w:themeFill="text2" w:themeFillTint="40"/>
            <w:hideMark/>
          </w:tcPr>
          <w:p w14:paraId="177AE81D" w14:textId="77777777" w:rsidR="000D5B3A" w:rsidRPr="000E009F" w:rsidRDefault="000D5B3A" w:rsidP="00657117">
            <w:pPr>
              <w:spacing w:after="240"/>
              <w:textAlignment w:val="baseline"/>
              <w:rPr>
                <w:rFonts w:cs="Arial"/>
                <w:sz w:val="20"/>
                <w:szCs w:val="20"/>
                <w:lang w:eastAsia="en-GB"/>
              </w:rPr>
            </w:pPr>
            <w:r w:rsidRPr="000E009F">
              <w:rPr>
                <w:rFonts w:cs="Arial"/>
                <w:b/>
                <w:bCs/>
                <w:sz w:val="20"/>
                <w:szCs w:val="20"/>
                <w:lang w:eastAsia="en-GB"/>
              </w:rPr>
              <w:t>Risk response </w:t>
            </w:r>
            <w:r w:rsidRPr="000E009F">
              <w:rPr>
                <w:rFonts w:cs="Arial"/>
                <w:sz w:val="20"/>
                <w:szCs w:val="20"/>
                <w:lang w:eastAsia="en-GB"/>
              </w:rPr>
              <w:t> </w:t>
            </w:r>
          </w:p>
        </w:tc>
        <w:tc>
          <w:tcPr>
            <w:tcW w:w="1418" w:type="dxa"/>
            <w:tcBorders>
              <w:top w:val="single" w:sz="6" w:space="0" w:color="auto"/>
              <w:left w:val="nil"/>
              <w:bottom w:val="single" w:sz="6" w:space="0" w:color="auto"/>
              <w:right w:val="single" w:sz="6" w:space="0" w:color="auto"/>
            </w:tcBorders>
            <w:shd w:val="clear" w:color="auto" w:fill="A5C9EB" w:themeFill="text2" w:themeFillTint="40"/>
            <w:hideMark/>
          </w:tcPr>
          <w:p w14:paraId="612760BF" w14:textId="77777777" w:rsidR="000D5B3A" w:rsidRPr="000E009F" w:rsidRDefault="000D5B3A" w:rsidP="00657117">
            <w:pPr>
              <w:spacing w:after="240"/>
              <w:textAlignment w:val="baseline"/>
              <w:rPr>
                <w:rFonts w:cs="Arial"/>
                <w:sz w:val="20"/>
                <w:szCs w:val="20"/>
                <w:lang w:eastAsia="en-GB"/>
              </w:rPr>
            </w:pPr>
            <w:r w:rsidRPr="000E009F">
              <w:rPr>
                <w:rFonts w:cs="Arial"/>
                <w:b/>
                <w:bCs/>
                <w:sz w:val="20"/>
                <w:szCs w:val="20"/>
                <w:lang w:eastAsia="en-GB"/>
              </w:rPr>
              <w:t>Residual Risk rating</w:t>
            </w:r>
            <w:r w:rsidRPr="000E009F">
              <w:rPr>
                <w:rFonts w:cs="Arial"/>
                <w:sz w:val="20"/>
                <w:szCs w:val="20"/>
                <w:lang w:eastAsia="en-GB"/>
              </w:rPr>
              <w:t> </w:t>
            </w:r>
          </w:p>
        </w:tc>
      </w:tr>
      <w:tr w:rsidR="000D5B3A" w:rsidRPr="0040656D" w14:paraId="2F92F67E" w14:textId="77777777" w:rsidTr="000517AD">
        <w:tc>
          <w:tcPr>
            <w:tcW w:w="7083" w:type="dxa"/>
            <w:tcBorders>
              <w:top w:val="nil"/>
              <w:left w:val="single" w:sz="6" w:space="0" w:color="auto"/>
              <w:bottom w:val="single" w:sz="6" w:space="0" w:color="auto"/>
              <w:right w:val="single" w:sz="6" w:space="0" w:color="auto"/>
            </w:tcBorders>
          </w:tcPr>
          <w:p w14:paraId="2EEE78BD" w14:textId="386698B0" w:rsidR="000D5B3A" w:rsidRPr="00505D32" w:rsidRDefault="000D5B3A" w:rsidP="00657117">
            <w:pPr>
              <w:spacing w:after="240"/>
              <w:textAlignment w:val="baseline"/>
              <w:rPr>
                <w:rFonts w:cs="Arial"/>
                <w:color w:val="000000"/>
                <w:sz w:val="20"/>
                <w:szCs w:val="20"/>
                <w:lang w:eastAsia="en-GB"/>
              </w:rPr>
            </w:pPr>
            <w:r>
              <w:rPr>
                <w:rFonts w:cs="Arial"/>
                <w:b/>
                <w:bCs/>
                <w:color w:val="000000"/>
                <w:sz w:val="20"/>
                <w:szCs w:val="20"/>
                <w:lang w:eastAsia="en-GB"/>
              </w:rPr>
              <w:t>Transformational.</w:t>
            </w:r>
            <w:r>
              <w:rPr>
                <w:rFonts w:cs="Arial"/>
                <w:color w:val="000000"/>
                <w:sz w:val="20"/>
                <w:szCs w:val="20"/>
                <w:lang w:eastAsia="en-GB"/>
              </w:rPr>
              <w:t xml:space="preserve"> </w:t>
            </w:r>
            <w:r w:rsidRPr="00553413">
              <w:rPr>
                <w:rFonts w:cs="Arial"/>
                <w:color w:val="000000"/>
                <w:sz w:val="20"/>
                <w:szCs w:val="20"/>
                <w:lang w:eastAsia="en-GB"/>
              </w:rPr>
              <w:t>The construction sector and associated finance market are complex and fragmented, raising the risk that transformation will not be achieved due to the complexities and externalities beyond the direct control of the programme.</w:t>
            </w:r>
            <w:r w:rsidR="00BE3D7B" w:rsidRPr="0040656D">
              <w:rPr>
                <w:rFonts w:cs="Arial"/>
                <w:color w:val="000000"/>
                <w:sz w:val="20"/>
                <w:szCs w:val="20"/>
                <w:lang w:eastAsia="en-GB"/>
              </w:rPr>
              <w:t xml:space="preserve"> Financial intermediaries cease to offer construction finance for green buildings after support ends.</w:t>
            </w:r>
            <w:r w:rsidR="00664BA1">
              <w:rPr>
                <w:rFonts w:cs="Arial"/>
                <w:color w:val="000000"/>
                <w:sz w:val="20"/>
                <w:szCs w:val="20"/>
                <w:lang w:eastAsia="en-GB"/>
              </w:rPr>
              <w:t xml:space="preserve"> Communication of evidence fails to drive behaviour changes in the key stakeholders. </w:t>
            </w:r>
          </w:p>
        </w:tc>
        <w:tc>
          <w:tcPr>
            <w:tcW w:w="7084" w:type="dxa"/>
            <w:tcBorders>
              <w:top w:val="nil"/>
              <w:left w:val="single" w:sz="4" w:space="0" w:color="auto"/>
              <w:bottom w:val="single" w:sz="6" w:space="0" w:color="auto"/>
              <w:right w:val="single" w:sz="6" w:space="0" w:color="auto"/>
            </w:tcBorders>
          </w:tcPr>
          <w:p w14:paraId="55AE6A5F" w14:textId="77777777" w:rsidR="000D5B3A" w:rsidRDefault="000D5B3A" w:rsidP="00657117">
            <w:pPr>
              <w:spacing w:after="240"/>
              <w:textAlignment w:val="baseline"/>
              <w:rPr>
                <w:rFonts w:cs="Arial"/>
                <w:i/>
                <w:iCs/>
                <w:sz w:val="20"/>
                <w:szCs w:val="20"/>
              </w:rPr>
            </w:pPr>
            <w:r>
              <w:rPr>
                <w:rFonts w:cs="Arial"/>
                <w:i/>
                <w:iCs/>
                <w:sz w:val="20"/>
                <w:szCs w:val="20"/>
              </w:rPr>
              <w:t xml:space="preserve">Accept. </w:t>
            </w:r>
          </w:p>
          <w:p w14:paraId="01A8ACFA" w14:textId="0D5309C0" w:rsidR="000D5B3A" w:rsidRDefault="000D5B3A" w:rsidP="00657117">
            <w:pPr>
              <w:spacing w:after="240"/>
              <w:textAlignment w:val="baseline"/>
              <w:rPr>
                <w:rFonts w:cs="Arial"/>
                <w:sz w:val="20"/>
                <w:szCs w:val="20"/>
              </w:rPr>
            </w:pPr>
            <w:r w:rsidRPr="003C30D6">
              <w:rPr>
                <w:rFonts w:cs="Arial"/>
                <w:sz w:val="20"/>
                <w:szCs w:val="20"/>
              </w:rPr>
              <w:t xml:space="preserve">Whilst the programme is designed to achieve transformation, whether transformation </w:t>
            </w:r>
            <w:proofErr w:type="gramStart"/>
            <w:r w:rsidRPr="003C30D6">
              <w:rPr>
                <w:rFonts w:cs="Arial"/>
                <w:sz w:val="20"/>
                <w:szCs w:val="20"/>
              </w:rPr>
              <w:t>actually happens</w:t>
            </w:r>
            <w:proofErr w:type="gramEnd"/>
            <w:r w:rsidRPr="003C30D6">
              <w:rPr>
                <w:rFonts w:cs="Arial"/>
                <w:sz w:val="20"/>
                <w:szCs w:val="20"/>
              </w:rPr>
              <w:t xml:space="preserve"> within the lifespan of the programme is unlikely and is dependent upon a range of factors beyond the control or influence of the programme.</w:t>
            </w:r>
          </w:p>
          <w:p w14:paraId="02241A33" w14:textId="5C815895" w:rsidR="00BE3D7B" w:rsidRPr="00505D32" w:rsidRDefault="00BE3D7B" w:rsidP="00657117">
            <w:pPr>
              <w:spacing w:after="240"/>
              <w:textAlignment w:val="baseline"/>
              <w:rPr>
                <w:rFonts w:cs="Arial"/>
                <w:sz w:val="20"/>
                <w:szCs w:val="20"/>
              </w:rPr>
            </w:pPr>
            <w:r w:rsidRPr="0040656D">
              <w:rPr>
                <w:rFonts w:cs="Arial"/>
                <w:sz w:val="20"/>
                <w:szCs w:val="20"/>
              </w:rPr>
              <w:t xml:space="preserve">MAGC sees renewed demand for housing, hospitals, and warehouses in MAGC countries. IFC is continuing to develop green building financing pipelines and portfolios through our nine engagements with local FIs. In addition, MAGC is engaged in </w:t>
            </w:r>
            <w:r w:rsidR="00D85A36" w:rsidRPr="00BA1DAE">
              <w:rPr>
                <w:rFonts w:cs="Arial"/>
                <w:sz w:val="20"/>
                <w:szCs w:val="20"/>
              </w:rPr>
              <w:t>fourteen</w:t>
            </w:r>
            <w:r w:rsidR="00D85A36" w:rsidRPr="00657117">
              <w:rPr>
                <w:rFonts w:cs="Arial"/>
                <w:sz w:val="20"/>
                <w:szCs w:val="20"/>
              </w:rPr>
              <w:t xml:space="preserve"> </w:t>
            </w:r>
            <w:r w:rsidRPr="00657117">
              <w:rPr>
                <w:rFonts w:cs="Arial"/>
                <w:sz w:val="20"/>
                <w:szCs w:val="20"/>
              </w:rPr>
              <w:t xml:space="preserve">countries </w:t>
            </w:r>
            <w:r w:rsidRPr="0040656D">
              <w:rPr>
                <w:rFonts w:cs="Arial"/>
                <w:sz w:val="20"/>
                <w:szCs w:val="20"/>
              </w:rPr>
              <w:t>to develop green construction pipelines. This includes working with developers, public sector, additional financial institutions, and academia.</w:t>
            </w:r>
          </w:p>
        </w:tc>
        <w:tc>
          <w:tcPr>
            <w:tcW w:w="1418" w:type="dxa"/>
            <w:tcBorders>
              <w:top w:val="nil"/>
              <w:left w:val="nil"/>
              <w:bottom w:val="single" w:sz="6" w:space="0" w:color="auto"/>
              <w:right w:val="single" w:sz="6" w:space="0" w:color="auto"/>
            </w:tcBorders>
            <w:shd w:val="clear" w:color="auto" w:fill="FFABAB"/>
          </w:tcPr>
          <w:p w14:paraId="64B497EF" w14:textId="4AB5D86A" w:rsidR="000D5B3A" w:rsidRDefault="0043487F" w:rsidP="00657117">
            <w:pPr>
              <w:spacing w:after="240"/>
              <w:textAlignment w:val="baseline"/>
              <w:rPr>
                <w:rFonts w:cs="Arial"/>
                <w:color w:val="000000"/>
                <w:sz w:val="20"/>
                <w:szCs w:val="20"/>
                <w:lang w:eastAsia="en-GB"/>
              </w:rPr>
            </w:pPr>
            <w:r>
              <w:rPr>
                <w:rFonts w:cs="Arial"/>
                <w:color w:val="000000"/>
                <w:sz w:val="20"/>
                <w:szCs w:val="20"/>
                <w:lang w:eastAsia="en-GB"/>
              </w:rPr>
              <w:t>Major</w:t>
            </w:r>
          </w:p>
          <w:p w14:paraId="3E0DB985" w14:textId="48AE2802" w:rsidR="000D5B3A" w:rsidRPr="00505D32" w:rsidRDefault="000D5B3A" w:rsidP="00657117">
            <w:pPr>
              <w:spacing w:after="240"/>
              <w:textAlignment w:val="baseline"/>
              <w:rPr>
                <w:rFonts w:cs="Arial"/>
                <w:i/>
                <w:iCs/>
                <w:color w:val="000000"/>
                <w:sz w:val="20"/>
                <w:szCs w:val="20"/>
                <w:lang w:eastAsia="en-GB"/>
              </w:rPr>
            </w:pPr>
            <w:r>
              <w:rPr>
                <w:rFonts w:cs="Arial"/>
                <w:i/>
                <w:iCs/>
                <w:color w:val="000000"/>
                <w:sz w:val="20"/>
                <w:szCs w:val="20"/>
                <w:lang w:eastAsia="en-GB"/>
              </w:rPr>
              <w:t>Prob: Possible.</w:t>
            </w:r>
            <w:r>
              <w:rPr>
                <w:rFonts w:cs="Arial"/>
                <w:i/>
                <w:iCs/>
                <w:color w:val="000000"/>
                <w:sz w:val="20"/>
                <w:szCs w:val="20"/>
                <w:lang w:eastAsia="en-GB"/>
              </w:rPr>
              <w:br/>
              <w:t>Impact: Severe.</w:t>
            </w:r>
          </w:p>
        </w:tc>
      </w:tr>
      <w:tr w:rsidR="000D5B3A" w:rsidRPr="0040656D" w14:paraId="1964B41D" w14:textId="77777777" w:rsidTr="000517AD">
        <w:tc>
          <w:tcPr>
            <w:tcW w:w="7083" w:type="dxa"/>
            <w:tcBorders>
              <w:top w:val="nil"/>
              <w:left w:val="single" w:sz="6" w:space="0" w:color="auto"/>
              <w:bottom w:val="single" w:sz="6" w:space="0" w:color="auto"/>
              <w:right w:val="single" w:sz="6" w:space="0" w:color="auto"/>
            </w:tcBorders>
          </w:tcPr>
          <w:p w14:paraId="1EBB0BA5" w14:textId="4CC212D9" w:rsidR="000D5B3A" w:rsidRPr="0040656D" w:rsidRDefault="000D5B3A" w:rsidP="00657117">
            <w:pPr>
              <w:spacing w:after="240"/>
              <w:textAlignment w:val="baseline"/>
              <w:rPr>
                <w:rFonts w:cs="Arial"/>
                <w:color w:val="000000"/>
                <w:sz w:val="20"/>
                <w:szCs w:val="20"/>
                <w:lang w:eastAsia="en-GB"/>
              </w:rPr>
            </w:pPr>
            <w:r w:rsidRPr="0040656D">
              <w:rPr>
                <w:rFonts w:cs="Arial"/>
                <w:b/>
                <w:bCs/>
                <w:color w:val="000000"/>
                <w:sz w:val="20"/>
                <w:szCs w:val="20"/>
                <w:lang w:eastAsia="en-GB"/>
              </w:rPr>
              <w:t>Governance.</w:t>
            </w:r>
            <w:r>
              <w:rPr>
                <w:rFonts w:cs="Arial"/>
                <w:b/>
                <w:bCs/>
                <w:color w:val="000000"/>
                <w:sz w:val="20"/>
                <w:szCs w:val="20"/>
                <w:lang w:eastAsia="en-GB"/>
              </w:rPr>
              <w:t xml:space="preserve"> </w:t>
            </w:r>
            <w:r w:rsidRPr="00A068BC">
              <w:rPr>
                <w:rFonts w:cs="Arial"/>
                <w:color w:val="000000"/>
                <w:sz w:val="20"/>
                <w:szCs w:val="20"/>
                <w:lang w:eastAsia="en-GB"/>
              </w:rPr>
              <w:t>Insufficient</w:t>
            </w:r>
            <w:r w:rsidRPr="0040656D">
              <w:rPr>
                <w:rFonts w:cs="Arial"/>
                <w:color w:val="000000"/>
                <w:sz w:val="20"/>
                <w:szCs w:val="20"/>
                <w:lang w:eastAsia="en-GB"/>
              </w:rPr>
              <w:t xml:space="preserve"> governance arrangements and outdated Administrative Arrangements cause difficulties with programme delivery and organisation roles. </w:t>
            </w:r>
          </w:p>
          <w:p w14:paraId="08BA7A22" w14:textId="77777777" w:rsidR="000D5B3A" w:rsidRPr="0040656D" w:rsidRDefault="000D5B3A" w:rsidP="00657117">
            <w:pPr>
              <w:spacing w:after="240"/>
              <w:textAlignment w:val="baseline"/>
              <w:rPr>
                <w:rFonts w:cs="Arial"/>
                <w:color w:val="000000"/>
                <w:sz w:val="20"/>
                <w:szCs w:val="20"/>
                <w:lang w:eastAsia="en-GB"/>
              </w:rPr>
            </w:pPr>
          </w:p>
        </w:tc>
        <w:tc>
          <w:tcPr>
            <w:tcW w:w="7084" w:type="dxa"/>
            <w:tcBorders>
              <w:top w:val="nil"/>
              <w:left w:val="single" w:sz="4" w:space="0" w:color="auto"/>
              <w:bottom w:val="single" w:sz="6" w:space="0" w:color="auto"/>
              <w:right w:val="single" w:sz="6" w:space="0" w:color="auto"/>
            </w:tcBorders>
          </w:tcPr>
          <w:p w14:paraId="21695DE1" w14:textId="77777777" w:rsidR="000D5B3A" w:rsidRPr="0040656D" w:rsidRDefault="000D5B3A" w:rsidP="00657117">
            <w:pPr>
              <w:spacing w:after="240"/>
              <w:textAlignment w:val="baseline"/>
              <w:rPr>
                <w:rFonts w:cs="Arial"/>
                <w:i/>
                <w:iCs/>
                <w:sz w:val="20"/>
                <w:szCs w:val="20"/>
              </w:rPr>
            </w:pPr>
            <w:r w:rsidRPr="0040656D">
              <w:rPr>
                <w:rFonts w:cs="Arial"/>
                <w:i/>
                <w:iCs/>
                <w:sz w:val="20"/>
                <w:szCs w:val="20"/>
              </w:rPr>
              <w:t xml:space="preserve">Mitigate </w:t>
            </w:r>
          </w:p>
          <w:p w14:paraId="624346CB" w14:textId="6094C2F2" w:rsidR="000D5B3A" w:rsidRPr="0040656D" w:rsidRDefault="000D5B3A" w:rsidP="00657117">
            <w:pPr>
              <w:spacing w:after="240"/>
              <w:textAlignment w:val="baseline"/>
              <w:rPr>
                <w:rFonts w:cs="Arial"/>
                <w:sz w:val="20"/>
                <w:szCs w:val="20"/>
              </w:rPr>
            </w:pPr>
            <w:r w:rsidRPr="0040656D">
              <w:rPr>
                <w:rFonts w:cs="Arial"/>
                <w:sz w:val="20"/>
                <w:szCs w:val="20"/>
              </w:rPr>
              <w:t xml:space="preserve">DESNZ team to review both the </w:t>
            </w:r>
            <w:r w:rsidR="00D85A36">
              <w:rPr>
                <w:rFonts w:cs="Arial"/>
                <w:sz w:val="20"/>
                <w:szCs w:val="20"/>
              </w:rPr>
              <w:t>Biannual</w:t>
            </w:r>
            <w:r w:rsidRPr="0040656D">
              <w:rPr>
                <w:rFonts w:cs="Arial"/>
                <w:sz w:val="20"/>
                <w:szCs w:val="20"/>
              </w:rPr>
              <w:t xml:space="preserve"> board structures to ensure that governance is sufficiently handled and useful for both parties. </w:t>
            </w:r>
          </w:p>
          <w:p w14:paraId="49FFD394" w14:textId="77777777" w:rsidR="000D5B3A" w:rsidRPr="0040656D" w:rsidRDefault="000D5B3A" w:rsidP="00657117">
            <w:pPr>
              <w:spacing w:after="240"/>
              <w:textAlignment w:val="baseline"/>
              <w:rPr>
                <w:rFonts w:cs="Arial"/>
                <w:sz w:val="20"/>
                <w:szCs w:val="20"/>
              </w:rPr>
            </w:pPr>
            <w:r w:rsidRPr="0040656D">
              <w:rPr>
                <w:rFonts w:cs="Arial"/>
                <w:sz w:val="20"/>
                <w:szCs w:val="20"/>
              </w:rPr>
              <w:t xml:space="preserve">Update Administrative Arrangements, as required, following this exercise. </w:t>
            </w:r>
          </w:p>
        </w:tc>
        <w:tc>
          <w:tcPr>
            <w:tcW w:w="1418" w:type="dxa"/>
            <w:tcBorders>
              <w:top w:val="nil"/>
              <w:left w:val="nil"/>
              <w:bottom w:val="single" w:sz="6" w:space="0" w:color="auto"/>
              <w:right w:val="single" w:sz="6" w:space="0" w:color="auto"/>
            </w:tcBorders>
            <w:shd w:val="clear" w:color="auto" w:fill="FFEF8D"/>
          </w:tcPr>
          <w:p w14:paraId="7664BBF0" w14:textId="77777777" w:rsidR="000D5B3A" w:rsidRDefault="000D5B3A" w:rsidP="00657117">
            <w:pPr>
              <w:spacing w:after="240"/>
              <w:textAlignment w:val="baseline"/>
              <w:rPr>
                <w:rFonts w:cs="Arial"/>
                <w:color w:val="000000"/>
                <w:sz w:val="20"/>
                <w:szCs w:val="20"/>
                <w:lang w:eastAsia="en-GB"/>
              </w:rPr>
            </w:pPr>
            <w:r w:rsidRPr="0040656D">
              <w:rPr>
                <w:rFonts w:cs="Arial"/>
                <w:color w:val="000000"/>
                <w:sz w:val="20"/>
                <w:szCs w:val="20"/>
                <w:lang w:eastAsia="en-GB"/>
              </w:rPr>
              <w:t xml:space="preserve">Moderate </w:t>
            </w:r>
          </w:p>
          <w:p w14:paraId="118AEAF7" w14:textId="77777777" w:rsidR="000D5B3A" w:rsidRPr="0040656D" w:rsidRDefault="000D5B3A" w:rsidP="00657117">
            <w:pPr>
              <w:spacing w:after="240"/>
              <w:textAlignment w:val="baseline"/>
              <w:rPr>
                <w:rFonts w:cs="Arial"/>
                <w:i/>
                <w:iCs/>
                <w:color w:val="000000"/>
                <w:sz w:val="20"/>
                <w:szCs w:val="20"/>
                <w:lang w:eastAsia="en-GB"/>
              </w:rPr>
            </w:pPr>
            <w:r w:rsidRPr="0040656D">
              <w:rPr>
                <w:rFonts w:cs="Arial"/>
                <w:i/>
                <w:iCs/>
                <w:color w:val="000000"/>
                <w:sz w:val="20"/>
                <w:szCs w:val="20"/>
                <w:lang w:eastAsia="en-GB"/>
              </w:rPr>
              <w:t>Prob: Possible.</w:t>
            </w:r>
            <w:r>
              <w:rPr>
                <w:rFonts w:cs="Arial"/>
                <w:i/>
                <w:iCs/>
                <w:color w:val="000000"/>
                <w:sz w:val="20"/>
                <w:szCs w:val="20"/>
                <w:lang w:eastAsia="en-GB"/>
              </w:rPr>
              <w:br/>
            </w:r>
            <w:r w:rsidRPr="0040656D">
              <w:rPr>
                <w:rFonts w:cs="Arial"/>
                <w:i/>
                <w:iCs/>
                <w:color w:val="000000"/>
                <w:sz w:val="20"/>
                <w:szCs w:val="20"/>
                <w:lang w:eastAsia="en-GB"/>
              </w:rPr>
              <w:t xml:space="preserve">Impact: High. </w:t>
            </w:r>
          </w:p>
        </w:tc>
      </w:tr>
      <w:tr w:rsidR="000D5B3A" w:rsidRPr="0040656D" w14:paraId="742F551D" w14:textId="77777777" w:rsidTr="000517AD">
        <w:tc>
          <w:tcPr>
            <w:tcW w:w="7083" w:type="dxa"/>
            <w:tcBorders>
              <w:top w:val="nil"/>
              <w:left w:val="single" w:sz="6" w:space="0" w:color="auto"/>
              <w:bottom w:val="single" w:sz="6" w:space="0" w:color="auto"/>
              <w:right w:val="single" w:sz="6" w:space="0" w:color="auto"/>
            </w:tcBorders>
            <w:hideMark/>
          </w:tcPr>
          <w:p w14:paraId="5B29D527" w14:textId="77777777" w:rsidR="000D5B3A" w:rsidRDefault="000D5B3A" w:rsidP="00657117">
            <w:pPr>
              <w:spacing w:after="240"/>
              <w:textAlignment w:val="baseline"/>
              <w:rPr>
                <w:rFonts w:cs="Arial"/>
                <w:color w:val="000000"/>
                <w:sz w:val="20"/>
                <w:szCs w:val="20"/>
                <w:lang w:eastAsia="en-GB"/>
              </w:rPr>
            </w:pPr>
            <w:r w:rsidRPr="0040656D">
              <w:rPr>
                <w:rFonts w:cs="Arial"/>
                <w:b/>
                <w:bCs/>
                <w:color w:val="000000"/>
                <w:sz w:val="20"/>
                <w:szCs w:val="20"/>
                <w:lang w:eastAsia="en-GB"/>
              </w:rPr>
              <w:t xml:space="preserve">Macroeconomic. </w:t>
            </w:r>
            <w:r w:rsidRPr="0040656D">
              <w:rPr>
                <w:rFonts w:cs="Arial"/>
                <w:color w:val="000000"/>
                <w:sz w:val="20"/>
                <w:szCs w:val="20"/>
                <w:lang w:eastAsia="en-GB"/>
              </w:rPr>
              <w:t>Intervention fails due to insufficient capacity of the FIs, developers and certifiers, or lack of green construction pipeline.</w:t>
            </w:r>
          </w:p>
          <w:p w14:paraId="475E80B8" w14:textId="6480B347" w:rsidR="000D5B3A" w:rsidRPr="0040656D" w:rsidRDefault="000D5B3A" w:rsidP="00657117">
            <w:pPr>
              <w:spacing w:after="240"/>
              <w:textAlignment w:val="baseline"/>
              <w:rPr>
                <w:rFonts w:cs="Arial"/>
                <w:sz w:val="20"/>
                <w:szCs w:val="20"/>
                <w:lang w:eastAsia="en-GB"/>
              </w:rPr>
            </w:pPr>
            <w:r>
              <w:rPr>
                <w:rFonts w:cs="Arial"/>
                <w:sz w:val="20"/>
                <w:szCs w:val="20"/>
              </w:rPr>
              <w:t>A depressed economy causes building projects to be suspended, cancelled or fail to be commissioned.</w:t>
            </w:r>
          </w:p>
        </w:tc>
        <w:tc>
          <w:tcPr>
            <w:tcW w:w="7084" w:type="dxa"/>
            <w:tcBorders>
              <w:top w:val="nil"/>
              <w:left w:val="single" w:sz="4" w:space="0" w:color="auto"/>
              <w:bottom w:val="single" w:sz="6" w:space="0" w:color="auto"/>
              <w:right w:val="single" w:sz="6" w:space="0" w:color="auto"/>
            </w:tcBorders>
            <w:hideMark/>
          </w:tcPr>
          <w:p w14:paraId="587AA0E0" w14:textId="2DA3E9E3" w:rsidR="000D5B3A" w:rsidRPr="0040656D" w:rsidRDefault="000D5B3A" w:rsidP="00657117">
            <w:pPr>
              <w:spacing w:after="240"/>
              <w:textAlignment w:val="baseline"/>
              <w:rPr>
                <w:rFonts w:cs="Arial"/>
                <w:i/>
                <w:iCs/>
                <w:sz w:val="20"/>
                <w:szCs w:val="20"/>
              </w:rPr>
            </w:pPr>
            <w:r>
              <w:rPr>
                <w:rFonts w:cs="Arial"/>
                <w:i/>
                <w:iCs/>
                <w:sz w:val="20"/>
                <w:szCs w:val="20"/>
              </w:rPr>
              <w:t>Avoid</w:t>
            </w:r>
            <w:r w:rsidRPr="0040656D">
              <w:rPr>
                <w:rFonts w:cs="Arial"/>
                <w:i/>
                <w:iCs/>
                <w:sz w:val="20"/>
                <w:szCs w:val="20"/>
              </w:rPr>
              <w:t xml:space="preserve">. </w:t>
            </w:r>
          </w:p>
          <w:p w14:paraId="402A23EB" w14:textId="6A94F631" w:rsidR="000D5B3A" w:rsidRPr="0040656D" w:rsidRDefault="000D5B3A" w:rsidP="00657117">
            <w:pPr>
              <w:spacing w:after="240"/>
              <w:textAlignment w:val="baseline"/>
              <w:rPr>
                <w:rFonts w:cs="Arial"/>
                <w:sz w:val="20"/>
                <w:szCs w:val="20"/>
              </w:rPr>
            </w:pPr>
            <w:r w:rsidRPr="000D5B3A">
              <w:rPr>
                <w:rFonts w:cs="Arial"/>
                <w:sz w:val="20"/>
                <w:szCs w:val="20"/>
              </w:rPr>
              <w:t xml:space="preserve">The programme will seek to avoid this risk as while it is able to operate in </w:t>
            </w:r>
            <w:r w:rsidR="00D85A36" w:rsidRPr="000D5B3A">
              <w:rPr>
                <w:rFonts w:cs="Arial"/>
                <w:sz w:val="20"/>
                <w:szCs w:val="20"/>
              </w:rPr>
              <w:t>2</w:t>
            </w:r>
            <w:r w:rsidR="00D85A36">
              <w:rPr>
                <w:rFonts w:cs="Arial"/>
                <w:sz w:val="20"/>
                <w:szCs w:val="20"/>
              </w:rPr>
              <w:t>4</w:t>
            </w:r>
            <w:r w:rsidRPr="000D5B3A">
              <w:rPr>
                <w:rFonts w:cs="Arial"/>
                <w:sz w:val="20"/>
                <w:szCs w:val="20"/>
              </w:rPr>
              <w:t>markets, it will only invest in around a third of these, and before investing the due diligence will seek to assess the market outlook to avoid poorly timed investments.</w:t>
            </w:r>
          </w:p>
        </w:tc>
        <w:tc>
          <w:tcPr>
            <w:tcW w:w="1418" w:type="dxa"/>
            <w:tcBorders>
              <w:top w:val="nil"/>
              <w:left w:val="nil"/>
              <w:bottom w:val="single" w:sz="6" w:space="0" w:color="auto"/>
              <w:right w:val="single" w:sz="6" w:space="0" w:color="auto"/>
            </w:tcBorders>
            <w:shd w:val="clear" w:color="auto" w:fill="FFEF8D"/>
            <w:hideMark/>
          </w:tcPr>
          <w:p w14:paraId="2BB0CB0F" w14:textId="77777777" w:rsidR="000D5B3A" w:rsidRPr="0040656D" w:rsidRDefault="000D5B3A" w:rsidP="00657117">
            <w:pPr>
              <w:spacing w:after="240"/>
              <w:textAlignment w:val="baseline"/>
              <w:rPr>
                <w:rFonts w:cs="Arial"/>
                <w:color w:val="000000"/>
                <w:sz w:val="20"/>
                <w:szCs w:val="20"/>
                <w:lang w:eastAsia="en-GB"/>
              </w:rPr>
            </w:pPr>
            <w:r w:rsidRPr="0040656D">
              <w:rPr>
                <w:rFonts w:cs="Arial"/>
                <w:color w:val="000000"/>
                <w:sz w:val="20"/>
                <w:szCs w:val="20"/>
                <w:lang w:eastAsia="en-GB"/>
              </w:rPr>
              <w:t>Moderate </w:t>
            </w:r>
          </w:p>
          <w:p w14:paraId="386ACC60" w14:textId="77777777" w:rsidR="000D5B3A" w:rsidRPr="00A068BC" w:rsidRDefault="000D5B3A" w:rsidP="00657117">
            <w:pPr>
              <w:spacing w:after="240"/>
              <w:textAlignment w:val="baseline"/>
              <w:rPr>
                <w:rFonts w:cs="Arial"/>
                <w:i/>
                <w:iCs/>
                <w:color w:val="000000"/>
                <w:sz w:val="20"/>
                <w:szCs w:val="20"/>
                <w:lang w:eastAsia="en-GB"/>
              </w:rPr>
            </w:pPr>
            <w:r>
              <w:rPr>
                <w:rFonts w:cs="Arial"/>
                <w:i/>
                <w:iCs/>
                <w:color w:val="000000"/>
                <w:sz w:val="20"/>
                <w:szCs w:val="20"/>
                <w:lang w:eastAsia="en-GB"/>
              </w:rPr>
              <w:t>Prob</w:t>
            </w:r>
            <w:r w:rsidRPr="0040656D">
              <w:rPr>
                <w:rFonts w:cs="Arial"/>
                <w:i/>
                <w:iCs/>
                <w:color w:val="000000"/>
                <w:sz w:val="20"/>
                <w:szCs w:val="20"/>
                <w:lang w:eastAsia="en-GB"/>
              </w:rPr>
              <w:t>: Possible.</w:t>
            </w:r>
            <w:r>
              <w:rPr>
                <w:rFonts w:cs="Arial"/>
                <w:i/>
                <w:iCs/>
                <w:color w:val="000000"/>
                <w:sz w:val="20"/>
                <w:szCs w:val="20"/>
                <w:lang w:eastAsia="en-GB"/>
              </w:rPr>
              <w:br/>
            </w:r>
            <w:r w:rsidRPr="0040656D">
              <w:rPr>
                <w:rFonts w:cs="Arial"/>
                <w:i/>
                <w:iCs/>
                <w:sz w:val="20"/>
                <w:szCs w:val="20"/>
                <w:lang w:eastAsia="en-GB"/>
              </w:rPr>
              <w:t>Impact: High.</w:t>
            </w:r>
          </w:p>
        </w:tc>
      </w:tr>
      <w:tr w:rsidR="0057483C" w:rsidRPr="0040656D" w14:paraId="025B7634" w14:textId="77777777" w:rsidTr="000517AD">
        <w:tc>
          <w:tcPr>
            <w:tcW w:w="7083" w:type="dxa"/>
            <w:tcBorders>
              <w:top w:val="nil"/>
              <w:left w:val="single" w:sz="6" w:space="0" w:color="auto"/>
              <w:bottom w:val="single" w:sz="6" w:space="0" w:color="auto"/>
              <w:right w:val="single" w:sz="6" w:space="0" w:color="auto"/>
            </w:tcBorders>
          </w:tcPr>
          <w:p w14:paraId="71622EE9" w14:textId="423CFEDF" w:rsidR="0057483C" w:rsidRPr="00505D32" w:rsidRDefault="0057483C" w:rsidP="00657117">
            <w:pPr>
              <w:spacing w:after="240"/>
              <w:textAlignment w:val="baseline"/>
              <w:rPr>
                <w:rFonts w:cs="Arial"/>
                <w:color w:val="000000"/>
                <w:sz w:val="20"/>
                <w:szCs w:val="20"/>
                <w:lang w:eastAsia="en-GB"/>
              </w:rPr>
            </w:pPr>
            <w:r>
              <w:rPr>
                <w:rFonts w:cs="Arial"/>
                <w:b/>
                <w:bCs/>
                <w:color w:val="000000"/>
                <w:sz w:val="20"/>
                <w:szCs w:val="20"/>
                <w:lang w:eastAsia="en-GB"/>
              </w:rPr>
              <w:t xml:space="preserve">Country eligibility. </w:t>
            </w:r>
            <w:r w:rsidR="004A2F3F" w:rsidRPr="00505D32">
              <w:rPr>
                <w:rFonts w:cs="Arial"/>
                <w:color w:val="000000"/>
                <w:sz w:val="20"/>
                <w:szCs w:val="20"/>
                <w:lang w:eastAsia="en-GB"/>
              </w:rPr>
              <w:t xml:space="preserve">A participating country ceases to be a viable place to operate due to political and/or socioeconomic changes. </w:t>
            </w:r>
            <w:r w:rsidR="004A2F3F" w:rsidRPr="004A2F3F">
              <w:rPr>
                <w:rFonts w:cs="Arial"/>
                <w:color w:val="000000"/>
                <w:sz w:val="20"/>
                <w:szCs w:val="20"/>
                <w:lang w:eastAsia="en-GB"/>
              </w:rPr>
              <w:t>Political</w:t>
            </w:r>
            <w:r w:rsidR="004A2F3F" w:rsidRPr="00505D32">
              <w:rPr>
                <w:rFonts w:cs="Arial"/>
                <w:color w:val="000000"/>
                <w:sz w:val="20"/>
                <w:szCs w:val="20"/>
                <w:lang w:eastAsia="en-GB"/>
              </w:rPr>
              <w:t xml:space="preserve"> cycles can bring in new policies that may significantly reduce the likelihood of achieving transformational change in the sector through the planned intervention.</w:t>
            </w:r>
          </w:p>
        </w:tc>
        <w:tc>
          <w:tcPr>
            <w:tcW w:w="7084" w:type="dxa"/>
            <w:tcBorders>
              <w:top w:val="nil"/>
              <w:left w:val="single" w:sz="4" w:space="0" w:color="auto"/>
              <w:bottom w:val="single" w:sz="6" w:space="0" w:color="auto"/>
              <w:right w:val="single" w:sz="6" w:space="0" w:color="auto"/>
            </w:tcBorders>
          </w:tcPr>
          <w:p w14:paraId="100A12A4" w14:textId="77777777" w:rsidR="0057483C" w:rsidRDefault="004A2F3F" w:rsidP="00657117">
            <w:pPr>
              <w:spacing w:after="240"/>
              <w:textAlignment w:val="baseline"/>
              <w:rPr>
                <w:rFonts w:cs="Arial"/>
                <w:i/>
                <w:iCs/>
                <w:sz w:val="20"/>
                <w:szCs w:val="20"/>
              </w:rPr>
            </w:pPr>
            <w:r>
              <w:rPr>
                <w:rFonts w:cs="Arial"/>
                <w:i/>
                <w:iCs/>
                <w:sz w:val="20"/>
                <w:szCs w:val="20"/>
              </w:rPr>
              <w:t xml:space="preserve">Monitor. </w:t>
            </w:r>
          </w:p>
          <w:p w14:paraId="5EAE9070" w14:textId="281457DA" w:rsidR="004A2F3F" w:rsidRPr="00505D32" w:rsidDel="0054215E" w:rsidRDefault="007B5551" w:rsidP="00657117">
            <w:pPr>
              <w:spacing w:after="240"/>
              <w:textAlignment w:val="baseline"/>
              <w:rPr>
                <w:rFonts w:cs="Arial"/>
                <w:sz w:val="20"/>
                <w:szCs w:val="20"/>
              </w:rPr>
            </w:pPr>
            <w:r w:rsidRPr="007B5551">
              <w:rPr>
                <w:rFonts w:cs="Arial"/>
                <w:sz w:val="20"/>
                <w:szCs w:val="20"/>
              </w:rPr>
              <w:t>The programme has a wide range of potential markets to invest in, and political and/or socioeconomic instability at the time of investment is likely to prevent investment being made.</w:t>
            </w:r>
            <w:r>
              <w:rPr>
                <w:rFonts w:cs="Arial"/>
                <w:sz w:val="20"/>
                <w:szCs w:val="20"/>
              </w:rPr>
              <w:t xml:space="preserve"> If certain countries become unfeasible for intervention, </w:t>
            </w:r>
            <w:r>
              <w:rPr>
                <w:rFonts w:cs="Arial"/>
                <w:sz w:val="20"/>
                <w:szCs w:val="20"/>
              </w:rPr>
              <w:lastRenderedPageBreak/>
              <w:t xml:space="preserve">other eligible countries will be prioritised, so programme results should still be achieved overall. </w:t>
            </w:r>
          </w:p>
        </w:tc>
        <w:tc>
          <w:tcPr>
            <w:tcW w:w="1418" w:type="dxa"/>
            <w:tcBorders>
              <w:top w:val="nil"/>
              <w:left w:val="nil"/>
              <w:bottom w:val="single" w:sz="6" w:space="0" w:color="auto"/>
              <w:right w:val="single" w:sz="6" w:space="0" w:color="auto"/>
            </w:tcBorders>
            <w:shd w:val="clear" w:color="auto" w:fill="D9F2D0" w:themeFill="accent6" w:themeFillTint="33"/>
          </w:tcPr>
          <w:p w14:paraId="06923D28" w14:textId="77777777" w:rsidR="0057483C" w:rsidRDefault="004A2F3F" w:rsidP="00657117">
            <w:pPr>
              <w:spacing w:after="240"/>
              <w:textAlignment w:val="baseline"/>
              <w:rPr>
                <w:rFonts w:cs="Arial"/>
                <w:color w:val="000000"/>
                <w:sz w:val="20"/>
                <w:szCs w:val="20"/>
                <w:lang w:eastAsia="en-GB"/>
              </w:rPr>
            </w:pPr>
            <w:r>
              <w:rPr>
                <w:rFonts w:cs="Arial"/>
                <w:color w:val="000000"/>
                <w:sz w:val="20"/>
                <w:szCs w:val="20"/>
                <w:lang w:eastAsia="en-GB"/>
              </w:rPr>
              <w:lastRenderedPageBreak/>
              <w:t>Minor</w:t>
            </w:r>
          </w:p>
          <w:p w14:paraId="69E7F2D3" w14:textId="3CAFBEA5" w:rsidR="004A2F3F" w:rsidRPr="00505D32" w:rsidRDefault="004A2F3F" w:rsidP="00657117">
            <w:pPr>
              <w:spacing w:after="240"/>
              <w:textAlignment w:val="baseline"/>
              <w:rPr>
                <w:rFonts w:cs="Arial"/>
                <w:i/>
                <w:iCs/>
                <w:color w:val="000000"/>
                <w:sz w:val="20"/>
                <w:szCs w:val="20"/>
                <w:lang w:eastAsia="en-GB"/>
              </w:rPr>
            </w:pPr>
            <w:r>
              <w:rPr>
                <w:rFonts w:cs="Arial"/>
                <w:i/>
                <w:iCs/>
                <w:color w:val="000000"/>
                <w:sz w:val="20"/>
                <w:szCs w:val="20"/>
                <w:lang w:eastAsia="en-GB"/>
              </w:rPr>
              <w:t>Prob: Possible.</w:t>
            </w:r>
            <w:r>
              <w:rPr>
                <w:rFonts w:cs="Arial"/>
                <w:i/>
                <w:iCs/>
                <w:color w:val="000000"/>
                <w:sz w:val="20"/>
                <w:szCs w:val="20"/>
                <w:lang w:eastAsia="en-GB"/>
              </w:rPr>
              <w:br/>
              <w:t>Impact: Low</w:t>
            </w:r>
          </w:p>
        </w:tc>
      </w:tr>
      <w:tr w:rsidR="007B5551" w:rsidRPr="0040656D" w14:paraId="3F085F3F" w14:textId="77777777" w:rsidTr="000517AD">
        <w:tc>
          <w:tcPr>
            <w:tcW w:w="7083" w:type="dxa"/>
            <w:tcBorders>
              <w:top w:val="nil"/>
              <w:left w:val="single" w:sz="6" w:space="0" w:color="auto"/>
              <w:bottom w:val="single" w:sz="6" w:space="0" w:color="auto"/>
              <w:right w:val="single" w:sz="6" w:space="0" w:color="auto"/>
            </w:tcBorders>
          </w:tcPr>
          <w:p w14:paraId="2CB19F74" w14:textId="49EAE4FF" w:rsidR="007B5551" w:rsidRPr="00505D32" w:rsidRDefault="008312C9" w:rsidP="00657117">
            <w:pPr>
              <w:spacing w:after="240"/>
              <w:textAlignment w:val="baseline"/>
              <w:rPr>
                <w:rFonts w:cs="Arial"/>
                <w:color w:val="000000"/>
                <w:sz w:val="20"/>
                <w:szCs w:val="20"/>
                <w:lang w:eastAsia="en-GB"/>
              </w:rPr>
            </w:pPr>
            <w:r>
              <w:rPr>
                <w:rFonts w:cs="Arial"/>
                <w:b/>
                <w:bCs/>
                <w:color w:val="000000"/>
                <w:sz w:val="20"/>
                <w:szCs w:val="20"/>
                <w:lang w:eastAsia="en-GB"/>
              </w:rPr>
              <w:t>Compliance.</w:t>
            </w:r>
            <w:r>
              <w:rPr>
                <w:rFonts w:cs="Arial"/>
                <w:color w:val="000000"/>
                <w:sz w:val="20"/>
                <w:szCs w:val="20"/>
                <w:lang w:eastAsia="en-GB"/>
              </w:rPr>
              <w:t xml:space="preserve"> Delivery partners fail to comply with ESG, safeguard, ODA and/or accounting rules rising the programme’s impact and causing potential reputational damage.</w:t>
            </w:r>
          </w:p>
        </w:tc>
        <w:tc>
          <w:tcPr>
            <w:tcW w:w="7084" w:type="dxa"/>
            <w:tcBorders>
              <w:top w:val="nil"/>
              <w:left w:val="single" w:sz="4" w:space="0" w:color="auto"/>
              <w:bottom w:val="single" w:sz="6" w:space="0" w:color="auto"/>
              <w:right w:val="single" w:sz="6" w:space="0" w:color="auto"/>
            </w:tcBorders>
          </w:tcPr>
          <w:p w14:paraId="24CAD1DD" w14:textId="77777777" w:rsidR="007B5551" w:rsidRDefault="008312C9" w:rsidP="00657117">
            <w:pPr>
              <w:spacing w:after="240"/>
              <w:textAlignment w:val="baseline"/>
              <w:rPr>
                <w:rFonts w:cs="Arial"/>
                <w:sz w:val="20"/>
                <w:szCs w:val="20"/>
              </w:rPr>
            </w:pPr>
            <w:r>
              <w:rPr>
                <w:rFonts w:cs="Arial"/>
                <w:i/>
                <w:iCs/>
                <w:sz w:val="20"/>
                <w:szCs w:val="20"/>
              </w:rPr>
              <w:t>Transfer.</w:t>
            </w:r>
          </w:p>
          <w:p w14:paraId="353EFD68" w14:textId="118E0095" w:rsidR="008312C9" w:rsidRPr="00505D32" w:rsidRDefault="00712031" w:rsidP="00657117">
            <w:pPr>
              <w:spacing w:after="240"/>
              <w:textAlignment w:val="baseline"/>
              <w:rPr>
                <w:rFonts w:cs="Arial"/>
                <w:sz w:val="20"/>
                <w:szCs w:val="20"/>
              </w:rPr>
            </w:pPr>
            <w:r w:rsidRPr="00712031">
              <w:rPr>
                <w:rFonts w:cs="Arial"/>
                <w:sz w:val="20"/>
                <w:szCs w:val="20"/>
              </w:rPr>
              <w:t>IFC has robust processes in place to govern compliance with ESG, safeguarding, ODA and accounting rules.</w:t>
            </w:r>
            <w:r>
              <w:rPr>
                <w:rFonts w:cs="Arial"/>
                <w:sz w:val="20"/>
                <w:szCs w:val="20"/>
              </w:rPr>
              <w:t xml:space="preserve"> Updates are schedules as part of the programme’s governance cycle.</w:t>
            </w:r>
          </w:p>
        </w:tc>
        <w:tc>
          <w:tcPr>
            <w:tcW w:w="1418" w:type="dxa"/>
            <w:tcBorders>
              <w:top w:val="nil"/>
              <w:left w:val="nil"/>
              <w:bottom w:val="single" w:sz="6" w:space="0" w:color="auto"/>
              <w:right w:val="single" w:sz="6" w:space="0" w:color="auto"/>
            </w:tcBorders>
            <w:shd w:val="clear" w:color="auto" w:fill="D9F2D0" w:themeFill="accent6" w:themeFillTint="33"/>
          </w:tcPr>
          <w:p w14:paraId="7E9E7509" w14:textId="77777777" w:rsidR="007B5551" w:rsidRDefault="00712031" w:rsidP="00657117">
            <w:pPr>
              <w:spacing w:after="240"/>
              <w:textAlignment w:val="baseline"/>
              <w:rPr>
                <w:rFonts w:cs="Arial"/>
                <w:color w:val="000000"/>
                <w:sz w:val="20"/>
                <w:szCs w:val="20"/>
                <w:lang w:eastAsia="en-GB"/>
              </w:rPr>
            </w:pPr>
            <w:r>
              <w:rPr>
                <w:rFonts w:cs="Arial"/>
                <w:color w:val="000000"/>
                <w:sz w:val="20"/>
                <w:szCs w:val="20"/>
                <w:lang w:eastAsia="en-GB"/>
              </w:rPr>
              <w:t>Minor</w:t>
            </w:r>
          </w:p>
          <w:p w14:paraId="4C8C5792" w14:textId="1BE5901F" w:rsidR="00712031" w:rsidRPr="00505D32" w:rsidRDefault="00712031" w:rsidP="00657117">
            <w:pPr>
              <w:spacing w:after="240"/>
              <w:textAlignment w:val="baseline"/>
              <w:rPr>
                <w:rFonts w:cs="Arial"/>
                <w:i/>
                <w:iCs/>
                <w:color w:val="000000"/>
                <w:sz w:val="20"/>
                <w:szCs w:val="20"/>
                <w:lang w:eastAsia="en-GB"/>
              </w:rPr>
            </w:pPr>
            <w:r>
              <w:rPr>
                <w:rFonts w:cs="Arial"/>
                <w:i/>
                <w:iCs/>
                <w:color w:val="000000"/>
                <w:sz w:val="20"/>
                <w:szCs w:val="20"/>
                <w:lang w:eastAsia="en-GB"/>
              </w:rPr>
              <w:t>Prob: Low</w:t>
            </w:r>
            <w:r>
              <w:rPr>
                <w:rFonts w:cs="Arial"/>
                <w:i/>
                <w:iCs/>
                <w:color w:val="000000"/>
                <w:sz w:val="20"/>
                <w:szCs w:val="20"/>
                <w:lang w:eastAsia="en-GB"/>
              </w:rPr>
              <w:br/>
              <w:t xml:space="preserve">Impact: High. </w:t>
            </w:r>
          </w:p>
        </w:tc>
      </w:tr>
      <w:tr w:rsidR="000D5B3A" w:rsidRPr="0040656D" w14:paraId="7EE03CFB" w14:textId="77777777" w:rsidTr="000517AD">
        <w:tc>
          <w:tcPr>
            <w:tcW w:w="7083" w:type="dxa"/>
            <w:tcBorders>
              <w:top w:val="single" w:sz="4" w:space="0" w:color="auto"/>
              <w:left w:val="single" w:sz="6" w:space="0" w:color="auto"/>
              <w:bottom w:val="single" w:sz="4" w:space="0" w:color="auto"/>
              <w:right w:val="single" w:sz="6" w:space="0" w:color="auto"/>
            </w:tcBorders>
          </w:tcPr>
          <w:p w14:paraId="7AEF510E" w14:textId="77777777" w:rsidR="000D5B3A" w:rsidRPr="0040656D" w:rsidRDefault="000D5B3A" w:rsidP="00657117">
            <w:pPr>
              <w:spacing w:after="240"/>
              <w:textAlignment w:val="baseline"/>
              <w:rPr>
                <w:rFonts w:cs="Arial"/>
                <w:b/>
                <w:color w:val="000000"/>
                <w:sz w:val="20"/>
                <w:szCs w:val="20"/>
                <w:lang w:eastAsia="en-GB"/>
              </w:rPr>
            </w:pPr>
            <w:r w:rsidRPr="0040656D">
              <w:rPr>
                <w:rFonts w:cs="Arial"/>
                <w:b/>
                <w:color w:val="000000"/>
                <w:sz w:val="20"/>
                <w:szCs w:val="20"/>
                <w:lang w:eastAsia="en-GB"/>
              </w:rPr>
              <w:t xml:space="preserve">Performance gap. </w:t>
            </w:r>
            <w:r w:rsidRPr="0040656D">
              <w:rPr>
                <w:rFonts w:cs="Arial"/>
                <w:color w:val="000000"/>
                <w:sz w:val="20"/>
                <w:szCs w:val="20"/>
                <w:lang w:eastAsia="en-GB"/>
              </w:rPr>
              <w:t>Energy efficiency savings are not realized due to a performance gap</w:t>
            </w:r>
          </w:p>
        </w:tc>
        <w:tc>
          <w:tcPr>
            <w:tcW w:w="7084" w:type="dxa"/>
            <w:tcBorders>
              <w:top w:val="single" w:sz="4" w:space="0" w:color="auto"/>
              <w:left w:val="single" w:sz="4" w:space="0" w:color="auto"/>
              <w:bottom w:val="single" w:sz="4" w:space="0" w:color="auto"/>
              <w:right w:val="single" w:sz="6" w:space="0" w:color="auto"/>
            </w:tcBorders>
          </w:tcPr>
          <w:p w14:paraId="4FC72499" w14:textId="77777777" w:rsidR="000D5B3A" w:rsidRPr="0040656D" w:rsidRDefault="000D5B3A" w:rsidP="00657117">
            <w:pPr>
              <w:spacing w:after="240"/>
              <w:textAlignment w:val="baseline"/>
              <w:rPr>
                <w:rFonts w:cs="Arial"/>
                <w:i/>
                <w:iCs/>
                <w:color w:val="000000"/>
                <w:sz w:val="20"/>
                <w:szCs w:val="20"/>
                <w:lang w:eastAsia="en-GB"/>
              </w:rPr>
            </w:pPr>
            <w:r w:rsidRPr="0040656D">
              <w:rPr>
                <w:rFonts w:cs="Arial"/>
                <w:i/>
                <w:iCs/>
                <w:color w:val="000000"/>
                <w:sz w:val="20"/>
                <w:szCs w:val="20"/>
                <w:lang w:eastAsia="en-GB"/>
              </w:rPr>
              <w:t xml:space="preserve">Monitor. </w:t>
            </w:r>
          </w:p>
          <w:p w14:paraId="7101B442" w14:textId="77777777" w:rsidR="00F66276" w:rsidRDefault="00F66276" w:rsidP="00657117">
            <w:pPr>
              <w:spacing w:after="240"/>
              <w:textAlignment w:val="baseline"/>
              <w:rPr>
                <w:rFonts w:cs="Arial"/>
                <w:color w:val="000000"/>
                <w:sz w:val="20"/>
                <w:szCs w:val="20"/>
                <w:lang w:eastAsia="en-GB"/>
              </w:rPr>
            </w:pPr>
            <w:r w:rsidRPr="00F66276">
              <w:rPr>
                <w:rFonts w:cs="Arial"/>
                <w:color w:val="000000"/>
                <w:sz w:val="20"/>
                <w:szCs w:val="20"/>
                <w:lang w:eastAsia="en-GB"/>
              </w:rPr>
              <w:t xml:space="preserve">Performance Gap is a known risk and was a factor in the decision to scale-up the research component. Lesson learnt and evidence gathered from the Research and Evidence Programme will be made available as soon as feasible </w:t>
            </w:r>
            <w:proofErr w:type="gramStart"/>
            <w:r w:rsidRPr="00F66276">
              <w:rPr>
                <w:rFonts w:cs="Arial"/>
                <w:color w:val="000000"/>
                <w:sz w:val="20"/>
                <w:szCs w:val="20"/>
                <w:lang w:eastAsia="en-GB"/>
              </w:rPr>
              <w:t>in order to</w:t>
            </w:r>
            <w:proofErr w:type="gramEnd"/>
            <w:r w:rsidRPr="00F66276">
              <w:rPr>
                <w:rFonts w:cs="Arial"/>
                <w:color w:val="000000"/>
                <w:sz w:val="20"/>
                <w:szCs w:val="20"/>
                <w:lang w:eastAsia="en-GB"/>
              </w:rPr>
              <w:t xml:space="preserve"> reduce the Performance Gap through enhancements of the models used to predict energy use. The programme is managing this risk by using the EDGE Platform as:</w:t>
            </w:r>
          </w:p>
          <w:p w14:paraId="711D2719" w14:textId="0006E13D" w:rsidR="00F66276" w:rsidRDefault="00F66276" w:rsidP="00657117">
            <w:pPr>
              <w:pStyle w:val="ListParagraph"/>
              <w:numPr>
                <w:ilvl w:val="0"/>
                <w:numId w:val="60"/>
              </w:numPr>
              <w:spacing w:after="240"/>
              <w:textAlignment w:val="baseline"/>
              <w:rPr>
                <w:rFonts w:cs="Arial"/>
                <w:color w:val="000000"/>
                <w:sz w:val="20"/>
                <w:szCs w:val="20"/>
                <w:lang w:eastAsia="en-GB"/>
              </w:rPr>
            </w:pPr>
            <w:r w:rsidRPr="00F66276">
              <w:rPr>
                <w:rFonts w:cs="Arial"/>
                <w:color w:val="000000"/>
                <w:sz w:val="20"/>
                <w:szCs w:val="20"/>
                <w:lang w:eastAsia="en-GB"/>
              </w:rPr>
              <w:t>U</w:t>
            </w:r>
            <w:r w:rsidRPr="00505D32">
              <w:rPr>
                <w:rFonts w:cs="Arial"/>
                <w:color w:val="000000"/>
                <w:sz w:val="20"/>
                <w:szCs w:val="20"/>
                <w:lang w:eastAsia="en-GB"/>
              </w:rPr>
              <w:t xml:space="preserve">nlike many green building certifications which have often failed to demonstrate significant actual savings, EDGE focuses solely on the quantification of KWh and water </w:t>
            </w:r>
            <w:r w:rsidR="001F0A64" w:rsidRPr="00505D32">
              <w:rPr>
                <w:rFonts w:cs="Arial"/>
                <w:color w:val="000000"/>
                <w:sz w:val="20"/>
                <w:szCs w:val="20"/>
                <w:lang w:eastAsia="en-GB"/>
              </w:rPr>
              <w:t>savings.</w:t>
            </w:r>
          </w:p>
          <w:p w14:paraId="606ABB46" w14:textId="2ACF4861" w:rsidR="00F66276" w:rsidRDefault="00F66276" w:rsidP="00657117">
            <w:pPr>
              <w:pStyle w:val="ListParagraph"/>
              <w:numPr>
                <w:ilvl w:val="0"/>
                <w:numId w:val="60"/>
              </w:numPr>
              <w:spacing w:after="240"/>
              <w:textAlignment w:val="baseline"/>
              <w:rPr>
                <w:rFonts w:cs="Arial"/>
                <w:color w:val="000000"/>
                <w:sz w:val="20"/>
                <w:szCs w:val="20"/>
                <w:lang w:eastAsia="en-GB"/>
              </w:rPr>
            </w:pPr>
            <w:r w:rsidRPr="00F66276">
              <w:rPr>
                <w:rFonts w:cs="Arial"/>
                <w:color w:val="000000"/>
                <w:sz w:val="20"/>
                <w:szCs w:val="20"/>
                <w:lang w:eastAsia="en-GB"/>
              </w:rPr>
              <w:t xml:space="preserve">EDGE incorporates baseline data for each country to ensure that calculations are based on local </w:t>
            </w:r>
            <w:r w:rsidR="001F0A64" w:rsidRPr="00F66276">
              <w:rPr>
                <w:rFonts w:cs="Arial"/>
                <w:color w:val="000000"/>
                <w:sz w:val="20"/>
                <w:szCs w:val="20"/>
                <w:lang w:eastAsia="en-GB"/>
              </w:rPr>
              <w:t>conditions.</w:t>
            </w:r>
          </w:p>
          <w:p w14:paraId="25D3D2A8" w14:textId="367DD7B0" w:rsidR="000D5B3A" w:rsidRPr="0040656D" w:rsidRDefault="00F66276" w:rsidP="00657117">
            <w:pPr>
              <w:pStyle w:val="ListParagraph"/>
              <w:numPr>
                <w:ilvl w:val="0"/>
                <w:numId w:val="60"/>
              </w:numPr>
              <w:spacing w:after="240"/>
              <w:textAlignment w:val="baseline"/>
              <w:rPr>
                <w:rFonts w:cs="Arial"/>
                <w:color w:val="000000"/>
                <w:sz w:val="20"/>
                <w:szCs w:val="20"/>
                <w:lang w:eastAsia="en-GB"/>
              </w:rPr>
            </w:pPr>
            <w:r>
              <w:rPr>
                <w:rFonts w:cs="Arial"/>
                <w:color w:val="000000"/>
                <w:sz w:val="20"/>
                <w:szCs w:val="20"/>
                <w:lang w:eastAsia="en-GB"/>
              </w:rPr>
              <w:t>S</w:t>
            </w:r>
            <w:r w:rsidRPr="00F66276">
              <w:rPr>
                <w:rFonts w:cs="Arial"/>
                <w:color w:val="000000"/>
                <w:sz w:val="20"/>
                <w:szCs w:val="20"/>
                <w:lang w:eastAsia="en-GB"/>
              </w:rPr>
              <w:t>imple / passive design features are prioritized by the EDGE software for energy saving (as they tend to be the cheapest), reducing the likelihood of a performance gap due to poor operational management of a building.</w:t>
            </w:r>
          </w:p>
        </w:tc>
        <w:tc>
          <w:tcPr>
            <w:tcW w:w="1418" w:type="dxa"/>
            <w:tcBorders>
              <w:top w:val="single" w:sz="4" w:space="0" w:color="auto"/>
              <w:left w:val="nil"/>
              <w:bottom w:val="single" w:sz="4" w:space="0" w:color="auto"/>
              <w:right w:val="single" w:sz="6" w:space="0" w:color="auto"/>
            </w:tcBorders>
            <w:shd w:val="clear" w:color="auto" w:fill="D9F2D0" w:themeFill="accent6" w:themeFillTint="33"/>
          </w:tcPr>
          <w:p w14:paraId="4A453F09" w14:textId="77777777" w:rsidR="000D5B3A" w:rsidRPr="0040656D" w:rsidRDefault="000D5B3A" w:rsidP="00657117">
            <w:pPr>
              <w:spacing w:after="240"/>
              <w:textAlignment w:val="baseline"/>
              <w:rPr>
                <w:rFonts w:cs="Arial"/>
                <w:color w:val="000000"/>
                <w:sz w:val="20"/>
                <w:szCs w:val="20"/>
                <w:lang w:eastAsia="en-GB"/>
              </w:rPr>
            </w:pPr>
            <w:r w:rsidRPr="0040656D">
              <w:rPr>
                <w:rFonts w:cs="Arial"/>
                <w:color w:val="000000"/>
                <w:sz w:val="20"/>
                <w:szCs w:val="20"/>
                <w:lang w:eastAsia="en-GB"/>
              </w:rPr>
              <w:t>Minor</w:t>
            </w:r>
          </w:p>
          <w:p w14:paraId="5D902B76" w14:textId="77777777" w:rsidR="000D5B3A" w:rsidRPr="0040656D" w:rsidRDefault="000D5B3A" w:rsidP="00657117">
            <w:pPr>
              <w:spacing w:after="240"/>
              <w:textAlignment w:val="baseline"/>
              <w:rPr>
                <w:rFonts w:cs="Arial"/>
                <w:i/>
                <w:iCs/>
                <w:color w:val="000000"/>
                <w:sz w:val="20"/>
                <w:szCs w:val="20"/>
                <w:lang w:eastAsia="en-GB"/>
              </w:rPr>
            </w:pPr>
            <w:r w:rsidRPr="0040656D">
              <w:rPr>
                <w:rFonts w:cs="Arial"/>
                <w:i/>
                <w:iCs/>
                <w:color w:val="000000"/>
                <w:sz w:val="20"/>
                <w:szCs w:val="20"/>
                <w:lang w:eastAsia="en-GB"/>
              </w:rPr>
              <w:t>P</w:t>
            </w:r>
            <w:r>
              <w:rPr>
                <w:rFonts w:cs="Arial"/>
                <w:i/>
                <w:iCs/>
                <w:color w:val="000000"/>
                <w:sz w:val="20"/>
                <w:szCs w:val="20"/>
                <w:lang w:eastAsia="en-GB"/>
              </w:rPr>
              <w:t>rob</w:t>
            </w:r>
            <w:r w:rsidRPr="0040656D">
              <w:rPr>
                <w:rFonts w:cs="Arial"/>
                <w:i/>
                <w:iCs/>
                <w:color w:val="000000"/>
                <w:sz w:val="20"/>
                <w:szCs w:val="20"/>
                <w:lang w:eastAsia="en-GB"/>
              </w:rPr>
              <w:t>: Low</w:t>
            </w:r>
            <w:r>
              <w:rPr>
                <w:rFonts w:cs="Arial"/>
                <w:i/>
                <w:iCs/>
                <w:color w:val="000000"/>
                <w:sz w:val="20"/>
                <w:szCs w:val="20"/>
                <w:lang w:eastAsia="en-GB"/>
              </w:rPr>
              <w:br/>
            </w:r>
            <w:r w:rsidRPr="0040656D">
              <w:rPr>
                <w:rFonts w:cs="Arial"/>
                <w:i/>
                <w:iCs/>
                <w:color w:val="000000"/>
                <w:sz w:val="20"/>
                <w:szCs w:val="20"/>
                <w:lang w:eastAsia="en-GB"/>
              </w:rPr>
              <w:t>Impact: Medium</w:t>
            </w:r>
          </w:p>
        </w:tc>
      </w:tr>
      <w:tr w:rsidR="000D5B3A" w:rsidRPr="0040656D" w14:paraId="2631CDCD" w14:textId="77777777" w:rsidTr="000517AD">
        <w:tc>
          <w:tcPr>
            <w:tcW w:w="7083" w:type="dxa"/>
            <w:tcBorders>
              <w:top w:val="single" w:sz="4" w:space="0" w:color="auto"/>
              <w:left w:val="single" w:sz="6" w:space="0" w:color="auto"/>
              <w:bottom w:val="single" w:sz="4" w:space="0" w:color="auto"/>
              <w:right w:val="single" w:sz="6" w:space="0" w:color="auto"/>
            </w:tcBorders>
          </w:tcPr>
          <w:p w14:paraId="7B9077B2" w14:textId="3AF790B9" w:rsidR="000D5B3A" w:rsidRPr="0040656D" w:rsidRDefault="000D5B3A" w:rsidP="00657117">
            <w:pPr>
              <w:spacing w:after="240"/>
              <w:textAlignment w:val="baseline"/>
              <w:rPr>
                <w:rFonts w:cs="Arial"/>
                <w:bCs/>
                <w:color w:val="000000"/>
                <w:sz w:val="20"/>
                <w:szCs w:val="20"/>
                <w:lang w:eastAsia="en-GB"/>
              </w:rPr>
            </w:pPr>
            <w:r w:rsidRPr="0040656D">
              <w:rPr>
                <w:rFonts w:cs="Arial"/>
                <w:b/>
                <w:color w:val="000000"/>
                <w:sz w:val="20"/>
                <w:szCs w:val="20"/>
                <w:lang w:eastAsia="en-GB"/>
              </w:rPr>
              <w:t xml:space="preserve">Programme’s catalytic effect. </w:t>
            </w:r>
            <w:r w:rsidRPr="0040656D">
              <w:rPr>
                <w:rFonts w:cs="Arial"/>
                <w:bCs/>
                <w:color w:val="000000"/>
                <w:sz w:val="20"/>
                <w:szCs w:val="20"/>
                <w:lang w:eastAsia="en-GB"/>
              </w:rPr>
              <w:t xml:space="preserve">It is unclear that MAGC’s 4 components interact successfully, leading to catalytic transformation in the market. </w:t>
            </w:r>
          </w:p>
        </w:tc>
        <w:tc>
          <w:tcPr>
            <w:tcW w:w="7084" w:type="dxa"/>
            <w:tcBorders>
              <w:top w:val="single" w:sz="4" w:space="0" w:color="auto"/>
              <w:left w:val="single" w:sz="4" w:space="0" w:color="auto"/>
              <w:bottom w:val="single" w:sz="4" w:space="0" w:color="auto"/>
              <w:right w:val="single" w:sz="6" w:space="0" w:color="auto"/>
            </w:tcBorders>
          </w:tcPr>
          <w:p w14:paraId="4E712389" w14:textId="77777777" w:rsidR="000D5B3A" w:rsidRPr="0040656D" w:rsidRDefault="000D5B3A" w:rsidP="00657117">
            <w:pPr>
              <w:spacing w:after="240"/>
              <w:textAlignment w:val="baseline"/>
              <w:rPr>
                <w:rFonts w:cs="Arial"/>
                <w:i/>
                <w:iCs/>
                <w:color w:val="000000"/>
                <w:sz w:val="20"/>
                <w:szCs w:val="20"/>
                <w:lang w:eastAsia="en-GB"/>
              </w:rPr>
            </w:pPr>
            <w:r w:rsidRPr="0040656D">
              <w:rPr>
                <w:rFonts w:cs="Arial"/>
                <w:i/>
                <w:iCs/>
                <w:color w:val="000000"/>
                <w:sz w:val="20"/>
                <w:szCs w:val="20"/>
                <w:lang w:eastAsia="en-GB"/>
              </w:rPr>
              <w:t xml:space="preserve">Monitor. </w:t>
            </w:r>
          </w:p>
          <w:p w14:paraId="656D2CFD" w14:textId="77777777" w:rsidR="000D5B3A" w:rsidRPr="0040656D" w:rsidRDefault="000D5B3A" w:rsidP="00657117">
            <w:pPr>
              <w:spacing w:after="240"/>
              <w:textAlignment w:val="baseline"/>
              <w:rPr>
                <w:rFonts w:cs="Arial"/>
                <w:color w:val="000000"/>
                <w:sz w:val="20"/>
                <w:szCs w:val="20"/>
                <w:lang w:eastAsia="en-GB"/>
              </w:rPr>
            </w:pPr>
            <w:r w:rsidRPr="0040656D">
              <w:rPr>
                <w:rFonts w:cs="Arial"/>
                <w:color w:val="000000"/>
                <w:sz w:val="20"/>
                <w:szCs w:val="20"/>
                <w:lang w:eastAsia="en-GB"/>
              </w:rPr>
              <w:t xml:space="preserve">MAGC’s early outcome evaluation expected to identify any problems with this aim of the programme and suggest solutions to reduce this. </w:t>
            </w:r>
          </w:p>
        </w:tc>
        <w:tc>
          <w:tcPr>
            <w:tcW w:w="1418" w:type="dxa"/>
            <w:tcBorders>
              <w:top w:val="single" w:sz="4" w:space="0" w:color="auto"/>
              <w:left w:val="nil"/>
              <w:bottom w:val="single" w:sz="4" w:space="0" w:color="auto"/>
              <w:right w:val="single" w:sz="6" w:space="0" w:color="auto"/>
            </w:tcBorders>
            <w:shd w:val="clear" w:color="auto" w:fill="D9F2D0" w:themeFill="accent6" w:themeFillTint="33"/>
          </w:tcPr>
          <w:p w14:paraId="2863C72B" w14:textId="77777777" w:rsidR="000D5B3A" w:rsidRPr="0040656D" w:rsidRDefault="000D5B3A" w:rsidP="00657117">
            <w:pPr>
              <w:spacing w:after="240"/>
              <w:textAlignment w:val="baseline"/>
              <w:rPr>
                <w:rFonts w:cs="Arial"/>
                <w:color w:val="000000"/>
                <w:sz w:val="20"/>
                <w:szCs w:val="20"/>
                <w:lang w:eastAsia="en-GB"/>
              </w:rPr>
            </w:pPr>
            <w:r w:rsidRPr="0040656D">
              <w:rPr>
                <w:rFonts w:cs="Arial"/>
                <w:color w:val="000000"/>
                <w:sz w:val="20"/>
                <w:szCs w:val="20"/>
                <w:lang w:eastAsia="en-GB"/>
              </w:rPr>
              <w:t xml:space="preserve">Minor. </w:t>
            </w:r>
          </w:p>
          <w:p w14:paraId="16DC8D9F" w14:textId="77777777" w:rsidR="000D5B3A" w:rsidRPr="0040656D" w:rsidRDefault="000D5B3A" w:rsidP="00657117">
            <w:pPr>
              <w:spacing w:after="240"/>
              <w:textAlignment w:val="baseline"/>
              <w:rPr>
                <w:rFonts w:cs="Arial"/>
                <w:i/>
                <w:iCs/>
                <w:color w:val="000000"/>
                <w:sz w:val="20"/>
                <w:szCs w:val="20"/>
                <w:lang w:eastAsia="en-GB"/>
              </w:rPr>
            </w:pPr>
            <w:r>
              <w:rPr>
                <w:rFonts w:cs="Arial"/>
                <w:i/>
                <w:iCs/>
                <w:color w:val="000000"/>
                <w:sz w:val="20"/>
                <w:szCs w:val="20"/>
                <w:lang w:eastAsia="en-GB"/>
              </w:rPr>
              <w:t>Prob</w:t>
            </w:r>
            <w:r w:rsidRPr="0040656D">
              <w:rPr>
                <w:rFonts w:cs="Arial"/>
                <w:i/>
                <w:iCs/>
                <w:color w:val="000000"/>
                <w:sz w:val="20"/>
                <w:szCs w:val="20"/>
                <w:lang w:eastAsia="en-GB"/>
              </w:rPr>
              <w:t>: Low</w:t>
            </w:r>
            <w:r>
              <w:rPr>
                <w:rFonts w:cs="Arial"/>
                <w:i/>
                <w:iCs/>
                <w:color w:val="000000"/>
                <w:sz w:val="20"/>
                <w:szCs w:val="20"/>
                <w:lang w:eastAsia="en-GB"/>
              </w:rPr>
              <w:br/>
            </w:r>
            <w:r w:rsidRPr="0040656D">
              <w:rPr>
                <w:rFonts w:cs="Arial"/>
                <w:i/>
                <w:iCs/>
                <w:color w:val="000000"/>
                <w:sz w:val="20"/>
                <w:szCs w:val="20"/>
                <w:lang w:eastAsia="en-GB"/>
              </w:rPr>
              <w:t>Impact: Medium</w:t>
            </w:r>
          </w:p>
        </w:tc>
      </w:tr>
    </w:tbl>
    <w:p w14:paraId="5FB0FE6C" w14:textId="77777777" w:rsidR="006A123D" w:rsidRPr="0040656D" w:rsidRDefault="006A123D" w:rsidP="00657117">
      <w:pPr>
        <w:spacing w:after="240"/>
        <w:jc w:val="both"/>
        <w:textAlignment w:val="baseline"/>
        <w:rPr>
          <w:rFonts w:cs="Arial"/>
          <w:sz w:val="16"/>
          <w:szCs w:val="16"/>
          <w:lang w:eastAsia="en-GB"/>
        </w:rPr>
      </w:pPr>
      <w:r w:rsidRPr="0040656D">
        <w:rPr>
          <w:rFonts w:cs="Arial"/>
          <w:sz w:val="20"/>
          <w:szCs w:val="20"/>
          <w:lang w:eastAsia="en-GB"/>
        </w:rPr>
        <w:t> </w:t>
      </w:r>
    </w:p>
    <w:p w14:paraId="2F86EF02" w14:textId="77777777" w:rsidR="000517AD" w:rsidRDefault="000517AD" w:rsidP="00657117">
      <w:pPr>
        <w:pBdr>
          <w:top w:val="single" w:sz="4" w:space="1" w:color="auto"/>
          <w:left w:val="single" w:sz="4" w:space="4" w:color="auto"/>
          <w:bottom w:val="single" w:sz="4" w:space="1" w:color="auto"/>
          <w:right w:val="single" w:sz="4" w:space="4" w:color="auto"/>
        </w:pBdr>
        <w:shd w:val="clear" w:color="auto" w:fill="C1E4F5" w:themeFill="accent1" w:themeFillTint="33"/>
        <w:spacing w:after="240"/>
        <w:rPr>
          <w:rFonts w:cs="Arial"/>
          <w:b/>
          <w:sz w:val="20"/>
          <w:szCs w:val="20"/>
        </w:rPr>
        <w:sectPr w:rsidR="000517AD" w:rsidSect="000517AD">
          <w:headerReference w:type="default" r:id="rId28"/>
          <w:pgSz w:w="16838" w:h="11906" w:orient="landscape"/>
          <w:pgMar w:top="1440" w:right="709" w:bottom="1440" w:left="709" w:header="708" w:footer="708" w:gutter="0"/>
          <w:cols w:space="708"/>
          <w:docGrid w:linePitch="360"/>
        </w:sectPr>
      </w:pPr>
    </w:p>
    <w:p w14:paraId="1691597F" w14:textId="77777777" w:rsidR="006A123D" w:rsidRPr="0040656D" w:rsidRDefault="006A123D" w:rsidP="00657117">
      <w:pPr>
        <w:pBdr>
          <w:top w:val="single" w:sz="4" w:space="1" w:color="auto"/>
          <w:left w:val="single" w:sz="4" w:space="4" w:color="auto"/>
          <w:bottom w:val="single" w:sz="4" w:space="1" w:color="auto"/>
          <w:right w:val="single" w:sz="4" w:space="4" w:color="auto"/>
        </w:pBdr>
        <w:shd w:val="clear" w:color="auto" w:fill="C1E4F5" w:themeFill="accent1" w:themeFillTint="33"/>
        <w:spacing w:after="240"/>
        <w:rPr>
          <w:rFonts w:cs="Arial"/>
          <w:sz w:val="20"/>
          <w:szCs w:val="20"/>
        </w:rPr>
      </w:pPr>
      <w:r w:rsidRPr="0040656D">
        <w:rPr>
          <w:rFonts w:cs="Arial"/>
          <w:b/>
          <w:sz w:val="20"/>
          <w:szCs w:val="20"/>
        </w:rPr>
        <w:lastRenderedPageBreak/>
        <w:t xml:space="preserve">F: PROGRAMME MANAGEMENT: </w:t>
      </w:r>
      <w:bookmarkStart w:id="3" w:name="_Hlk21353049"/>
      <w:r w:rsidRPr="0040656D">
        <w:rPr>
          <w:rFonts w:cs="Arial"/>
          <w:b/>
          <w:sz w:val="20"/>
          <w:szCs w:val="20"/>
        </w:rPr>
        <w:t xml:space="preserve">DELIVERY, VFM, COMMERCIAL &amp; FINANCIAL PERFORMANCE </w:t>
      </w:r>
      <w:bookmarkEnd w:id="3"/>
    </w:p>
    <w:p w14:paraId="61231149" w14:textId="77777777" w:rsidR="006A123D" w:rsidRPr="0040656D" w:rsidRDefault="006A123D" w:rsidP="00657117">
      <w:pPr>
        <w:spacing w:after="240"/>
        <w:jc w:val="both"/>
        <w:rPr>
          <w:rFonts w:cs="Arial"/>
          <w:b/>
          <w:bCs/>
          <w:sz w:val="20"/>
          <w:szCs w:val="20"/>
        </w:rPr>
      </w:pPr>
      <w:r w:rsidRPr="0040656D">
        <w:rPr>
          <w:rFonts w:cs="Arial"/>
          <w:b/>
          <w:bCs/>
          <w:sz w:val="20"/>
          <w:szCs w:val="20"/>
        </w:rPr>
        <w:t xml:space="preserve">Summarise the performance of partners and DESNZ, notably on commercial and financial issues, and including consideration of value-for-money. </w:t>
      </w:r>
    </w:p>
    <w:p w14:paraId="195B078C" w14:textId="77777777" w:rsidR="006A123D" w:rsidRPr="0040656D" w:rsidRDefault="006A123D" w:rsidP="00657117">
      <w:pPr>
        <w:spacing w:after="240"/>
        <w:jc w:val="both"/>
        <w:rPr>
          <w:rFonts w:cs="Arial"/>
          <w:bCs/>
          <w:sz w:val="20"/>
          <w:szCs w:val="20"/>
          <w:u w:val="single"/>
        </w:rPr>
      </w:pPr>
      <w:r w:rsidRPr="0040656D">
        <w:rPr>
          <w:rFonts w:cs="Arial"/>
          <w:bCs/>
          <w:sz w:val="20"/>
          <w:szCs w:val="20"/>
          <w:u w:val="single"/>
        </w:rPr>
        <w:t xml:space="preserve">Delivery Management </w:t>
      </w:r>
    </w:p>
    <w:p w14:paraId="543D3A29" w14:textId="25D7BD39" w:rsidR="006A123D" w:rsidRPr="0040656D" w:rsidRDefault="006A123D" w:rsidP="00657117">
      <w:pPr>
        <w:spacing w:after="240"/>
        <w:jc w:val="both"/>
        <w:rPr>
          <w:rFonts w:cs="Arial"/>
          <w:bCs/>
          <w:sz w:val="20"/>
          <w:szCs w:val="20"/>
        </w:rPr>
      </w:pPr>
      <w:r w:rsidRPr="0040656D">
        <w:rPr>
          <w:rFonts w:cs="Arial"/>
          <w:bCs/>
          <w:sz w:val="20"/>
          <w:szCs w:val="20"/>
        </w:rPr>
        <w:t xml:space="preserve">The DESNZ and IFC programme teams maintain a good relationship, responding to the needs of the programme within the operational context of each partner. The programme is guided by dual Administration Arrangements between IFC and the UK, providing clarity on the operationalisation of the Partnership. In </w:t>
      </w:r>
      <w:r w:rsidR="008E5FC7" w:rsidRPr="0040656D">
        <w:rPr>
          <w:rFonts w:cs="Arial"/>
          <w:bCs/>
          <w:sz w:val="20"/>
          <w:szCs w:val="20"/>
        </w:rPr>
        <w:t>th</w:t>
      </w:r>
      <w:r w:rsidR="008E5FC7">
        <w:rPr>
          <w:rFonts w:cs="Arial"/>
          <w:bCs/>
          <w:sz w:val="20"/>
          <w:szCs w:val="20"/>
        </w:rPr>
        <w:t>is</w:t>
      </w:r>
      <w:r w:rsidR="008E5FC7" w:rsidRPr="0040656D">
        <w:rPr>
          <w:rFonts w:cs="Arial"/>
          <w:bCs/>
          <w:sz w:val="20"/>
          <w:szCs w:val="20"/>
        </w:rPr>
        <w:t xml:space="preserve"> reporting</w:t>
      </w:r>
      <w:r w:rsidRPr="0040656D">
        <w:rPr>
          <w:rFonts w:cs="Arial"/>
          <w:bCs/>
          <w:sz w:val="20"/>
          <w:szCs w:val="20"/>
        </w:rPr>
        <w:t xml:space="preserve"> period, the Administration Arrangements </w:t>
      </w:r>
      <w:r w:rsidR="002E747E">
        <w:rPr>
          <w:rFonts w:cs="Arial"/>
          <w:bCs/>
          <w:sz w:val="20"/>
          <w:szCs w:val="20"/>
        </w:rPr>
        <w:t>were to be</w:t>
      </w:r>
      <w:r w:rsidRPr="0040656D">
        <w:rPr>
          <w:rFonts w:cs="Arial"/>
          <w:bCs/>
          <w:sz w:val="20"/>
          <w:szCs w:val="20"/>
        </w:rPr>
        <w:t xml:space="preserve"> updated to align with current ICF commercial protocol and to capture programmatic decisions agreed since 2018</w:t>
      </w:r>
      <w:r w:rsidR="002E747E">
        <w:rPr>
          <w:rFonts w:cs="Arial"/>
          <w:bCs/>
          <w:sz w:val="20"/>
          <w:szCs w:val="20"/>
        </w:rPr>
        <w:t>, however due to resourcing capacity in both IFC and DESNZ teams this has been pushed into the next reporting period for completion</w:t>
      </w:r>
      <w:r w:rsidRPr="0040656D">
        <w:rPr>
          <w:rFonts w:cs="Arial"/>
          <w:bCs/>
          <w:sz w:val="20"/>
          <w:szCs w:val="20"/>
        </w:rPr>
        <w:t>.</w:t>
      </w:r>
    </w:p>
    <w:p w14:paraId="4BED087E" w14:textId="2B440746" w:rsidR="006A123D" w:rsidRPr="0040656D" w:rsidRDefault="006A123D" w:rsidP="00657117">
      <w:pPr>
        <w:spacing w:after="240"/>
        <w:jc w:val="both"/>
        <w:rPr>
          <w:rFonts w:cs="Arial"/>
          <w:bCs/>
          <w:sz w:val="20"/>
          <w:szCs w:val="20"/>
        </w:rPr>
      </w:pPr>
      <w:r w:rsidRPr="0040656D">
        <w:rPr>
          <w:rFonts w:cs="Arial"/>
          <w:bCs/>
          <w:sz w:val="20"/>
          <w:szCs w:val="20"/>
        </w:rPr>
        <w:t xml:space="preserve">The bilateral team </w:t>
      </w:r>
      <w:r w:rsidR="002E747E">
        <w:rPr>
          <w:rFonts w:cs="Arial"/>
          <w:bCs/>
          <w:sz w:val="20"/>
          <w:szCs w:val="20"/>
        </w:rPr>
        <w:t>have a flexible reporting period</w:t>
      </w:r>
      <w:r w:rsidR="003E408E">
        <w:rPr>
          <w:rFonts w:cs="Arial"/>
          <w:bCs/>
          <w:sz w:val="20"/>
          <w:szCs w:val="20"/>
        </w:rPr>
        <w:t xml:space="preserve">, adapting as required. Currently they </w:t>
      </w:r>
      <w:r w:rsidRPr="0040656D">
        <w:rPr>
          <w:rFonts w:cs="Arial"/>
          <w:bCs/>
          <w:sz w:val="20"/>
          <w:szCs w:val="20"/>
        </w:rPr>
        <w:t>work to a reporting process of</w:t>
      </w:r>
      <w:r w:rsidR="003E408E">
        <w:rPr>
          <w:rFonts w:cs="Arial"/>
          <w:bCs/>
          <w:sz w:val="20"/>
          <w:szCs w:val="20"/>
        </w:rPr>
        <w:t xml:space="preserve"> Bi-Annual Boards</w:t>
      </w:r>
      <w:r w:rsidR="00CF642A">
        <w:rPr>
          <w:rFonts w:cs="Arial"/>
          <w:bCs/>
          <w:sz w:val="20"/>
          <w:szCs w:val="20"/>
        </w:rPr>
        <w:t>, with IFC-</w:t>
      </w:r>
      <w:r w:rsidR="00804EDE">
        <w:rPr>
          <w:rFonts w:cs="Arial"/>
          <w:bCs/>
          <w:sz w:val="20"/>
          <w:szCs w:val="20"/>
        </w:rPr>
        <w:t xml:space="preserve">DESNZ </w:t>
      </w:r>
      <w:r w:rsidR="00804EDE" w:rsidRPr="0040656D">
        <w:rPr>
          <w:rFonts w:cs="Arial"/>
          <w:bCs/>
          <w:sz w:val="20"/>
          <w:szCs w:val="20"/>
        </w:rPr>
        <w:t>senior</w:t>
      </w:r>
      <w:r w:rsidRPr="0040656D">
        <w:rPr>
          <w:rFonts w:cs="Arial"/>
          <w:bCs/>
          <w:sz w:val="20"/>
          <w:szCs w:val="20"/>
        </w:rPr>
        <w:t xml:space="preserve"> representation, covering detailed updates on component’s delivery, wider programme delivery (i.e., media and communications updates), discussions on programme policy areas and assessment of delivery risks; 6-monthly Investment Services reports; and an Annual Report in the October of each year. </w:t>
      </w:r>
    </w:p>
    <w:p w14:paraId="5F6B9C31" w14:textId="77777777" w:rsidR="006A123D" w:rsidRPr="0040656D" w:rsidRDefault="006A123D" w:rsidP="00657117">
      <w:pPr>
        <w:spacing w:after="240"/>
        <w:jc w:val="both"/>
        <w:rPr>
          <w:rFonts w:cs="Arial"/>
          <w:bCs/>
          <w:sz w:val="20"/>
          <w:szCs w:val="20"/>
          <w:u w:val="single"/>
        </w:rPr>
      </w:pPr>
      <w:r w:rsidRPr="0040656D">
        <w:rPr>
          <w:rFonts w:cs="Arial"/>
          <w:bCs/>
          <w:sz w:val="20"/>
          <w:szCs w:val="20"/>
          <w:u w:val="single"/>
        </w:rPr>
        <w:t>Commercial Management</w:t>
      </w:r>
    </w:p>
    <w:p w14:paraId="3E53FC83" w14:textId="7E5B3F86" w:rsidR="006A123D" w:rsidRPr="0040656D" w:rsidRDefault="006A123D" w:rsidP="00657117">
      <w:pPr>
        <w:spacing w:after="240"/>
        <w:jc w:val="both"/>
        <w:rPr>
          <w:rFonts w:cs="Arial"/>
          <w:bCs/>
          <w:sz w:val="20"/>
          <w:szCs w:val="20"/>
        </w:rPr>
      </w:pPr>
      <w:r w:rsidRPr="0040656D">
        <w:rPr>
          <w:rFonts w:cs="Arial"/>
          <w:bCs/>
          <w:sz w:val="20"/>
          <w:szCs w:val="20"/>
        </w:rPr>
        <w:t>Under Component 3, IFC invest</w:t>
      </w:r>
      <w:r w:rsidR="00EE47F3">
        <w:rPr>
          <w:rFonts w:cs="Arial"/>
          <w:bCs/>
          <w:sz w:val="20"/>
          <w:szCs w:val="20"/>
        </w:rPr>
        <w:t>s</w:t>
      </w:r>
      <w:r w:rsidRPr="0040656D">
        <w:rPr>
          <w:rFonts w:cs="Arial"/>
          <w:bCs/>
          <w:sz w:val="20"/>
          <w:szCs w:val="20"/>
        </w:rPr>
        <w:t xml:space="preserve"> in the development and upgrading of the systems including intangible assets (EDGE Platform</w:t>
      </w:r>
      <w:r w:rsidR="00CF642A">
        <w:rPr>
          <w:rFonts w:cs="Arial"/>
          <w:bCs/>
          <w:sz w:val="20"/>
          <w:szCs w:val="20"/>
        </w:rPr>
        <w:t>, APEX Platform,</w:t>
      </w:r>
      <w:r w:rsidRPr="0040656D">
        <w:rPr>
          <w:rFonts w:cs="Arial"/>
          <w:bCs/>
          <w:sz w:val="20"/>
          <w:szCs w:val="20"/>
        </w:rPr>
        <w:t xml:space="preserve"> and Climate Assessment for Financial Institutions (CAFI)) that will support the reporting by the financial intermediaries as they provide finance to developers. This investment should provide the UK with strong confidence in detailed asset reporting, in addition to enhancing the understanding of the sector.</w:t>
      </w:r>
    </w:p>
    <w:p w14:paraId="370AF8F8" w14:textId="77777777" w:rsidR="006A123D" w:rsidRPr="0040656D" w:rsidRDefault="006A123D" w:rsidP="00657117">
      <w:pPr>
        <w:spacing w:after="240"/>
        <w:jc w:val="both"/>
        <w:rPr>
          <w:rFonts w:cs="Arial"/>
          <w:bCs/>
          <w:sz w:val="20"/>
          <w:szCs w:val="20"/>
        </w:rPr>
      </w:pPr>
      <w:r w:rsidRPr="0040656D">
        <w:rPr>
          <w:rFonts w:cs="Arial"/>
          <w:bCs/>
          <w:sz w:val="20"/>
          <w:szCs w:val="20"/>
          <w:u w:val="single"/>
        </w:rPr>
        <w:t>Financial Management</w:t>
      </w:r>
    </w:p>
    <w:p w14:paraId="3AFE1198" w14:textId="4C59F363" w:rsidR="006A123D" w:rsidRPr="0040656D" w:rsidRDefault="006A123D" w:rsidP="00657117">
      <w:pPr>
        <w:spacing w:after="240"/>
        <w:jc w:val="both"/>
        <w:rPr>
          <w:rFonts w:cs="Arial"/>
          <w:bCs/>
          <w:sz w:val="20"/>
          <w:szCs w:val="20"/>
        </w:rPr>
      </w:pPr>
      <w:r w:rsidRPr="0040656D">
        <w:rPr>
          <w:rFonts w:cs="Arial"/>
          <w:bCs/>
          <w:sz w:val="20"/>
          <w:szCs w:val="20"/>
        </w:rPr>
        <w:t xml:space="preserve">IFC provides biannual financial reports to DESNZ on the Investment Services (received March and September each year), and an Annual Report (received October each year) which includes a section on financial management. </w:t>
      </w:r>
    </w:p>
    <w:p w14:paraId="7417E3F3" w14:textId="14C844E5" w:rsidR="002869A6" w:rsidRDefault="006A123D" w:rsidP="00657117">
      <w:pPr>
        <w:spacing w:after="240"/>
        <w:jc w:val="both"/>
        <w:rPr>
          <w:rFonts w:cs="Arial"/>
          <w:bCs/>
          <w:sz w:val="20"/>
          <w:szCs w:val="20"/>
        </w:rPr>
      </w:pPr>
      <w:r w:rsidRPr="0040656D">
        <w:rPr>
          <w:rFonts w:cs="Arial"/>
          <w:i/>
          <w:sz w:val="20"/>
          <w:szCs w:val="20"/>
        </w:rPr>
        <w:t>Investment Services:</w:t>
      </w:r>
      <w:r w:rsidRPr="0040656D">
        <w:rPr>
          <w:rFonts w:cs="Arial"/>
          <w:bCs/>
          <w:sz w:val="20"/>
          <w:szCs w:val="20"/>
        </w:rPr>
        <w:t xml:space="preserve"> </w:t>
      </w:r>
      <w:r w:rsidR="002869A6">
        <w:rPr>
          <w:rFonts w:cs="Arial"/>
          <w:bCs/>
          <w:sz w:val="20"/>
          <w:szCs w:val="20"/>
        </w:rPr>
        <w:t xml:space="preserve">DESNZ’s total commitment to MAGC in the Investment Services Administration Arrangement has increased from £80m to £102m. </w:t>
      </w:r>
      <w:r w:rsidR="002869A6" w:rsidRPr="0040656D">
        <w:rPr>
          <w:rFonts w:cs="Arial"/>
          <w:bCs/>
          <w:sz w:val="20"/>
          <w:szCs w:val="20"/>
        </w:rPr>
        <w:t xml:space="preserve">This was a result of Change Request concluded in </w:t>
      </w:r>
      <w:r w:rsidR="002869A6">
        <w:rPr>
          <w:rFonts w:cs="Arial"/>
          <w:bCs/>
          <w:sz w:val="20"/>
          <w:szCs w:val="20"/>
        </w:rPr>
        <w:t>December</w:t>
      </w:r>
      <w:r w:rsidR="002869A6" w:rsidRPr="0040656D">
        <w:rPr>
          <w:rFonts w:cs="Arial"/>
          <w:bCs/>
          <w:sz w:val="20"/>
          <w:szCs w:val="20"/>
        </w:rPr>
        <w:t xml:space="preserve"> 2023, providing £</w:t>
      </w:r>
      <w:r w:rsidR="002869A6">
        <w:rPr>
          <w:rFonts w:cs="Arial"/>
          <w:bCs/>
          <w:sz w:val="20"/>
          <w:szCs w:val="20"/>
        </w:rPr>
        <w:t>2</w:t>
      </w:r>
      <w:r w:rsidR="002869A6" w:rsidRPr="0040656D">
        <w:rPr>
          <w:rFonts w:cs="Arial"/>
          <w:bCs/>
          <w:sz w:val="20"/>
          <w:szCs w:val="20"/>
        </w:rPr>
        <w:t xml:space="preserve">2m new funding to MAGC </w:t>
      </w:r>
      <w:r w:rsidR="002869A6">
        <w:rPr>
          <w:rFonts w:cs="Arial"/>
          <w:bCs/>
          <w:sz w:val="20"/>
          <w:szCs w:val="20"/>
        </w:rPr>
        <w:t>component 1</w:t>
      </w:r>
      <w:r w:rsidR="00CB1EE9">
        <w:rPr>
          <w:rFonts w:cs="Arial"/>
          <w:bCs/>
          <w:sz w:val="20"/>
          <w:szCs w:val="20"/>
        </w:rPr>
        <w:t>.</w:t>
      </w:r>
      <w:r w:rsidR="002869A6">
        <w:rPr>
          <w:rFonts w:cs="Arial"/>
          <w:bCs/>
          <w:sz w:val="20"/>
          <w:szCs w:val="20"/>
        </w:rPr>
        <w:t xml:space="preserve"> </w:t>
      </w:r>
      <w:r w:rsidR="002869A6" w:rsidRPr="0040656D">
        <w:rPr>
          <w:rFonts w:cs="Arial"/>
          <w:bCs/>
          <w:sz w:val="20"/>
          <w:szCs w:val="20"/>
        </w:rPr>
        <w:t xml:space="preserve">A full summary is provided in </w:t>
      </w:r>
      <w:r w:rsidR="002869A6" w:rsidRPr="00505D32">
        <w:rPr>
          <w:rFonts w:cs="Arial"/>
          <w:b/>
          <w:sz w:val="20"/>
          <w:szCs w:val="20"/>
        </w:rPr>
        <w:t>section D</w:t>
      </w:r>
      <w:r w:rsidR="002869A6" w:rsidRPr="0040656D">
        <w:rPr>
          <w:rFonts w:cs="Arial"/>
          <w:bCs/>
          <w:sz w:val="20"/>
          <w:szCs w:val="20"/>
        </w:rPr>
        <w:t>.</w:t>
      </w:r>
    </w:p>
    <w:p w14:paraId="3FF5C358" w14:textId="40F477B9" w:rsidR="006A123D" w:rsidRPr="0040656D" w:rsidRDefault="009942D9" w:rsidP="00657117">
      <w:pPr>
        <w:spacing w:after="240"/>
        <w:jc w:val="both"/>
        <w:rPr>
          <w:rFonts w:cs="Arial"/>
          <w:bCs/>
          <w:sz w:val="20"/>
          <w:szCs w:val="20"/>
        </w:rPr>
      </w:pPr>
      <w:r w:rsidRPr="29CA07FD">
        <w:rPr>
          <w:rFonts w:cs="Arial"/>
          <w:sz w:val="20"/>
          <w:szCs w:val="20"/>
        </w:rPr>
        <w:t xml:space="preserve">Nineteen </w:t>
      </w:r>
      <w:r w:rsidR="006A123D" w:rsidRPr="29CA07FD">
        <w:rPr>
          <w:rFonts w:cs="Arial"/>
          <w:sz w:val="20"/>
          <w:szCs w:val="20"/>
        </w:rPr>
        <w:t>investments were made by June 202</w:t>
      </w:r>
      <w:r w:rsidR="00024C7F" w:rsidRPr="29CA07FD">
        <w:rPr>
          <w:rFonts w:cs="Arial"/>
          <w:sz w:val="20"/>
          <w:szCs w:val="20"/>
        </w:rPr>
        <w:t>4</w:t>
      </w:r>
      <w:r w:rsidR="006A123D" w:rsidRPr="29CA07FD">
        <w:rPr>
          <w:rStyle w:val="FootnoteReference"/>
          <w:rFonts w:cs="Arial"/>
          <w:sz w:val="20"/>
          <w:szCs w:val="20"/>
        </w:rPr>
        <w:footnoteReference w:id="7"/>
      </w:r>
      <w:r w:rsidR="006A123D" w:rsidRPr="29CA07FD">
        <w:rPr>
          <w:rFonts w:cs="Arial"/>
          <w:sz w:val="20"/>
          <w:szCs w:val="20"/>
        </w:rPr>
        <w:t xml:space="preserve">, exceeding </w:t>
      </w:r>
      <w:r w:rsidR="00CF3E4D" w:rsidRPr="29CA07FD">
        <w:rPr>
          <w:rFonts w:cs="Arial"/>
          <w:sz w:val="20"/>
          <w:szCs w:val="20"/>
        </w:rPr>
        <w:t xml:space="preserve">eleven </w:t>
      </w:r>
      <w:r w:rsidR="006A123D" w:rsidRPr="29CA07FD">
        <w:rPr>
          <w:rFonts w:cs="Arial"/>
          <w:sz w:val="20"/>
          <w:szCs w:val="20"/>
        </w:rPr>
        <w:t>investments that were expected by this time.</w:t>
      </w:r>
      <w:r w:rsidR="006A123D" w:rsidRPr="0040656D">
        <w:rPr>
          <w:rStyle w:val="normaltextrun"/>
          <w:rFonts w:cs="Arial"/>
          <w:color w:val="000000"/>
          <w:sz w:val="20"/>
          <w:szCs w:val="20"/>
          <w:shd w:val="clear" w:color="auto" w:fill="FFFFFF"/>
        </w:rPr>
        <w:t xml:space="preserve"> IFC use of a high volume of PBIs as investment instruments, means the level of spend has been </w:t>
      </w:r>
      <w:r w:rsidR="00CF3E4D">
        <w:rPr>
          <w:rStyle w:val="normaltextrun"/>
          <w:rFonts w:cs="Arial"/>
          <w:color w:val="000000"/>
          <w:sz w:val="20"/>
          <w:szCs w:val="20"/>
          <w:shd w:val="clear" w:color="auto" w:fill="FFFFFF"/>
        </w:rPr>
        <w:t>lower</w:t>
      </w:r>
      <w:r w:rsidR="00CF3E4D" w:rsidRPr="0040656D">
        <w:rPr>
          <w:rStyle w:val="normaltextrun"/>
          <w:rFonts w:cs="Arial"/>
          <w:color w:val="000000"/>
          <w:sz w:val="20"/>
          <w:szCs w:val="20"/>
          <w:shd w:val="clear" w:color="auto" w:fill="FFFFFF"/>
        </w:rPr>
        <w:t xml:space="preserve"> </w:t>
      </w:r>
      <w:r w:rsidR="006A123D" w:rsidRPr="0040656D">
        <w:rPr>
          <w:rStyle w:val="normaltextrun"/>
          <w:rFonts w:cs="Arial"/>
          <w:color w:val="000000"/>
          <w:sz w:val="20"/>
          <w:szCs w:val="20"/>
          <w:shd w:val="clear" w:color="auto" w:fill="FFFFFF"/>
        </w:rPr>
        <w:t>than initially expected. In th</w:t>
      </w:r>
      <w:r w:rsidR="002869A6">
        <w:rPr>
          <w:rStyle w:val="normaltextrun"/>
          <w:rFonts w:cs="Arial"/>
          <w:color w:val="000000"/>
          <w:sz w:val="20"/>
          <w:szCs w:val="20"/>
          <w:shd w:val="clear" w:color="auto" w:fill="FFFFFF"/>
        </w:rPr>
        <w:t>is</w:t>
      </w:r>
      <w:r w:rsidR="006A123D" w:rsidRPr="0040656D">
        <w:rPr>
          <w:rStyle w:val="normaltextrun"/>
          <w:rFonts w:cs="Arial"/>
          <w:color w:val="000000"/>
          <w:sz w:val="20"/>
          <w:szCs w:val="20"/>
          <w:shd w:val="clear" w:color="auto" w:fill="FFFFFF"/>
        </w:rPr>
        <w:t xml:space="preserve"> reporting period,</w:t>
      </w:r>
      <w:r w:rsidR="002869A6">
        <w:rPr>
          <w:rStyle w:val="normaltextrun"/>
          <w:rFonts w:cs="Arial"/>
          <w:color w:val="000000"/>
          <w:sz w:val="20"/>
          <w:szCs w:val="20"/>
          <w:shd w:val="clear" w:color="auto" w:fill="FFFFFF"/>
        </w:rPr>
        <w:t xml:space="preserve"> the </w:t>
      </w:r>
      <w:r w:rsidR="002A4CD8">
        <w:rPr>
          <w:rStyle w:val="normaltextrun"/>
          <w:rFonts w:cs="Arial"/>
          <w:color w:val="000000"/>
          <w:sz w:val="20"/>
          <w:szCs w:val="20"/>
          <w:shd w:val="clear" w:color="auto" w:fill="FFFFFF"/>
        </w:rPr>
        <w:t>Logframe</w:t>
      </w:r>
      <w:r w:rsidR="002869A6">
        <w:rPr>
          <w:rStyle w:val="normaltextrun"/>
          <w:rFonts w:cs="Arial"/>
          <w:color w:val="000000"/>
          <w:sz w:val="20"/>
          <w:szCs w:val="20"/>
          <w:shd w:val="clear" w:color="auto" w:fill="FFFFFF"/>
        </w:rPr>
        <w:t xml:space="preserve"> model was updated to reflect this and wider original assumptions</w:t>
      </w:r>
      <w:r w:rsidR="006A123D" w:rsidRPr="0040656D">
        <w:rPr>
          <w:rStyle w:val="normaltextrun"/>
          <w:rFonts w:cs="Arial"/>
          <w:color w:val="000000"/>
          <w:sz w:val="20"/>
          <w:szCs w:val="20"/>
          <w:shd w:val="clear" w:color="auto" w:fill="FFFFFF"/>
        </w:rPr>
        <w:t xml:space="preserve">. A full summary is provided in the Output 1a summary in section C.  </w:t>
      </w:r>
      <w:r w:rsidR="008F6E31">
        <w:rPr>
          <w:rStyle w:val="normaltextrun"/>
          <w:rFonts w:cs="Arial"/>
          <w:color w:val="000000"/>
          <w:sz w:val="20"/>
          <w:szCs w:val="20"/>
          <w:shd w:val="clear" w:color="auto" w:fill="FFFFFF"/>
        </w:rPr>
        <w:t xml:space="preserve">Following this update and with the current pipeline provided by IFC, DESNZ are confident the activity for Investment Services </w:t>
      </w:r>
      <w:r w:rsidR="00804EDE">
        <w:rPr>
          <w:rStyle w:val="normaltextrun"/>
          <w:rFonts w:cs="Arial"/>
          <w:color w:val="000000"/>
          <w:sz w:val="20"/>
          <w:szCs w:val="20"/>
          <w:shd w:val="clear" w:color="auto" w:fill="FFFFFF"/>
        </w:rPr>
        <w:t>is</w:t>
      </w:r>
      <w:r w:rsidR="008F6E31">
        <w:rPr>
          <w:rStyle w:val="normaltextrun"/>
          <w:rFonts w:cs="Arial"/>
          <w:color w:val="000000"/>
          <w:sz w:val="20"/>
          <w:szCs w:val="20"/>
          <w:shd w:val="clear" w:color="auto" w:fill="FFFFFF"/>
        </w:rPr>
        <w:t xml:space="preserve"> running to plan and to budget</w:t>
      </w:r>
      <w:r w:rsidR="00CB1EE9">
        <w:rPr>
          <w:rStyle w:val="normaltextrun"/>
          <w:rFonts w:cs="Arial"/>
          <w:color w:val="000000"/>
          <w:sz w:val="20"/>
          <w:szCs w:val="20"/>
          <w:shd w:val="clear" w:color="auto" w:fill="FFFFFF"/>
        </w:rPr>
        <w:t>.</w:t>
      </w:r>
    </w:p>
    <w:p w14:paraId="5253D99D" w14:textId="7036D4B9" w:rsidR="006A123D" w:rsidRPr="0040656D" w:rsidRDefault="006A123D" w:rsidP="00657117">
      <w:pPr>
        <w:spacing w:after="240"/>
        <w:jc w:val="both"/>
        <w:rPr>
          <w:rFonts w:cs="Arial"/>
          <w:b/>
          <w:bCs/>
          <w:sz w:val="20"/>
          <w:szCs w:val="20"/>
        </w:rPr>
      </w:pPr>
      <w:r w:rsidRPr="0040656D">
        <w:rPr>
          <w:rFonts w:cs="Arial"/>
          <w:i/>
          <w:sz w:val="20"/>
          <w:szCs w:val="20"/>
        </w:rPr>
        <w:t>Advisory Services:</w:t>
      </w:r>
      <w:r w:rsidRPr="0040656D">
        <w:rPr>
          <w:rFonts w:cs="Arial"/>
          <w:bCs/>
          <w:sz w:val="20"/>
          <w:szCs w:val="20"/>
        </w:rPr>
        <w:t xml:space="preserve"> DESNZ’s total commitment to MAGC in the Advisory Services Administration Arrangement has been increase</w:t>
      </w:r>
      <w:r w:rsidR="00F054E0">
        <w:rPr>
          <w:rFonts w:cs="Arial"/>
          <w:bCs/>
          <w:sz w:val="20"/>
          <w:szCs w:val="20"/>
        </w:rPr>
        <w:t>d</w:t>
      </w:r>
      <w:r w:rsidRPr="0040656D">
        <w:rPr>
          <w:rFonts w:cs="Arial"/>
          <w:bCs/>
          <w:sz w:val="20"/>
          <w:szCs w:val="20"/>
        </w:rPr>
        <w:t xml:space="preserve"> from £</w:t>
      </w:r>
      <w:r w:rsidR="002869A6">
        <w:rPr>
          <w:rFonts w:cs="Arial"/>
          <w:bCs/>
          <w:sz w:val="20"/>
          <w:szCs w:val="20"/>
        </w:rPr>
        <w:t>34.09 to</w:t>
      </w:r>
      <w:r w:rsidRPr="0040656D">
        <w:rPr>
          <w:rFonts w:cs="Arial"/>
          <w:bCs/>
          <w:sz w:val="20"/>
          <w:szCs w:val="20"/>
        </w:rPr>
        <w:t xml:space="preserve"> £3</w:t>
      </w:r>
      <w:r w:rsidR="002869A6">
        <w:rPr>
          <w:rFonts w:cs="Arial"/>
          <w:bCs/>
          <w:sz w:val="20"/>
          <w:szCs w:val="20"/>
        </w:rPr>
        <w:t>6</w:t>
      </w:r>
      <w:r w:rsidRPr="0040656D">
        <w:rPr>
          <w:rFonts w:cs="Arial"/>
          <w:bCs/>
          <w:sz w:val="20"/>
          <w:szCs w:val="20"/>
        </w:rPr>
        <w:t xml:space="preserve">.09m. This was a result of Change Request concluded in </w:t>
      </w:r>
      <w:r w:rsidR="002869A6">
        <w:rPr>
          <w:rFonts w:cs="Arial"/>
          <w:bCs/>
          <w:sz w:val="20"/>
          <w:szCs w:val="20"/>
        </w:rPr>
        <w:t>December</w:t>
      </w:r>
      <w:r w:rsidR="002869A6" w:rsidRPr="0040656D">
        <w:rPr>
          <w:rFonts w:cs="Arial"/>
          <w:bCs/>
          <w:sz w:val="20"/>
          <w:szCs w:val="20"/>
        </w:rPr>
        <w:t xml:space="preserve"> </w:t>
      </w:r>
      <w:r w:rsidRPr="0040656D">
        <w:rPr>
          <w:rFonts w:cs="Arial"/>
          <w:bCs/>
          <w:sz w:val="20"/>
          <w:szCs w:val="20"/>
        </w:rPr>
        <w:t xml:space="preserve">2023, providing £2m new funding to MAGC </w:t>
      </w:r>
      <w:r w:rsidR="002869A6">
        <w:rPr>
          <w:rFonts w:cs="Arial"/>
          <w:bCs/>
          <w:sz w:val="20"/>
          <w:szCs w:val="20"/>
        </w:rPr>
        <w:t>advisory services activities under component 1. A</w:t>
      </w:r>
      <w:r w:rsidRPr="0040656D">
        <w:rPr>
          <w:rFonts w:cs="Arial"/>
          <w:bCs/>
          <w:sz w:val="20"/>
          <w:szCs w:val="20"/>
        </w:rPr>
        <w:t xml:space="preserve"> full summary is provided in section D. Activity for Advisory Services is running to plan and to budget. </w:t>
      </w:r>
    </w:p>
    <w:p w14:paraId="7E977696" w14:textId="77777777" w:rsidR="001A6BAD" w:rsidRDefault="001A6BAD">
      <w:bookmarkStart w:id="4" w:name="_Hlk64628008"/>
      <w:r>
        <w:br w:type="page"/>
      </w:r>
    </w:p>
    <w:tbl>
      <w:tblPr>
        <w:tblStyle w:val="TableGrid"/>
        <w:tblW w:w="0" w:type="auto"/>
        <w:tblLook w:val="04A0" w:firstRow="1" w:lastRow="0" w:firstColumn="1" w:lastColumn="0" w:noHBand="0" w:noVBand="1"/>
      </w:tblPr>
      <w:tblGrid>
        <w:gridCol w:w="9016"/>
      </w:tblGrid>
      <w:tr w:rsidR="006A123D" w:rsidRPr="0040656D" w14:paraId="15AB317A" w14:textId="77777777" w:rsidTr="55B5BF1F">
        <w:tc>
          <w:tcPr>
            <w:tcW w:w="9016" w:type="dxa"/>
            <w:tcBorders>
              <w:top w:val="single" w:sz="4" w:space="0" w:color="auto"/>
              <w:left w:val="single" w:sz="4" w:space="0" w:color="auto"/>
              <w:bottom w:val="single" w:sz="4" w:space="0" w:color="auto"/>
              <w:right w:val="single" w:sz="4" w:space="0" w:color="auto"/>
            </w:tcBorders>
            <w:hideMark/>
          </w:tcPr>
          <w:p w14:paraId="75D04349" w14:textId="3C4D5A8C" w:rsidR="006A123D" w:rsidRPr="0040656D" w:rsidRDefault="006A123D" w:rsidP="00657117">
            <w:pPr>
              <w:spacing w:after="240"/>
              <w:rPr>
                <w:rFonts w:cs="Arial"/>
                <w:b/>
                <w:bCs/>
                <w:sz w:val="20"/>
                <w:szCs w:val="20"/>
              </w:rPr>
            </w:pPr>
            <w:r w:rsidRPr="0040656D">
              <w:rPr>
                <w:rFonts w:cs="Arial"/>
                <w:b/>
                <w:bCs/>
                <w:sz w:val="20"/>
                <w:szCs w:val="20"/>
              </w:rPr>
              <w:lastRenderedPageBreak/>
              <w:t>MAGC Finances June 202</w:t>
            </w:r>
            <w:r w:rsidR="002869A6">
              <w:rPr>
                <w:rFonts w:cs="Arial"/>
                <w:b/>
                <w:bCs/>
                <w:sz w:val="20"/>
                <w:szCs w:val="20"/>
              </w:rPr>
              <w:t>4</w:t>
            </w:r>
            <w:r w:rsidRPr="0040656D">
              <w:rPr>
                <w:rStyle w:val="FootnoteReference"/>
                <w:rFonts w:cs="Arial"/>
                <w:b/>
                <w:bCs/>
                <w:sz w:val="20"/>
                <w:szCs w:val="20"/>
              </w:rPr>
              <w:footnoteReference w:id="8"/>
            </w:r>
          </w:p>
          <w:p w14:paraId="51B22CE6" w14:textId="77777777" w:rsidR="006A123D" w:rsidRPr="000C48FF" w:rsidRDefault="006A123D" w:rsidP="789C6A0B">
            <w:pPr>
              <w:spacing w:after="240"/>
              <w:rPr>
                <w:rFonts w:cs="Arial"/>
                <w:b/>
                <w:bCs/>
                <w:i/>
                <w:iCs/>
                <w:sz w:val="20"/>
                <w:szCs w:val="20"/>
              </w:rPr>
            </w:pPr>
            <w:r w:rsidRPr="789C6A0B">
              <w:rPr>
                <w:rFonts w:cs="Arial"/>
                <w:b/>
                <w:bCs/>
                <w:i/>
                <w:iCs/>
                <w:sz w:val="20"/>
                <w:szCs w:val="20"/>
              </w:rPr>
              <w:t>Investment services</w:t>
            </w:r>
          </w:p>
          <w:tbl>
            <w:tblPr>
              <w:tblStyle w:val="TableGrid"/>
              <w:tblW w:w="0" w:type="auto"/>
              <w:tblLook w:val="04A0" w:firstRow="1" w:lastRow="0" w:firstColumn="1" w:lastColumn="0" w:noHBand="0" w:noVBand="1"/>
            </w:tblPr>
            <w:tblGrid>
              <w:gridCol w:w="2930"/>
              <w:gridCol w:w="2930"/>
              <w:gridCol w:w="2930"/>
            </w:tblGrid>
            <w:tr w:rsidR="00581155" w14:paraId="0FB09602" w14:textId="77777777" w:rsidTr="73602BDD">
              <w:trPr>
                <w:trHeight w:val="300"/>
              </w:trPr>
              <w:tc>
                <w:tcPr>
                  <w:tcW w:w="2930" w:type="dxa"/>
                </w:tcPr>
                <w:p w14:paraId="7ACB93B8" w14:textId="77777777" w:rsidR="00581155" w:rsidRPr="000C48FF" w:rsidRDefault="00581155" w:rsidP="789C6A0B">
                  <w:pPr>
                    <w:spacing w:after="240"/>
                    <w:rPr>
                      <w:rFonts w:cs="Arial"/>
                      <w:b/>
                      <w:bCs/>
                      <w:sz w:val="20"/>
                      <w:szCs w:val="20"/>
                    </w:rPr>
                  </w:pPr>
                </w:p>
              </w:tc>
              <w:tc>
                <w:tcPr>
                  <w:tcW w:w="2930" w:type="dxa"/>
                </w:tcPr>
                <w:p w14:paraId="6EEEEF54" w14:textId="73983A76" w:rsidR="00581155" w:rsidRPr="000C48FF" w:rsidRDefault="00581155" w:rsidP="789C6A0B">
                  <w:pPr>
                    <w:spacing w:after="240"/>
                    <w:rPr>
                      <w:rFonts w:cs="Arial"/>
                      <w:b/>
                      <w:bCs/>
                      <w:sz w:val="20"/>
                      <w:szCs w:val="20"/>
                    </w:rPr>
                  </w:pPr>
                  <w:r w:rsidRPr="73602BDD">
                    <w:rPr>
                      <w:rFonts w:cs="Arial"/>
                      <w:b/>
                      <w:bCs/>
                      <w:sz w:val="20"/>
                      <w:szCs w:val="20"/>
                    </w:rPr>
                    <w:t>Total budget</w:t>
                  </w:r>
                </w:p>
              </w:tc>
              <w:tc>
                <w:tcPr>
                  <w:tcW w:w="2930" w:type="dxa"/>
                </w:tcPr>
                <w:p w14:paraId="5F606286" w14:textId="3D6E5A4C" w:rsidR="00581155" w:rsidRPr="000C48FF" w:rsidRDefault="005B689F" w:rsidP="789C6A0B">
                  <w:pPr>
                    <w:spacing w:after="240"/>
                    <w:rPr>
                      <w:rFonts w:cs="Arial"/>
                      <w:b/>
                      <w:bCs/>
                      <w:sz w:val="20"/>
                      <w:szCs w:val="20"/>
                    </w:rPr>
                  </w:pPr>
                  <w:r w:rsidRPr="73602BDD">
                    <w:rPr>
                      <w:rFonts w:cs="Arial"/>
                      <w:b/>
                      <w:bCs/>
                      <w:sz w:val="20"/>
                      <w:szCs w:val="20"/>
                    </w:rPr>
                    <w:t>Percentage</w:t>
                  </w:r>
                  <w:r w:rsidR="00BF4283" w:rsidRPr="73602BDD">
                    <w:rPr>
                      <w:rFonts w:cs="Arial"/>
                      <w:b/>
                      <w:bCs/>
                      <w:sz w:val="20"/>
                      <w:szCs w:val="20"/>
                    </w:rPr>
                    <w:t xml:space="preserve"> of total value</w:t>
                  </w:r>
                </w:p>
              </w:tc>
            </w:tr>
            <w:tr w:rsidR="00581155" w14:paraId="6A98B4B2" w14:textId="77777777" w:rsidTr="73602BDD">
              <w:trPr>
                <w:trHeight w:val="300"/>
              </w:trPr>
              <w:tc>
                <w:tcPr>
                  <w:tcW w:w="2930" w:type="dxa"/>
                </w:tcPr>
                <w:p w14:paraId="047790B7" w14:textId="16E07E9F" w:rsidR="00581155" w:rsidRDefault="005B689F" w:rsidP="789C6A0B">
                  <w:pPr>
                    <w:spacing w:after="240"/>
                    <w:rPr>
                      <w:rFonts w:cs="Arial"/>
                      <w:sz w:val="20"/>
                      <w:szCs w:val="20"/>
                    </w:rPr>
                  </w:pPr>
                  <w:r w:rsidRPr="73602BDD">
                    <w:rPr>
                      <w:rFonts w:cs="Arial"/>
                      <w:sz w:val="20"/>
                      <w:szCs w:val="20"/>
                    </w:rPr>
                    <w:t>Business Case (and subsequent Change Requests</w:t>
                  </w:r>
                </w:p>
              </w:tc>
              <w:tc>
                <w:tcPr>
                  <w:tcW w:w="2930" w:type="dxa"/>
                </w:tcPr>
                <w:p w14:paraId="79F7629E" w14:textId="6136947C" w:rsidR="00581155" w:rsidRDefault="005B689F" w:rsidP="789C6A0B">
                  <w:pPr>
                    <w:spacing w:after="240"/>
                    <w:rPr>
                      <w:rFonts w:cs="Arial"/>
                      <w:sz w:val="20"/>
                      <w:szCs w:val="20"/>
                    </w:rPr>
                  </w:pPr>
                  <w:r w:rsidRPr="73602BDD">
                    <w:rPr>
                      <w:rFonts w:cs="Arial"/>
                      <w:sz w:val="20"/>
                      <w:szCs w:val="20"/>
                    </w:rPr>
                    <w:t>£102 million</w:t>
                  </w:r>
                </w:p>
              </w:tc>
              <w:tc>
                <w:tcPr>
                  <w:tcW w:w="2930" w:type="dxa"/>
                </w:tcPr>
                <w:p w14:paraId="228F32B3" w14:textId="77777777" w:rsidR="00581155" w:rsidRDefault="00581155" w:rsidP="789C6A0B">
                  <w:pPr>
                    <w:spacing w:after="240"/>
                    <w:rPr>
                      <w:rFonts w:cs="Arial"/>
                      <w:sz w:val="20"/>
                      <w:szCs w:val="20"/>
                    </w:rPr>
                  </w:pPr>
                </w:p>
              </w:tc>
            </w:tr>
            <w:tr w:rsidR="005B689F" w14:paraId="57231CCB" w14:textId="77777777" w:rsidTr="73602BDD">
              <w:trPr>
                <w:trHeight w:val="300"/>
              </w:trPr>
              <w:tc>
                <w:tcPr>
                  <w:tcW w:w="2930" w:type="dxa"/>
                </w:tcPr>
                <w:p w14:paraId="29EBD96E" w14:textId="2F493E23" w:rsidR="005B689F" w:rsidRDefault="005B689F" w:rsidP="789C6A0B">
                  <w:pPr>
                    <w:spacing w:after="240"/>
                    <w:rPr>
                      <w:rFonts w:cs="Arial"/>
                      <w:sz w:val="20"/>
                      <w:szCs w:val="20"/>
                    </w:rPr>
                  </w:pPr>
                  <w:r w:rsidRPr="73602BDD">
                    <w:rPr>
                      <w:rFonts w:cs="Arial"/>
                      <w:sz w:val="20"/>
                      <w:szCs w:val="20"/>
                    </w:rPr>
                    <w:t>Promissory Notes (paid by DESNZ to IFC)</w:t>
                  </w:r>
                </w:p>
              </w:tc>
              <w:tc>
                <w:tcPr>
                  <w:tcW w:w="2930" w:type="dxa"/>
                </w:tcPr>
                <w:p w14:paraId="58011FDC" w14:textId="29CAF5A1" w:rsidR="005B689F" w:rsidRDefault="005B689F" w:rsidP="789C6A0B">
                  <w:pPr>
                    <w:spacing w:after="240"/>
                    <w:rPr>
                      <w:rFonts w:cs="Arial"/>
                      <w:sz w:val="20"/>
                      <w:szCs w:val="20"/>
                    </w:rPr>
                  </w:pPr>
                  <w:r w:rsidRPr="73602BDD">
                    <w:rPr>
                      <w:rFonts w:cs="Arial"/>
                      <w:sz w:val="20"/>
                      <w:szCs w:val="20"/>
                    </w:rPr>
                    <w:t>£102 million</w:t>
                  </w:r>
                </w:p>
              </w:tc>
              <w:tc>
                <w:tcPr>
                  <w:tcW w:w="2930" w:type="dxa"/>
                </w:tcPr>
                <w:p w14:paraId="3E301F07" w14:textId="0C7A818F" w:rsidR="005B689F" w:rsidRDefault="00BF4283" w:rsidP="789C6A0B">
                  <w:pPr>
                    <w:spacing w:after="240"/>
                    <w:rPr>
                      <w:rFonts w:cs="Arial"/>
                      <w:sz w:val="20"/>
                      <w:szCs w:val="20"/>
                    </w:rPr>
                  </w:pPr>
                  <w:r w:rsidRPr="73602BDD">
                    <w:rPr>
                      <w:rFonts w:cs="Arial"/>
                      <w:sz w:val="20"/>
                      <w:szCs w:val="20"/>
                    </w:rPr>
                    <w:t>100%</w:t>
                  </w:r>
                </w:p>
              </w:tc>
            </w:tr>
            <w:tr w:rsidR="005B689F" w14:paraId="2B5D2C3D" w14:textId="77777777" w:rsidTr="73602BDD">
              <w:trPr>
                <w:trHeight w:val="300"/>
              </w:trPr>
              <w:tc>
                <w:tcPr>
                  <w:tcW w:w="2930" w:type="dxa"/>
                </w:tcPr>
                <w:p w14:paraId="0F52354A" w14:textId="162AB09C" w:rsidR="005B689F" w:rsidRDefault="005B689F" w:rsidP="789C6A0B">
                  <w:pPr>
                    <w:spacing w:after="240"/>
                    <w:rPr>
                      <w:rFonts w:cs="Arial"/>
                      <w:sz w:val="20"/>
                      <w:szCs w:val="20"/>
                    </w:rPr>
                  </w:pPr>
                  <w:r w:rsidRPr="73602BDD">
                    <w:rPr>
                      <w:rFonts w:cs="Arial"/>
                      <w:sz w:val="20"/>
                      <w:szCs w:val="20"/>
                    </w:rPr>
                    <w:t>Encashments (</w:t>
                  </w:r>
                  <w:r w:rsidR="00BF4283" w:rsidRPr="73602BDD">
                    <w:rPr>
                      <w:rFonts w:cs="Arial"/>
                      <w:sz w:val="20"/>
                      <w:szCs w:val="20"/>
                    </w:rPr>
                    <w:t>monies drawn by IFC from laid Promissory Notes)</w:t>
                  </w:r>
                </w:p>
              </w:tc>
              <w:tc>
                <w:tcPr>
                  <w:tcW w:w="2930" w:type="dxa"/>
                </w:tcPr>
                <w:p w14:paraId="5FD310C0" w14:textId="19642814" w:rsidR="005B689F" w:rsidRDefault="00BF4283" w:rsidP="789C6A0B">
                  <w:pPr>
                    <w:spacing w:after="240"/>
                    <w:rPr>
                      <w:rFonts w:cs="Arial"/>
                      <w:sz w:val="20"/>
                      <w:szCs w:val="20"/>
                    </w:rPr>
                  </w:pPr>
                  <w:r w:rsidRPr="73602BDD">
                    <w:rPr>
                      <w:rFonts w:cs="Arial"/>
                      <w:sz w:val="20"/>
                      <w:szCs w:val="20"/>
                    </w:rPr>
                    <w:t>£85 million</w:t>
                  </w:r>
                </w:p>
              </w:tc>
              <w:tc>
                <w:tcPr>
                  <w:tcW w:w="2930" w:type="dxa"/>
                </w:tcPr>
                <w:p w14:paraId="3F3690C8" w14:textId="4ABCC385" w:rsidR="005B689F" w:rsidRDefault="003021A6" w:rsidP="789C6A0B">
                  <w:pPr>
                    <w:spacing w:after="240"/>
                    <w:rPr>
                      <w:rFonts w:cs="Arial"/>
                      <w:sz w:val="20"/>
                      <w:szCs w:val="20"/>
                    </w:rPr>
                  </w:pPr>
                  <w:r w:rsidRPr="73602BDD">
                    <w:rPr>
                      <w:rFonts w:cs="Arial"/>
                      <w:sz w:val="20"/>
                      <w:szCs w:val="20"/>
                    </w:rPr>
                    <w:t>83%</w:t>
                  </w:r>
                </w:p>
              </w:tc>
            </w:tr>
            <w:tr w:rsidR="003021A6" w14:paraId="6D19E66C" w14:textId="77777777" w:rsidTr="73602BDD">
              <w:trPr>
                <w:trHeight w:val="300"/>
              </w:trPr>
              <w:tc>
                <w:tcPr>
                  <w:tcW w:w="2930" w:type="dxa"/>
                </w:tcPr>
                <w:p w14:paraId="07BCFBF9" w14:textId="75E9C768" w:rsidR="003021A6" w:rsidRDefault="00835F1D" w:rsidP="789C6A0B">
                  <w:pPr>
                    <w:spacing w:after="240"/>
                    <w:rPr>
                      <w:rFonts w:cs="Arial"/>
                      <w:sz w:val="20"/>
                      <w:szCs w:val="20"/>
                    </w:rPr>
                  </w:pPr>
                  <w:r w:rsidRPr="73602BDD">
                    <w:rPr>
                      <w:rFonts w:cs="Arial"/>
                      <w:sz w:val="20"/>
                      <w:szCs w:val="20"/>
                    </w:rPr>
                    <w:t>Disbursements (monies spent or committed to specific projects)</w:t>
                  </w:r>
                </w:p>
              </w:tc>
              <w:tc>
                <w:tcPr>
                  <w:tcW w:w="2930" w:type="dxa"/>
                </w:tcPr>
                <w:p w14:paraId="781B2CEF" w14:textId="69B63CF5" w:rsidR="003021A6" w:rsidRDefault="008D032F" w:rsidP="789C6A0B">
                  <w:pPr>
                    <w:spacing w:after="240"/>
                    <w:rPr>
                      <w:rFonts w:cs="Arial"/>
                      <w:sz w:val="20"/>
                      <w:szCs w:val="20"/>
                    </w:rPr>
                  </w:pPr>
                  <w:r w:rsidRPr="789C6A0B">
                    <w:rPr>
                      <w:rFonts w:cs="Arial"/>
                      <w:sz w:val="20"/>
                      <w:szCs w:val="20"/>
                    </w:rPr>
                    <w:t>£44 million</w:t>
                  </w:r>
                </w:p>
              </w:tc>
              <w:tc>
                <w:tcPr>
                  <w:tcW w:w="2930" w:type="dxa"/>
                </w:tcPr>
                <w:p w14:paraId="4597D6D8" w14:textId="21805810" w:rsidR="003021A6" w:rsidRDefault="008D032F" w:rsidP="789C6A0B">
                  <w:pPr>
                    <w:spacing w:after="240"/>
                    <w:rPr>
                      <w:rFonts w:cs="Arial"/>
                      <w:sz w:val="20"/>
                      <w:szCs w:val="20"/>
                    </w:rPr>
                  </w:pPr>
                  <w:r w:rsidRPr="789C6A0B">
                    <w:rPr>
                      <w:rFonts w:cs="Arial"/>
                      <w:sz w:val="20"/>
                      <w:szCs w:val="20"/>
                    </w:rPr>
                    <w:t>43%</w:t>
                  </w:r>
                </w:p>
              </w:tc>
            </w:tr>
          </w:tbl>
          <w:p w14:paraId="51BA6B83" w14:textId="7F3D54F1" w:rsidR="006A123D" w:rsidRPr="0040656D" w:rsidRDefault="008D032F" w:rsidP="000C48FF">
            <w:pPr>
              <w:pStyle w:val="ListParagraph"/>
              <w:numPr>
                <w:ilvl w:val="0"/>
                <w:numId w:val="3"/>
              </w:numPr>
              <w:spacing w:before="240" w:after="240"/>
              <w:ind w:left="714" w:hanging="357"/>
              <w:rPr>
                <w:rFonts w:cs="Arial"/>
                <w:i/>
                <w:iCs/>
              </w:rPr>
            </w:pPr>
            <w:r w:rsidRPr="55B5BF1F">
              <w:rPr>
                <w:rFonts w:cs="Arial"/>
                <w:sz w:val="20"/>
                <w:szCs w:val="20"/>
              </w:rPr>
              <w:t xml:space="preserve">Additionally, </w:t>
            </w:r>
            <w:r w:rsidR="006A123D" w:rsidRPr="55B5BF1F">
              <w:rPr>
                <w:rFonts w:cs="Arial"/>
                <w:sz w:val="20"/>
                <w:szCs w:val="20"/>
              </w:rPr>
              <w:t xml:space="preserve">IFC has </w:t>
            </w:r>
            <w:r w:rsidRPr="55B5BF1F">
              <w:rPr>
                <w:rFonts w:cs="Arial"/>
                <w:sz w:val="20"/>
                <w:szCs w:val="20"/>
              </w:rPr>
              <w:t xml:space="preserve">allocated </w:t>
            </w:r>
            <w:r w:rsidR="006A123D" w:rsidRPr="55B5BF1F">
              <w:rPr>
                <w:rFonts w:cs="Arial"/>
                <w:sz w:val="20"/>
                <w:szCs w:val="20"/>
              </w:rPr>
              <w:t>£</w:t>
            </w:r>
            <w:r w:rsidR="00B66B2F" w:rsidRPr="55B5BF1F">
              <w:rPr>
                <w:rFonts w:cs="Arial"/>
                <w:sz w:val="20"/>
                <w:szCs w:val="20"/>
              </w:rPr>
              <w:t>56</w:t>
            </w:r>
            <w:r w:rsidR="001A6BAD" w:rsidRPr="55B5BF1F">
              <w:rPr>
                <w:rFonts w:cs="Arial"/>
                <w:sz w:val="20"/>
                <w:szCs w:val="20"/>
              </w:rPr>
              <w:t xml:space="preserve">.5 million </w:t>
            </w:r>
            <w:r w:rsidR="006A123D" w:rsidRPr="55B5BF1F">
              <w:rPr>
                <w:rFonts w:cs="Arial"/>
                <w:sz w:val="20"/>
                <w:szCs w:val="20"/>
              </w:rPr>
              <w:t xml:space="preserve">to pipeline </w:t>
            </w:r>
            <w:r w:rsidR="001F0A64" w:rsidRPr="55B5BF1F">
              <w:rPr>
                <w:rFonts w:cs="Arial"/>
                <w:sz w:val="20"/>
                <w:szCs w:val="20"/>
              </w:rPr>
              <w:t>projects.</w:t>
            </w:r>
            <w:r w:rsidR="006A123D" w:rsidRPr="55B5BF1F">
              <w:rPr>
                <w:rFonts w:cs="Arial"/>
                <w:sz w:val="20"/>
                <w:szCs w:val="20"/>
              </w:rPr>
              <w:t xml:space="preserve"> </w:t>
            </w:r>
          </w:p>
          <w:p w14:paraId="77BB6DD6" w14:textId="77777777" w:rsidR="006A123D" w:rsidRPr="000C48FF" w:rsidRDefault="006A123D" w:rsidP="73602BDD">
            <w:pPr>
              <w:spacing w:after="240"/>
              <w:jc w:val="both"/>
              <w:rPr>
                <w:rFonts w:cs="Arial"/>
                <w:b/>
                <w:bCs/>
                <w:i/>
                <w:iCs/>
                <w:sz w:val="20"/>
                <w:szCs w:val="20"/>
              </w:rPr>
            </w:pPr>
            <w:r w:rsidRPr="73602BDD">
              <w:rPr>
                <w:rFonts w:cs="Arial"/>
                <w:b/>
                <w:bCs/>
                <w:i/>
                <w:iCs/>
                <w:sz w:val="20"/>
                <w:szCs w:val="20"/>
              </w:rPr>
              <w:t>Advisory services</w:t>
            </w:r>
          </w:p>
          <w:tbl>
            <w:tblPr>
              <w:tblStyle w:val="TableGrid"/>
              <w:tblW w:w="0" w:type="auto"/>
              <w:tblLook w:val="04A0" w:firstRow="1" w:lastRow="0" w:firstColumn="1" w:lastColumn="0" w:noHBand="0" w:noVBand="1"/>
            </w:tblPr>
            <w:tblGrid>
              <w:gridCol w:w="2930"/>
              <w:gridCol w:w="2930"/>
              <w:gridCol w:w="2930"/>
            </w:tblGrid>
            <w:tr w:rsidR="001A6BAD" w14:paraId="3B3ACC7A" w14:textId="77777777" w:rsidTr="73602BDD">
              <w:trPr>
                <w:trHeight w:val="300"/>
              </w:trPr>
              <w:tc>
                <w:tcPr>
                  <w:tcW w:w="2930" w:type="dxa"/>
                </w:tcPr>
                <w:p w14:paraId="16585EB4" w14:textId="77777777" w:rsidR="001A6BAD" w:rsidRPr="0058582E" w:rsidRDefault="001A6BAD" w:rsidP="789C6A0B">
                  <w:pPr>
                    <w:spacing w:after="240"/>
                    <w:rPr>
                      <w:rFonts w:cs="Arial"/>
                      <w:b/>
                      <w:bCs/>
                      <w:sz w:val="20"/>
                      <w:szCs w:val="20"/>
                    </w:rPr>
                  </w:pPr>
                </w:p>
              </w:tc>
              <w:tc>
                <w:tcPr>
                  <w:tcW w:w="2930" w:type="dxa"/>
                </w:tcPr>
                <w:p w14:paraId="5735D616" w14:textId="77777777" w:rsidR="001A6BAD" w:rsidRPr="0058582E" w:rsidRDefault="001A6BAD" w:rsidP="789C6A0B">
                  <w:pPr>
                    <w:spacing w:after="240"/>
                    <w:rPr>
                      <w:rFonts w:cs="Arial"/>
                      <w:b/>
                      <w:bCs/>
                      <w:sz w:val="20"/>
                      <w:szCs w:val="20"/>
                    </w:rPr>
                  </w:pPr>
                  <w:r w:rsidRPr="789C6A0B">
                    <w:rPr>
                      <w:rFonts w:cs="Arial"/>
                      <w:b/>
                      <w:bCs/>
                      <w:sz w:val="20"/>
                      <w:szCs w:val="20"/>
                    </w:rPr>
                    <w:t>Total budget</w:t>
                  </w:r>
                </w:p>
              </w:tc>
              <w:tc>
                <w:tcPr>
                  <w:tcW w:w="2930" w:type="dxa"/>
                </w:tcPr>
                <w:p w14:paraId="4762FAC2" w14:textId="77777777" w:rsidR="001A6BAD" w:rsidRPr="0058582E" w:rsidRDefault="001A6BAD" w:rsidP="789C6A0B">
                  <w:pPr>
                    <w:spacing w:after="240"/>
                    <w:rPr>
                      <w:rFonts w:cs="Arial"/>
                      <w:b/>
                      <w:bCs/>
                      <w:sz w:val="20"/>
                      <w:szCs w:val="20"/>
                    </w:rPr>
                  </w:pPr>
                  <w:r w:rsidRPr="789C6A0B">
                    <w:rPr>
                      <w:rFonts w:cs="Arial"/>
                      <w:b/>
                      <w:bCs/>
                      <w:sz w:val="20"/>
                      <w:szCs w:val="20"/>
                    </w:rPr>
                    <w:t>Percentage of total value</w:t>
                  </w:r>
                </w:p>
              </w:tc>
            </w:tr>
            <w:tr w:rsidR="001A6BAD" w14:paraId="0D3B4692" w14:textId="77777777" w:rsidTr="73602BDD">
              <w:trPr>
                <w:trHeight w:val="300"/>
              </w:trPr>
              <w:tc>
                <w:tcPr>
                  <w:tcW w:w="2930" w:type="dxa"/>
                </w:tcPr>
                <w:p w14:paraId="59C342A7" w14:textId="77777777" w:rsidR="001A6BAD" w:rsidRDefault="001A6BAD" w:rsidP="789C6A0B">
                  <w:pPr>
                    <w:spacing w:after="240"/>
                    <w:rPr>
                      <w:rFonts w:cs="Arial"/>
                      <w:sz w:val="20"/>
                      <w:szCs w:val="20"/>
                    </w:rPr>
                  </w:pPr>
                  <w:r w:rsidRPr="789C6A0B">
                    <w:rPr>
                      <w:rFonts w:cs="Arial"/>
                      <w:sz w:val="20"/>
                      <w:szCs w:val="20"/>
                    </w:rPr>
                    <w:t>Business Case (and subsequent Change Requests</w:t>
                  </w:r>
                </w:p>
              </w:tc>
              <w:tc>
                <w:tcPr>
                  <w:tcW w:w="2930" w:type="dxa"/>
                </w:tcPr>
                <w:p w14:paraId="32E0F4CF" w14:textId="105076F2" w:rsidR="001A6BAD" w:rsidRDefault="001A6BAD" w:rsidP="789C6A0B">
                  <w:pPr>
                    <w:spacing w:after="240"/>
                    <w:rPr>
                      <w:rFonts w:cs="Arial"/>
                      <w:sz w:val="20"/>
                      <w:szCs w:val="20"/>
                    </w:rPr>
                  </w:pPr>
                  <w:r w:rsidRPr="789C6A0B">
                    <w:rPr>
                      <w:rFonts w:cs="Arial"/>
                      <w:sz w:val="20"/>
                      <w:szCs w:val="20"/>
                    </w:rPr>
                    <w:t>£36.09 million</w:t>
                  </w:r>
                </w:p>
              </w:tc>
              <w:tc>
                <w:tcPr>
                  <w:tcW w:w="2930" w:type="dxa"/>
                </w:tcPr>
                <w:p w14:paraId="7B1C7180" w14:textId="77777777" w:rsidR="001A6BAD" w:rsidRDefault="001A6BAD" w:rsidP="789C6A0B">
                  <w:pPr>
                    <w:spacing w:after="240"/>
                    <w:rPr>
                      <w:rFonts w:cs="Arial"/>
                      <w:sz w:val="20"/>
                      <w:szCs w:val="20"/>
                    </w:rPr>
                  </w:pPr>
                </w:p>
              </w:tc>
            </w:tr>
            <w:tr w:rsidR="00FB5792" w14:paraId="344F753B" w14:textId="77777777" w:rsidTr="73602BDD">
              <w:trPr>
                <w:trHeight w:val="300"/>
              </w:trPr>
              <w:tc>
                <w:tcPr>
                  <w:tcW w:w="2930" w:type="dxa"/>
                </w:tcPr>
                <w:p w14:paraId="360F0750" w14:textId="0B222C50" w:rsidR="00FB5792" w:rsidRDefault="00FB5792" w:rsidP="789C6A0B">
                  <w:pPr>
                    <w:spacing w:after="240"/>
                    <w:rPr>
                      <w:rFonts w:cs="Arial"/>
                      <w:sz w:val="20"/>
                      <w:szCs w:val="20"/>
                    </w:rPr>
                  </w:pPr>
                  <w:r w:rsidRPr="73602BDD">
                    <w:rPr>
                      <w:rFonts w:cs="Arial"/>
                      <w:sz w:val="20"/>
                      <w:szCs w:val="20"/>
                    </w:rPr>
                    <w:t>Promissory Notes (paid by DESNZ to IFC)</w:t>
                  </w:r>
                </w:p>
              </w:tc>
              <w:tc>
                <w:tcPr>
                  <w:tcW w:w="2930" w:type="dxa"/>
                </w:tcPr>
                <w:p w14:paraId="79984B58" w14:textId="1FF371B6" w:rsidR="00FB5792" w:rsidRDefault="00FB5792" w:rsidP="789C6A0B">
                  <w:pPr>
                    <w:spacing w:after="240"/>
                    <w:rPr>
                      <w:rFonts w:cs="Arial"/>
                      <w:sz w:val="20"/>
                      <w:szCs w:val="20"/>
                    </w:rPr>
                  </w:pPr>
                  <w:r w:rsidRPr="73602BDD">
                    <w:rPr>
                      <w:rFonts w:cs="Arial"/>
                      <w:sz w:val="20"/>
                      <w:szCs w:val="20"/>
                    </w:rPr>
                    <w:t>£36.09 million</w:t>
                  </w:r>
                </w:p>
              </w:tc>
              <w:tc>
                <w:tcPr>
                  <w:tcW w:w="2930" w:type="dxa"/>
                </w:tcPr>
                <w:p w14:paraId="628F7384" w14:textId="03ACBFBE" w:rsidR="00FB5792" w:rsidRDefault="00FB5792" w:rsidP="789C6A0B">
                  <w:pPr>
                    <w:spacing w:after="240"/>
                    <w:rPr>
                      <w:rFonts w:cs="Arial"/>
                      <w:sz w:val="20"/>
                      <w:szCs w:val="20"/>
                    </w:rPr>
                  </w:pPr>
                  <w:r w:rsidRPr="73602BDD">
                    <w:rPr>
                      <w:rFonts w:cs="Arial"/>
                      <w:sz w:val="20"/>
                      <w:szCs w:val="20"/>
                    </w:rPr>
                    <w:t>100%</w:t>
                  </w:r>
                </w:p>
              </w:tc>
            </w:tr>
            <w:tr w:rsidR="001A6BAD" w14:paraId="1B7E30AF" w14:textId="77777777" w:rsidTr="73602BDD">
              <w:trPr>
                <w:trHeight w:val="300"/>
              </w:trPr>
              <w:tc>
                <w:tcPr>
                  <w:tcW w:w="2930" w:type="dxa"/>
                </w:tcPr>
                <w:p w14:paraId="67512FF3" w14:textId="77777777" w:rsidR="001A6BAD" w:rsidRDefault="001A6BAD" w:rsidP="789C6A0B">
                  <w:pPr>
                    <w:spacing w:after="240"/>
                    <w:rPr>
                      <w:rFonts w:cs="Arial"/>
                      <w:sz w:val="20"/>
                      <w:szCs w:val="20"/>
                    </w:rPr>
                  </w:pPr>
                  <w:r w:rsidRPr="789C6A0B">
                    <w:rPr>
                      <w:rFonts w:cs="Arial"/>
                      <w:sz w:val="20"/>
                      <w:szCs w:val="20"/>
                    </w:rPr>
                    <w:t>Encashments (monies drawn by IFC from laid Promissory Notes)</w:t>
                  </w:r>
                </w:p>
              </w:tc>
              <w:tc>
                <w:tcPr>
                  <w:tcW w:w="2930" w:type="dxa"/>
                </w:tcPr>
                <w:p w14:paraId="30A95D1D" w14:textId="04D3D9AF" w:rsidR="001A6BAD" w:rsidRDefault="001A6BAD" w:rsidP="789C6A0B">
                  <w:pPr>
                    <w:spacing w:after="240"/>
                    <w:rPr>
                      <w:rFonts w:cs="Arial"/>
                      <w:sz w:val="20"/>
                      <w:szCs w:val="20"/>
                    </w:rPr>
                  </w:pPr>
                  <w:r w:rsidRPr="73602BDD">
                    <w:rPr>
                      <w:rFonts w:cs="Arial"/>
                      <w:sz w:val="20"/>
                      <w:szCs w:val="20"/>
                    </w:rPr>
                    <w:t>£</w:t>
                  </w:r>
                  <w:r w:rsidR="00FB5792" w:rsidRPr="73602BDD">
                    <w:rPr>
                      <w:rFonts w:cs="Arial"/>
                      <w:sz w:val="20"/>
                      <w:szCs w:val="20"/>
                    </w:rPr>
                    <w:t>27.4</w:t>
                  </w:r>
                  <w:r w:rsidRPr="73602BDD">
                    <w:rPr>
                      <w:rFonts w:cs="Arial"/>
                      <w:sz w:val="20"/>
                      <w:szCs w:val="20"/>
                    </w:rPr>
                    <w:t xml:space="preserve"> million</w:t>
                  </w:r>
                </w:p>
              </w:tc>
              <w:tc>
                <w:tcPr>
                  <w:tcW w:w="2930" w:type="dxa"/>
                </w:tcPr>
                <w:p w14:paraId="6C65E139" w14:textId="4F907612" w:rsidR="001A6BAD" w:rsidRDefault="00835F1D" w:rsidP="789C6A0B">
                  <w:pPr>
                    <w:spacing w:after="240"/>
                    <w:rPr>
                      <w:rFonts w:cs="Arial"/>
                      <w:sz w:val="20"/>
                      <w:szCs w:val="20"/>
                    </w:rPr>
                  </w:pPr>
                  <w:r w:rsidRPr="73602BDD">
                    <w:rPr>
                      <w:rFonts w:cs="Arial"/>
                      <w:sz w:val="20"/>
                      <w:szCs w:val="20"/>
                    </w:rPr>
                    <w:t>76</w:t>
                  </w:r>
                  <w:r w:rsidR="001A6BAD" w:rsidRPr="73602BDD">
                    <w:rPr>
                      <w:rFonts w:cs="Arial"/>
                      <w:sz w:val="20"/>
                      <w:szCs w:val="20"/>
                    </w:rPr>
                    <w:t>%</w:t>
                  </w:r>
                </w:p>
              </w:tc>
            </w:tr>
            <w:tr w:rsidR="001A6BAD" w14:paraId="278346BD" w14:textId="77777777" w:rsidTr="73602BDD">
              <w:trPr>
                <w:trHeight w:val="300"/>
              </w:trPr>
              <w:tc>
                <w:tcPr>
                  <w:tcW w:w="2930" w:type="dxa"/>
                </w:tcPr>
                <w:p w14:paraId="531E6F7B" w14:textId="7201E1A1" w:rsidR="001A6BAD" w:rsidRDefault="00835F1D" w:rsidP="789C6A0B">
                  <w:pPr>
                    <w:spacing w:after="240"/>
                    <w:rPr>
                      <w:rFonts w:cs="Arial"/>
                      <w:sz w:val="20"/>
                      <w:szCs w:val="20"/>
                    </w:rPr>
                  </w:pPr>
                  <w:r w:rsidRPr="73602BDD">
                    <w:rPr>
                      <w:rFonts w:cs="Arial"/>
                      <w:sz w:val="20"/>
                      <w:szCs w:val="20"/>
                    </w:rPr>
                    <w:t>Disbursements</w:t>
                  </w:r>
                  <w:r w:rsidR="001A6BAD" w:rsidRPr="73602BDD">
                    <w:rPr>
                      <w:rFonts w:cs="Arial"/>
                      <w:sz w:val="20"/>
                      <w:szCs w:val="20"/>
                    </w:rPr>
                    <w:t xml:space="preserve"> (monies </w:t>
                  </w:r>
                  <w:r w:rsidRPr="73602BDD">
                    <w:rPr>
                      <w:rFonts w:cs="Arial"/>
                      <w:sz w:val="20"/>
                      <w:szCs w:val="20"/>
                    </w:rPr>
                    <w:t xml:space="preserve">spent or </w:t>
                  </w:r>
                  <w:r w:rsidR="001A6BAD" w:rsidRPr="73602BDD">
                    <w:rPr>
                      <w:rFonts w:cs="Arial"/>
                      <w:sz w:val="20"/>
                      <w:szCs w:val="20"/>
                    </w:rPr>
                    <w:t>committed to specific projects</w:t>
                  </w:r>
                  <w:r w:rsidR="00BD06AD" w:rsidRPr="73602BDD">
                    <w:rPr>
                      <w:rFonts w:cs="Arial"/>
                      <w:sz w:val="20"/>
                      <w:szCs w:val="20"/>
                    </w:rPr>
                    <w:t xml:space="preserve">, excluding IFC’s 5% </w:t>
                  </w:r>
                  <w:r w:rsidR="007016CA" w:rsidRPr="73602BDD">
                    <w:rPr>
                      <w:rFonts w:cs="Arial"/>
                      <w:sz w:val="20"/>
                      <w:szCs w:val="20"/>
                    </w:rPr>
                    <w:t>trust fund administration fee)</w:t>
                  </w:r>
                </w:p>
              </w:tc>
              <w:tc>
                <w:tcPr>
                  <w:tcW w:w="2930" w:type="dxa"/>
                </w:tcPr>
                <w:p w14:paraId="51A7AD94" w14:textId="29179482" w:rsidR="001A6BAD" w:rsidRDefault="001A6BAD" w:rsidP="789C6A0B">
                  <w:pPr>
                    <w:spacing w:after="240"/>
                    <w:rPr>
                      <w:rFonts w:cs="Arial"/>
                      <w:sz w:val="20"/>
                      <w:szCs w:val="20"/>
                    </w:rPr>
                  </w:pPr>
                  <w:r w:rsidRPr="73602BDD">
                    <w:rPr>
                      <w:rFonts w:cs="Arial"/>
                      <w:sz w:val="20"/>
                      <w:szCs w:val="20"/>
                    </w:rPr>
                    <w:t>£</w:t>
                  </w:r>
                  <w:r w:rsidR="007016CA" w:rsidRPr="73602BDD">
                    <w:rPr>
                      <w:rFonts w:cs="Arial"/>
                      <w:sz w:val="20"/>
                      <w:szCs w:val="20"/>
                    </w:rPr>
                    <w:t>11.9</w:t>
                  </w:r>
                  <w:r w:rsidRPr="73602BDD">
                    <w:rPr>
                      <w:rFonts w:cs="Arial"/>
                      <w:sz w:val="20"/>
                      <w:szCs w:val="20"/>
                    </w:rPr>
                    <w:t xml:space="preserve"> million</w:t>
                  </w:r>
                </w:p>
              </w:tc>
              <w:tc>
                <w:tcPr>
                  <w:tcW w:w="2930" w:type="dxa"/>
                </w:tcPr>
                <w:p w14:paraId="28BAF630" w14:textId="5174775B" w:rsidR="001A6BAD" w:rsidRDefault="007016CA" w:rsidP="789C6A0B">
                  <w:pPr>
                    <w:spacing w:after="240"/>
                    <w:rPr>
                      <w:rFonts w:cs="Arial"/>
                      <w:sz w:val="20"/>
                      <w:szCs w:val="20"/>
                    </w:rPr>
                  </w:pPr>
                  <w:r w:rsidRPr="73602BDD">
                    <w:rPr>
                      <w:rFonts w:cs="Arial"/>
                      <w:sz w:val="20"/>
                      <w:szCs w:val="20"/>
                    </w:rPr>
                    <w:t>3</w:t>
                  </w:r>
                  <w:r w:rsidR="001A6BAD" w:rsidRPr="73602BDD">
                    <w:rPr>
                      <w:rFonts w:cs="Arial"/>
                      <w:sz w:val="20"/>
                      <w:szCs w:val="20"/>
                    </w:rPr>
                    <w:t>3%</w:t>
                  </w:r>
                </w:p>
              </w:tc>
            </w:tr>
          </w:tbl>
          <w:p w14:paraId="5199D5C8" w14:textId="300EBE10" w:rsidR="006A123D" w:rsidRPr="003C710C" w:rsidRDefault="002A1261" w:rsidP="789C6A0B">
            <w:pPr>
              <w:spacing w:before="240" w:after="240"/>
              <w:jc w:val="both"/>
              <w:rPr>
                <w:rFonts w:cs="Arial"/>
              </w:rPr>
            </w:pPr>
            <w:r w:rsidRPr="789C6A0B">
              <w:rPr>
                <w:rFonts w:cs="Arial"/>
                <w:sz w:val="20"/>
                <w:szCs w:val="20"/>
              </w:rPr>
              <w:t xml:space="preserve">Additional </w:t>
            </w:r>
            <w:bookmarkEnd w:id="4"/>
            <w:r w:rsidR="006A123D" w:rsidRPr="789C6A0B">
              <w:rPr>
                <w:rFonts w:cs="Arial"/>
                <w:sz w:val="20"/>
                <w:szCs w:val="20"/>
              </w:rPr>
              <w:t xml:space="preserve">commitments </w:t>
            </w:r>
            <w:r w:rsidRPr="789C6A0B">
              <w:rPr>
                <w:rFonts w:cs="Arial"/>
                <w:sz w:val="20"/>
                <w:szCs w:val="20"/>
              </w:rPr>
              <w:t xml:space="preserve">are valued </w:t>
            </w:r>
            <w:r w:rsidR="006A123D" w:rsidRPr="789C6A0B">
              <w:rPr>
                <w:rFonts w:cs="Arial"/>
                <w:sz w:val="20"/>
                <w:szCs w:val="20"/>
              </w:rPr>
              <w:t>at £</w:t>
            </w:r>
            <w:r w:rsidR="00AD74B8" w:rsidRPr="789C6A0B">
              <w:rPr>
                <w:rFonts w:cs="Arial"/>
                <w:sz w:val="20"/>
                <w:szCs w:val="20"/>
              </w:rPr>
              <w:t>3</w:t>
            </w:r>
            <w:r w:rsidRPr="789C6A0B">
              <w:rPr>
                <w:rFonts w:cs="Arial"/>
                <w:sz w:val="20"/>
                <w:szCs w:val="20"/>
              </w:rPr>
              <w:t xml:space="preserve">.3 million </w:t>
            </w:r>
            <w:r w:rsidR="006A123D" w:rsidRPr="789C6A0B">
              <w:rPr>
                <w:rFonts w:cs="Arial"/>
                <w:sz w:val="20"/>
                <w:szCs w:val="20"/>
              </w:rPr>
              <w:t xml:space="preserve">and unallocated funds </w:t>
            </w:r>
            <w:r w:rsidRPr="789C6A0B">
              <w:rPr>
                <w:rFonts w:cs="Arial"/>
                <w:sz w:val="20"/>
                <w:szCs w:val="20"/>
              </w:rPr>
              <w:t>at</w:t>
            </w:r>
            <w:r w:rsidR="006A123D" w:rsidRPr="789C6A0B">
              <w:rPr>
                <w:rFonts w:cs="Arial"/>
                <w:sz w:val="20"/>
                <w:szCs w:val="20"/>
              </w:rPr>
              <w:t xml:space="preserve"> £</w:t>
            </w:r>
            <w:r w:rsidR="00BA1DAE" w:rsidRPr="789C6A0B">
              <w:rPr>
                <w:rFonts w:cs="Arial"/>
                <w:sz w:val="20"/>
                <w:szCs w:val="20"/>
              </w:rPr>
              <w:t>10</w:t>
            </w:r>
            <w:r w:rsidRPr="789C6A0B">
              <w:rPr>
                <w:rFonts w:cs="Arial"/>
                <w:sz w:val="20"/>
                <w:szCs w:val="20"/>
              </w:rPr>
              <w:t>.9 million</w:t>
            </w:r>
            <w:r w:rsidR="006A123D" w:rsidRPr="789C6A0B">
              <w:rPr>
                <w:rFonts w:cs="Arial"/>
                <w:sz w:val="20"/>
                <w:szCs w:val="20"/>
              </w:rPr>
              <w:t>.</w:t>
            </w:r>
          </w:p>
        </w:tc>
      </w:tr>
    </w:tbl>
    <w:p w14:paraId="6395C44C" w14:textId="77777777" w:rsidR="006A123D" w:rsidRPr="0040656D" w:rsidRDefault="006A123D" w:rsidP="00657117">
      <w:pPr>
        <w:spacing w:after="240"/>
        <w:rPr>
          <w:rFonts w:cs="Arial"/>
          <w:bCs/>
          <w:color w:val="FF0000"/>
          <w:sz w:val="20"/>
          <w:szCs w:val="20"/>
        </w:rPr>
      </w:pPr>
    </w:p>
    <w:p w14:paraId="0398938B" w14:textId="6CEDDDC7" w:rsidR="006A123D" w:rsidRPr="0040656D" w:rsidRDefault="006A123D" w:rsidP="00657117">
      <w:pPr>
        <w:spacing w:after="240"/>
        <w:jc w:val="both"/>
        <w:rPr>
          <w:rFonts w:cs="Arial"/>
          <w:bCs/>
          <w:sz w:val="20"/>
          <w:szCs w:val="20"/>
          <w:u w:val="single"/>
        </w:rPr>
      </w:pPr>
      <w:r w:rsidRPr="001009B5">
        <w:rPr>
          <w:rFonts w:cs="Arial"/>
          <w:bCs/>
          <w:sz w:val="20"/>
          <w:szCs w:val="20"/>
          <w:u w:val="single"/>
        </w:rPr>
        <w:t>Value for Money Assessment</w:t>
      </w:r>
    </w:p>
    <w:p w14:paraId="0F60FF9C" w14:textId="221671AE" w:rsidR="006A123D" w:rsidRPr="0040656D" w:rsidRDefault="006A123D" w:rsidP="00657117">
      <w:pPr>
        <w:spacing w:after="240" w:line="259" w:lineRule="auto"/>
        <w:jc w:val="both"/>
        <w:rPr>
          <w:rFonts w:eastAsiaTheme="minorHAnsi" w:cs="Arial"/>
          <w:sz w:val="20"/>
          <w:szCs w:val="20"/>
          <w:lang w:eastAsia="en-GB"/>
        </w:rPr>
      </w:pPr>
      <w:r w:rsidRPr="0040656D">
        <w:rPr>
          <w:rFonts w:eastAsiaTheme="minorHAnsi" w:cs="Arial"/>
          <w:sz w:val="20"/>
          <w:szCs w:val="20"/>
          <w:lang w:eastAsia="en-GB"/>
        </w:rPr>
        <w:t xml:space="preserve">The Business Case value for money assessment </w:t>
      </w:r>
      <w:r w:rsidR="00A45AFC">
        <w:rPr>
          <w:rFonts w:eastAsiaTheme="minorHAnsi" w:cs="Arial"/>
          <w:sz w:val="20"/>
          <w:szCs w:val="20"/>
          <w:lang w:eastAsia="en-GB"/>
        </w:rPr>
        <w:t xml:space="preserve">overall </w:t>
      </w:r>
      <w:r w:rsidRPr="0040656D">
        <w:rPr>
          <w:rFonts w:eastAsiaTheme="minorHAnsi" w:cs="Arial"/>
          <w:sz w:val="20"/>
          <w:szCs w:val="20"/>
          <w:lang w:eastAsia="en-GB"/>
        </w:rPr>
        <w:t>remains valid.</w:t>
      </w:r>
      <w:r w:rsidR="00A45AFC">
        <w:rPr>
          <w:rFonts w:eastAsiaTheme="minorHAnsi" w:cs="Arial"/>
          <w:sz w:val="20"/>
          <w:szCs w:val="20"/>
          <w:lang w:eastAsia="en-GB"/>
        </w:rPr>
        <w:t xml:space="preserve"> A</w:t>
      </w:r>
      <w:r w:rsidR="00A45AFC" w:rsidRPr="0040656D">
        <w:rPr>
          <w:rFonts w:eastAsiaTheme="minorHAnsi" w:cs="Arial"/>
          <w:sz w:val="20"/>
          <w:szCs w:val="20"/>
          <w:lang w:eastAsia="en-GB"/>
        </w:rPr>
        <w:t xml:space="preserve"> summary of the programme’s </w:t>
      </w:r>
      <w:r w:rsidR="00A45AFC" w:rsidRPr="0040656D">
        <w:rPr>
          <w:rFonts w:eastAsiaTheme="minorHAnsi" w:cs="Arial"/>
          <w:sz w:val="20"/>
          <w:szCs w:val="20"/>
        </w:rPr>
        <w:t xml:space="preserve">Value for Money position against the </w:t>
      </w:r>
      <w:r w:rsidR="00A45AFC">
        <w:rPr>
          <w:rFonts w:eastAsiaTheme="minorHAnsi" w:cs="Arial"/>
          <w:sz w:val="20"/>
          <w:szCs w:val="20"/>
        </w:rPr>
        <w:t>5</w:t>
      </w:r>
      <w:r w:rsidR="00A45AFC" w:rsidRPr="0040656D">
        <w:rPr>
          <w:rFonts w:eastAsiaTheme="minorHAnsi" w:cs="Arial"/>
          <w:sz w:val="20"/>
          <w:szCs w:val="20"/>
        </w:rPr>
        <w:t>Es: Economy, Efficiency, Effectiveness</w:t>
      </w:r>
      <w:r w:rsidR="00A45AFC">
        <w:rPr>
          <w:rFonts w:eastAsiaTheme="minorHAnsi" w:cs="Arial"/>
          <w:sz w:val="20"/>
          <w:szCs w:val="20"/>
        </w:rPr>
        <w:t>, Cost Effectiveness</w:t>
      </w:r>
      <w:r w:rsidR="00A45AFC" w:rsidRPr="0040656D">
        <w:rPr>
          <w:rFonts w:eastAsiaTheme="minorHAnsi" w:cs="Arial"/>
          <w:sz w:val="20"/>
          <w:szCs w:val="20"/>
        </w:rPr>
        <w:t xml:space="preserve"> and Equity </w:t>
      </w:r>
      <w:r w:rsidR="00A45AFC">
        <w:rPr>
          <w:rFonts w:eastAsiaTheme="minorHAnsi" w:cs="Arial"/>
          <w:sz w:val="20"/>
          <w:szCs w:val="20"/>
        </w:rPr>
        <w:t>has been</w:t>
      </w:r>
      <w:r w:rsidR="00A45AFC" w:rsidRPr="0040656D">
        <w:rPr>
          <w:rFonts w:eastAsiaTheme="minorHAnsi" w:cs="Arial"/>
          <w:sz w:val="20"/>
          <w:szCs w:val="20"/>
        </w:rPr>
        <w:t xml:space="preserve"> provided below (please refer to business case for more details). </w:t>
      </w:r>
      <w:r w:rsidR="00AE3C00">
        <w:rPr>
          <w:rFonts w:eastAsiaTheme="minorHAnsi" w:cs="Arial"/>
          <w:sz w:val="20"/>
          <w:szCs w:val="20"/>
          <w:lang w:eastAsia="en-GB"/>
        </w:rPr>
        <w:t xml:space="preserve">DESNZ analysts have not been able </w:t>
      </w:r>
      <w:r w:rsidR="00AE3C00" w:rsidRPr="0040656D">
        <w:rPr>
          <w:rFonts w:eastAsiaTheme="minorHAnsi" w:cs="Arial"/>
          <w:sz w:val="20"/>
          <w:szCs w:val="20"/>
          <w:lang w:eastAsia="en-GB"/>
        </w:rPr>
        <w:t>to make a full assessment against some of the original business case assumptions</w:t>
      </w:r>
      <w:r w:rsidR="00AE3C00">
        <w:rPr>
          <w:rFonts w:eastAsiaTheme="minorHAnsi" w:cs="Arial"/>
          <w:sz w:val="20"/>
          <w:szCs w:val="20"/>
          <w:lang w:eastAsia="en-GB"/>
        </w:rPr>
        <w:t>. This is due to</w:t>
      </w:r>
      <w:r w:rsidR="00A45AFC">
        <w:rPr>
          <w:rFonts w:eastAsiaTheme="minorHAnsi" w:cs="Arial"/>
          <w:sz w:val="20"/>
          <w:szCs w:val="20"/>
          <w:lang w:eastAsia="en-GB"/>
        </w:rPr>
        <w:t xml:space="preserve"> limitations</w:t>
      </w:r>
      <w:r w:rsidR="00F14E3F">
        <w:rPr>
          <w:rFonts w:eastAsiaTheme="minorHAnsi" w:cs="Arial"/>
          <w:sz w:val="20"/>
          <w:szCs w:val="20"/>
          <w:lang w:eastAsia="en-GB"/>
        </w:rPr>
        <w:t xml:space="preserve"> </w:t>
      </w:r>
      <w:r w:rsidR="008452DD">
        <w:rPr>
          <w:rFonts w:eastAsiaTheme="minorHAnsi" w:cs="Arial"/>
          <w:sz w:val="20"/>
          <w:szCs w:val="20"/>
          <w:lang w:eastAsia="en-GB"/>
        </w:rPr>
        <w:t>on the scale of</w:t>
      </w:r>
      <w:r w:rsidRPr="0040656D">
        <w:rPr>
          <w:rFonts w:eastAsiaTheme="minorHAnsi" w:cs="Arial"/>
          <w:sz w:val="20"/>
          <w:szCs w:val="20"/>
          <w:lang w:eastAsia="en-GB"/>
        </w:rPr>
        <w:t xml:space="preserve"> </w:t>
      </w:r>
      <w:r w:rsidR="003E08E4">
        <w:rPr>
          <w:rFonts w:eastAsiaTheme="minorHAnsi" w:cs="Arial"/>
          <w:sz w:val="20"/>
          <w:szCs w:val="20"/>
          <w:lang w:eastAsia="en-GB"/>
        </w:rPr>
        <w:t xml:space="preserve">achieved </w:t>
      </w:r>
      <w:r w:rsidRPr="0040656D">
        <w:rPr>
          <w:rFonts w:eastAsiaTheme="minorHAnsi" w:cs="Arial"/>
          <w:sz w:val="20"/>
          <w:szCs w:val="20"/>
          <w:lang w:eastAsia="en-GB"/>
        </w:rPr>
        <w:t xml:space="preserve">results data </w:t>
      </w:r>
      <w:r w:rsidR="00A45AFC">
        <w:rPr>
          <w:rFonts w:eastAsiaTheme="minorHAnsi" w:cs="Arial"/>
          <w:sz w:val="20"/>
          <w:szCs w:val="20"/>
          <w:lang w:eastAsia="en-GB"/>
        </w:rPr>
        <w:t xml:space="preserve">reported across some </w:t>
      </w:r>
      <w:r w:rsidR="00876D93">
        <w:rPr>
          <w:rFonts w:eastAsiaTheme="minorHAnsi" w:cs="Arial"/>
          <w:sz w:val="20"/>
          <w:szCs w:val="20"/>
          <w:lang w:eastAsia="en-GB"/>
        </w:rPr>
        <w:t xml:space="preserve">results </w:t>
      </w:r>
      <w:r w:rsidR="001545F8">
        <w:rPr>
          <w:rFonts w:eastAsiaTheme="minorHAnsi" w:cs="Arial"/>
          <w:sz w:val="20"/>
          <w:szCs w:val="20"/>
          <w:lang w:eastAsia="en-GB"/>
        </w:rPr>
        <w:t>indicators</w:t>
      </w:r>
      <w:r w:rsidR="00876D93">
        <w:rPr>
          <w:rFonts w:eastAsiaTheme="minorHAnsi" w:cs="Arial"/>
          <w:sz w:val="20"/>
          <w:szCs w:val="20"/>
          <w:lang w:eastAsia="en-GB"/>
        </w:rPr>
        <w:t xml:space="preserve"> </w:t>
      </w:r>
      <w:r w:rsidR="00A45AFC">
        <w:rPr>
          <w:rFonts w:eastAsiaTheme="minorHAnsi" w:cs="Arial"/>
          <w:sz w:val="20"/>
          <w:szCs w:val="20"/>
          <w:lang w:eastAsia="en-GB"/>
        </w:rPr>
        <w:t xml:space="preserve">and a lack </w:t>
      </w:r>
      <w:r w:rsidR="00876D93">
        <w:rPr>
          <w:rFonts w:eastAsiaTheme="minorHAnsi" w:cs="Arial"/>
          <w:sz w:val="20"/>
          <w:szCs w:val="20"/>
          <w:lang w:eastAsia="en-GB"/>
        </w:rPr>
        <w:t xml:space="preserve">of </w:t>
      </w:r>
      <w:r w:rsidR="002E416A">
        <w:rPr>
          <w:rFonts w:eastAsiaTheme="minorHAnsi" w:cs="Arial"/>
          <w:sz w:val="20"/>
          <w:szCs w:val="20"/>
          <w:lang w:eastAsia="en-GB"/>
        </w:rPr>
        <w:t>expected results data</w:t>
      </w:r>
      <w:r w:rsidR="00A13D94">
        <w:rPr>
          <w:rFonts w:eastAsiaTheme="minorHAnsi" w:cs="Arial"/>
          <w:sz w:val="20"/>
          <w:szCs w:val="20"/>
          <w:lang w:eastAsia="en-GB"/>
        </w:rPr>
        <w:t xml:space="preserve"> available at the</w:t>
      </w:r>
      <w:r w:rsidR="002E416A">
        <w:rPr>
          <w:rFonts w:eastAsiaTheme="minorHAnsi" w:cs="Arial"/>
          <w:sz w:val="20"/>
          <w:szCs w:val="20"/>
          <w:lang w:eastAsia="en-GB"/>
        </w:rPr>
        <w:t xml:space="preserve"> individual </w:t>
      </w:r>
      <w:r w:rsidR="002F251E">
        <w:rPr>
          <w:rFonts w:eastAsiaTheme="minorHAnsi" w:cs="Arial"/>
          <w:sz w:val="20"/>
          <w:szCs w:val="20"/>
          <w:lang w:eastAsia="en-GB"/>
        </w:rPr>
        <w:t>investme</w:t>
      </w:r>
      <w:r w:rsidR="00A45AFC">
        <w:rPr>
          <w:rFonts w:eastAsiaTheme="minorHAnsi" w:cs="Arial"/>
          <w:sz w:val="20"/>
          <w:szCs w:val="20"/>
          <w:lang w:eastAsia="en-GB"/>
        </w:rPr>
        <w:t>nt</w:t>
      </w:r>
      <w:r w:rsidR="00A13D94">
        <w:rPr>
          <w:rFonts w:eastAsiaTheme="minorHAnsi" w:cs="Arial"/>
          <w:sz w:val="20"/>
          <w:szCs w:val="20"/>
          <w:lang w:eastAsia="en-GB"/>
        </w:rPr>
        <w:t xml:space="preserve"> level</w:t>
      </w:r>
      <w:r w:rsidR="00A45AFC">
        <w:rPr>
          <w:rFonts w:eastAsiaTheme="minorHAnsi" w:cs="Arial"/>
          <w:sz w:val="20"/>
          <w:szCs w:val="20"/>
          <w:lang w:eastAsia="en-GB"/>
        </w:rPr>
        <w:t>. However</w:t>
      </w:r>
      <w:r w:rsidR="00A13D94">
        <w:rPr>
          <w:rFonts w:eastAsiaTheme="minorHAnsi" w:cs="Arial"/>
          <w:sz w:val="20"/>
          <w:szCs w:val="20"/>
          <w:lang w:eastAsia="en-GB"/>
        </w:rPr>
        <w:t>,</w:t>
      </w:r>
      <w:r w:rsidR="00A45AFC">
        <w:rPr>
          <w:rFonts w:eastAsiaTheme="minorHAnsi" w:cs="Arial"/>
          <w:sz w:val="20"/>
          <w:szCs w:val="20"/>
          <w:lang w:eastAsia="en-GB"/>
        </w:rPr>
        <w:t xml:space="preserve"> the program</w:t>
      </w:r>
      <w:r w:rsidR="00876D93">
        <w:rPr>
          <w:rFonts w:eastAsiaTheme="minorHAnsi" w:cs="Arial"/>
          <w:sz w:val="20"/>
          <w:szCs w:val="20"/>
          <w:lang w:eastAsia="en-GB"/>
        </w:rPr>
        <w:t>me</w:t>
      </w:r>
      <w:r w:rsidR="005879F4">
        <w:rPr>
          <w:rFonts w:eastAsiaTheme="minorHAnsi" w:cs="Arial"/>
          <w:sz w:val="20"/>
          <w:szCs w:val="20"/>
          <w:lang w:eastAsia="en-GB"/>
        </w:rPr>
        <w:t xml:space="preserve"> remain</w:t>
      </w:r>
      <w:r w:rsidR="00335C84">
        <w:rPr>
          <w:rFonts w:eastAsiaTheme="minorHAnsi" w:cs="Arial"/>
          <w:sz w:val="20"/>
          <w:szCs w:val="20"/>
          <w:lang w:eastAsia="en-GB"/>
        </w:rPr>
        <w:t>s</w:t>
      </w:r>
      <w:r w:rsidR="00A45AFC">
        <w:rPr>
          <w:rFonts w:eastAsiaTheme="minorHAnsi" w:cs="Arial"/>
          <w:sz w:val="20"/>
          <w:szCs w:val="20"/>
          <w:lang w:eastAsia="en-GB"/>
        </w:rPr>
        <w:t xml:space="preserve"> on track </w:t>
      </w:r>
      <w:r w:rsidR="00E81220">
        <w:rPr>
          <w:rFonts w:eastAsiaTheme="minorHAnsi" w:cs="Arial"/>
          <w:sz w:val="20"/>
          <w:szCs w:val="20"/>
          <w:lang w:eastAsia="en-GB"/>
        </w:rPr>
        <w:t xml:space="preserve">relative to </w:t>
      </w:r>
      <w:r w:rsidR="00335C84">
        <w:rPr>
          <w:rFonts w:eastAsiaTheme="minorHAnsi" w:cs="Arial"/>
          <w:sz w:val="20"/>
          <w:szCs w:val="20"/>
          <w:lang w:eastAsia="en-GB"/>
        </w:rPr>
        <w:t xml:space="preserve">latest expectations </w:t>
      </w:r>
      <w:r w:rsidR="00A45AFC">
        <w:rPr>
          <w:rFonts w:eastAsiaTheme="minorHAnsi" w:cs="Arial"/>
          <w:sz w:val="20"/>
          <w:szCs w:val="20"/>
          <w:lang w:eastAsia="en-GB"/>
        </w:rPr>
        <w:t xml:space="preserve">and continues to </w:t>
      </w:r>
      <w:r w:rsidR="001545F8">
        <w:rPr>
          <w:rFonts w:eastAsiaTheme="minorHAnsi" w:cs="Arial"/>
          <w:sz w:val="20"/>
          <w:szCs w:val="20"/>
          <w:lang w:eastAsia="en-GB"/>
        </w:rPr>
        <w:t>represent</w:t>
      </w:r>
      <w:r w:rsidR="00A45AFC">
        <w:rPr>
          <w:rFonts w:eastAsiaTheme="minorHAnsi" w:cs="Arial"/>
          <w:sz w:val="20"/>
          <w:szCs w:val="20"/>
          <w:lang w:eastAsia="en-GB"/>
        </w:rPr>
        <w:t xml:space="preserve"> Value for Money</w:t>
      </w:r>
      <w:r w:rsidR="001545F8">
        <w:rPr>
          <w:rFonts w:eastAsiaTheme="minorHAnsi" w:cs="Arial"/>
          <w:sz w:val="20"/>
          <w:szCs w:val="20"/>
          <w:lang w:eastAsia="en-GB"/>
        </w:rPr>
        <w:t>,</w:t>
      </w:r>
      <w:r w:rsidR="00A45AFC">
        <w:rPr>
          <w:rFonts w:eastAsiaTheme="minorHAnsi" w:cs="Arial"/>
          <w:sz w:val="20"/>
          <w:szCs w:val="20"/>
          <w:lang w:eastAsia="en-GB"/>
        </w:rPr>
        <w:t xml:space="preserve"> with </w:t>
      </w:r>
      <w:proofErr w:type="gramStart"/>
      <w:r w:rsidR="00A45AFC">
        <w:rPr>
          <w:rFonts w:eastAsiaTheme="minorHAnsi" w:cs="Arial"/>
          <w:sz w:val="20"/>
          <w:szCs w:val="20"/>
          <w:lang w:eastAsia="en-GB"/>
        </w:rPr>
        <w:t>the vast majority of</w:t>
      </w:r>
      <w:proofErr w:type="gramEnd"/>
      <w:r w:rsidR="00A45AFC">
        <w:rPr>
          <w:rFonts w:eastAsiaTheme="minorHAnsi" w:cs="Arial"/>
          <w:sz w:val="20"/>
          <w:szCs w:val="20"/>
          <w:lang w:eastAsia="en-GB"/>
        </w:rPr>
        <w:t xml:space="preserve"> the programmes </w:t>
      </w:r>
      <w:r w:rsidR="001545F8">
        <w:rPr>
          <w:rFonts w:eastAsiaTheme="minorHAnsi" w:cs="Arial"/>
          <w:sz w:val="20"/>
          <w:szCs w:val="20"/>
          <w:lang w:eastAsia="en-GB"/>
        </w:rPr>
        <w:t xml:space="preserve">Logframe </w:t>
      </w:r>
      <w:r w:rsidR="00A45AFC">
        <w:rPr>
          <w:rFonts w:eastAsiaTheme="minorHAnsi" w:cs="Arial"/>
          <w:sz w:val="20"/>
          <w:szCs w:val="20"/>
          <w:lang w:eastAsia="en-GB"/>
        </w:rPr>
        <w:t xml:space="preserve">indicator milestones this year being achieved or </w:t>
      </w:r>
      <w:r w:rsidR="001545F8">
        <w:rPr>
          <w:rFonts w:eastAsiaTheme="minorHAnsi" w:cs="Arial"/>
          <w:sz w:val="20"/>
          <w:szCs w:val="20"/>
          <w:lang w:eastAsia="en-GB"/>
        </w:rPr>
        <w:t>exceeded.</w:t>
      </w:r>
      <w:r w:rsidR="001A5ACD">
        <w:rPr>
          <w:rFonts w:eastAsiaTheme="minorHAnsi" w:cs="Arial"/>
          <w:sz w:val="20"/>
          <w:szCs w:val="20"/>
          <w:lang w:eastAsia="en-GB"/>
        </w:rPr>
        <w:t xml:space="preserve"> </w:t>
      </w:r>
      <w:r w:rsidR="001A5ACD">
        <w:rPr>
          <w:rFonts w:eastAsiaTheme="minorHAnsi" w:cs="Arial"/>
          <w:sz w:val="20"/>
          <w:szCs w:val="20"/>
          <w:lang w:eastAsia="en-GB"/>
        </w:rPr>
        <w:lastRenderedPageBreak/>
        <w:t xml:space="preserve">Additionally, in the next reporting period we expect a detailed VfM assessment from the ongoing Independent Evaluation, while will be incorporated into the next Annual Review. </w:t>
      </w:r>
      <w:r w:rsidR="00DB4213">
        <w:rPr>
          <w:rFonts w:eastAsiaTheme="minorHAnsi" w:cs="Arial"/>
          <w:sz w:val="20"/>
          <w:szCs w:val="20"/>
          <w:lang w:eastAsia="en-GB"/>
        </w:rPr>
        <w:t xml:space="preserve"> </w:t>
      </w:r>
      <w:r w:rsidRPr="0040656D">
        <w:rPr>
          <w:rFonts w:eastAsiaTheme="minorHAnsi" w:cs="Arial"/>
          <w:sz w:val="20"/>
          <w:szCs w:val="20"/>
          <w:lang w:eastAsia="en-GB"/>
        </w:rPr>
        <w:t xml:space="preserve"> </w:t>
      </w:r>
    </w:p>
    <w:p w14:paraId="173ABB6C" w14:textId="77777777" w:rsidR="006A123D" w:rsidRPr="0040656D" w:rsidRDefault="006A123D" w:rsidP="00657117">
      <w:pPr>
        <w:spacing w:before="120" w:after="240"/>
        <w:jc w:val="both"/>
        <w:rPr>
          <w:rFonts w:eastAsiaTheme="minorHAnsi" w:cs="Arial"/>
          <w:i/>
          <w:iCs/>
          <w:sz w:val="20"/>
          <w:szCs w:val="20"/>
        </w:rPr>
      </w:pPr>
      <w:r w:rsidRPr="0040656D">
        <w:rPr>
          <w:rFonts w:eastAsiaTheme="minorHAnsi" w:cs="Arial"/>
          <w:i/>
          <w:iCs/>
          <w:sz w:val="20"/>
          <w:szCs w:val="20"/>
        </w:rPr>
        <w:t xml:space="preserve">Economy </w:t>
      </w:r>
    </w:p>
    <w:p w14:paraId="4334D71B" w14:textId="77777777" w:rsidR="006A123D" w:rsidRPr="0040656D" w:rsidRDefault="006A123D" w:rsidP="00657117">
      <w:pPr>
        <w:spacing w:before="120" w:after="240"/>
        <w:jc w:val="both"/>
        <w:rPr>
          <w:rFonts w:eastAsiaTheme="minorHAnsi" w:cs="Arial"/>
          <w:sz w:val="20"/>
        </w:rPr>
      </w:pPr>
      <w:r w:rsidRPr="0040656D">
        <w:rPr>
          <w:rFonts w:eastAsiaTheme="minorHAnsi" w:cs="Arial"/>
          <w:sz w:val="20"/>
        </w:rPr>
        <w:t xml:space="preserve">During MAGC’s inception, IFC were assessed to be one of the most effective Development Financial Institutions with a good match with UK priorities and good organisational strengths. IFC was judged to be strong on risk, fraud, and anti-corruption. Compelling evidence was shown through a </w:t>
      </w:r>
      <w:r w:rsidRPr="0040656D">
        <w:rPr>
          <w:rFonts w:eastAsiaTheme="minorHAnsi" w:cs="Arial"/>
          <w:bCs/>
          <w:sz w:val="20"/>
        </w:rPr>
        <w:t xml:space="preserve">full options appraisal, detailed </w:t>
      </w:r>
      <w:r w:rsidRPr="0040656D">
        <w:rPr>
          <w:rFonts w:eastAsiaTheme="minorHAnsi" w:cs="Arial"/>
          <w:sz w:val="20"/>
        </w:rPr>
        <w:t>value-for-money</w:t>
      </w:r>
      <w:r w:rsidRPr="0040656D">
        <w:rPr>
          <w:rFonts w:eastAsiaTheme="minorHAnsi" w:cs="Arial"/>
          <w:bCs/>
          <w:sz w:val="20"/>
        </w:rPr>
        <w:t xml:space="preserve"> assessment, and the </w:t>
      </w:r>
      <w:r w:rsidRPr="0040656D">
        <w:rPr>
          <w:rFonts w:eastAsiaTheme="minorHAnsi" w:cs="Arial"/>
          <w:sz w:val="20"/>
        </w:rPr>
        <w:t>Department for International Development’s Multilateral Development Review (2016). Programme disbursements made under both the Advisory and Investment facilities are also pursuant to IFC policies and procedures, including the IFC procurement policy. IFC has a policy, set at Board level, of full cost recovery for the operation of donor Trust Funds, and uses this as a basis for setting fees.</w:t>
      </w:r>
    </w:p>
    <w:p w14:paraId="5D2CFB7A" w14:textId="77777777" w:rsidR="006A123D" w:rsidRPr="0040656D" w:rsidRDefault="006A123D" w:rsidP="00657117">
      <w:pPr>
        <w:spacing w:before="120" w:after="240"/>
        <w:jc w:val="both"/>
        <w:rPr>
          <w:rFonts w:eastAsiaTheme="minorEastAsia" w:cs="Arial"/>
          <w:sz w:val="20"/>
          <w:szCs w:val="20"/>
        </w:rPr>
      </w:pPr>
      <w:r w:rsidRPr="0040656D">
        <w:rPr>
          <w:rFonts w:eastAsiaTheme="minorEastAsia" w:cs="Arial"/>
          <w:sz w:val="20"/>
          <w:szCs w:val="20"/>
        </w:rPr>
        <w:t xml:space="preserve">IFC’s management fee for the Investment Services is 7% of disbursements. While it is difficult to accurately benchmark, given the differences between programmes and how fees are presented, the 7% fee is judged to be around the same or slightly higher than the average of some comparator programmes when they are expressed on a consistent basis. Advisory service fees of 5% of TA disbursements are in place. These costs include costs of central units, legal, single audit, donor portal and all associated costs connected with Trust Fund management. The 5% is comparable with fees charged for similar ICF programmes. </w:t>
      </w:r>
    </w:p>
    <w:p w14:paraId="21B85AE7" w14:textId="77777777" w:rsidR="006A123D" w:rsidRPr="0040656D" w:rsidRDefault="006A123D" w:rsidP="00657117">
      <w:pPr>
        <w:spacing w:before="120" w:after="240"/>
        <w:jc w:val="both"/>
        <w:rPr>
          <w:rFonts w:eastAsiaTheme="minorEastAsia" w:cs="Arial"/>
          <w:b/>
          <w:sz w:val="20"/>
          <w:szCs w:val="20"/>
        </w:rPr>
      </w:pPr>
      <w:r w:rsidRPr="0040656D">
        <w:rPr>
          <w:rFonts w:eastAsiaTheme="minorEastAsia" w:cs="Arial"/>
          <w:i/>
          <w:sz w:val="20"/>
          <w:szCs w:val="20"/>
        </w:rPr>
        <w:t>Efficiency</w:t>
      </w:r>
      <w:r w:rsidRPr="0040656D">
        <w:rPr>
          <w:rFonts w:eastAsiaTheme="minorEastAsia" w:cs="Arial"/>
          <w:b/>
          <w:sz w:val="20"/>
          <w:szCs w:val="20"/>
        </w:rPr>
        <w:t xml:space="preserve"> </w:t>
      </w:r>
    </w:p>
    <w:p w14:paraId="388412C1" w14:textId="77777777" w:rsidR="006A123D" w:rsidRPr="0040656D" w:rsidRDefault="006A123D" w:rsidP="00657117">
      <w:pPr>
        <w:spacing w:before="120" w:after="240"/>
        <w:jc w:val="both"/>
        <w:rPr>
          <w:rFonts w:eastAsiaTheme="minorHAnsi" w:cs="Arial"/>
          <w:sz w:val="20"/>
          <w:szCs w:val="20"/>
          <w:lang w:eastAsia="en-GB"/>
        </w:rPr>
      </w:pPr>
      <w:r w:rsidRPr="0040656D">
        <w:rPr>
          <w:rFonts w:eastAsiaTheme="minorHAnsi" w:cs="Arial"/>
          <w:sz w:val="20"/>
          <w:szCs w:val="20"/>
          <w:lang w:eastAsia="en-GB"/>
        </w:rPr>
        <w:t xml:space="preserve">IFC has been supporting the development of the green finance market for over two decades and have extensive direct experience of working with financial institutions or other actors in other programmes, including programmes that had an important focus on technical assistance to financial institutions. IFC are uniquely qualified to implement the programme, given their: </w:t>
      </w:r>
    </w:p>
    <w:p w14:paraId="3DD050DA" w14:textId="12697C6B" w:rsidR="006A123D" w:rsidRPr="0040656D" w:rsidRDefault="006A123D" w:rsidP="00657117">
      <w:pPr>
        <w:numPr>
          <w:ilvl w:val="0"/>
          <w:numId w:val="5"/>
        </w:numPr>
        <w:spacing w:after="240" w:line="259" w:lineRule="auto"/>
        <w:jc w:val="both"/>
        <w:rPr>
          <w:rFonts w:eastAsiaTheme="minorHAnsi" w:cs="Arial"/>
          <w:sz w:val="20"/>
          <w:szCs w:val="20"/>
          <w:lang w:eastAsia="en-GB"/>
        </w:rPr>
      </w:pPr>
      <w:r w:rsidRPr="0040656D">
        <w:rPr>
          <w:rFonts w:eastAsiaTheme="minorHAnsi" w:cs="Arial"/>
          <w:sz w:val="20"/>
          <w:szCs w:val="20"/>
          <w:lang w:eastAsia="en-GB"/>
        </w:rPr>
        <w:t>operational experience and specialist knowledge in different segments of the green building market</w:t>
      </w:r>
      <w:r w:rsidR="001D1E06">
        <w:rPr>
          <w:rFonts w:eastAsiaTheme="minorHAnsi" w:cs="Arial"/>
          <w:sz w:val="20"/>
          <w:szCs w:val="20"/>
          <w:lang w:eastAsia="en-GB"/>
        </w:rPr>
        <w:t>.</w:t>
      </w:r>
    </w:p>
    <w:p w14:paraId="7BBA93C2" w14:textId="77777777" w:rsidR="006A123D" w:rsidRPr="0040656D" w:rsidRDefault="006A123D" w:rsidP="00657117">
      <w:pPr>
        <w:numPr>
          <w:ilvl w:val="0"/>
          <w:numId w:val="5"/>
        </w:numPr>
        <w:spacing w:after="240" w:line="259" w:lineRule="auto"/>
        <w:jc w:val="both"/>
        <w:rPr>
          <w:rFonts w:eastAsiaTheme="minorHAnsi" w:cs="Arial"/>
          <w:sz w:val="20"/>
          <w:szCs w:val="20"/>
          <w:lang w:eastAsia="en-GB"/>
        </w:rPr>
      </w:pPr>
      <w:r w:rsidRPr="0040656D">
        <w:rPr>
          <w:rFonts w:eastAsiaTheme="minorHAnsi" w:cs="Arial"/>
          <w:sz w:val="20"/>
          <w:szCs w:val="20"/>
          <w:lang w:eastAsia="en-GB"/>
        </w:rPr>
        <w:t>access to valued established resources, knowledge, and skills.</w:t>
      </w:r>
    </w:p>
    <w:p w14:paraId="3FC36E24" w14:textId="77777777" w:rsidR="006A123D" w:rsidRPr="0040656D" w:rsidRDefault="006A123D" w:rsidP="00657117">
      <w:pPr>
        <w:numPr>
          <w:ilvl w:val="0"/>
          <w:numId w:val="5"/>
        </w:numPr>
        <w:spacing w:after="240" w:line="259" w:lineRule="auto"/>
        <w:jc w:val="both"/>
        <w:rPr>
          <w:rFonts w:eastAsiaTheme="minorHAnsi" w:cs="Arial"/>
          <w:sz w:val="20"/>
          <w:szCs w:val="20"/>
          <w:lang w:eastAsia="en-GB"/>
        </w:rPr>
      </w:pPr>
      <w:r w:rsidRPr="0040656D">
        <w:rPr>
          <w:rFonts w:eastAsiaTheme="minorHAnsi" w:cs="Arial"/>
          <w:sz w:val="20"/>
          <w:szCs w:val="20"/>
          <w:lang w:eastAsia="en-GB"/>
        </w:rPr>
        <w:t>strong convening power with a global reach to establish new relationships.</w:t>
      </w:r>
    </w:p>
    <w:p w14:paraId="47652DE0" w14:textId="77777777" w:rsidR="006A123D" w:rsidRPr="0040656D" w:rsidRDefault="006A123D" w:rsidP="00657117">
      <w:pPr>
        <w:numPr>
          <w:ilvl w:val="0"/>
          <w:numId w:val="5"/>
        </w:numPr>
        <w:spacing w:after="240" w:line="259" w:lineRule="auto"/>
        <w:jc w:val="both"/>
        <w:rPr>
          <w:rFonts w:eastAsiaTheme="minorHAnsi" w:cs="Arial"/>
          <w:sz w:val="20"/>
          <w:szCs w:val="20"/>
          <w:lang w:eastAsia="en-GB"/>
        </w:rPr>
      </w:pPr>
      <w:r w:rsidRPr="0040656D">
        <w:rPr>
          <w:rFonts w:eastAsiaTheme="minorHAnsi" w:cs="Arial"/>
          <w:sz w:val="20"/>
          <w:szCs w:val="20"/>
          <w:lang w:eastAsia="en-GB"/>
        </w:rPr>
        <w:t>capability to leverage its own existing global relationships.</w:t>
      </w:r>
    </w:p>
    <w:p w14:paraId="0F9DB934" w14:textId="77777777" w:rsidR="006A123D" w:rsidRPr="0040656D" w:rsidRDefault="006A123D" w:rsidP="00657117">
      <w:pPr>
        <w:numPr>
          <w:ilvl w:val="0"/>
          <w:numId w:val="5"/>
        </w:numPr>
        <w:spacing w:after="240" w:line="259" w:lineRule="auto"/>
        <w:jc w:val="both"/>
        <w:rPr>
          <w:rFonts w:eastAsiaTheme="minorHAnsi" w:cs="Arial"/>
          <w:sz w:val="20"/>
          <w:szCs w:val="20"/>
          <w:lang w:eastAsia="en-GB"/>
        </w:rPr>
      </w:pPr>
      <w:r w:rsidRPr="0040656D">
        <w:rPr>
          <w:rFonts w:eastAsiaTheme="minorHAnsi" w:cs="Arial"/>
          <w:sz w:val="20"/>
          <w:szCs w:val="20"/>
          <w:lang w:eastAsia="en-GB"/>
        </w:rPr>
        <w:t>capacity to source additional specialist skills and resource.</w:t>
      </w:r>
    </w:p>
    <w:p w14:paraId="30D6B6AA" w14:textId="263B4493" w:rsidR="006A123D" w:rsidRDefault="006A123D" w:rsidP="00657117">
      <w:pPr>
        <w:spacing w:before="120" w:after="240"/>
        <w:jc w:val="both"/>
        <w:rPr>
          <w:rFonts w:eastAsiaTheme="minorHAnsi" w:cs="Arial"/>
          <w:sz w:val="20"/>
          <w:szCs w:val="20"/>
          <w:lang w:eastAsia="en-GB"/>
        </w:rPr>
      </w:pPr>
      <w:r w:rsidRPr="0040656D">
        <w:rPr>
          <w:rFonts w:eastAsiaTheme="minorHAnsi" w:cs="Arial"/>
          <w:sz w:val="20"/>
          <w:szCs w:val="20"/>
          <w:lang w:eastAsia="en-GB"/>
        </w:rPr>
        <w:t>These attributes demonstrate advantage over other comparable or relevant bodies, and the DESNZ ICF team considers IFC to be best placed to deliver MAGC-programme. The specialist skills that IFC may lack are procured through competitive tendering, which is considered to represent greater efficiency.</w:t>
      </w:r>
    </w:p>
    <w:p w14:paraId="1BA4C155" w14:textId="77777777" w:rsidR="004D68CC" w:rsidRDefault="004D68CC" w:rsidP="00657117">
      <w:pPr>
        <w:spacing w:before="120" w:after="240"/>
        <w:jc w:val="both"/>
        <w:rPr>
          <w:rFonts w:eastAsiaTheme="minorHAnsi" w:cs="Arial"/>
          <w:sz w:val="20"/>
          <w:szCs w:val="20"/>
          <w:lang w:eastAsia="en-GB"/>
        </w:rPr>
      </w:pPr>
      <w:r>
        <w:rPr>
          <w:rFonts w:eastAsiaTheme="minorHAnsi" w:cs="Arial"/>
          <w:sz w:val="20"/>
          <w:szCs w:val="20"/>
          <w:lang w:eastAsia="en-GB"/>
        </w:rPr>
        <w:t>Further, given the stage in the programme lifecycle, IFC are best suited to deliver the outcomes that DESNZ ICF demand because:</w:t>
      </w:r>
    </w:p>
    <w:p w14:paraId="21A1C30A" w14:textId="51468634" w:rsidR="004D68CC" w:rsidRPr="008E5FC7" w:rsidRDefault="004D68CC" w:rsidP="00657117">
      <w:pPr>
        <w:pStyle w:val="ListParagraph"/>
        <w:numPr>
          <w:ilvl w:val="0"/>
          <w:numId w:val="50"/>
        </w:numPr>
        <w:spacing w:before="120" w:after="240"/>
        <w:jc w:val="both"/>
        <w:rPr>
          <w:rFonts w:eastAsiaTheme="minorHAnsi" w:cs="Arial"/>
          <w:sz w:val="20"/>
          <w:szCs w:val="20"/>
          <w:lang w:eastAsia="en-GB"/>
        </w:rPr>
      </w:pPr>
      <w:r w:rsidRPr="008E5FC7">
        <w:rPr>
          <w:rFonts w:eastAsiaTheme="minorHAnsi" w:cs="Arial"/>
          <w:sz w:val="20"/>
          <w:szCs w:val="20"/>
          <w:lang w:eastAsia="en-GB"/>
        </w:rPr>
        <w:t xml:space="preserve">An innovation of IFC, EDGE certification solutions </w:t>
      </w:r>
      <w:r w:rsidR="00C2055B" w:rsidRPr="004D68CC">
        <w:rPr>
          <w:rFonts w:eastAsiaTheme="minorHAnsi" w:cs="Arial"/>
          <w:sz w:val="20"/>
          <w:szCs w:val="20"/>
          <w:lang w:eastAsia="en-GB"/>
        </w:rPr>
        <w:t>aim</w:t>
      </w:r>
      <w:r>
        <w:rPr>
          <w:rFonts w:eastAsiaTheme="minorHAnsi" w:cs="Arial"/>
          <w:sz w:val="20"/>
          <w:szCs w:val="20"/>
          <w:lang w:eastAsia="en-GB"/>
        </w:rPr>
        <w:t xml:space="preserve"> </w:t>
      </w:r>
      <w:r w:rsidRPr="008E5FC7">
        <w:rPr>
          <w:rFonts w:eastAsiaTheme="minorHAnsi" w:cs="Arial"/>
          <w:sz w:val="20"/>
          <w:szCs w:val="20"/>
          <w:lang w:eastAsia="en-GB"/>
        </w:rPr>
        <w:t>to reduce building construction’s energy, water and the energy used to make building materials by at least 20 percent</w:t>
      </w:r>
      <w:r>
        <w:rPr>
          <w:rFonts w:eastAsiaTheme="minorHAnsi" w:cs="Arial"/>
          <w:sz w:val="20"/>
          <w:szCs w:val="20"/>
          <w:lang w:eastAsia="en-GB"/>
        </w:rPr>
        <w:t xml:space="preserve">. </w:t>
      </w:r>
      <w:r w:rsidRPr="008E5FC7">
        <w:rPr>
          <w:rFonts w:eastAsiaTheme="minorHAnsi" w:cs="Arial"/>
          <w:sz w:val="20"/>
          <w:szCs w:val="20"/>
          <w:lang w:eastAsia="en-GB"/>
        </w:rPr>
        <w:t>MAGC funds the EDGE platform, therefore funding for technical assistance support through EDGE cannot be transferred to a new delivery partner.  </w:t>
      </w:r>
    </w:p>
    <w:p w14:paraId="55C42AB4" w14:textId="079D5054" w:rsidR="004D68CC" w:rsidRPr="004D68CC" w:rsidRDefault="004D68CC" w:rsidP="00657117">
      <w:pPr>
        <w:numPr>
          <w:ilvl w:val="0"/>
          <w:numId w:val="48"/>
        </w:numPr>
        <w:spacing w:before="120" w:after="240"/>
        <w:jc w:val="both"/>
        <w:rPr>
          <w:rFonts w:eastAsiaTheme="minorHAnsi" w:cs="Arial"/>
          <w:sz w:val="20"/>
          <w:szCs w:val="20"/>
          <w:lang w:eastAsia="en-GB"/>
        </w:rPr>
      </w:pPr>
      <w:r w:rsidRPr="004D68CC">
        <w:rPr>
          <w:rFonts w:eastAsiaTheme="minorHAnsi" w:cs="Arial"/>
          <w:sz w:val="20"/>
          <w:szCs w:val="20"/>
          <w:lang w:eastAsia="en-GB"/>
        </w:rPr>
        <w:t>Further, the investment pipeline has been developed by IFC, and the nature of the commercial relationships between IFC and investee</w:t>
      </w:r>
      <w:r>
        <w:rPr>
          <w:rFonts w:eastAsiaTheme="minorHAnsi" w:cs="Arial"/>
          <w:sz w:val="20"/>
          <w:szCs w:val="20"/>
          <w:lang w:eastAsia="en-GB"/>
        </w:rPr>
        <w:t>s</w:t>
      </w:r>
      <w:r w:rsidRPr="004D68CC">
        <w:rPr>
          <w:rFonts w:eastAsiaTheme="minorHAnsi" w:cs="Arial"/>
          <w:sz w:val="20"/>
          <w:szCs w:val="20"/>
          <w:lang w:eastAsia="en-GB"/>
        </w:rPr>
        <w:t xml:space="preserve"> cannot be transferred to a new delivery partner.  </w:t>
      </w:r>
    </w:p>
    <w:p w14:paraId="61A70D96" w14:textId="77777777" w:rsidR="004D68CC" w:rsidRPr="004D68CC" w:rsidRDefault="004D68CC" w:rsidP="00657117">
      <w:pPr>
        <w:numPr>
          <w:ilvl w:val="0"/>
          <w:numId w:val="49"/>
        </w:numPr>
        <w:spacing w:before="120" w:after="240"/>
        <w:jc w:val="both"/>
        <w:rPr>
          <w:rFonts w:eastAsiaTheme="minorHAnsi" w:cs="Arial"/>
          <w:sz w:val="20"/>
          <w:szCs w:val="20"/>
          <w:lang w:eastAsia="en-GB"/>
        </w:rPr>
      </w:pPr>
      <w:r w:rsidRPr="004D68CC">
        <w:rPr>
          <w:rFonts w:eastAsiaTheme="minorHAnsi" w:cs="Arial"/>
          <w:sz w:val="20"/>
          <w:szCs w:val="20"/>
          <w:lang w:eastAsia="en-GB"/>
        </w:rPr>
        <w:t>Additionally, there are coordination benefits from IFC, which is developing the research components and delivering the capability building to local FIs, working as an integrated delivery agent.   </w:t>
      </w:r>
    </w:p>
    <w:p w14:paraId="619247E4" w14:textId="28F6AC14" w:rsidR="004D68CC" w:rsidRPr="0040656D" w:rsidRDefault="004D68CC" w:rsidP="00657117">
      <w:pPr>
        <w:spacing w:before="120" w:after="240"/>
        <w:jc w:val="both"/>
        <w:rPr>
          <w:rFonts w:eastAsiaTheme="minorHAnsi" w:cs="Arial"/>
          <w:sz w:val="20"/>
          <w:szCs w:val="20"/>
          <w:lang w:eastAsia="en-GB"/>
        </w:rPr>
      </w:pPr>
      <w:r w:rsidRPr="29CA07FD">
        <w:rPr>
          <w:rFonts w:eastAsiaTheme="minorEastAsia" w:cs="Arial"/>
          <w:sz w:val="20"/>
          <w:szCs w:val="20"/>
          <w:lang w:eastAsia="en-GB"/>
        </w:rPr>
        <w:lastRenderedPageBreak/>
        <w:t>The IFC continues to be a leading institution in the areas-of-focus for MAGC, which will significantly increase the expected outcomes in the Green Buildings sector, by overcoming market barriers and supporting the uptake of green construction over conventional inefficient approaches. In the 2016 DFID Multilateral Development Review (MDR)</w:t>
      </w:r>
      <w:r w:rsidR="0017693C" w:rsidRPr="29CA07FD">
        <w:rPr>
          <w:rStyle w:val="FootnoteReference"/>
          <w:rFonts w:eastAsiaTheme="minorEastAsia" w:cs="Arial"/>
          <w:sz w:val="20"/>
          <w:szCs w:val="20"/>
          <w:lang w:eastAsia="en-GB"/>
        </w:rPr>
        <w:footnoteReference w:id="9"/>
      </w:r>
      <w:r w:rsidRPr="29CA07FD">
        <w:rPr>
          <w:rFonts w:eastAsiaTheme="minorEastAsia" w:cs="Arial"/>
          <w:sz w:val="20"/>
          <w:szCs w:val="20"/>
          <w:lang w:eastAsia="en-GB"/>
        </w:rPr>
        <w:t>, IFC was assessed to be one of the most effective DFIs with a good match with UK priorities and good organisational strengths. IFC has been assessed by Standard and Poor (S&amp;P Global) to be a high performer in several categories, including governance and management.</w:t>
      </w:r>
      <w:r w:rsidR="0017693C" w:rsidRPr="29CA07FD">
        <w:rPr>
          <w:rStyle w:val="FootnoteReference"/>
          <w:rFonts w:eastAsiaTheme="minorEastAsia" w:cs="Arial"/>
          <w:sz w:val="20"/>
          <w:szCs w:val="20"/>
          <w:lang w:eastAsia="en-GB"/>
        </w:rPr>
        <w:footnoteReference w:id="10"/>
      </w:r>
    </w:p>
    <w:p w14:paraId="382A6921" w14:textId="5EAF31B2" w:rsidR="006A123D" w:rsidRPr="0040656D" w:rsidRDefault="006A123D" w:rsidP="00657117">
      <w:pPr>
        <w:spacing w:before="120" w:after="240"/>
        <w:jc w:val="both"/>
        <w:rPr>
          <w:rFonts w:eastAsiaTheme="minorHAnsi" w:cs="Arial"/>
          <w:sz w:val="20"/>
          <w:szCs w:val="20"/>
          <w:lang w:eastAsia="en-GB"/>
        </w:rPr>
      </w:pPr>
      <w:r w:rsidRPr="0040656D">
        <w:rPr>
          <w:rFonts w:eastAsiaTheme="minorHAnsi" w:cs="Arial"/>
          <w:sz w:val="20"/>
          <w:szCs w:val="20"/>
          <w:lang w:eastAsia="en-GB"/>
        </w:rPr>
        <w:t xml:space="preserve">As expected for this reporting period, DESNZ </w:t>
      </w:r>
      <w:r w:rsidR="002D5320">
        <w:rPr>
          <w:rFonts w:eastAsiaTheme="minorHAnsi" w:cs="Arial"/>
          <w:sz w:val="20"/>
          <w:szCs w:val="20"/>
          <w:lang w:eastAsia="en-GB"/>
        </w:rPr>
        <w:t>Bi-Annual Boards</w:t>
      </w:r>
      <w:r w:rsidRPr="0040656D">
        <w:rPr>
          <w:rFonts w:eastAsiaTheme="minorHAnsi" w:cs="Arial"/>
          <w:sz w:val="20"/>
          <w:szCs w:val="20"/>
          <w:lang w:eastAsia="en-GB"/>
        </w:rPr>
        <w:t xml:space="preserve"> which allowed for regular scrutiny of IFC’s delivery, discussing the investment pipeline and TA activities. DESNZ and IFC </w:t>
      </w:r>
      <w:proofErr w:type="gramStart"/>
      <w:r w:rsidRPr="0040656D">
        <w:rPr>
          <w:rFonts w:eastAsiaTheme="minorHAnsi" w:cs="Arial"/>
          <w:sz w:val="20"/>
          <w:szCs w:val="20"/>
          <w:lang w:eastAsia="en-GB"/>
        </w:rPr>
        <w:t>have the opportunity to</w:t>
      </w:r>
      <w:proofErr w:type="gramEnd"/>
      <w:r w:rsidRPr="0040656D">
        <w:rPr>
          <w:rFonts w:eastAsiaTheme="minorHAnsi" w:cs="Arial"/>
          <w:sz w:val="20"/>
          <w:szCs w:val="20"/>
          <w:lang w:eastAsia="en-GB"/>
        </w:rPr>
        <w:t xml:space="preserve"> discuss matters outside of the mandate</w:t>
      </w:r>
      <w:r w:rsidR="007A6A79">
        <w:rPr>
          <w:rFonts w:eastAsiaTheme="minorHAnsi" w:cs="Arial"/>
          <w:sz w:val="20"/>
          <w:szCs w:val="20"/>
          <w:lang w:eastAsia="en-GB"/>
        </w:rPr>
        <w:t xml:space="preserve"> and do so regularly as </w:t>
      </w:r>
      <w:r w:rsidR="00C2055B">
        <w:rPr>
          <w:rFonts w:eastAsiaTheme="minorHAnsi" w:cs="Arial"/>
          <w:sz w:val="20"/>
          <w:szCs w:val="20"/>
          <w:lang w:eastAsia="en-GB"/>
        </w:rPr>
        <w:t>require</w:t>
      </w:r>
      <w:r w:rsidR="007A6A79">
        <w:rPr>
          <w:rFonts w:eastAsiaTheme="minorHAnsi" w:cs="Arial"/>
          <w:sz w:val="20"/>
          <w:szCs w:val="20"/>
          <w:lang w:eastAsia="en-GB"/>
        </w:rPr>
        <w:t xml:space="preserve">, for example having more frequent meetings to discuss the remaining encashments on the investment services side. </w:t>
      </w:r>
    </w:p>
    <w:p w14:paraId="4E0FFADE" w14:textId="2B2616E2" w:rsidR="006A123D" w:rsidRPr="0040656D" w:rsidRDefault="006A123D" w:rsidP="00657117">
      <w:pPr>
        <w:spacing w:before="120" w:after="240"/>
        <w:jc w:val="both"/>
        <w:rPr>
          <w:rFonts w:eastAsiaTheme="minorHAnsi" w:cs="Arial"/>
          <w:b/>
          <w:bCs/>
          <w:sz w:val="20"/>
          <w:szCs w:val="20"/>
        </w:rPr>
      </w:pPr>
      <w:r w:rsidRPr="0040656D">
        <w:rPr>
          <w:rFonts w:eastAsiaTheme="minorHAnsi" w:cs="Arial"/>
          <w:i/>
          <w:iCs/>
          <w:sz w:val="20"/>
          <w:szCs w:val="20"/>
        </w:rPr>
        <w:t>Effectiveness</w:t>
      </w:r>
      <w:r w:rsidRPr="0040656D">
        <w:rPr>
          <w:rFonts w:eastAsiaTheme="minorHAnsi" w:cs="Arial"/>
          <w:b/>
          <w:bCs/>
          <w:sz w:val="20"/>
          <w:szCs w:val="20"/>
        </w:rPr>
        <w:t xml:space="preserve"> </w:t>
      </w:r>
      <w:r w:rsidR="002E416A" w:rsidRPr="002E416A">
        <w:rPr>
          <w:rFonts w:eastAsiaTheme="minorHAnsi" w:cs="Arial"/>
          <w:sz w:val="20"/>
          <w:szCs w:val="20"/>
        </w:rPr>
        <w:t>and Cost Effectiveness</w:t>
      </w:r>
      <w:r w:rsidR="002E416A" w:rsidRPr="002E416A">
        <w:rPr>
          <w:rFonts w:eastAsiaTheme="minorHAnsi" w:cs="Arial"/>
          <w:sz w:val="20"/>
          <w:szCs w:val="20"/>
        </w:rPr>
        <w:tab/>
      </w:r>
    </w:p>
    <w:p w14:paraId="5617F55B" w14:textId="3E213A87" w:rsidR="006A123D" w:rsidRPr="0040656D" w:rsidRDefault="006A123D" w:rsidP="00657117">
      <w:pPr>
        <w:spacing w:before="120" w:after="240"/>
        <w:jc w:val="both"/>
        <w:rPr>
          <w:rFonts w:eastAsiaTheme="minorHAnsi" w:cs="Arial"/>
          <w:sz w:val="20"/>
          <w:szCs w:val="20"/>
          <w:lang w:eastAsia="en-GB"/>
        </w:rPr>
      </w:pPr>
      <w:r w:rsidRPr="0040656D">
        <w:rPr>
          <w:rFonts w:eastAsiaTheme="minorHAnsi" w:cs="Arial"/>
          <w:sz w:val="20"/>
          <w:szCs w:val="20"/>
          <w:lang w:eastAsia="en-GB"/>
        </w:rPr>
        <w:t>Through its various components, MAGC could potentially contribute to a significant economic impact in the growth of the certified energy efficient green buildings market</w:t>
      </w:r>
      <w:r w:rsidR="002459BB">
        <w:rPr>
          <w:rFonts w:eastAsiaTheme="minorHAnsi" w:cs="Arial"/>
          <w:sz w:val="20"/>
          <w:szCs w:val="20"/>
          <w:lang w:eastAsia="en-GB"/>
        </w:rPr>
        <w:t>.</w:t>
      </w:r>
      <w:r w:rsidRPr="0040656D">
        <w:rPr>
          <w:rFonts w:eastAsiaTheme="minorHAnsi" w:cs="Arial"/>
          <w:sz w:val="20"/>
          <w:szCs w:val="20"/>
          <w:lang w:eastAsia="en-GB"/>
        </w:rPr>
        <w:t xml:space="preserve"> The assumption is that through the stronger business cases for scaling up construction and finance of CEEGB will lead to the unlocking of competitive finance. </w:t>
      </w:r>
      <w:r w:rsidR="00296709">
        <w:rPr>
          <w:rFonts w:eastAsiaTheme="minorHAnsi" w:cs="Arial"/>
          <w:sz w:val="20"/>
          <w:szCs w:val="20"/>
          <w:lang w:eastAsia="en-GB"/>
        </w:rPr>
        <w:t xml:space="preserve">At the programme’s inception, </w:t>
      </w:r>
      <w:r w:rsidRPr="0040656D">
        <w:rPr>
          <w:rFonts w:eastAsiaTheme="minorHAnsi" w:cs="Arial"/>
          <w:sz w:val="20"/>
          <w:szCs w:val="20"/>
          <w:lang w:eastAsia="en-GB"/>
        </w:rPr>
        <w:t>IFC anticipate</w:t>
      </w:r>
      <w:r w:rsidR="00296709">
        <w:rPr>
          <w:rFonts w:eastAsiaTheme="minorHAnsi" w:cs="Arial"/>
          <w:sz w:val="20"/>
          <w:szCs w:val="20"/>
          <w:lang w:eastAsia="en-GB"/>
        </w:rPr>
        <w:t>d</w:t>
      </w:r>
      <w:r w:rsidRPr="0040656D">
        <w:rPr>
          <w:rFonts w:eastAsiaTheme="minorHAnsi" w:cs="Arial"/>
          <w:sz w:val="20"/>
          <w:szCs w:val="20"/>
          <w:lang w:eastAsia="en-GB"/>
        </w:rPr>
        <w:t xml:space="preserve"> an additional estimate </w:t>
      </w:r>
      <w:r w:rsidR="00FA2DC9">
        <w:rPr>
          <w:rFonts w:eastAsiaTheme="minorHAnsi" w:cs="Arial"/>
          <w:sz w:val="20"/>
          <w:szCs w:val="20"/>
          <w:lang w:eastAsia="en-GB"/>
        </w:rPr>
        <w:t>at least</w:t>
      </w:r>
      <w:r w:rsidRPr="0040656D">
        <w:rPr>
          <w:rFonts w:eastAsiaTheme="minorHAnsi" w:cs="Arial"/>
          <w:sz w:val="20"/>
          <w:szCs w:val="20"/>
          <w:lang w:eastAsia="en-GB"/>
        </w:rPr>
        <w:t xml:space="preserve"> $</w:t>
      </w:r>
      <w:r w:rsidR="00FA2DC9">
        <w:rPr>
          <w:rFonts w:eastAsiaTheme="minorHAnsi" w:cs="Arial"/>
          <w:sz w:val="20"/>
          <w:szCs w:val="20"/>
          <w:lang w:eastAsia="en-GB"/>
        </w:rPr>
        <w:t xml:space="preserve">1 </w:t>
      </w:r>
      <w:r w:rsidRPr="0040656D">
        <w:rPr>
          <w:rFonts w:eastAsiaTheme="minorHAnsi" w:cs="Arial"/>
          <w:sz w:val="20"/>
          <w:szCs w:val="20"/>
          <w:lang w:eastAsia="en-GB"/>
        </w:rPr>
        <w:t>billion</w:t>
      </w:r>
      <w:r w:rsidR="00335C84">
        <w:rPr>
          <w:rFonts w:eastAsiaTheme="minorHAnsi" w:cs="Arial"/>
          <w:sz w:val="20"/>
          <w:szCs w:val="20"/>
          <w:lang w:eastAsia="en-GB"/>
        </w:rPr>
        <w:t xml:space="preserve"> </w:t>
      </w:r>
      <w:r w:rsidR="00F97744">
        <w:rPr>
          <w:rFonts w:eastAsiaTheme="minorHAnsi" w:cs="Arial"/>
          <w:sz w:val="20"/>
          <w:szCs w:val="20"/>
          <w:lang w:eastAsia="en-GB"/>
        </w:rPr>
        <w:t>in</w:t>
      </w:r>
      <w:r w:rsidRPr="0040656D">
        <w:rPr>
          <w:rFonts w:eastAsiaTheme="minorHAnsi" w:cs="Arial"/>
          <w:sz w:val="20"/>
          <w:szCs w:val="20"/>
          <w:lang w:eastAsia="en-GB"/>
        </w:rPr>
        <w:t xml:space="preserve"> finance for CEEGBs to be delivered through replication by the Financial Institutions. This provides a high-level estimate of the potential impact and scale of transformational change the programme is striving towards.</w:t>
      </w:r>
      <w:r w:rsidR="00296709">
        <w:rPr>
          <w:rFonts w:eastAsiaTheme="minorHAnsi" w:cs="Arial"/>
          <w:sz w:val="20"/>
          <w:szCs w:val="20"/>
          <w:lang w:eastAsia="en-GB"/>
        </w:rPr>
        <w:t xml:space="preserve"> It can be </w:t>
      </w:r>
      <w:r w:rsidR="009C3CDB">
        <w:rPr>
          <w:rFonts w:eastAsiaTheme="minorHAnsi" w:cs="Arial"/>
          <w:sz w:val="20"/>
          <w:szCs w:val="20"/>
          <w:lang w:eastAsia="en-GB"/>
        </w:rPr>
        <w:t>assumed</w:t>
      </w:r>
      <w:r w:rsidR="00296709">
        <w:rPr>
          <w:rFonts w:eastAsiaTheme="minorHAnsi" w:cs="Arial"/>
          <w:sz w:val="20"/>
          <w:szCs w:val="20"/>
          <w:lang w:eastAsia="en-GB"/>
        </w:rPr>
        <w:t xml:space="preserve"> that this </w:t>
      </w:r>
      <w:r w:rsidR="009C3CDB">
        <w:rPr>
          <w:rFonts w:eastAsiaTheme="minorHAnsi" w:cs="Arial"/>
          <w:sz w:val="20"/>
          <w:szCs w:val="20"/>
          <w:lang w:eastAsia="en-GB"/>
        </w:rPr>
        <w:t xml:space="preserve">estimate </w:t>
      </w:r>
      <w:r w:rsidR="00BD41C7">
        <w:rPr>
          <w:rFonts w:eastAsiaTheme="minorHAnsi" w:cs="Arial"/>
          <w:sz w:val="20"/>
          <w:szCs w:val="20"/>
          <w:lang w:eastAsia="en-GB"/>
        </w:rPr>
        <w:t xml:space="preserve">achieved </w:t>
      </w:r>
      <w:r w:rsidR="009C3CDB">
        <w:rPr>
          <w:rFonts w:eastAsiaTheme="minorHAnsi" w:cs="Arial"/>
          <w:sz w:val="20"/>
          <w:szCs w:val="20"/>
          <w:lang w:eastAsia="en-GB"/>
        </w:rPr>
        <w:t>will</w:t>
      </w:r>
      <w:r w:rsidR="00BD41C7">
        <w:rPr>
          <w:rFonts w:eastAsiaTheme="minorHAnsi" w:cs="Arial"/>
          <w:sz w:val="20"/>
          <w:szCs w:val="20"/>
          <w:lang w:eastAsia="en-GB"/>
        </w:rPr>
        <w:t xml:space="preserve"> be significantly higher, with programmes results to date reaching almost $1.5 billion. As part of the </w:t>
      </w:r>
      <w:r w:rsidR="003175D6">
        <w:rPr>
          <w:rFonts w:eastAsiaTheme="minorHAnsi" w:cs="Arial"/>
          <w:sz w:val="20"/>
          <w:szCs w:val="20"/>
          <w:lang w:eastAsia="en-GB"/>
        </w:rPr>
        <w:t>Logframe</w:t>
      </w:r>
      <w:r w:rsidR="00BD41C7">
        <w:rPr>
          <w:rFonts w:eastAsiaTheme="minorHAnsi" w:cs="Arial"/>
          <w:sz w:val="20"/>
          <w:szCs w:val="20"/>
          <w:lang w:eastAsia="en-GB"/>
        </w:rPr>
        <w:t xml:space="preserve"> update in the next reporting period, this figure will be updated. </w:t>
      </w:r>
    </w:p>
    <w:p w14:paraId="702C94AC" w14:textId="4220BCA8" w:rsidR="006A123D" w:rsidRPr="0040656D" w:rsidRDefault="006A123D" w:rsidP="00657117">
      <w:pPr>
        <w:spacing w:after="240"/>
        <w:jc w:val="both"/>
        <w:rPr>
          <w:rFonts w:eastAsiaTheme="minorHAnsi" w:cs="Arial"/>
          <w:sz w:val="20"/>
          <w:szCs w:val="20"/>
          <w:lang w:eastAsia="en-GB"/>
        </w:rPr>
      </w:pPr>
      <w:r w:rsidRPr="0040656D">
        <w:rPr>
          <w:rFonts w:eastAsiaTheme="minorHAnsi" w:cs="Arial"/>
          <w:sz w:val="20"/>
          <w:szCs w:val="20"/>
          <w:lang w:eastAsia="en-GB"/>
        </w:rPr>
        <w:t>A recommendation was included in last year’s Annual Review, as an interim measure, to explore whether expected results data for each of the approved investments could be obtained from IFC. This would cover those investments approved to date, cost breakdowns and key expected results for areas such as GHGs, floor space created, and finance mobilised. Following this, some benchmarking could then be done against some of the key business case assumed modelled assumptions to track progress.</w:t>
      </w:r>
      <w:r w:rsidR="002F251E" w:rsidRPr="002F251E">
        <w:rPr>
          <w:rFonts w:eastAsiaTheme="minorHAnsi" w:cs="Arial"/>
          <w:sz w:val="20"/>
          <w:szCs w:val="20"/>
        </w:rPr>
        <w:t xml:space="preserve"> </w:t>
      </w:r>
      <w:r w:rsidR="002F251E" w:rsidRPr="00530BAC">
        <w:rPr>
          <w:rFonts w:cs="Arial"/>
          <w:sz w:val="20"/>
          <w:szCs w:val="20"/>
        </w:rPr>
        <w:t>Due to data availability this analysis has not been possible. IFC have been able to provide DESNZ with some alternative</w:t>
      </w:r>
      <w:r w:rsidR="002F251E" w:rsidRPr="00123471">
        <w:rPr>
          <w:rFonts w:cs="Arial"/>
          <w:sz w:val="20"/>
          <w:szCs w:val="20"/>
        </w:rPr>
        <w:t xml:space="preserve"> </w:t>
      </w:r>
      <w:r w:rsidR="002F251E" w:rsidRPr="00530BAC">
        <w:rPr>
          <w:rFonts w:cs="Arial"/>
          <w:sz w:val="20"/>
          <w:szCs w:val="20"/>
        </w:rPr>
        <w:t>information based on achieved results data</w:t>
      </w:r>
      <w:r w:rsidR="001F6530">
        <w:rPr>
          <w:rFonts w:cs="Arial"/>
          <w:sz w:val="20"/>
          <w:szCs w:val="20"/>
        </w:rPr>
        <w:t xml:space="preserve"> only.</w:t>
      </w:r>
      <w:r w:rsidR="002F251E" w:rsidRPr="00530BAC">
        <w:rPr>
          <w:rFonts w:cs="Arial"/>
          <w:sz w:val="20"/>
          <w:szCs w:val="20"/>
        </w:rPr>
        <w:t xml:space="preserve"> </w:t>
      </w:r>
      <w:r w:rsidR="001F6530">
        <w:rPr>
          <w:rFonts w:cs="Arial"/>
          <w:sz w:val="20"/>
          <w:szCs w:val="20"/>
        </w:rPr>
        <w:t>This</w:t>
      </w:r>
      <w:r w:rsidR="002F251E" w:rsidRPr="00530BAC">
        <w:rPr>
          <w:rFonts w:cs="Arial"/>
          <w:sz w:val="20"/>
          <w:szCs w:val="20"/>
        </w:rPr>
        <w:t xml:space="preserve"> is currently </w:t>
      </w:r>
      <w:r w:rsidR="00F97744">
        <w:rPr>
          <w:rFonts w:cs="Arial"/>
          <w:sz w:val="20"/>
          <w:szCs w:val="20"/>
        </w:rPr>
        <w:t>being reviewed</w:t>
      </w:r>
      <w:r w:rsidR="002F251E" w:rsidRPr="00530BAC">
        <w:rPr>
          <w:rFonts w:cs="Arial"/>
          <w:sz w:val="20"/>
          <w:szCs w:val="20"/>
        </w:rPr>
        <w:t>,</w:t>
      </w:r>
      <w:r w:rsidR="002F251E" w:rsidRPr="00123471">
        <w:rPr>
          <w:rFonts w:cs="Arial"/>
          <w:sz w:val="20"/>
          <w:szCs w:val="20"/>
        </w:rPr>
        <w:t xml:space="preserve"> but the type of analysis</w:t>
      </w:r>
      <w:r w:rsidR="002F251E" w:rsidRPr="00530BAC">
        <w:rPr>
          <w:rFonts w:cs="Arial"/>
          <w:sz w:val="20"/>
          <w:szCs w:val="20"/>
        </w:rPr>
        <w:t xml:space="preserve"> originally</w:t>
      </w:r>
      <w:r w:rsidR="002F251E" w:rsidRPr="00123471">
        <w:rPr>
          <w:rFonts w:cs="Arial"/>
          <w:sz w:val="20"/>
          <w:szCs w:val="20"/>
        </w:rPr>
        <w:t xml:space="preserve"> </w:t>
      </w:r>
      <w:r w:rsidR="002F251E" w:rsidRPr="00530BAC">
        <w:rPr>
          <w:rFonts w:cs="Arial"/>
          <w:sz w:val="20"/>
          <w:szCs w:val="20"/>
        </w:rPr>
        <w:t>envisaged is not currently</w:t>
      </w:r>
      <w:r w:rsidR="002F251E" w:rsidRPr="00123471">
        <w:rPr>
          <w:rFonts w:cs="Arial"/>
          <w:sz w:val="20"/>
          <w:szCs w:val="20"/>
        </w:rPr>
        <w:t xml:space="preserve"> possible. </w:t>
      </w:r>
      <w:r w:rsidR="002F251E" w:rsidRPr="00530BAC">
        <w:rPr>
          <w:rFonts w:cs="Arial"/>
          <w:sz w:val="20"/>
          <w:szCs w:val="20"/>
        </w:rPr>
        <w:t>DESNZ will explore</w:t>
      </w:r>
      <w:r w:rsidR="002F251E" w:rsidRPr="00123471">
        <w:rPr>
          <w:rFonts w:cs="Arial"/>
          <w:sz w:val="20"/>
          <w:szCs w:val="20"/>
        </w:rPr>
        <w:t xml:space="preserve"> different approach</w:t>
      </w:r>
      <w:r w:rsidR="001F6530">
        <w:rPr>
          <w:rFonts w:cs="Arial"/>
          <w:sz w:val="20"/>
          <w:szCs w:val="20"/>
        </w:rPr>
        <w:t>es</w:t>
      </w:r>
      <w:r w:rsidR="002F251E" w:rsidRPr="00530BAC">
        <w:rPr>
          <w:rFonts w:cs="Arial"/>
          <w:sz w:val="20"/>
          <w:szCs w:val="20"/>
        </w:rPr>
        <w:t xml:space="preserve"> based on </w:t>
      </w:r>
      <w:r w:rsidR="001F6530">
        <w:rPr>
          <w:rFonts w:cs="Arial"/>
          <w:sz w:val="20"/>
          <w:szCs w:val="20"/>
        </w:rPr>
        <w:t xml:space="preserve">the </w:t>
      </w:r>
      <w:r w:rsidR="002F251E" w:rsidRPr="00530BAC">
        <w:rPr>
          <w:rFonts w:cs="Arial"/>
          <w:sz w:val="20"/>
          <w:szCs w:val="20"/>
        </w:rPr>
        <w:t xml:space="preserve">data </w:t>
      </w:r>
      <w:r w:rsidR="001F6530">
        <w:rPr>
          <w:rFonts w:cs="Arial"/>
          <w:sz w:val="20"/>
          <w:szCs w:val="20"/>
        </w:rPr>
        <w:t>provided.</w:t>
      </w:r>
      <w:r w:rsidR="002F251E" w:rsidRPr="00530BAC">
        <w:rPr>
          <w:rFonts w:cs="Arial"/>
          <w:sz w:val="20"/>
          <w:szCs w:val="20"/>
        </w:rPr>
        <w:t xml:space="preserve"> </w:t>
      </w:r>
      <w:r w:rsidR="001F6530">
        <w:rPr>
          <w:rFonts w:cs="Arial"/>
          <w:sz w:val="20"/>
          <w:szCs w:val="20"/>
        </w:rPr>
        <w:t>H</w:t>
      </w:r>
      <w:r w:rsidR="002F251E" w:rsidRPr="00530BAC">
        <w:rPr>
          <w:rFonts w:cs="Arial"/>
          <w:sz w:val="20"/>
          <w:szCs w:val="20"/>
        </w:rPr>
        <w:t>owever, it is likely that more achieved results will need to be reported to ensure we have a sufficient data sample size to draw any meaningful conclusions. This recommendation should therefore be kept under review next year.</w:t>
      </w:r>
      <w:r w:rsidRPr="0040656D">
        <w:rPr>
          <w:rFonts w:eastAsiaTheme="minorHAnsi" w:cs="Arial"/>
          <w:sz w:val="20"/>
          <w:szCs w:val="20"/>
          <w:lang w:eastAsia="en-GB"/>
        </w:rPr>
        <w:t xml:space="preserve">   </w:t>
      </w:r>
    </w:p>
    <w:p w14:paraId="105C726A" w14:textId="3924F080" w:rsidR="004C503E" w:rsidRDefault="006A123D" w:rsidP="00657117">
      <w:pPr>
        <w:spacing w:before="120" w:after="240"/>
        <w:jc w:val="both"/>
        <w:rPr>
          <w:rFonts w:eastAsiaTheme="minorHAnsi" w:cs="Arial"/>
          <w:color w:val="000000" w:themeColor="text1"/>
          <w:sz w:val="20"/>
          <w:szCs w:val="20"/>
          <w:lang w:eastAsia="en-GB"/>
        </w:rPr>
      </w:pPr>
      <w:r w:rsidRPr="0040656D">
        <w:rPr>
          <w:rFonts w:eastAsiaTheme="minorHAnsi" w:cs="Arial"/>
          <w:color w:val="000000" w:themeColor="text1"/>
          <w:sz w:val="20"/>
          <w:szCs w:val="20"/>
          <w:lang w:eastAsia="en-GB"/>
        </w:rPr>
        <w:t>Although this interim assessment has not been complete</w:t>
      </w:r>
      <w:r w:rsidR="001F6530">
        <w:rPr>
          <w:rFonts w:eastAsiaTheme="minorHAnsi" w:cs="Arial"/>
          <w:color w:val="000000" w:themeColor="text1"/>
          <w:sz w:val="20"/>
          <w:szCs w:val="20"/>
          <w:lang w:eastAsia="en-GB"/>
        </w:rPr>
        <w:t>d</w:t>
      </w:r>
      <w:r w:rsidRPr="0040656D">
        <w:rPr>
          <w:rFonts w:eastAsiaTheme="minorHAnsi" w:cs="Arial"/>
          <w:color w:val="000000" w:themeColor="text1"/>
          <w:sz w:val="20"/>
          <w:szCs w:val="20"/>
          <w:lang w:eastAsia="en-GB"/>
        </w:rPr>
        <w:t xml:space="preserve">, based on </w:t>
      </w:r>
      <w:r w:rsidR="001F6530">
        <w:rPr>
          <w:rFonts w:eastAsiaTheme="minorHAnsi" w:cs="Arial"/>
          <w:color w:val="000000" w:themeColor="text1"/>
          <w:sz w:val="20"/>
          <w:szCs w:val="20"/>
          <w:lang w:eastAsia="en-GB"/>
        </w:rPr>
        <w:t xml:space="preserve">the progress of investments and up take in reporting over the last period, </w:t>
      </w:r>
      <w:r w:rsidRPr="0040656D">
        <w:rPr>
          <w:rFonts w:eastAsiaTheme="minorHAnsi" w:cs="Arial"/>
          <w:color w:val="000000" w:themeColor="text1"/>
          <w:sz w:val="20"/>
          <w:szCs w:val="20"/>
          <w:lang w:eastAsia="en-GB"/>
        </w:rPr>
        <w:t xml:space="preserve">the effectiveness assessment provided in the Business Case is still judged to be valid. MAGC intends to achieve significant levels of </w:t>
      </w:r>
      <w:r w:rsidR="001F6530">
        <w:rPr>
          <w:rFonts w:eastAsiaTheme="minorHAnsi" w:cs="Arial"/>
          <w:color w:val="000000" w:themeColor="text1"/>
          <w:sz w:val="20"/>
          <w:szCs w:val="20"/>
          <w:lang w:eastAsia="en-GB"/>
        </w:rPr>
        <w:t>mobilised</w:t>
      </w:r>
      <w:r w:rsidRPr="0040656D">
        <w:rPr>
          <w:rFonts w:eastAsiaTheme="minorHAnsi" w:cs="Arial"/>
          <w:color w:val="000000" w:themeColor="text1"/>
          <w:sz w:val="20"/>
          <w:szCs w:val="20"/>
          <w:lang w:eastAsia="en-GB"/>
        </w:rPr>
        <w:t xml:space="preserve"> finance</w:t>
      </w:r>
      <w:r w:rsidR="001F6530" w:rsidRPr="001F6530">
        <w:rPr>
          <w:rFonts w:eastAsiaTheme="minorHAnsi" w:cs="Arial"/>
          <w:color w:val="000000" w:themeColor="text1"/>
          <w:sz w:val="20"/>
          <w:szCs w:val="20"/>
          <w:lang w:eastAsia="en-GB"/>
        </w:rPr>
        <w:t xml:space="preserve"> </w:t>
      </w:r>
      <w:r w:rsidR="001F6530" w:rsidRPr="0040656D">
        <w:rPr>
          <w:rFonts w:eastAsiaTheme="minorHAnsi" w:cs="Arial"/>
          <w:color w:val="000000" w:themeColor="text1"/>
          <w:sz w:val="20"/>
          <w:szCs w:val="20"/>
          <w:lang w:eastAsia="en-GB"/>
        </w:rPr>
        <w:t>and scale up in the Green Building market</w:t>
      </w:r>
      <w:r w:rsidR="004C503E">
        <w:rPr>
          <w:rFonts w:eastAsiaTheme="minorHAnsi" w:cs="Arial"/>
          <w:color w:val="000000" w:themeColor="text1"/>
          <w:sz w:val="20"/>
          <w:szCs w:val="20"/>
          <w:lang w:eastAsia="en-GB"/>
        </w:rPr>
        <w:t xml:space="preserve"> which have far exceeded the original business case expectations</w:t>
      </w:r>
      <w:r w:rsidR="001F6530">
        <w:rPr>
          <w:rFonts w:eastAsiaTheme="minorHAnsi" w:cs="Arial"/>
          <w:color w:val="000000" w:themeColor="text1"/>
          <w:sz w:val="20"/>
          <w:szCs w:val="20"/>
          <w:lang w:eastAsia="en-GB"/>
        </w:rPr>
        <w:t>. The current ratio of MAGC funds: Public/Private finance across the portfolio of MAGC approved investments is around</w:t>
      </w:r>
      <w:r w:rsidRPr="0040656D">
        <w:rPr>
          <w:rFonts w:eastAsiaTheme="minorHAnsi" w:cs="Arial"/>
          <w:color w:val="000000" w:themeColor="text1"/>
          <w:sz w:val="20"/>
          <w:szCs w:val="20"/>
          <w:lang w:eastAsia="en-GB"/>
        </w:rPr>
        <w:t xml:space="preserve"> 1:</w:t>
      </w:r>
      <w:r w:rsidR="00AF4CD7">
        <w:rPr>
          <w:rFonts w:eastAsiaTheme="minorHAnsi" w:cs="Arial"/>
          <w:color w:val="000000" w:themeColor="text1"/>
          <w:sz w:val="20"/>
          <w:szCs w:val="20"/>
          <w:lang w:eastAsia="en-GB"/>
        </w:rPr>
        <w:t>3</w:t>
      </w:r>
      <w:r w:rsidRPr="0040656D">
        <w:rPr>
          <w:rFonts w:eastAsiaTheme="minorHAnsi" w:cs="Arial"/>
          <w:color w:val="000000" w:themeColor="text1"/>
          <w:sz w:val="20"/>
          <w:szCs w:val="20"/>
          <w:lang w:eastAsia="en-GB"/>
        </w:rPr>
        <w:t>0</w:t>
      </w:r>
      <w:r w:rsidR="00AF4CD7">
        <w:rPr>
          <w:rFonts w:eastAsiaTheme="minorHAnsi" w:cs="Arial"/>
          <w:color w:val="000000" w:themeColor="text1"/>
          <w:sz w:val="20"/>
          <w:szCs w:val="20"/>
          <w:lang w:eastAsia="en-GB"/>
        </w:rPr>
        <w:t xml:space="preserve"> </w:t>
      </w:r>
      <w:r w:rsidR="001F6530">
        <w:rPr>
          <w:rFonts w:eastAsiaTheme="minorHAnsi" w:cs="Arial"/>
          <w:color w:val="000000" w:themeColor="text1"/>
          <w:sz w:val="20"/>
          <w:szCs w:val="20"/>
          <w:lang w:eastAsia="en-GB"/>
        </w:rPr>
        <w:t>currently</w:t>
      </w:r>
      <w:r w:rsidRPr="0040656D">
        <w:rPr>
          <w:rFonts w:eastAsiaTheme="minorHAnsi" w:cs="Arial"/>
          <w:color w:val="000000" w:themeColor="text1"/>
          <w:sz w:val="20"/>
          <w:szCs w:val="20"/>
          <w:lang w:eastAsia="en-GB"/>
        </w:rPr>
        <w:t>.</w:t>
      </w:r>
      <w:r w:rsidR="00AF4CD7">
        <w:rPr>
          <w:rFonts w:eastAsiaTheme="minorHAnsi" w:cs="Arial"/>
          <w:color w:val="000000" w:themeColor="text1"/>
          <w:sz w:val="20"/>
          <w:szCs w:val="20"/>
          <w:lang w:eastAsia="en-GB"/>
        </w:rPr>
        <w:t xml:space="preserve"> As of FY24</w:t>
      </w:r>
      <w:r w:rsidR="001F6530">
        <w:rPr>
          <w:rFonts w:eastAsiaTheme="minorHAnsi" w:cs="Arial"/>
          <w:color w:val="000000" w:themeColor="text1"/>
          <w:sz w:val="20"/>
          <w:szCs w:val="20"/>
          <w:lang w:eastAsia="en-GB"/>
        </w:rPr>
        <w:t>,</w:t>
      </w:r>
      <w:r w:rsidR="00AF4CD7">
        <w:rPr>
          <w:rFonts w:eastAsiaTheme="minorHAnsi" w:cs="Arial"/>
          <w:color w:val="000000" w:themeColor="text1"/>
          <w:sz w:val="20"/>
          <w:szCs w:val="20"/>
          <w:lang w:eastAsia="en-GB"/>
        </w:rPr>
        <w:t xml:space="preserve"> MAGC has supported the mobilisation of over $1.7 billion</w:t>
      </w:r>
      <w:r w:rsidR="001B11BE">
        <w:rPr>
          <w:rFonts w:eastAsiaTheme="minorHAnsi" w:cs="Arial"/>
          <w:color w:val="000000" w:themeColor="text1"/>
          <w:sz w:val="20"/>
          <w:szCs w:val="20"/>
          <w:lang w:eastAsia="en-GB"/>
        </w:rPr>
        <w:t xml:space="preserve"> (£1.3bn)</w:t>
      </w:r>
      <w:r w:rsidR="00AF4CD7">
        <w:rPr>
          <w:rFonts w:eastAsiaTheme="minorHAnsi" w:cs="Arial"/>
          <w:color w:val="000000" w:themeColor="text1"/>
          <w:sz w:val="20"/>
          <w:szCs w:val="20"/>
          <w:lang w:eastAsia="en-GB"/>
        </w:rPr>
        <w:t xml:space="preserve"> in public and private financing for green building investments.</w:t>
      </w:r>
      <w:r w:rsidRPr="0040656D">
        <w:rPr>
          <w:rFonts w:eastAsiaTheme="minorHAnsi" w:cs="Arial"/>
          <w:color w:val="000000" w:themeColor="text1"/>
          <w:sz w:val="20"/>
          <w:szCs w:val="20"/>
          <w:lang w:eastAsia="en-GB"/>
        </w:rPr>
        <w:t xml:space="preserve"> </w:t>
      </w:r>
    </w:p>
    <w:p w14:paraId="79508AE9" w14:textId="5F7F0630" w:rsidR="006A123D" w:rsidRDefault="006A123D" w:rsidP="00657117">
      <w:pPr>
        <w:spacing w:before="120" w:after="240"/>
        <w:jc w:val="both"/>
        <w:rPr>
          <w:rFonts w:eastAsiaTheme="minorHAnsi" w:cs="Arial"/>
          <w:sz w:val="20"/>
          <w:szCs w:val="20"/>
          <w:lang w:eastAsia="en-GB"/>
        </w:rPr>
      </w:pPr>
      <w:r w:rsidRPr="0040656D">
        <w:rPr>
          <w:rFonts w:eastAsiaTheme="minorHAnsi" w:cs="Arial"/>
          <w:color w:val="000000" w:themeColor="text1"/>
          <w:sz w:val="20"/>
          <w:szCs w:val="20"/>
          <w:lang w:eastAsia="en-GB"/>
        </w:rPr>
        <w:t xml:space="preserve">The programme also aims to </w:t>
      </w:r>
      <w:r w:rsidRPr="0040656D">
        <w:rPr>
          <w:rFonts w:eastAsiaTheme="minorHAnsi" w:cs="Arial"/>
          <w:sz w:val="20"/>
          <w:szCs w:val="20"/>
          <w:lang w:eastAsia="en-GB"/>
        </w:rPr>
        <w:t xml:space="preserve">have positive impacts on energy and Greenhouse Gas savings, water savings, energy security and a variety of other economic benefits and cost savings. </w:t>
      </w:r>
      <w:r w:rsidR="004C503E">
        <w:rPr>
          <w:rFonts w:eastAsiaTheme="minorHAnsi" w:cs="Arial"/>
          <w:sz w:val="20"/>
          <w:szCs w:val="20"/>
          <w:lang w:eastAsia="en-GB"/>
        </w:rPr>
        <w:t>D</w:t>
      </w:r>
      <w:r w:rsidR="00AF4CD7">
        <w:rPr>
          <w:rFonts w:eastAsiaTheme="minorHAnsi" w:cs="Arial"/>
          <w:sz w:val="20"/>
          <w:szCs w:val="20"/>
          <w:lang w:eastAsia="en-GB"/>
        </w:rPr>
        <w:t xml:space="preserve">ue to </w:t>
      </w:r>
      <w:r w:rsidR="008C1F2D">
        <w:rPr>
          <w:rFonts w:eastAsiaTheme="minorHAnsi" w:cs="Arial"/>
          <w:sz w:val="20"/>
          <w:szCs w:val="20"/>
          <w:lang w:eastAsia="en-GB"/>
        </w:rPr>
        <w:t xml:space="preserve">the life span of buildings and lags in reporting the scale of achieved results across these indicators so far has been relatively small. </w:t>
      </w:r>
      <w:r w:rsidR="004C503E">
        <w:rPr>
          <w:rFonts w:eastAsiaTheme="minorHAnsi" w:cs="Arial"/>
          <w:sz w:val="20"/>
          <w:szCs w:val="20"/>
          <w:lang w:eastAsia="en-GB"/>
        </w:rPr>
        <w:t>Although c</w:t>
      </w:r>
      <w:r w:rsidRPr="0040656D">
        <w:rPr>
          <w:rFonts w:eastAsiaTheme="minorHAnsi" w:cs="Arial"/>
          <w:sz w:val="20"/>
          <w:szCs w:val="20"/>
          <w:lang w:eastAsia="en-GB"/>
        </w:rPr>
        <w:t xml:space="preserve">ost per tonne metrics in green buildings generally deliver less favourable results when compared to direct energy generation, they still make a significant contribution. The decarbonisation and acceleration of the Green Buildings sector is critical for achieving longer term climate goals and climate compatible pathways. Value-for-money metrics also need to be treated with caution as comparisons between programmes can be </w:t>
      </w:r>
      <w:r w:rsidR="001F0A64" w:rsidRPr="0040656D">
        <w:rPr>
          <w:rFonts w:eastAsiaTheme="minorHAnsi" w:cs="Arial"/>
          <w:sz w:val="20"/>
          <w:szCs w:val="20"/>
          <w:lang w:eastAsia="en-GB"/>
        </w:rPr>
        <w:t>complex,</w:t>
      </w:r>
      <w:r w:rsidRPr="0040656D">
        <w:rPr>
          <w:rFonts w:eastAsiaTheme="minorHAnsi" w:cs="Arial"/>
          <w:sz w:val="20"/>
          <w:szCs w:val="20"/>
          <w:lang w:eastAsia="en-GB"/>
        </w:rPr>
        <w:t xml:space="preserve"> and the overall value-for-money of a programme cannot be defined by one metric alone. </w:t>
      </w:r>
    </w:p>
    <w:p w14:paraId="4F373DA2" w14:textId="1E9A41BA" w:rsidR="00947A57" w:rsidRPr="0040656D" w:rsidRDefault="00CD1607" w:rsidP="00657117">
      <w:pPr>
        <w:spacing w:before="120" w:after="240"/>
        <w:jc w:val="both"/>
        <w:rPr>
          <w:rFonts w:eastAsiaTheme="minorHAnsi" w:cs="Arial"/>
          <w:sz w:val="20"/>
          <w:szCs w:val="20"/>
          <w:lang w:eastAsia="en-GB"/>
        </w:rPr>
      </w:pPr>
      <w:r>
        <w:rPr>
          <w:rFonts w:eastAsiaTheme="minorHAnsi" w:cs="Arial"/>
          <w:sz w:val="20"/>
          <w:szCs w:val="20"/>
          <w:lang w:eastAsia="en-GB"/>
        </w:rPr>
        <w:lastRenderedPageBreak/>
        <w:t>Considering MAGC’s current Transformational Change potential, scored 4 (partial evidence that suggests transformational change is likely) at this stage in the programme</w:t>
      </w:r>
      <w:r w:rsidR="000271B1">
        <w:rPr>
          <w:rFonts w:eastAsiaTheme="minorHAnsi" w:cs="Arial"/>
          <w:sz w:val="20"/>
          <w:szCs w:val="20"/>
          <w:lang w:eastAsia="en-GB"/>
        </w:rPr>
        <w:t xml:space="preserve">, also further </w:t>
      </w:r>
      <w:proofErr w:type="gramStart"/>
      <w:r w:rsidR="000271B1">
        <w:rPr>
          <w:rFonts w:eastAsiaTheme="minorHAnsi" w:cs="Arial"/>
          <w:sz w:val="20"/>
          <w:szCs w:val="20"/>
          <w:lang w:eastAsia="en-GB"/>
        </w:rPr>
        <w:t>evidences</w:t>
      </w:r>
      <w:proofErr w:type="gramEnd"/>
      <w:r w:rsidR="000271B1">
        <w:rPr>
          <w:rFonts w:eastAsiaTheme="minorHAnsi" w:cs="Arial"/>
          <w:sz w:val="20"/>
          <w:szCs w:val="20"/>
          <w:lang w:eastAsia="en-GB"/>
        </w:rPr>
        <w:t xml:space="preserve"> that MAGC could contribute to </w:t>
      </w:r>
      <w:r w:rsidR="000271B1" w:rsidRPr="0040656D">
        <w:rPr>
          <w:rFonts w:eastAsiaTheme="minorHAnsi" w:cs="Arial"/>
          <w:sz w:val="20"/>
          <w:szCs w:val="20"/>
          <w:lang w:eastAsia="en-GB"/>
        </w:rPr>
        <w:t>a significant economic impact in the growth of the certified energy efficient green buildings market</w:t>
      </w:r>
      <w:r w:rsidR="000271B1">
        <w:rPr>
          <w:rFonts w:eastAsiaTheme="minorHAnsi" w:cs="Arial"/>
          <w:sz w:val="20"/>
          <w:szCs w:val="20"/>
          <w:lang w:eastAsia="en-GB"/>
        </w:rPr>
        <w:t xml:space="preserve">. </w:t>
      </w:r>
      <w:r w:rsidR="000417A8">
        <w:rPr>
          <w:rFonts w:eastAsiaTheme="minorHAnsi" w:cs="Arial"/>
          <w:sz w:val="20"/>
          <w:szCs w:val="20"/>
          <w:lang w:eastAsia="en-GB"/>
        </w:rPr>
        <w:t xml:space="preserve">All </w:t>
      </w:r>
      <w:r w:rsidR="000417A8" w:rsidRPr="000417A8">
        <w:rPr>
          <w:rFonts w:eastAsiaTheme="minorHAnsi" w:cs="Arial"/>
          <w:sz w:val="20"/>
          <w:szCs w:val="20"/>
          <w:lang w:eastAsia="en-GB"/>
        </w:rPr>
        <w:t>the MAGC KPI15 criteria (capacity and capability, innovation, leverage and critical mass) included some indicators that increased in score, or because there has been substantial progress compared to last year</w:t>
      </w:r>
      <w:r w:rsidR="000417A8">
        <w:rPr>
          <w:rFonts w:eastAsiaTheme="minorHAnsi" w:cs="Arial"/>
          <w:sz w:val="20"/>
          <w:szCs w:val="20"/>
          <w:lang w:eastAsia="en-GB"/>
        </w:rPr>
        <w:t xml:space="preserve">. </w:t>
      </w:r>
    </w:p>
    <w:p w14:paraId="21EDF360" w14:textId="77777777" w:rsidR="006A123D" w:rsidRPr="0040656D" w:rsidRDefault="006A123D" w:rsidP="00657117">
      <w:pPr>
        <w:spacing w:before="120" w:after="240"/>
        <w:jc w:val="both"/>
        <w:rPr>
          <w:rFonts w:eastAsiaTheme="minorHAnsi" w:cs="Arial"/>
          <w:b/>
          <w:bCs/>
          <w:sz w:val="20"/>
          <w:szCs w:val="20"/>
        </w:rPr>
      </w:pPr>
      <w:r w:rsidRPr="0040656D">
        <w:rPr>
          <w:rFonts w:eastAsiaTheme="minorHAnsi" w:cs="Arial"/>
          <w:i/>
          <w:iCs/>
          <w:sz w:val="20"/>
          <w:szCs w:val="20"/>
        </w:rPr>
        <w:t>Equity</w:t>
      </w:r>
      <w:r w:rsidRPr="0040656D">
        <w:rPr>
          <w:rFonts w:eastAsiaTheme="minorHAnsi" w:cs="Arial"/>
          <w:b/>
          <w:bCs/>
          <w:sz w:val="20"/>
          <w:szCs w:val="20"/>
        </w:rPr>
        <w:t xml:space="preserve"> </w:t>
      </w:r>
    </w:p>
    <w:p w14:paraId="409E5E8D" w14:textId="2805A0A3" w:rsidR="006A123D" w:rsidRPr="0040656D" w:rsidRDefault="006A123D" w:rsidP="00657117">
      <w:pPr>
        <w:spacing w:before="120" w:after="240"/>
        <w:jc w:val="both"/>
        <w:rPr>
          <w:rFonts w:eastAsiaTheme="minorHAnsi" w:cs="Arial"/>
          <w:sz w:val="20"/>
          <w:szCs w:val="20"/>
          <w:lang w:eastAsia="en-GB"/>
        </w:rPr>
      </w:pPr>
      <w:r w:rsidRPr="0040656D">
        <w:rPr>
          <w:rFonts w:eastAsiaTheme="minorHAnsi" w:cs="Arial"/>
          <w:sz w:val="20"/>
          <w:szCs w:val="20"/>
          <w:lang w:eastAsia="en-GB"/>
        </w:rPr>
        <w:t>MAGC meets development assistance requirements and contributes to sustainable development and poverty reduction in the target countries it operates in. The programme will help countries reduce their emissions and will have positive impacts on energy and Greenhouse Gas savings, water savings, energy security and economic benefits (both investment and cost savings). Poverty reduction will be addressed both directly, for example, reduced energy costs for occupants</w:t>
      </w:r>
      <w:r w:rsidR="00405C87">
        <w:rPr>
          <w:rFonts w:eastAsiaTheme="minorHAnsi" w:cs="Arial"/>
          <w:sz w:val="20"/>
          <w:szCs w:val="20"/>
          <w:lang w:eastAsia="en-GB"/>
        </w:rPr>
        <w:t>,</w:t>
      </w:r>
      <w:r w:rsidRPr="0040656D">
        <w:rPr>
          <w:rFonts w:eastAsiaTheme="minorHAnsi" w:cs="Arial"/>
          <w:sz w:val="20"/>
          <w:szCs w:val="20"/>
          <w:lang w:eastAsia="en-GB"/>
        </w:rPr>
        <w:t xml:space="preserve"> </w:t>
      </w:r>
      <w:r w:rsidR="001F0A64" w:rsidRPr="0040656D">
        <w:rPr>
          <w:rFonts w:eastAsiaTheme="minorHAnsi" w:cs="Arial"/>
          <w:sz w:val="20"/>
          <w:szCs w:val="20"/>
          <w:lang w:eastAsia="en-GB"/>
        </w:rPr>
        <w:t>and</w:t>
      </w:r>
      <w:r w:rsidRPr="0040656D">
        <w:rPr>
          <w:rFonts w:eastAsiaTheme="minorHAnsi" w:cs="Arial"/>
          <w:sz w:val="20"/>
          <w:szCs w:val="20"/>
          <w:lang w:eastAsia="en-GB"/>
        </w:rPr>
        <w:t xml:space="preserve"> indirectly, for example, through avoiding the future impacts of climate change that has disproportionate impact on the poor, vulnerable communities, and women, particularly in developing countries. </w:t>
      </w:r>
    </w:p>
    <w:p w14:paraId="169E154D" w14:textId="77777777" w:rsidR="006A123D" w:rsidRDefault="006A123D" w:rsidP="00657117">
      <w:pPr>
        <w:spacing w:before="120" w:after="240"/>
        <w:jc w:val="both"/>
        <w:rPr>
          <w:rFonts w:cs="Arial"/>
          <w:bCs/>
          <w:sz w:val="20"/>
          <w:szCs w:val="20"/>
        </w:rPr>
      </w:pPr>
      <w:r w:rsidRPr="0040656D">
        <w:rPr>
          <w:rFonts w:eastAsiaTheme="minorHAnsi" w:cs="Arial"/>
          <w:sz w:val="20"/>
          <w:szCs w:val="20"/>
          <w:lang w:eastAsia="en-GB"/>
        </w:rPr>
        <w:t>Although the outputs and outcomes of the programme are not likely to be immediately received by the poorest people or communities in the countries that we work in, the programme contributes to accelerating the green construction market, making a significant contribution to global climate goals through energy savings and reduced emissions. Influencing the way institutions operate will help build capability and transform the Green Buildings market that will help to mitigate the climate risks the world’s poorest people are exposed to, while building a more resilient and cleaner future for all. Helping secure clean growth transitions that can both increase the deployment of clean technologies and practices but also create new jobs and economic growth.</w:t>
      </w:r>
      <w:r w:rsidRPr="0040656D">
        <w:rPr>
          <w:rFonts w:cs="Arial"/>
          <w:bCs/>
          <w:sz w:val="20"/>
          <w:szCs w:val="20"/>
        </w:rPr>
        <w:t xml:space="preserve"> </w:t>
      </w:r>
    </w:p>
    <w:p w14:paraId="2253F2B9" w14:textId="1A0F73D0" w:rsidR="00680ACD" w:rsidRDefault="00DB3A78" w:rsidP="00657117">
      <w:pPr>
        <w:spacing w:before="120" w:after="240"/>
        <w:jc w:val="both"/>
        <w:rPr>
          <w:rFonts w:cs="Arial"/>
          <w:sz w:val="20"/>
          <w:szCs w:val="20"/>
        </w:rPr>
      </w:pPr>
      <w:r>
        <w:rPr>
          <w:rFonts w:cs="Arial"/>
          <w:bCs/>
          <w:sz w:val="20"/>
          <w:szCs w:val="20"/>
        </w:rPr>
        <w:t xml:space="preserve">It should be noted that </w:t>
      </w:r>
      <w:r w:rsidR="00ED1DBE">
        <w:rPr>
          <w:rFonts w:cs="Arial"/>
          <w:bCs/>
          <w:sz w:val="20"/>
          <w:szCs w:val="20"/>
        </w:rPr>
        <w:t>poverty reduction</w:t>
      </w:r>
      <w:r w:rsidR="00FF0AE9">
        <w:rPr>
          <w:rFonts w:cs="Arial"/>
          <w:bCs/>
          <w:sz w:val="20"/>
          <w:szCs w:val="20"/>
        </w:rPr>
        <w:t xml:space="preserve"> or GEDSI (‘</w:t>
      </w:r>
      <w:r w:rsidR="00FF0AE9">
        <w:rPr>
          <w:rFonts w:cs="Arial"/>
          <w:sz w:val="20"/>
          <w:szCs w:val="20"/>
        </w:rPr>
        <w:t>Gender Equality, Disability and Social Inclusion’) more widely</w:t>
      </w:r>
      <w:r w:rsidR="00ED1DBE">
        <w:rPr>
          <w:rFonts w:cs="Arial"/>
          <w:bCs/>
          <w:sz w:val="20"/>
          <w:szCs w:val="20"/>
        </w:rPr>
        <w:t xml:space="preserve"> was not </w:t>
      </w:r>
      <w:r w:rsidR="00A73971">
        <w:rPr>
          <w:rFonts w:cs="Arial"/>
          <w:bCs/>
          <w:sz w:val="20"/>
          <w:szCs w:val="20"/>
        </w:rPr>
        <w:t xml:space="preserve">a primary aim </w:t>
      </w:r>
      <w:r w:rsidR="00065431">
        <w:rPr>
          <w:rFonts w:cs="Arial"/>
          <w:bCs/>
          <w:sz w:val="20"/>
          <w:szCs w:val="20"/>
        </w:rPr>
        <w:t>included in</w:t>
      </w:r>
      <w:r w:rsidR="008D63D9">
        <w:rPr>
          <w:rFonts w:cs="Arial"/>
          <w:bCs/>
          <w:sz w:val="20"/>
          <w:szCs w:val="20"/>
        </w:rPr>
        <w:t xml:space="preserve"> MAGC’s </w:t>
      </w:r>
      <w:r w:rsidR="00065431">
        <w:rPr>
          <w:rFonts w:cs="Arial"/>
          <w:bCs/>
          <w:sz w:val="20"/>
          <w:szCs w:val="20"/>
        </w:rPr>
        <w:t>Business Cas</w:t>
      </w:r>
      <w:r w:rsidR="00F12FF5">
        <w:rPr>
          <w:rFonts w:cs="Arial"/>
          <w:bCs/>
          <w:sz w:val="20"/>
          <w:szCs w:val="20"/>
        </w:rPr>
        <w:t xml:space="preserve">e, and it is therefore difficult to bring in targets/objectives to this effect without </w:t>
      </w:r>
      <w:r w:rsidR="00574A6C">
        <w:rPr>
          <w:rFonts w:cs="Arial"/>
          <w:bCs/>
          <w:sz w:val="20"/>
          <w:szCs w:val="20"/>
        </w:rPr>
        <w:t xml:space="preserve">impacting the established overarching aims of MAGC. </w:t>
      </w:r>
      <w:r w:rsidR="00680ACD" w:rsidRPr="595AEE41">
        <w:rPr>
          <w:rFonts w:cs="Arial"/>
          <w:sz w:val="20"/>
          <w:szCs w:val="20"/>
        </w:rPr>
        <w:t>DESNZ and IFC have agreed to assess how to enhance GEDSI</w:t>
      </w:r>
      <w:r w:rsidR="00F869C7">
        <w:rPr>
          <w:rFonts w:cs="Arial"/>
          <w:sz w:val="20"/>
          <w:szCs w:val="20"/>
        </w:rPr>
        <w:t xml:space="preserve"> </w:t>
      </w:r>
      <w:r w:rsidR="00680ACD" w:rsidRPr="595AEE41">
        <w:rPr>
          <w:rFonts w:cs="Arial"/>
          <w:sz w:val="20"/>
          <w:szCs w:val="20"/>
        </w:rPr>
        <w:t xml:space="preserve">considerations for future iterations of the programme through the ongoing Independent Evaluation. However, although GEDSI has not been specifically set into MAGC, there </w:t>
      </w:r>
      <w:proofErr w:type="gramStart"/>
      <w:r w:rsidR="00680ACD" w:rsidRPr="595AEE41">
        <w:rPr>
          <w:rFonts w:cs="Arial"/>
          <w:sz w:val="20"/>
          <w:szCs w:val="20"/>
        </w:rPr>
        <w:t>still remains</w:t>
      </w:r>
      <w:proofErr w:type="gramEnd"/>
      <w:r w:rsidR="00680ACD" w:rsidRPr="595AEE41">
        <w:rPr>
          <w:rFonts w:cs="Arial"/>
          <w:sz w:val="20"/>
          <w:szCs w:val="20"/>
        </w:rPr>
        <w:t xml:space="preserve"> </w:t>
      </w:r>
      <w:proofErr w:type="gramStart"/>
      <w:r w:rsidR="00680ACD" w:rsidRPr="595AEE41">
        <w:rPr>
          <w:rFonts w:cs="Arial"/>
          <w:sz w:val="20"/>
          <w:szCs w:val="20"/>
        </w:rPr>
        <w:t>a number of</w:t>
      </w:r>
      <w:proofErr w:type="gramEnd"/>
      <w:r w:rsidR="00680ACD" w:rsidRPr="595AEE41">
        <w:rPr>
          <w:rFonts w:cs="Arial"/>
          <w:sz w:val="20"/>
          <w:szCs w:val="20"/>
        </w:rPr>
        <w:t xml:space="preserve"> positive GEDSI results in the programme’s delivery.  For example:</w:t>
      </w:r>
    </w:p>
    <w:p w14:paraId="0993734F" w14:textId="77777777" w:rsidR="00680ACD" w:rsidRDefault="00680ACD" w:rsidP="00657117">
      <w:pPr>
        <w:pStyle w:val="ListParagraph"/>
        <w:numPr>
          <w:ilvl w:val="0"/>
          <w:numId w:val="57"/>
        </w:numPr>
        <w:spacing w:after="240"/>
        <w:jc w:val="both"/>
        <w:rPr>
          <w:rFonts w:cs="Arial"/>
          <w:sz w:val="20"/>
          <w:szCs w:val="20"/>
        </w:rPr>
      </w:pPr>
      <w:r>
        <w:rPr>
          <w:rFonts w:cs="Arial"/>
          <w:sz w:val="20"/>
          <w:szCs w:val="20"/>
        </w:rPr>
        <w:t xml:space="preserve">In certain contexts, Green Buildings have increased energy and water efficiency which can lower utility bills. </w:t>
      </w:r>
    </w:p>
    <w:p w14:paraId="78BB57D7" w14:textId="77777777" w:rsidR="00680ACD" w:rsidRPr="0082581C" w:rsidRDefault="00680ACD" w:rsidP="00657117">
      <w:pPr>
        <w:pStyle w:val="ListParagraph"/>
        <w:numPr>
          <w:ilvl w:val="0"/>
          <w:numId w:val="57"/>
        </w:numPr>
        <w:spacing w:after="240"/>
        <w:jc w:val="both"/>
        <w:rPr>
          <w:rFonts w:cs="Arial"/>
          <w:sz w:val="20"/>
          <w:szCs w:val="20"/>
        </w:rPr>
      </w:pPr>
      <w:r>
        <w:rPr>
          <w:rFonts w:cs="Arial"/>
          <w:sz w:val="20"/>
          <w:szCs w:val="20"/>
        </w:rPr>
        <w:t xml:space="preserve">In certain contexts, Green Buildings have been seen to improve the standard of living for marginalised groups through thoughtful design, improved health and wellbeing, and community engagement. </w:t>
      </w:r>
      <w:r w:rsidRPr="001627C2">
        <w:rPr>
          <w:rFonts w:cs="Arial"/>
          <w:sz w:val="20"/>
          <w:szCs w:val="20"/>
        </w:rPr>
        <w:t xml:space="preserve">Person-centric and community-focused initiatives can enhance quality of life, </w:t>
      </w:r>
      <w:r w:rsidRPr="0082581C">
        <w:rPr>
          <w:rFonts w:cs="Arial"/>
          <w:sz w:val="20"/>
          <w:szCs w:val="20"/>
        </w:rPr>
        <w:t>though accessibility remains a concern.</w:t>
      </w:r>
    </w:p>
    <w:p w14:paraId="49899E9F" w14:textId="44E5CFB9" w:rsidR="00680ACD" w:rsidRPr="00423126" w:rsidRDefault="000A6546" w:rsidP="00423126">
      <w:pPr>
        <w:pStyle w:val="ListParagraph"/>
        <w:numPr>
          <w:ilvl w:val="0"/>
          <w:numId w:val="57"/>
        </w:numPr>
        <w:spacing w:after="240"/>
        <w:jc w:val="both"/>
        <w:rPr>
          <w:rFonts w:cs="Arial"/>
          <w:sz w:val="20"/>
          <w:szCs w:val="20"/>
        </w:rPr>
      </w:pPr>
      <w:r w:rsidRPr="00657117">
        <w:rPr>
          <w:rFonts w:cs="Arial"/>
          <w:sz w:val="20"/>
          <w:szCs w:val="20"/>
        </w:rPr>
        <w:t xml:space="preserve">MAGC has now supported five transactions for the green affordable housing segment, dedicating 58% percent of the FY24 MAGC committed funding </w:t>
      </w:r>
      <w:r>
        <w:rPr>
          <w:rFonts w:cs="Arial"/>
          <w:sz w:val="20"/>
          <w:szCs w:val="20"/>
        </w:rPr>
        <w:t>to</w:t>
      </w:r>
      <w:r w:rsidRPr="00657117">
        <w:rPr>
          <w:rFonts w:cs="Arial"/>
          <w:sz w:val="20"/>
          <w:szCs w:val="20"/>
        </w:rPr>
        <w:t xml:space="preserve"> this underserved segment. </w:t>
      </w:r>
      <w:r w:rsidR="00680ACD" w:rsidRPr="00E973D8">
        <w:rPr>
          <w:rFonts w:cs="Arial"/>
          <w:sz w:val="20"/>
          <w:szCs w:val="20"/>
        </w:rPr>
        <w:t>Construction is traditionally a male-dominated field in many countries, and women often face significant barriers to entering and advancing in the sector. Becoming EDGE accredited is seen as a route to help women to overcome these barriers.</w:t>
      </w:r>
      <w:r w:rsidR="00680ACD">
        <w:rPr>
          <w:rFonts w:cs="Arial"/>
          <w:sz w:val="20"/>
          <w:szCs w:val="20"/>
        </w:rPr>
        <w:t xml:space="preserve"> To date, there are several initiatives to encourage more women to become EDGE Experts accredited, including no cost to take relevant EDGE exams and running free training sessions for women. </w:t>
      </w:r>
    </w:p>
    <w:tbl>
      <w:tblPr>
        <w:tblStyle w:val="TableGrid"/>
        <w:tblW w:w="5000" w:type="pct"/>
        <w:tblInd w:w="-5" w:type="dxa"/>
        <w:tblLook w:val="04A0" w:firstRow="1" w:lastRow="0" w:firstColumn="1" w:lastColumn="0" w:noHBand="0" w:noVBand="1"/>
      </w:tblPr>
      <w:tblGrid>
        <w:gridCol w:w="4820"/>
        <w:gridCol w:w="4196"/>
      </w:tblGrid>
      <w:tr w:rsidR="009B24AA" w:rsidRPr="0040656D" w14:paraId="4B7B3114" w14:textId="77777777" w:rsidTr="00046EB7">
        <w:tc>
          <w:tcPr>
            <w:tcW w:w="482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49A3E8CA" w14:textId="77777777" w:rsidR="006A123D" w:rsidRPr="002B299F" w:rsidRDefault="006A123D" w:rsidP="00657117">
            <w:pPr>
              <w:spacing w:after="240"/>
              <w:rPr>
                <w:rFonts w:cs="Arial"/>
                <w:sz w:val="20"/>
                <w:szCs w:val="20"/>
              </w:rPr>
            </w:pPr>
            <w:r w:rsidRPr="002B299F">
              <w:rPr>
                <w:rFonts w:cs="Arial"/>
                <w:sz w:val="20"/>
                <w:szCs w:val="20"/>
              </w:rPr>
              <w:t>Date of last narrative semi-annual financial report</w:t>
            </w:r>
          </w:p>
        </w:tc>
        <w:tc>
          <w:tcPr>
            <w:tcW w:w="4196" w:type="dxa"/>
            <w:tcBorders>
              <w:top w:val="single" w:sz="4" w:space="0" w:color="auto"/>
              <w:left w:val="single" w:sz="4" w:space="0" w:color="auto"/>
              <w:bottom w:val="single" w:sz="4" w:space="0" w:color="auto"/>
              <w:right w:val="single" w:sz="4" w:space="0" w:color="auto"/>
            </w:tcBorders>
          </w:tcPr>
          <w:p w14:paraId="3026619A" w14:textId="0A1CE61E" w:rsidR="006A123D" w:rsidRPr="0040656D" w:rsidRDefault="00631204" w:rsidP="00657117">
            <w:pPr>
              <w:spacing w:after="240"/>
              <w:rPr>
                <w:rFonts w:cs="Arial"/>
                <w:sz w:val="20"/>
                <w:szCs w:val="20"/>
              </w:rPr>
            </w:pPr>
            <w:r>
              <w:rPr>
                <w:rFonts w:cs="Arial"/>
                <w:sz w:val="20"/>
                <w:szCs w:val="20"/>
              </w:rPr>
              <w:t>February 15, 2024</w:t>
            </w:r>
          </w:p>
        </w:tc>
      </w:tr>
      <w:tr w:rsidR="009B24AA" w:rsidRPr="0040656D" w14:paraId="4DB76A8F" w14:textId="77777777" w:rsidTr="00046EB7">
        <w:tc>
          <w:tcPr>
            <w:tcW w:w="4820"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5016A7D4" w14:textId="77777777" w:rsidR="006A123D" w:rsidRPr="002B299F" w:rsidRDefault="006A123D" w:rsidP="00657117">
            <w:pPr>
              <w:spacing w:after="240"/>
              <w:rPr>
                <w:rFonts w:cs="Arial"/>
                <w:sz w:val="20"/>
                <w:szCs w:val="20"/>
              </w:rPr>
            </w:pPr>
            <w:r w:rsidRPr="002B299F">
              <w:rPr>
                <w:rFonts w:cs="Arial"/>
                <w:sz w:val="20"/>
                <w:szCs w:val="20"/>
              </w:rPr>
              <w:t>Date of last audited annual statement</w:t>
            </w:r>
          </w:p>
        </w:tc>
        <w:tc>
          <w:tcPr>
            <w:tcW w:w="4196" w:type="dxa"/>
            <w:tcBorders>
              <w:top w:val="single" w:sz="4" w:space="0" w:color="auto"/>
              <w:left w:val="single" w:sz="4" w:space="0" w:color="auto"/>
              <w:bottom w:val="single" w:sz="4" w:space="0" w:color="auto"/>
              <w:right w:val="single" w:sz="4" w:space="0" w:color="auto"/>
            </w:tcBorders>
          </w:tcPr>
          <w:p w14:paraId="10314882" w14:textId="256984A8" w:rsidR="006A123D" w:rsidRPr="0040656D" w:rsidRDefault="00631204" w:rsidP="00657117">
            <w:pPr>
              <w:spacing w:after="240"/>
              <w:rPr>
                <w:rFonts w:cs="Arial"/>
                <w:sz w:val="20"/>
                <w:szCs w:val="20"/>
              </w:rPr>
            </w:pPr>
            <w:r>
              <w:rPr>
                <w:rFonts w:cs="Arial"/>
                <w:sz w:val="20"/>
                <w:szCs w:val="20"/>
              </w:rPr>
              <w:t>As of June 30, 202</w:t>
            </w:r>
            <w:r w:rsidR="00FD39D0">
              <w:rPr>
                <w:rFonts w:cs="Arial"/>
                <w:sz w:val="20"/>
                <w:szCs w:val="20"/>
              </w:rPr>
              <w:t>4</w:t>
            </w:r>
          </w:p>
        </w:tc>
      </w:tr>
    </w:tbl>
    <w:p w14:paraId="107FC6CB" w14:textId="77777777" w:rsidR="006A123D" w:rsidRPr="0040656D" w:rsidRDefault="006A123D" w:rsidP="00657117">
      <w:pPr>
        <w:spacing w:before="120" w:after="240"/>
        <w:rPr>
          <w:rFonts w:eastAsiaTheme="minorHAnsi" w:cs="Arial"/>
          <w:sz w:val="20"/>
          <w:szCs w:val="20"/>
          <w:lang w:eastAsia="en-GB"/>
        </w:rPr>
      </w:pPr>
    </w:p>
    <w:p w14:paraId="10FA213B" w14:textId="77777777" w:rsidR="006A123D" w:rsidRPr="0040656D" w:rsidRDefault="006A123D" w:rsidP="00657117">
      <w:pPr>
        <w:spacing w:after="240" w:line="259" w:lineRule="auto"/>
        <w:rPr>
          <w:rFonts w:eastAsiaTheme="minorHAnsi" w:cs="Arial"/>
          <w:sz w:val="20"/>
          <w:szCs w:val="20"/>
          <w:lang w:eastAsia="en-GB"/>
        </w:rPr>
      </w:pPr>
      <w:r w:rsidRPr="0040656D">
        <w:rPr>
          <w:rFonts w:eastAsiaTheme="minorHAnsi" w:cs="Arial"/>
          <w:sz w:val="20"/>
          <w:szCs w:val="20"/>
          <w:lang w:eastAsia="en-GB"/>
        </w:rPr>
        <w:br w:type="page"/>
      </w:r>
    </w:p>
    <w:p w14:paraId="66D992D9" w14:textId="77777777" w:rsidR="006A123D" w:rsidRPr="0040656D" w:rsidRDefault="006A123D" w:rsidP="00657117">
      <w:pPr>
        <w:spacing w:before="120" w:after="240"/>
        <w:rPr>
          <w:rFonts w:eastAsiaTheme="minorHAnsi" w:cs="Arial"/>
          <w:b/>
          <w:bCs/>
          <w:sz w:val="20"/>
          <w:szCs w:val="20"/>
          <w:lang w:eastAsia="en-GB"/>
        </w:rPr>
      </w:pPr>
      <w:r w:rsidRPr="0040656D">
        <w:rPr>
          <w:rFonts w:eastAsiaTheme="minorHAnsi" w:cs="Arial"/>
          <w:b/>
          <w:bCs/>
          <w:sz w:val="20"/>
          <w:szCs w:val="20"/>
          <w:lang w:eastAsia="en-GB"/>
        </w:rPr>
        <w:lastRenderedPageBreak/>
        <w:t xml:space="preserve">Annex A </w:t>
      </w:r>
    </w:p>
    <w:p w14:paraId="43E3746F" w14:textId="77777777" w:rsidR="006A123D" w:rsidRPr="0040656D" w:rsidRDefault="006A123D" w:rsidP="00657117">
      <w:pPr>
        <w:spacing w:before="120" w:after="240"/>
        <w:rPr>
          <w:rFonts w:eastAsiaTheme="minorHAnsi" w:cs="Arial"/>
          <w:sz w:val="20"/>
          <w:szCs w:val="20"/>
          <w:u w:val="single"/>
          <w:lang w:eastAsia="en-GB"/>
        </w:rPr>
      </w:pPr>
      <w:r w:rsidRPr="0040656D">
        <w:rPr>
          <w:rFonts w:eastAsiaTheme="minorHAnsi" w:cs="Arial"/>
          <w:sz w:val="20"/>
          <w:szCs w:val="20"/>
          <w:u w:val="single"/>
          <w:lang w:eastAsia="en-GB"/>
        </w:rPr>
        <w:t xml:space="preserve">Portfolio of MAGC-Support to Financial Institutions </w:t>
      </w:r>
    </w:p>
    <w:tbl>
      <w:tblPr>
        <w:tblW w:w="10694" w:type="dxa"/>
        <w:tblInd w:w="-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1"/>
        <w:gridCol w:w="851"/>
        <w:gridCol w:w="1276"/>
        <w:gridCol w:w="1559"/>
        <w:gridCol w:w="1559"/>
        <w:gridCol w:w="1560"/>
        <w:gridCol w:w="1429"/>
        <w:gridCol w:w="1689"/>
      </w:tblGrid>
      <w:tr w:rsidR="00546BE6" w:rsidRPr="0040656D" w14:paraId="010EAAF5" w14:textId="77777777" w:rsidTr="789C6A0B">
        <w:trPr>
          <w:trHeight w:val="515"/>
        </w:trPr>
        <w:tc>
          <w:tcPr>
            <w:tcW w:w="771" w:type="dxa"/>
            <w:shd w:val="clear" w:color="auto" w:fill="83CAEB" w:themeFill="accent1" w:themeFillTint="66"/>
          </w:tcPr>
          <w:p w14:paraId="07F6ABDB" w14:textId="77777777" w:rsidR="006A123D" w:rsidRPr="0040656D" w:rsidRDefault="006A123D" w:rsidP="00657117">
            <w:pPr>
              <w:pStyle w:val="Default"/>
              <w:spacing w:after="240"/>
              <w:rPr>
                <w:rFonts w:ascii="Arial" w:hAnsi="Arial" w:cs="Arial"/>
                <w:b/>
                <w:bCs/>
                <w:sz w:val="18"/>
                <w:szCs w:val="18"/>
              </w:rPr>
            </w:pPr>
            <w:r w:rsidRPr="0040656D">
              <w:rPr>
                <w:rFonts w:ascii="Arial" w:hAnsi="Arial" w:cs="Arial"/>
                <w:b/>
                <w:bCs/>
                <w:sz w:val="18"/>
                <w:szCs w:val="18"/>
              </w:rPr>
              <w:t xml:space="preserve">Year </w:t>
            </w:r>
          </w:p>
        </w:tc>
        <w:tc>
          <w:tcPr>
            <w:tcW w:w="851" w:type="dxa"/>
            <w:shd w:val="clear" w:color="auto" w:fill="83CAEB" w:themeFill="accent1" w:themeFillTint="66"/>
          </w:tcPr>
          <w:p w14:paraId="1D2BA8C2" w14:textId="77777777" w:rsidR="006A123D" w:rsidRPr="0040656D" w:rsidRDefault="006A123D" w:rsidP="00657117">
            <w:pPr>
              <w:pStyle w:val="Default"/>
              <w:spacing w:after="240"/>
              <w:rPr>
                <w:rFonts w:ascii="Arial" w:hAnsi="Arial" w:cs="Arial"/>
                <w:sz w:val="18"/>
                <w:szCs w:val="18"/>
              </w:rPr>
            </w:pPr>
            <w:r w:rsidRPr="0040656D">
              <w:rPr>
                <w:rFonts w:ascii="Arial" w:hAnsi="Arial" w:cs="Arial"/>
                <w:b/>
                <w:bCs/>
                <w:sz w:val="18"/>
                <w:szCs w:val="18"/>
              </w:rPr>
              <w:t xml:space="preserve">Region </w:t>
            </w:r>
          </w:p>
        </w:tc>
        <w:tc>
          <w:tcPr>
            <w:tcW w:w="1276" w:type="dxa"/>
            <w:shd w:val="clear" w:color="auto" w:fill="83CAEB" w:themeFill="accent1" w:themeFillTint="66"/>
          </w:tcPr>
          <w:p w14:paraId="2EF5D6C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b/>
                <w:bCs/>
                <w:sz w:val="18"/>
                <w:szCs w:val="18"/>
              </w:rPr>
              <w:t xml:space="preserve">Countries </w:t>
            </w:r>
          </w:p>
        </w:tc>
        <w:tc>
          <w:tcPr>
            <w:tcW w:w="1559" w:type="dxa"/>
            <w:shd w:val="clear" w:color="auto" w:fill="83CAEB" w:themeFill="accent1" w:themeFillTint="66"/>
          </w:tcPr>
          <w:p w14:paraId="283E0C0E" w14:textId="77777777" w:rsidR="006A123D" w:rsidRPr="0040656D" w:rsidRDefault="006A123D" w:rsidP="00657117">
            <w:pPr>
              <w:pStyle w:val="Default"/>
              <w:spacing w:after="240"/>
              <w:rPr>
                <w:rFonts w:ascii="Arial" w:hAnsi="Arial" w:cs="Arial"/>
                <w:sz w:val="18"/>
                <w:szCs w:val="18"/>
              </w:rPr>
            </w:pPr>
            <w:r w:rsidRPr="0040656D">
              <w:rPr>
                <w:rFonts w:ascii="Arial" w:hAnsi="Arial" w:cs="Arial"/>
                <w:b/>
                <w:bCs/>
                <w:sz w:val="18"/>
                <w:szCs w:val="18"/>
              </w:rPr>
              <w:t xml:space="preserve">Status </w:t>
            </w:r>
          </w:p>
        </w:tc>
        <w:tc>
          <w:tcPr>
            <w:tcW w:w="1559" w:type="dxa"/>
            <w:shd w:val="clear" w:color="auto" w:fill="83CAEB" w:themeFill="accent1" w:themeFillTint="66"/>
          </w:tcPr>
          <w:p w14:paraId="6F61348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b/>
                <w:bCs/>
                <w:sz w:val="18"/>
                <w:szCs w:val="18"/>
              </w:rPr>
              <w:t>Status</w:t>
            </w:r>
          </w:p>
        </w:tc>
        <w:tc>
          <w:tcPr>
            <w:tcW w:w="1560" w:type="dxa"/>
            <w:shd w:val="clear" w:color="auto" w:fill="83CAEB" w:themeFill="accent1" w:themeFillTint="66"/>
          </w:tcPr>
          <w:p w14:paraId="7F29D94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b/>
                <w:bCs/>
                <w:sz w:val="18"/>
                <w:szCs w:val="18"/>
              </w:rPr>
              <w:t>Total Green Building Project Costs</w:t>
            </w:r>
            <w:r w:rsidRPr="0040656D">
              <w:rPr>
                <w:rFonts w:ascii="Arial" w:hAnsi="Arial" w:cs="Arial"/>
                <w:b/>
                <w:bCs/>
                <w:sz w:val="12"/>
                <w:szCs w:val="12"/>
              </w:rPr>
              <w:t>28</w:t>
            </w:r>
            <w:r w:rsidRPr="0040656D">
              <w:rPr>
                <w:rFonts w:ascii="Arial" w:hAnsi="Arial" w:cs="Arial"/>
                <w:b/>
                <w:bCs/>
                <w:sz w:val="18"/>
                <w:szCs w:val="18"/>
              </w:rPr>
              <w:t xml:space="preserve">, US$ millions </w:t>
            </w:r>
          </w:p>
        </w:tc>
        <w:tc>
          <w:tcPr>
            <w:tcW w:w="1429" w:type="dxa"/>
            <w:shd w:val="clear" w:color="auto" w:fill="83CAEB" w:themeFill="accent1" w:themeFillTint="66"/>
          </w:tcPr>
          <w:p w14:paraId="0381E499" w14:textId="77777777" w:rsidR="006A123D" w:rsidRPr="0040656D" w:rsidRDefault="006A123D" w:rsidP="00657117">
            <w:pPr>
              <w:pStyle w:val="Default"/>
              <w:spacing w:after="240"/>
              <w:rPr>
                <w:rFonts w:ascii="Arial" w:hAnsi="Arial" w:cs="Arial"/>
                <w:sz w:val="18"/>
                <w:szCs w:val="18"/>
              </w:rPr>
            </w:pPr>
            <w:r w:rsidRPr="0040656D">
              <w:rPr>
                <w:rFonts w:ascii="Arial" w:hAnsi="Arial" w:cs="Arial"/>
                <w:b/>
                <w:bCs/>
                <w:sz w:val="18"/>
                <w:szCs w:val="18"/>
              </w:rPr>
              <w:t xml:space="preserve">MAGC financing committed, US$ millions </w:t>
            </w:r>
          </w:p>
        </w:tc>
        <w:tc>
          <w:tcPr>
            <w:tcW w:w="1689" w:type="dxa"/>
            <w:shd w:val="clear" w:color="auto" w:fill="83CAEB" w:themeFill="accent1" w:themeFillTint="66"/>
          </w:tcPr>
          <w:p w14:paraId="292B66A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b/>
                <w:bCs/>
                <w:sz w:val="18"/>
                <w:szCs w:val="18"/>
              </w:rPr>
              <w:t xml:space="preserve">Advisory </w:t>
            </w:r>
          </w:p>
        </w:tc>
      </w:tr>
      <w:tr w:rsidR="00A27B51" w:rsidRPr="0040656D" w14:paraId="47697340" w14:textId="77777777" w:rsidTr="789C6A0B">
        <w:trPr>
          <w:cantSplit/>
          <w:trHeight w:val="1134"/>
        </w:trPr>
        <w:tc>
          <w:tcPr>
            <w:tcW w:w="771" w:type="dxa"/>
            <w:textDirection w:val="btLr"/>
            <w:vAlign w:val="center"/>
          </w:tcPr>
          <w:p w14:paraId="2AC11DA5" w14:textId="77777777" w:rsidR="006A123D" w:rsidRPr="0040656D" w:rsidRDefault="006A123D" w:rsidP="00657117">
            <w:pPr>
              <w:pStyle w:val="Default"/>
              <w:spacing w:after="240"/>
              <w:ind w:left="113" w:right="113"/>
              <w:jc w:val="center"/>
              <w:rPr>
                <w:rFonts w:ascii="Arial" w:hAnsi="Arial" w:cs="Arial"/>
                <w:sz w:val="18"/>
                <w:szCs w:val="18"/>
              </w:rPr>
            </w:pPr>
            <w:r w:rsidRPr="0040656D">
              <w:rPr>
                <w:rFonts w:ascii="Arial" w:hAnsi="Arial" w:cs="Arial"/>
                <w:sz w:val="18"/>
                <w:szCs w:val="18"/>
              </w:rPr>
              <w:t>FY20</w:t>
            </w:r>
          </w:p>
        </w:tc>
        <w:tc>
          <w:tcPr>
            <w:tcW w:w="851" w:type="dxa"/>
          </w:tcPr>
          <w:p w14:paraId="4D9B15F6"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EAP</w:t>
            </w:r>
          </w:p>
        </w:tc>
        <w:tc>
          <w:tcPr>
            <w:tcW w:w="1276" w:type="dxa"/>
          </w:tcPr>
          <w:p w14:paraId="51A66D99"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Indonesia</w:t>
            </w:r>
          </w:p>
        </w:tc>
        <w:tc>
          <w:tcPr>
            <w:tcW w:w="1559" w:type="dxa"/>
          </w:tcPr>
          <w:p w14:paraId="78C7660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OCBC</w:t>
            </w:r>
          </w:p>
        </w:tc>
        <w:tc>
          <w:tcPr>
            <w:tcW w:w="1559" w:type="dxa"/>
          </w:tcPr>
          <w:p w14:paraId="14A27736"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37C4038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100</w:t>
            </w:r>
          </w:p>
        </w:tc>
        <w:tc>
          <w:tcPr>
            <w:tcW w:w="1429" w:type="dxa"/>
          </w:tcPr>
          <w:p w14:paraId="75C8DCC9"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2.92</w:t>
            </w:r>
          </w:p>
        </w:tc>
        <w:tc>
          <w:tcPr>
            <w:tcW w:w="1689" w:type="dxa"/>
          </w:tcPr>
          <w:p w14:paraId="35CAFD70"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 xml:space="preserve">- </w:t>
            </w:r>
          </w:p>
        </w:tc>
      </w:tr>
      <w:tr w:rsidR="00A27B51" w:rsidRPr="0040656D" w14:paraId="76A43D73" w14:textId="77777777" w:rsidTr="789C6A0B">
        <w:trPr>
          <w:trHeight w:val="90"/>
        </w:trPr>
        <w:tc>
          <w:tcPr>
            <w:tcW w:w="771" w:type="dxa"/>
            <w:vMerge w:val="restart"/>
            <w:textDirection w:val="btLr"/>
            <w:vAlign w:val="center"/>
          </w:tcPr>
          <w:p w14:paraId="3377359E" w14:textId="77777777" w:rsidR="006A123D" w:rsidRPr="0040656D" w:rsidRDefault="006A123D" w:rsidP="00657117">
            <w:pPr>
              <w:pStyle w:val="Default"/>
              <w:spacing w:after="240"/>
              <w:ind w:left="113" w:right="113"/>
              <w:jc w:val="center"/>
              <w:rPr>
                <w:rFonts w:ascii="Arial" w:hAnsi="Arial" w:cs="Arial"/>
                <w:sz w:val="18"/>
                <w:szCs w:val="18"/>
              </w:rPr>
            </w:pPr>
            <w:r w:rsidRPr="0040656D">
              <w:rPr>
                <w:rFonts w:ascii="Arial" w:hAnsi="Arial" w:cs="Arial"/>
                <w:sz w:val="18"/>
                <w:szCs w:val="18"/>
              </w:rPr>
              <w:t>FY21</w:t>
            </w:r>
          </w:p>
        </w:tc>
        <w:tc>
          <w:tcPr>
            <w:tcW w:w="851" w:type="dxa"/>
          </w:tcPr>
          <w:p w14:paraId="7F50C04B"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AFR</w:t>
            </w:r>
          </w:p>
        </w:tc>
        <w:tc>
          <w:tcPr>
            <w:tcW w:w="1276" w:type="dxa"/>
          </w:tcPr>
          <w:p w14:paraId="57EDEB8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Egypt</w:t>
            </w:r>
          </w:p>
        </w:tc>
        <w:tc>
          <w:tcPr>
            <w:tcW w:w="1559" w:type="dxa"/>
          </w:tcPr>
          <w:p w14:paraId="5D71F55B"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CIB (I)</w:t>
            </w:r>
          </w:p>
        </w:tc>
        <w:tc>
          <w:tcPr>
            <w:tcW w:w="1559" w:type="dxa"/>
          </w:tcPr>
          <w:p w14:paraId="77DE974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315F2663"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50</w:t>
            </w:r>
          </w:p>
        </w:tc>
        <w:tc>
          <w:tcPr>
            <w:tcW w:w="1429" w:type="dxa"/>
          </w:tcPr>
          <w:p w14:paraId="2A506D79"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1.4</w:t>
            </w:r>
          </w:p>
        </w:tc>
        <w:tc>
          <w:tcPr>
            <w:tcW w:w="1689" w:type="dxa"/>
          </w:tcPr>
          <w:p w14:paraId="6A8475B3" w14:textId="5C12DC4C" w:rsidR="006A123D" w:rsidRPr="0040656D" w:rsidRDefault="005B7E57" w:rsidP="00657117">
            <w:pPr>
              <w:pStyle w:val="Default"/>
              <w:spacing w:after="240"/>
              <w:rPr>
                <w:rFonts w:ascii="Arial" w:hAnsi="Arial" w:cs="Arial"/>
                <w:sz w:val="18"/>
                <w:szCs w:val="18"/>
              </w:rPr>
            </w:pPr>
            <w:r>
              <w:rPr>
                <w:rFonts w:ascii="Arial" w:hAnsi="Arial" w:cs="Arial"/>
                <w:sz w:val="18"/>
                <w:szCs w:val="18"/>
              </w:rPr>
              <w:t>Completed</w:t>
            </w:r>
          </w:p>
        </w:tc>
      </w:tr>
      <w:tr w:rsidR="00A27B51" w:rsidRPr="0040656D" w14:paraId="2C7159C9" w14:textId="77777777" w:rsidTr="789C6A0B">
        <w:trPr>
          <w:trHeight w:val="90"/>
        </w:trPr>
        <w:tc>
          <w:tcPr>
            <w:tcW w:w="771" w:type="dxa"/>
            <w:vMerge/>
            <w:textDirection w:val="btLr"/>
            <w:vAlign w:val="center"/>
          </w:tcPr>
          <w:p w14:paraId="15D6546C" w14:textId="77777777" w:rsidR="006A123D" w:rsidRPr="0040656D" w:rsidRDefault="006A123D" w:rsidP="00657117">
            <w:pPr>
              <w:pStyle w:val="Default"/>
              <w:spacing w:after="240"/>
              <w:ind w:left="113" w:right="113"/>
              <w:jc w:val="center"/>
              <w:rPr>
                <w:rFonts w:ascii="Arial" w:hAnsi="Arial" w:cs="Arial"/>
                <w:sz w:val="18"/>
                <w:szCs w:val="18"/>
              </w:rPr>
            </w:pPr>
          </w:p>
        </w:tc>
        <w:tc>
          <w:tcPr>
            <w:tcW w:w="851" w:type="dxa"/>
          </w:tcPr>
          <w:p w14:paraId="5A717F96"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AFR</w:t>
            </w:r>
          </w:p>
        </w:tc>
        <w:tc>
          <w:tcPr>
            <w:tcW w:w="1276" w:type="dxa"/>
          </w:tcPr>
          <w:p w14:paraId="4F387AD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South Africa</w:t>
            </w:r>
          </w:p>
        </w:tc>
        <w:tc>
          <w:tcPr>
            <w:tcW w:w="1559" w:type="dxa"/>
          </w:tcPr>
          <w:p w14:paraId="44CDE379"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BPL</w:t>
            </w:r>
          </w:p>
        </w:tc>
        <w:tc>
          <w:tcPr>
            <w:tcW w:w="1559" w:type="dxa"/>
          </w:tcPr>
          <w:p w14:paraId="299C707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p w14:paraId="7193B1C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(T1 – FY21</w:t>
            </w:r>
          </w:p>
          <w:p w14:paraId="4A18786F" w14:textId="3CBAA0F0" w:rsidR="006A123D" w:rsidRPr="0040656D" w:rsidRDefault="006A123D" w:rsidP="00657117">
            <w:pPr>
              <w:pStyle w:val="Default"/>
              <w:spacing w:after="240"/>
              <w:rPr>
                <w:rFonts w:ascii="Arial" w:hAnsi="Arial" w:cs="Arial"/>
                <w:sz w:val="18"/>
                <w:szCs w:val="18"/>
              </w:rPr>
            </w:pPr>
            <w:r w:rsidRPr="789C6A0B">
              <w:rPr>
                <w:rFonts w:ascii="Arial" w:hAnsi="Arial" w:cs="Arial"/>
                <w:sz w:val="18"/>
                <w:szCs w:val="18"/>
              </w:rPr>
              <w:t xml:space="preserve"> T2 – FY23)</w:t>
            </w:r>
          </w:p>
        </w:tc>
        <w:tc>
          <w:tcPr>
            <w:tcW w:w="1560" w:type="dxa"/>
          </w:tcPr>
          <w:p w14:paraId="27D12373"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36</w:t>
            </w:r>
          </w:p>
        </w:tc>
        <w:tc>
          <w:tcPr>
            <w:tcW w:w="1429" w:type="dxa"/>
          </w:tcPr>
          <w:p w14:paraId="1D49C68D"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2.9</w:t>
            </w:r>
          </w:p>
        </w:tc>
        <w:tc>
          <w:tcPr>
            <w:tcW w:w="1689" w:type="dxa"/>
          </w:tcPr>
          <w:p w14:paraId="3252C58C" w14:textId="5A9A4372" w:rsidR="006A123D" w:rsidRPr="0040656D" w:rsidRDefault="00A13C8D" w:rsidP="00657117">
            <w:pPr>
              <w:pStyle w:val="Default"/>
              <w:spacing w:after="240"/>
              <w:rPr>
                <w:rFonts w:ascii="Arial" w:hAnsi="Arial" w:cs="Arial"/>
                <w:sz w:val="18"/>
                <w:szCs w:val="18"/>
              </w:rPr>
            </w:pPr>
            <w:r>
              <w:rPr>
                <w:rFonts w:ascii="Arial" w:hAnsi="Arial" w:cs="Arial"/>
                <w:sz w:val="18"/>
                <w:szCs w:val="18"/>
              </w:rPr>
              <w:t>Signed</w:t>
            </w:r>
          </w:p>
        </w:tc>
      </w:tr>
      <w:tr w:rsidR="00A27B51" w:rsidRPr="0040656D" w14:paraId="704C457C" w14:textId="77777777" w:rsidTr="789C6A0B">
        <w:trPr>
          <w:trHeight w:val="90"/>
        </w:trPr>
        <w:tc>
          <w:tcPr>
            <w:tcW w:w="771" w:type="dxa"/>
            <w:vMerge w:val="restart"/>
            <w:textDirection w:val="btLr"/>
            <w:vAlign w:val="center"/>
          </w:tcPr>
          <w:p w14:paraId="138E4A44" w14:textId="77777777" w:rsidR="006A123D" w:rsidRPr="0040656D" w:rsidRDefault="006A123D" w:rsidP="00657117">
            <w:pPr>
              <w:pStyle w:val="Default"/>
              <w:spacing w:after="240"/>
              <w:ind w:left="113" w:right="113"/>
              <w:jc w:val="center"/>
              <w:rPr>
                <w:rFonts w:ascii="Arial" w:hAnsi="Arial" w:cs="Arial"/>
                <w:sz w:val="18"/>
                <w:szCs w:val="18"/>
              </w:rPr>
            </w:pPr>
            <w:r w:rsidRPr="0040656D">
              <w:rPr>
                <w:rFonts w:ascii="Arial" w:hAnsi="Arial" w:cs="Arial"/>
                <w:sz w:val="18"/>
                <w:szCs w:val="18"/>
              </w:rPr>
              <w:t>FY22</w:t>
            </w:r>
          </w:p>
        </w:tc>
        <w:tc>
          <w:tcPr>
            <w:tcW w:w="851" w:type="dxa"/>
          </w:tcPr>
          <w:p w14:paraId="54C3C8CD"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SA</w:t>
            </w:r>
          </w:p>
        </w:tc>
        <w:tc>
          <w:tcPr>
            <w:tcW w:w="1276" w:type="dxa"/>
          </w:tcPr>
          <w:p w14:paraId="75FB3FD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India</w:t>
            </w:r>
          </w:p>
        </w:tc>
        <w:tc>
          <w:tcPr>
            <w:tcW w:w="1559" w:type="dxa"/>
          </w:tcPr>
          <w:p w14:paraId="42CD972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Aadhar</w:t>
            </w:r>
          </w:p>
        </w:tc>
        <w:tc>
          <w:tcPr>
            <w:tcW w:w="1559" w:type="dxa"/>
          </w:tcPr>
          <w:p w14:paraId="642D0198"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2DA30E2B"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22.5</w:t>
            </w:r>
          </w:p>
        </w:tc>
        <w:tc>
          <w:tcPr>
            <w:tcW w:w="1429" w:type="dxa"/>
          </w:tcPr>
          <w:p w14:paraId="63635B50"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1.17</w:t>
            </w:r>
          </w:p>
        </w:tc>
        <w:tc>
          <w:tcPr>
            <w:tcW w:w="1689" w:type="dxa"/>
          </w:tcPr>
          <w:p w14:paraId="75B30824" w14:textId="6B1A6592" w:rsidR="006A123D" w:rsidRPr="0040656D" w:rsidRDefault="001113B4" w:rsidP="00657117">
            <w:pPr>
              <w:pStyle w:val="Default"/>
              <w:spacing w:after="240"/>
              <w:rPr>
                <w:rFonts w:ascii="Arial" w:hAnsi="Arial" w:cs="Arial"/>
                <w:sz w:val="18"/>
                <w:szCs w:val="18"/>
              </w:rPr>
            </w:pPr>
            <w:r>
              <w:rPr>
                <w:rFonts w:ascii="Arial" w:hAnsi="Arial" w:cs="Arial"/>
                <w:sz w:val="18"/>
                <w:szCs w:val="18"/>
              </w:rPr>
              <w:t>Completed</w:t>
            </w:r>
          </w:p>
        </w:tc>
      </w:tr>
      <w:tr w:rsidR="00A27B51" w:rsidRPr="0040656D" w14:paraId="738211D9" w14:textId="77777777" w:rsidTr="789C6A0B">
        <w:trPr>
          <w:trHeight w:val="90"/>
        </w:trPr>
        <w:tc>
          <w:tcPr>
            <w:tcW w:w="771" w:type="dxa"/>
            <w:vMerge/>
            <w:textDirection w:val="btLr"/>
            <w:vAlign w:val="center"/>
          </w:tcPr>
          <w:p w14:paraId="3912A25B" w14:textId="77777777" w:rsidR="006A123D" w:rsidRPr="0040656D" w:rsidRDefault="006A123D" w:rsidP="00657117">
            <w:pPr>
              <w:pStyle w:val="Default"/>
              <w:spacing w:after="240"/>
              <w:ind w:left="113" w:right="113"/>
              <w:jc w:val="center"/>
              <w:rPr>
                <w:rFonts w:ascii="Arial" w:hAnsi="Arial" w:cs="Arial"/>
                <w:sz w:val="18"/>
                <w:szCs w:val="18"/>
              </w:rPr>
            </w:pPr>
          </w:p>
        </w:tc>
        <w:tc>
          <w:tcPr>
            <w:tcW w:w="851" w:type="dxa"/>
          </w:tcPr>
          <w:p w14:paraId="1AEB3DB9"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LAC</w:t>
            </w:r>
          </w:p>
        </w:tc>
        <w:tc>
          <w:tcPr>
            <w:tcW w:w="1276" w:type="dxa"/>
          </w:tcPr>
          <w:p w14:paraId="4DABB2AE"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 xml:space="preserve">Colombia </w:t>
            </w:r>
          </w:p>
        </w:tc>
        <w:tc>
          <w:tcPr>
            <w:tcW w:w="1559" w:type="dxa"/>
          </w:tcPr>
          <w:p w14:paraId="4EF29A32"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BBVA</w:t>
            </w:r>
          </w:p>
        </w:tc>
        <w:tc>
          <w:tcPr>
            <w:tcW w:w="1559" w:type="dxa"/>
          </w:tcPr>
          <w:p w14:paraId="4C1259F6"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77121E7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70</w:t>
            </w:r>
          </w:p>
        </w:tc>
        <w:tc>
          <w:tcPr>
            <w:tcW w:w="1429" w:type="dxa"/>
          </w:tcPr>
          <w:p w14:paraId="0D287F60"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1.75</w:t>
            </w:r>
          </w:p>
        </w:tc>
        <w:tc>
          <w:tcPr>
            <w:tcW w:w="1689" w:type="dxa"/>
          </w:tcPr>
          <w:p w14:paraId="65AB30F5" w14:textId="6EB78739" w:rsidR="006A123D" w:rsidRPr="0040656D" w:rsidRDefault="00200E51" w:rsidP="00657117">
            <w:pPr>
              <w:pStyle w:val="Default"/>
              <w:spacing w:after="240"/>
              <w:rPr>
                <w:rFonts w:ascii="Arial" w:hAnsi="Arial" w:cs="Arial"/>
                <w:sz w:val="18"/>
                <w:szCs w:val="18"/>
              </w:rPr>
            </w:pPr>
            <w:r>
              <w:rPr>
                <w:rFonts w:ascii="Arial" w:hAnsi="Arial" w:cs="Arial"/>
                <w:sz w:val="18"/>
                <w:szCs w:val="18"/>
              </w:rPr>
              <w:t>-</w:t>
            </w:r>
          </w:p>
        </w:tc>
      </w:tr>
      <w:tr w:rsidR="00A27B51" w:rsidRPr="0040656D" w14:paraId="1F56FAFD" w14:textId="77777777" w:rsidTr="789C6A0B">
        <w:trPr>
          <w:trHeight w:val="90"/>
        </w:trPr>
        <w:tc>
          <w:tcPr>
            <w:tcW w:w="771" w:type="dxa"/>
            <w:vMerge/>
            <w:textDirection w:val="btLr"/>
            <w:vAlign w:val="center"/>
          </w:tcPr>
          <w:p w14:paraId="5FF3B2C8" w14:textId="77777777" w:rsidR="006A123D" w:rsidRPr="0040656D" w:rsidRDefault="006A123D" w:rsidP="00657117">
            <w:pPr>
              <w:pStyle w:val="Default"/>
              <w:spacing w:after="240"/>
              <w:ind w:left="113" w:right="113"/>
              <w:jc w:val="center"/>
              <w:rPr>
                <w:rFonts w:ascii="Arial" w:hAnsi="Arial" w:cs="Arial"/>
                <w:sz w:val="18"/>
                <w:szCs w:val="18"/>
              </w:rPr>
            </w:pPr>
          </w:p>
        </w:tc>
        <w:tc>
          <w:tcPr>
            <w:tcW w:w="851" w:type="dxa"/>
          </w:tcPr>
          <w:p w14:paraId="231E93B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LAC</w:t>
            </w:r>
          </w:p>
        </w:tc>
        <w:tc>
          <w:tcPr>
            <w:tcW w:w="1276" w:type="dxa"/>
          </w:tcPr>
          <w:p w14:paraId="6715FDB7"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Peru</w:t>
            </w:r>
          </w:p>
        </w:tc>
        <w:tc>
          <w:tcPr>
            <w:tcW w:w="1559" w:type="dxa"/>
          </w:tcPr>
          <w:p w14:paraId="51B349B2"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BBVA (I)</w:t>
            </w:r>
          </w:p>
        </w:tc>
        <w:tc>
          <w:tcPr>
            <w:tcW w:w="1559" w:type="dxa"/>
          </w:tcPr>
          <w:p w14:paraId="661F00F0"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4E73D7C5"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60</w:t>
            </w:r>
          </w:p>
        </w:tc>
        <w:tc>
          <w:tcPr>
            <w:tcW w:w="1429" w:type="dxa"/>
          </w:tcPr>
          <w:p w14:paraId="4D297F93"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1.8</w:t>
            </w:r>
          </w:p>
        </w:tc>
        <w:tc>
          <w:tcPr>
            <w:tcW w:w="1689" w:type="dxa"/>
          </w:tcPr>
          <w:p w14:paraId="4C101087" w14:textId="11CB9936" w:rsidR="006A123D" w:rsidRPr="0040656D" w:rsidRDefault="00200E51" w:rsidP="00657117">
            <w:pPr>
              <w:pStyle w:val="Default"/>
              <w:spacing w:after="240"/>
              <w:rPr>
                <w:rFonts w:ascii="Arial" w:hAnsi="Arial" w:cs="Arial"/>
                <w:sz w:val="18"/>
                <w:szCs w:val="18"/>
              </w:rPr>
            </w:pPr>
            <w:r>
              <w:rPr>
                <w:rFonts w:ascii="Arial" w:hAnsi="Arial" w:cs="Arial"/>
                <w:sz w:val="18"/>
                <w:szCs w:val="18"/>
              </w:rPr>
              <w:t>Implementing</w:t>
            </w:r>
          </w:p>
        </w:tc>
      </w:tr>
      <w:tr w:rsidR="00A27B51" w:rsidRPr="0040656D" w14:paraId="36F0E746" w14:textId="77777777" w:rsidTr="789C6A0B">
        <w:trPr>
          <w:trHeight w:val="90"/>
        </w:trPr>
        <w:tc>
          <w:tcPr>
            <w:tcW w:w="771" w:type="dxa"/>
            <w:vMerge/>
            <w:textDirection w:val="btLr"/>
            <w:vAlign w:val="center"/>
          </w:tcPr>
          <w:p w14:paraId="66E77D9F" w14:textId="77777777" w:rsidR="006A123D" w:rsidRPr="0040656D" w:rsidRDefault="006A123D" w:rsidP="00657117">
            <w:pPr>
              <w:pStyle w:val="Default"/>
              <w:spacing w:after="240"/>
              <w:ind w:left="113" w:right="113"/>
              <w:jc w:val="center"/>
              <w:rPr>
                <w:rFonts w:ascii="Arial" w:hAnsi="Arial" w:cs="Arial"/>
                <w:sz w:val="18"/>
                <w:szCs w:val="18"/>
              </w:rPr>
            </w:pPr>
          </w:p>
        </w:tc>
        <w:tc>
          <w:tcPr>
            <w:tcW w:w="851" w:type="dxa"/>
          </w:tcPr>
          <w:p w14:paraId="59CB2210"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AFR</w:t>
            </w:r>
          </w:p>
        </w:tc>
        <w:tc>
          <w:tcPr>
            <w:tcW w:w="1276" w:type="dxa"/>
          </w:tcPr>
          <w:p w14:paraId="60E6AFD4"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South Africa</w:t>
            </w:r>
          </w:p>
        </w:tc>
        <w:tc>
          <w:tcPr>
            <w:tcW w:w="1559" w:type="dxa"/>
          </w:tcPr>
          <w:p w14:paraId="0CF44710"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Nedbank</w:t>
            </w:r>
          </w:p>
        </w:tc>
        <w:tc>
          <w:tcPr>
            <w:tcW w:w="1559" w:type="dxa"/>
          </w:tcPr>
          <w:p w14:paraId="1256EBA2"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2B9A6FE2"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68</w:t>
            </w:r>
          </w:p>
        </w:tc>
        <w:tc>
          <w:tcPr>
            <w:tcW w:w="1429" w:type="dxa"/>
          </w:tcPr>
          <w:p w14:paraId="5EC2F642"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2.95</w:t>
            </w:r>
          </w:p>
        </w:tc>
        <w:tc>
          <w:tcPr>
            <w:tcW w:w="1689" w:type="dxa"/>
          </w:tcPr>
          <w:p w14:paraId="786E34E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Implementing</w:t>
            </w:r>
          </w:p>
        </w:tc>
      </w:tr>
      <w:tr w:rsidR="00A27B51" w:rsidRPr="0040656D" w14:paraId="076D2F83" w14:textId="77777777" w:rsidTr="789C6A0B">
        <w:trPr>
          <w:trHeight w:val="90"/>
        </w:trPr>
        <w:tc>
          <w:tcPr>
            <w:tcW w:w="771" w:type="dxa"/>
            <w:vMerge w:val="restart"/>
            <w:textDirection w:val="btLr"/>
            <w:vAlign w:val="center"/>
          </w:tcPr>
          <w:p w14:paraId="52E5426B" w14:textId="77777777" w:rsidR="006A123D" w:rsidRPr="0040656D" w:rsidRDefault="006A123D" w:rsidP="00657117">
            <w:pPr>
              <w:pStyle w:val="Default"/>
              <w:spacing w:after="240"/>
              <w:ind w:left="113" w:right="113"/>
              <w:jc w:val="center"/>
              <w:rPr>
                <w:rFonts w:ascii="Arial" w:hAnsi="Arial" w:cs="Arial"/>
                <w:sz w:val="18"/>
                <w:szCs w:val="18"/>
              </w:rPr>
            </w:pPr>
            <w:r w:rsidRPr="0040656D">
              <w:rPr>
                <w:rFonts w:ascii="Arial" w:hAnsi="Arial" w:cs="Arial"/>
                <w:sz w:val="18"/>
                <w:szCs w:val="18"/>
              </w:rPr>
              <w:t>FY23</w:t>
            </w:r>
          </w:p>
        </w:tc>
        <w:tc>
          <w:tcPr>
            <w:tcW w:w="851" w:type="dxa"/>
          </w:tcPr>
          <w:p w14:paraId="4031E27B"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LAC</w:t>
            </w:r>
          </w:p>
        </w:tc>
        <w:tc>
          <w:tcPr>
            <w:tcW w:w="1276" w:type="dxa"/>
          </w:tcPr>
          <w:p w14:paraId="54CA59D4"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Peru</w:t>
            </w:r>
          </w:p>
        </w:tc>
        <w:tc>
          <w:tcPr>
            <w:tcW w:w="1559" w:type="dxa"/>
          </w:tcPr>
          <w:p w14:paraId="71E50F5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Banbif</w:t>
            </w:r>
          </w:p>
        </w:tc>
        <w:tc>
          <w:tcPr>
            <w:tcW w:w="1559" w:type="dxa"/>
          </w:tcPr>
          <w:p w14:paraId="7B8ADAC4"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18F780C6"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12.5</w:t>
            </w:r>
          </w:p>
        </w:tc>
        <w:tc>
          <w:tcPr>
            <w:tcW w:w="1429" w:type="dxa"/>
          </w:tcPr>
          <w:p w14:paraId="6A13F13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0.53</w:t>
            </w:r>
          </w:p>
        </w:tc>
        <w:tc>
          <w:tcPr>
            <w:tcW w:w="1689" w:type="dxa"/>
          </w:tcPr>
          <w:p w14:paraId="1A1A8BAD" w14:textId="4AC157B3" w:rsidR="006A123D" w:rsidRPr="0040656D" w:rsidRDefault="001113B4" w:rsidP="00657117">
            <w:pPr>
              <w:pStyle w:val="Default"/>
              <w:spacing w:after="240"/>
              <w:rPr>
                <w:rFonts w:ascii="Arial" w:hAnsi="Arial" w:cs="Arial"/>
                <w:sz w:val="18"/>
                <w:szCs w:val="18"/>
              </w:rPr>
            </w:pPr>
            <w:r>
              <w:rPr>
                <w:rFonts w:ascii="Arial" w:hAnsi="Arial" w:cs="Arial"/>
                <w:sz w:val="18"/>
                <w:szCs w:val="18"/>
              </w:rPr>
              <w:t>Completed</w:t>
            </w:r>
          </w:p>
        </w:tc>
      </w:tr>
      <w:tr w:rsidR="00A27B51" w:rsidRPr="0040656D" w14:paraId="7EE7AB2A" w14:textId="77777777" w:rsidTr="789C6A0B">
        <w:trPr>
          <w:trHeight w:val="669"/>
        </w:trPr>
        <w:tc>
          <w:tcPr>
            <w:tcW w:w="771" w:type="dxa"/>
            <w:vMerge/>
            <w:textDirection w:val="btLr"/>
            <w:vAlign w:val="center"/>
          </w:tcPr>
          <w:p w14:paraId="02C468E5" w14:textId="77777777" w:rsidR="006A123D" w:rsidRPr="0040656D" w:rsidRDefault="006A123D" w:rsidP="00657117">
            <w:pPr>
              <w:pStyle w:val="Default"/>
              <w:spacing w:after="240"/>
              <w:ind w:left="113" w:right="113"/>
              <w:jc w:val="center"/>
              <w:rPr>
                <w:rFonts w:ascii="Arial" w:hAnsi="Arial" w:cs="Arial"/>
                <w:sz w:val="18"/>
                <w:szCs w:val="18"/>
              </w:rPr>
            </w:pPr>
          </w:p>
        </w:tc>
        <w:tc>
          <w:tcPr>
            <w:tcW w:w="851" w:type="dxa"/>
          </w:tcPr>
          <w:p w14:paraId="43F8C46D"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SA</w:t>
            </w:r>
          </w:p>
        </w:tc>
        <w:tc>
          <w:tcPr>
            <w:tcW w:w="1276" w:type="dxa"/>
          </w:tcPr>
          <w:p w14:paraId="39945C06"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India</w:t>
            </w:r>
          </w:p>
        </w:tc>
        <w:tc>
          <w:tcPr>
            <w:tcW w:w="1559" w:type="dxa"/>
          </w:tcPr>
          <w:p w14:paraId="0B9B152B"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Home First</w:t>
            </w:r>
          </w:p>
        </w:tc>
        <w:tc>
          <w:tcPr>
            <w:tcW w:w="1559" w:type="dxa"/>
          </w:tcPr>
          <w:p w14:paraId="5787D4EE"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1100A527"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17</w:t>
            </w:r>
          </w:p>
        </w:tc>
        <w:tc>
          <w:tcPr>
            <w:tcW w:w="1429" w:type="dxa"/>
          </w:tcPr>
          <w:p w14:paraId="60CC71D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0.86</w:t>
            </w:r>
          </w:p>
        </w:tc>
        <w:tc>
          <w:tcPr>
            <w:tcW w:w="1689" w:type="dxa"/>
          </w:tcPr>
          <w:p w14:paraId="1E38AA3D"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Implementing</w:t>
            </w:r>
          </w:p>
        </w:tc>
      </w:tr>
      <w:tr w:rsidR="00A27B51" w:rsidRPr="0040656D" w14:paraId="7CE05245" w14:textId="77777777" w:rsidTr="789C6A0B">
        <w:trPr>
          <w:trHeight w:val="90"/>
        </w:trPr>
        <w:tc>
          <w:tcPr>
            <w:tcW w:w="771" w:type="dxa"/>
            <w:vMerge/>
            <w:textDirection w:val="btLr"/>
            <w:vAlign w:val="center"/>
          </w:tcPr>
          <w:p w14:paraId="189E75A1" w14:textId="77777777" w:rsidR="006A123D" w:rsidRPr="0040656D" w:rsidRDefault="006A123D" w:rsidP="00657117">
            <w:pPr>
              <w:pStyle w:val="Default"/>
              <w:spacing w:after="240"/>
              <w:ind w:left="113" w:right="113"/>
              <w:jc w:val="center"/>
              <w:rPr>
                <w:rFonts w:ascii="Arial" w:hAnsi="Arial" w:cs="Arial"/>
                <w:sz w:val="18"/>
                <w:szCs w:val="18"/>
              </w:rPr>
            </w:pPr>
          </w:p>
        </w:tc>
        <w:tc>
          <w:tcPr>
            <w:tcW w:w="851" w:type="dxa"/>
          </w:tcPr>
          <w:p w14:paraId="12134F46"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LAC</w:t>
            </w:r>
          </w:p>
        </w:tc>
        <w:tc>
          <w:tcPr>
            <w:tcW w:w="1276" w:type="dxa"/>
          </w:tcPr>
          <w:p w14:paraId="09D4E33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Colombia</w:t>
            </w:r>
          </w:p>
        </w:tc>
        <w:tc>
          <w:tcPr>
            <w:tcW w:w="1559" w:type="dxa"/>
          </w:tcPr>
          <w:p w14:paraId="471E2E1E"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Banco de Bogota</w:t>
            </w:r>
          </w:p>
        </w:tc>
        <w:tc>
          <w:tcPr>
            <w:tcW w:w="1559" w:type="dxa"/>
          </w:tcPr>
          <w:p w14:paraId="6BDC0D03"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73EC1D4E"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37.5</w:t>
            </w:r>
          </w:p>
        </w:tc>
        <w:tc>
          <w:tcPr>
            <w:tcW w:w="1429" w:type="dxa"/>
          </w:tcPr>
          <w:p w14:paraId="442D24D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1.88</w:t>
            </w:r>
          </w:p>
        </w:tc>
        <w:tc>
          <w:tcPr>
            <w:tcW w:w="1689" w:type="dxa"/>
          </w:tcPr>
          <w:p w14:paraId="12EBD894"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Implementing</w:t>
            </w:r>
          </w:p>
        </w:tc>
      </w:tr>
      <w:tr w:rsidR="00C5654E" w:rsidRPr="0040656D" w14:paraId="399FBD11" w14:textId="77777777" w:rsidTr="789C6A0B">
        <w:trPr>
          <w:trHeight w:val="90"/>
        </w:trPr>
        <w:tc>
          <w:tcPr>
            <w:tcW w:w="771" w:type="dxa"/>
            <w:vMerge/>
          </w:tcPr>
          <w:p w14:paraId="44C11D39" w14:textId="77777777" w:rsidR="006A123D" w:rsidRPr="0040656D" w:rsidRDefault="006A123D" w:rsidP="00657117">
            <w:pPr>
              <w:pStyle w:val="Default"/>
              <w:spacing w:after="240"/>
              <w:rPr>
                <w:rFonts w:ascii="Arial" w:hAnsi="Arial" w:cs="Arial"/>
                <w:sz w:val="18"/>
                <w:szCs w:val="18"/>
              </w:rPr>
            </w:pPr>
          </w:p>
        </w:tc>
        <w:tc>
          <w:tcPr>
            <w:tcW w:w="851" w:type="dxa"/>
          </w:tcPr>
          <w:p w14:paraId="3F8AECC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AFR</w:t>
            </w:r>
          </w:p>
        </w:tc>
        <w:tc>
          <w:tcPr>
            <w:tcW w:w="1276" w:type="dxa"/>
          </w:tcPr>
          <w:p w14:paraId="4FAB26D3"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South Africa</w:t>
            </w:r>
          </w:p>
        </w:tc>
        <w:tc>
          <w:tcPr>
            <w:tcW w:w="1559" w:type="dxa"/>
          </w:tcPr>
          <w:p w14:paraId="73FD48E3"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Absa</w:t>
            </w:r>
          </w:p>
        </w:tc>
        <w:tc>
          <w:tcPr>
            <w:tcW w:w="1559" w:type="dxa"/>
          </w:tcPr>
          <w:p w14:paraId="56E21D4E"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3B8B2875"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241</w:t>
            </w:r>
          </w:p>
        </w:tc>
        <w:tc>
          <w:tcPr>
            <w:tcW w:w="1429" w:type="dxa"/>
          </w:tcPr>
          <w:p w14:paraId="649BD24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10</w:t>
            </w:r>
          </w:p>
        </w:tc>
        <w:tc>
          <w:tcPr>
            <w:tcW w:w="1689" w:type="dxa"/>
          </w:tcPr>
          <w:p w14:paraId="48DF4D27"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Planned</w:t>
            </w:r>
          </w:p>
        </w:tc>
      </w:tr>
      <w:tr w:rsidR="00C5654E" w:rsidRPr="0040656D" w14:paraId="6D1F8339" w14:textId="77777777" w:rsidTr="789C6A0B">
        <w:trPr>
          <w:trHeight w:val="90"/>
        </w:trPr>
        <w:tc>
          <w:tcPr>
            <w:tcW w:w="771" w:type="dxa"/>
            <w:vMerge/>
          </w:tcPr>
          <w:p w14:paraId="4024FE3B" w14:textId="77777777" w:rsidR="006A123D" w:rsidRPr="0040656D" w:rsidRDefault="006A123D" w:rsidP="00657117">
            <w:pPr>
              <w:pStyle w:val="Default"/>
              <w:spacing w:after="240"/>
              <w:rPr>
                <w:rFonts w:ascii="Arial" w:hAnsi="Arial" w:cs="Arial"/>
                <w:sz w:val="18"/>
                <w:szCs w:val="18"/>
              </w:rPr>
            </w:pPr>
          </w:p>
        </w:tc>
        <w:tc>
          <w:tcPr>
            <w:tcW w:w="851" w:type="dxa"/>
          </w:tcPr>
          <w:p w14:paraId="6639FB18"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EAP</w:t>
            </w:r>
          </w:p>
        </w:tc>
        <w:tc>
          <w:tcPr>
            <w:tcW w:w="1276" w:type="dxa"/>
          </w:tcPr>
          <w:p w14:paraId="5962A381"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Indonesia</w:t>
            </w:r>
          </w:p>
        </w:tc>
        <w:tc>
          <w:tcPr>
            <w:tcW w:w="1559" w:type="dxa"/>
          </w:tcPr>
          <w:p w14:paraId="38277942"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BTPN</w:t>
            </w:r>
          </w:p>
        </w:tc>
        <w:tc>
          <w:tcPr>
            <w:tcW w:w="1559" w:type="dxa"/>
          </w:tcPr>
          <w:p w14:paraId="5D63BA4F"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55EF40AA"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50</w:t>
            </w:r>
          </w:p>
        </w:tc>
        <w:tc>
          <w:tcPr>
            <w:tcW w:w="1429" w:type="dxa"/>
          </w:tcPr>
          <w:p w14:paraId="56909D09" w14:textId="764E58DF" w:rsidR="006A123D" w:rsidRPr="0040656D" w:rsidRDefault="001F7F66" w:rsidP="00657117">
            <w:pPr>
              <w:pStyle w:val="Default"/>
              <w:spacing w:after="240"/>
              <w:rPr>
                <w:rFonts w:ascii="Arial" w:hAnsi="Arial" w:cs="Arial"/>
                <w:sz w:val="18"/>
                <w:szCs w:val="18"/>
              </w:rPr>
            </w:pPr>
            <w:r>
              <w:rPr>
                <w:rFonts w:ascii="Arial" w:hAnsi="Arial" w:cs="Arial"/>
                <w:sz w:val="18"/>
                <w:szCs w:val="18"/>
              </w:rPr>
              <w:t>3.</w:t>
            </w:r>
            <w:r w:rsidR="00A26437">
              <w:rPr>
                <w:rFonts w:ascii="Arial" w:hAnsi="Arial" w:cs="Arial"/>
                <w:sz w:val="18"/>
                <w:szCs w:val="18"/>
              </w:rPr>
              <w:t>5</w:t>
            </w:r>
          </w:p>
        </w:tc>
        <w:tc>
          <w:tcPr>
            <w:tcW w:w="1689" w:type="dxa"/>
          </w:tcPr>
          <w:p w14:paraId="04E555F6" w14:textId="36B463F7" w:rsidR="006A123D" w:rsidRPr="0040656D" w:rsidRDefault="007E71A9" w:rsidP="00657117">
            <w:pPr>
              <w:pStyle w:val="Default"/>
              <w:spacing w:after="240"/>
              <w:rPr>
                <w:rFonts w:ascii="Arial" w:hAnsi="Arial" w:cs="Arial"/>
                <w:sz w:val="18"/>
                <w:szCs w:val="18"/>
              </w:rPr>
            </w:pPr>
            <w:r>
              <w:rPr>
                <w:rFonts w:ascii="Arial" w:hAnsi="Arial" w:cs="Arial"/>
                <w:sz w:val="18"/>
                <w:szCs w:val="18"/>
              </w:rPr>
              <w:t>Implementing</w:t>
            </w:r>
          </w:p>
        </w:tc>
      </w:tr>
      <w:tr w:rsidR="00C5654E" w:rsidRPr="0040656D" w14:paraId="1E00422E" w14:textId="77777777" w:rsidTr="789C6A0B">
        <w:trPr>
          <w:trHeight w:val="195"/>
        </w:trPr>
        <w:tc>
          <w:tcPr>
            <w:tcW w:w="771" w:type="dxa"/>
            <w:vMerge/>
          </w:tcPr>
          <w:p w14:paraId="6CFA1F22" w14:textId="77777777" w:rsidR="006A123D" w:rsidRPr="0040656D" w:rsidRDefault="006A123D" w:rsidP="00657117">
            <w:pPr>
              <w:pStyle w:val="Default"/>
              <w:spacing w:after="240"/>
              <w:rPr>
                <w:rFonts w:ascii="Arial" w:hAnsi="Arial" w:cs="Arial"/>
                <w:sz w:val="18"/>
                <w:szCs w:val="18"/>
              </w:rPr>
            </w:pPr>
          </w:p>
        </w:tc>
        <w:tc>
          <w:tcPr>
            <w:tcW w:w="851" w:type="dxa"/>
          </w:tcPr>
          <w:p w14:paraId="52895E40"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AFR</w:t>
            </w:r>
          </w:p>
        </w:tc>
        <w:tc>
          <w:tcPr>
            <w:tcW w:w="1276" w:type="dxa"/>
          </w:tcPr>
          <w:p w14:paraId="7AF1A3AC"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Egypt</w:t>
            </w:r>
          </w:p>
        </w:tc>
        <w:tc>
          <w:tcPr>
            <w:tcW w:w="1559" w:type="dxa"/>
          </w:tcPr>
          <w:p w14:paraId="2321094D"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CIB (II)</w:t>
            </w:r>
          </w:p>
        </w:tc>
        <w:tc>
          <w:tcPr>
            <w:tcW w:w="1559" w:type="dxa"/>
          </w:tcPr>
          <w:p w14:paraId="456EA6B7"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Committed</w:t>
            </w:r>
          </w:p>
        </w:tc>
        <w:tc>
          <w:tcPr>
            <w:tcW w:w="1560" w:type="dxa"/>
          </w:tcPr>
          <w:p w14:paraId="40FE88DB" w14:textId="77777777" w:rsidR="006A123D" w:rsidRPr="0040656D" w:rsidRDefault="006A123D" w:rsidP="00657117">
            <w:pPr>
              <w:pStyle w:val="Default"/>
              <w:spacing w:after="240"/>
              <w:rPr>
                <w:rFonts w:ascii="Arial" w:hAnsi="Arial" w:cs="Arial"/>
                <w:sz w:val="18"/>
                <w:szCs w:val="18"/>
              </w:rPr>
            </w:pPr>
            <w:r w:rsidRPr="0040656D">
              <w:rPr>
                <w:rFonts w:ascii="Arial" w:hAnsi="Arial" w:cs="Arial"/>
                <w:sz w:val="18"/>
                <w:szCs w:val="18"/>
              </w:rPr>
              <w:t>100</w:t>
            </w:r>
          </w:p>
        </w:tc>
        <w:tc>
          <w:tcPr>
            <w:tcW w:w="1429" w:type="dxa"/>
          </w:tcPr>
          <w:p w14:paraId="7FD5133F" w14:textId="416BC56F" w:rsidR="006A123D" w:rsidRPr="0040656D" w:rsidRDefault="001F7F66" w:rsidP="00657117">
            <w:pPr>
              <w:pStyle w:val="Default"/>
              <w:spacing w:after="240"/>
              <w:rPr>
                <w:rFonts w:ascii="Arial" w:hAnsi="Arial" w:cs="Arial"/>
                <w:sz w:val="18"/>
                <w:szCs w:val="18"/>
              </w:rPr>
            </w:pPr>
            <w:r>
              <w:rPr>
                <w:rFonts w:ascii="Arial" w:hAnsi="Arial" w:cs="Arial"/>
                <w:sz w:val="18"/>
                <w:szCs w:val="18"/>
              </w:rPr>
              <w:t>2</w:t>
            </w:r>
            <w:r w:rsidR="00A26437">
              <w:rPr>
                <w:rFonts w:ascii="Arial" w:hAnsi="Arial" w:cs="Arial"/>
                <w:sz w:val="18"/>
                <w:szCs w:val="18"/>
              </w:rPr>
              <w:t>.8</w:t>
            </w:r>
          </w:p>
        </w:tc>
        <w:tc>
          <w:tcPr>
            <w:tcW w:w="1689" w:type="dxa"/>
          </w:tcPr>
          <w:p w14:paraId="2C5041FD" w14:textId="5E8210D5" w:rsidR="006A123D" w:rsidRPr="0040656D" w:rsidRDefault="007E71A9" w:rsidP="00657117">
            <w:pPr>
              <w:pStyle w:val="Default"/>
              <w:spacing w:after="240"/>
              <w:rPr>
                <w:rFonts w:ascii="Arial" w:hAnsi="Arial" w:cs="Arial"/>
                <w:sz w:val="18"/>
                <w:szCs w:val="18"/>
              </w:rPr>
            </w:pPr>
            <w:r>
              <w:rPr>
                <w:rFonts w:ascii="Arial" w:hAnsi="Arial" w:cs="Arial"/>
                <w:sz w:val="18"/>
                <w:szCs w:val="18"/>
              </w:rPr>
              <w:t>-</w:t>
            </w:r>
          </w:p>
        </w:tc>
      </w:tr>
      <w:tr w:rsidR="00A27B51" w:rsidRPr="0040656D" w14:paraId="3ED6B0A1" w14:textId="77777777" w:rsidTr="789C6A0B">
        <w:trPr>
          <w:trHeight w:val="195"/>
        </w:trPr>
        <w:tc>
          <w:tcPr>
            <w:tcW w:w="771" w:type="dxa"/>
            <w:vMerge w:val="restart"/>
            <w:textDirection w:val="btLr"/>
            <w:vAlign w:val="center"/>
          </w:tcPr>
          <w:p w14:paraId="12CF3EE4" w14:textId="33FBD8BB" w:rsidR="007772C8" w:rsidRPr="0040656D" w:rsidRDefault="007772C8" w:rsidP="00657117">
            <w:pPr>
              <w:pStyle w:val="Default"/>
              <w:spacing w:after="240"/>
              <w:ind w:left="113" w:right="113"/>
              <w:jc w:val="center"/>
              <w:rPr>
                <w:rFonts w:ascii="Arial" w:hAnsi="Arial" w:cs="Arial"/>
                <w:sz w:val="18"/>
                <w:szCs w:val="18"/>
              </w:rPr>
            </w:pPr>
            <w:r>
              <w:rPr>
                <w:rFonts w:ascii="Arial" w:hAnsi="Arial" w:cs="Arial"/>
                <w:sz w:val="18"/>
                <w:szCs w:val="18"/>
              </w:rPr>
              <w:t>FY24</w:t>
            </w:r>
          </w:p>
        </w:tc>
        <w:tc>
          <w:tcPr>
            <w:tcW w:w="851" w:type="dxa"/>
          </w:tcPr>
          <w:p w14:paraId="33AC594A" w14:textId="4D6D7844" w:rsidR="007772C8" w:rsidRPr="0040656D" w:rsidRDefault="007772C8" w:rsidP="00657117">
            <w:pPr>
              <w:pStyle w:val="Default"/>
              <w:spacing w:after="240"/>
              <w:rPr>
                <w:rFonts w:ascii="Arial" w:hAnsi="Arial" w:cs="Arial"/>
                <w:sz w:val="18"/>
                <w:szCs w:val="18"/>
              </w:rPr>
            </w:pPr>
            <w:r>
              <w:rPr>
                <w:rFonts w:ascii="Arial" w:hAnsi="Arial" w:cs="Arial"/>
                <w:sz w:val="18"/>
                <w:szCs w:val="18"/>
              </w:rPr>
              <w:t>LAC</w:t>
            </w:r>
          </w:p>
        </w:tc>
        <w:tc>
          <w:tcPr>
            <w:tcW w:w="1276" w:type="dxa"/>
          </w:tcPr>
          <w:p w14:paraId="75EA4904" w14:textId="33160A5F" w:rsidR="007772C8" w:rsidRPr="0040656D" w:rsidRDefault="007772C8" w:rsidP="00657117">
            <w:pPr>
              <w:pStyle w:val="Default"/>
              <w:spacing w:after="240"/>
              <w:rPr>
                <w:rFonts w:ascii="Arial" w:hAnsi="Arial" w:cs="Arial"/>
                <w:sz w:val="18"/>
                <w:szCs w:val="18"/>
              </w:rPr>
            </w:pPr>
            <w:r>
              <w:rPr>
                <w:rFonts w:ascii="Arial" w:hAnsi="Arial" w:cs="Arial"/>
                <w:sz w:val="18"/>
                <w:szCs w:val="18"/>
              </w:rPr>
              <w:t xml:space="preserve">Peru </w:t>
            </w:r>
          </w:p>
        </w:tc>
        <w:tc>
          <w:tcPr>
            <w:tcW w:w="1559" w:type="dxa"/>
          </w:tcPr>
          <w:p w14:paraId="38001630" w14:textId="6755BA06" w:rsidR="007772C8" w:rsidRPr="0040656D" w:rsidRDefault="007772C8" w:rsidP="00657117">
            <w:pPr>
              <w:pStyle w:val="Default"/>
              <w:spacing w:after="240"/>
              <w:rPr>
                <w:rFonts w:ascii="Arial" w:hAnsi="Arial" w:cs="Arial"/>
                <w:sz w:val="18"/>
                <w:szCs w:val="18"/>
              </w:rPr>
            </w:pPr>
            <w:r>
              <w:rPr>
                <w:rFonts w:ascii="Arial" w:hAnsi="Arial" w:cs="Arial"/>
                <w:sz w:val="18"/>
                <w:szCs w:val="18"/>
              </w:rPr>
              <w:t>BBVA (II)</w:t>
            </w:r>
          </w:p>
        </w:tc>
        <w:tc>
          <w:tcPr>
            <w:tcW w:w="1559" w:type="dxa"/>
          </w:tcPr>
          <w:p w14:paraId="76601377" w14:textId="45BCF566" w:rsidR="007772C8" w:rsidRPr="0040656D" w:rsidRDefault="007772C8" w:rsidP="00657117">
            <w:pPr>
              <w:pStyle w:val="Default"/>
              <w:spacing w:after="240"/>
              <w:rPr>
                <w:rFonts w:ascii="Arial" w:hAnsi="Arial" w:cs="Arial"/>
                <w:sz w:val="18"/>
                <w:szCs w:val="18"/>
              </w:rPr>
            </w:pPr>
            <w:r>
              <w:rPr>
                <w:rFonts w:ascii="Arial" w:hAnsi="Arial" w:cs="Arial"/>
                <w:sz w:val="18"/>
                <w:szCs w:val="18"/>
              </w:rPr>
              <w:t>Committed</w:t>
            </w:r>
          </w:p>
        </w:tc>
        <w:tc>
          <w:tcPr>
            <w:tcW w:w="1560" w:type="dxa"/>
          </w:tcPr>
          <w:p w14:paraId="5ED7A8E0" w14:textId="31D6B70F" w:rsidR="007772C8" w:rsidRPr="0040656D" w:rsidRDefault="007772C8" w:rsidP="00657117">
            <w:pPr>
              <w:pStyle w:val="Default"/>
              <w:spacing w:after="240"/>
              <w:rPr>
                <w:rFonts w:ascii="Arial" w:hAnsi="Arial" w:cs="Arial"/>
                <w:sz w:val="18"/>
                <w:szCs w:val="18"/>
              </w:rPr>
            </w:pPr>
            <w:r>
              <w:rPr>
                <w:rFonts w:ascii="Arial" w:hAnsi="Arial" w:cs="Arial"/>
                <w:sz w:val="18"/>
                <w:szCs w:val="18"/>
              </w:rPr>
              <w:t>250</w:t>
            </w:r>
          </w:p>
        </w:tc>
        <w:tc>
          <w:tcPr>
            <w:tcW w:w="1429" w:type="dxa"/>
          </w:tcPr>
          <w:p w14:paraId="127681E7" w14:textId="5602765A" w:rsidR="007772C8" w:rsidRPr="0040656D" w:rsidRDefault="007772C8" w:rsidP="00657117">
            <w:pPr>
              <w:pStyle w:val="Default"/>
              <w:spacing w:after="240"/>
              <w:rPr>
                <w:rFonts w:ascii="Arial" w:hAnsi="Arial" w:cs="Arial"/>
                <w:sz w:val="18"/>
                <w:szCs w:val="18"/>
              </w:rPr>
            </w:pPr>
            <w:r>
              <w:rPr>
                <w:rFonts w:ascii="Arial" w:hAnsi="Arial" w:cs="Arial"/>
                <w:sz w:val="18"/>
                <w:szCs w:val="18"/>
              </w:rPr>
              <w:t>3.75</w:t>
            </w:r>
          </w:p>
        </w:tc>
        <w:tc>
          <w:tcPr>
            <w:tcW w:w="1689" w:type="dxa"/>
          </w:tcPr>
          <w:p w14:paraId="67623D4D" w14:textId="4A1CBBCC" w:rsidR="007772C8" w:rsidRPr="0040656D" w:rsidRDefault="007772C8" w:rsidP="00657117">
            <w:pPr>
              <w:pStyle w:val="Default"/>
              <w:spacing w:after="240"/>
              <w:rPr>
                <w:rFonts w:ascii="Arial" w:hAnsi="Arial" w:cs="Arial"/>
                <w:sz w:val="18"/>
                <w:szCs w:val="18"/>
              </w:rPr>
            </w:pPr>
            <w:r>
              <w:rPr>
                <w:rFonts w:ascii="Arial" w:hAnsi="Arial" w:cs="Arial"/>
                <w:sz w:val="18"/>
                <w:szCs w:val="18"/>
              </w:rPr>
              <w:t>Implementing</w:t>
            </w:r>
          </w:p>
        </w:tc>
      </w:tr>
      <w:tr w:rsidR="00C5654E" w:rsidRPr="0040656D" w14:paraId="2DD4617C" w14:textId="77777777" w:rsidTr="789C6A0B">
        <w:trPr>
          <w:trHeight w:val="195"/>
        </w:trPr>
        <w:tc>
          <w:tcPr>
            <w:tcW w:w="771" w:type="dxa"/>
            <w:vMerge/>
          </w:tcPr>
          <w:p w14:paraId="4D42DB6B" w14:textId="76C84E7C" w:rsidR="007772C8" w:rsidRPr="0040656D" w:rsidRDefault="007772C8" w:rsidP="00657117">
            <w:pPr>
              <w:pStyle w:val="Default"/>
              <w:spacing w:after="240"/>
              <w:rPr>
                <w:rFonts w:ascii="Arial" w:hAnsi="Arial" w:cs="Arial"/>
                <w:sz w:val="18"/>
                <w:szCs w:val="18"/>
              </w:rPr>
            </w:pPr>
          </w:p>
        </w:tc>
        <w:tc>
          <w:tcPr>
            <w:tcW w:w="851" w:type="dxa"/>
          </w:tcPr>
          <w:p w14:paraId="18E863ED" w14:textId="24DD8C8E" w:rsidR="007772C8" w:rsidRPr="0040656D" w:rsidRDefault="007772C8" w:rsidP="00657117">
            <w:pPr>
              <w:pStyle w:val="Default"/>
              <w:spacing w:after="240"/>
              <w:rPr>
                <w:rFonts w:ascii="Arial" w:hAnsi="Arial" w:cs="Arial"/>
                <w:sz w:val="18"/>
                <w:szCs w:val="18"/>
              </w:rPr>
            </w:pPr>
            <w:r>
              <w:rPr>
                <w:rFonts w:ascii="Arial" w:hAnsi="Arial" w:cs="Arial"/>
                <w:sz w:val="18"/>
                <w:szCs w:val="18"/>
              </w:rPr>
              <w:t>SA</w:t>
            </w:r>
          </w:p>
        </w:tc>
        <w:tc>
          <w:tcPr>
            <w:tcW w:w="1276" w:type="dxa"/>
          </w:tcPr>
          <w:p w14:paraId="264E3C96" w14:textId="6265D93C" w:rsidR="007772C8" w:rsidRPr="0040656D" w:rsidRDefault="007772C8" w:rsidP="00657117">
            <w:pPr>
              <w:pStyle w:val="Default"/>
              <w:spacing w:after="240"/>
              <w:rPr>
                <w:rFonts w:ascii="Arial" w:hAnsi="Arial" w:cs="Arial"/>
                <w:sz w:val="18"/>
                <w:szCs w:val="18"/>
              </w:rPr>
            </w:pPr>
            <w:r>
              <w:rPr>
                <w:rFonts w:ascii="Arial" w:hAnsi="Arial" w:cs="Arial"/>
                <w:sz w:val="18"/>
                <w:szCs w:val="18"/>
              </w:rPr>
              <w:t>India</w:t>
            </w:r>
          </w:p>
        </w:tc>
        <w:tc>
          <w:tcPr>
            <w:tcW w:w="1559" w:type="dxa"/>
          </w:tcPr>
          <w:p w14:paraId="227716E4" w14:textId="784BAEBB" w:rsidR="007772C8" w:rsidRPr="0040656D" w:rsidRDefault="007772C8" w:rsidP="00657117">
            <w:pPr>
              <w:pStyle w:val="Default"/>
              <w:spacing w:after="240"/>
              <w:rPr>
                <w:rFonts w:ascii="Arial" w:hAnsi="Arial" w:cs="Arial"/>
                <w:sz w:val="18"/>
                <w:szCs w:val="18"/>
              </w:rPr>
            </w:pPr>
            <w:r>
              <w:rPr>
                <w:rFonts w:ascii="Arial" w:hAnsi="Arial" w:cs="Arial"/>
                <w:sz w:val="18"/>
                <w:szCs w:val="18"/>
              </w:rPr>
              <w:t>IIFL Finance</w:t>
            </w:r>
          </w:p>
        </w:tc>
        <w:tc>
          <w:tcPr>
            <w:tcW w:w="1559" w:type="dxa"/>
          </w:tcPr>
          <w:p w14:paraId="4DB5FED8" w14:textId="0A7B3745" w:rsidR="007772C8" w:rsidRPr="0040656D" w:rsidRDefault="007772C8" w:rsidP="00657117">
            <w:pPr>
              <w:pStyle w:val="Default"/>
              <w:spacing w:after="240"/>
              <w:rPr>
                <w:rFonts w:ascii="Arial" w:hAnsi="Arial" w:cs="Arial"/>
                <w:sz w:val="18"/>
                <w:szCs w:val="18"/>
              </w:rPr>
            </w:pPr>
            <w:r>
              <w:rPr>
                <w:rFonts w:ascii="Arial" w:hAnsi="Arial" w:cs="Arial"/>
                <w:sz w:val="18"/>
                <w:szCs w:val="18"/>
              </w:rPr>
              <w:t>Committed</w:t>
            </w:r>
          </w:p>
        </w:tc>
        <w:tc>
          <w:tcPr>
            <w:tcW w:w="1560" w:type="dxa"/>
          </w:tcPr>
          <w:p w14:paraId="59FE9263" w14:textId="0A68E5AA" w:rsidR="007772C8" w:rsidRPr="0040656D" w:rsidRDefault="007772C8" w:rsidP="00657117">
            <w:pPr>
              <w:pStyle w:val="Default"/>
              <w:spacing w:after="240"/>
              <w:rPr>
                <w:rFonts w:ascii="Arial" w:hAnsi="Arial" w:cs="Arial"/>
                <w:sz w:val="18"/>
                <w:szCs w:val="18"/>
              </w:rPr>
            </w:pPr>
            <w:r>
              <w:rPr>
                <w:rFonts w:ascii="Arial" w:hAnsi="Arial" w:cs="Arial"/>
                <w:sz w:val="18"/>
                <w:szCs w:val="18"/>
              </w:rPr>
              <w:t>50</w:t>
            </w:r>
          </w:p>
        </w:tc>
        <w:tc>
          <w:tcPr>
            <w:tcW w:w="1429" w:type="dxa"/>
          </w:tcPr>
          <w:p w14:paraId="1642CBB7" w14:textId="7261D37E" w:rsidR="007772C8" w:rsidRPr="0040656D" w:rsidRDefault="007772C8" w:rsidP="00657117">
            <w:pPr>
              <w:pStyle w:val="Default"/>
              <w:spacing w:after="240"/>
              <w:rPr>
                <w:rFonts w:ascii="Arial" w:hAnsi="Arial" w:cs="Arial"/>
                <w:sz w:val="18"/>
                <w:szCs w:val="18"/>
              </w:rPr>
            </w:pPr>
            <w:r>
              <w:rPr>
                <w:rFonts w:ascii="Arial" w:hAnsi="Arial" w:cs="Arial"/>
                <w:sz w:val="18"/>
                <w:szCs w:val="18"/>
              </w:rPr>
              <w:t>1.2</w:t>
            </w:r>
          </w:p>
        </w:tc>
        <w:tc>
          <w:tcPr>
            <w:tcW w:w="1689" w:type="dxa"/>
          </w:tcPr>
          <w:p w14:paraId="1B8DE69A" w14:textId="7973A3CE" w:rsidR="007772C8" w:rsidRPr="0040656D" w:rsidRDefault="007772C8" w:rsidP="00657117">
            <w:pPr>
              <w:pStyle w:val="Default"/>
              <w:spacing w:after="240"/>
              <w:rPr>
                <w:rFonts w:ascii="Arial" w:hAnsi="Arial" w:cs="Arial"/>
                <w:sz w:val="18"/>
                <w:szCs w:val="18"/>
              </w:rPr>
            </w:pPr>
            <w:r>
              <w:rPr>
                <w:rFonts w:ascii="Arial" w:hAnsi="Arial" w:cs="Arial"/>
                <w:sz w:val="18"/>
                <w:szCs w:val="18"/>
              </w:rPr>
              <w:t>Implementing</w:t>
            </w:r>
          </w:p>
        </w:tc>
      </w:tr>
      <w:tr w:rsidR="00C5654E" w:rsidRPr="0040656D" w14:paraId="7763C2F3" w14:textId="77777777" w:rsidTr="789C6A0B">
        <w:trPr>
          <w:trHeight w:val="195"/>
        </w:trPr>
        <w:tc>
          <w:tcPr>
            <w:tcW w:w="771" w:type="dxa"/>
            <w:vMerge/>
          </w:tcPr>
          <w:p w14:paraId="47ACAD16" w14:textId="77777777" w:rsidR="007772C8" w:rsidRPr="0040656D" w:rsidRDefault="007772C8" w:rsidP="00657117">
            <w:pPr>
              <w:pStyle w:val="Default"/>
              <w:spacing w:after="240"/>
              <w:rPr>
                <w:rFonts w:ascii="Arial" w:hAnsi="Arial" w:cs="Arial"/>
                <w:sz w:val="18"/>
                <w:szCs w:val="18"/>
              </w:rPr>
            </w:pPr>
          </w:p>
        </w:tc>
        <w:tc>
          <w:tcPr>
            <w:tcW w:w="851" w:type="dxa"/>
          </w:tcPr>
          <w:p w14:paraId="4678F311" w14:textId="2A1438B2" w:rsidR="007772C8" w:rsidRPr="0040656D" w:rsidRDefault="007772C8" w:rsidP="00657117">
            <w:pPr>
              <w:pStyle w:val="Default"/>
              <w:spacing w:after="240"/>
              <w:rPr>
                <w:rFonts w:ascii="Arial" w:hAnsi="Arial" w:cs="Arial"/>
                <w:sz w:val="18"/>
                <w:szCs w:val="18"/>
              </w:rPr>
            </w:pPr>
            <w:r>
              <w:rPr>
                <w:rFonts w:ascii="Arial" w:hAnsi="Arial" w:cs="Arial"/>
                <w:sz w:val="18"/>
                <w:szCs w:val="18"/>
              </w:rPr>
              <w:t>AFR</w:t>
            </w:r>
          </w:p>
        </w:tc>
        <w:tc>
          <w:tcPr>
            <w:tcW w:w="1276" w:type="dxa"/>
          </w:tcPr>
          <w:p w14:paraId="2911B75B" w14:textId="51FFBDEC" w:rsidR="007772C8" w:rsidRPr="0040656D" w:rsidRDefault="007772C8" w:rsidP="00657117">
            <w:pPr>
              <w:pStyle w:val="Default"/>
              <w:spacing w:after="240"/>
              <w:rPr>
                <w:rFonts w:ascii="Arial" w:hAnsi="Arial" w:cs="Arial"/>
                <w:sz w:val="18"/>
                <w:szCs w:val="18"/>
              </w:rPr>
            </w:pPr>
            <w:r>
              <w:rPr>
                <w:rFonts w:ascii="Arial" w:hAnsi="Arial" w:cs="Arial"/>
                <w:sz w:val="18"/>
                <w:szCs w:val="18"/>
              </w:rPr>
              <w:t>Tanzania</w:t>
            </w:r>
          </w:p>
        </w:tc>
        <w:tc>
          <w:tcPr>
            <w:tcW w:w="1559" w:type="dxa"/>
          </w:tcPr>
          <w:p w14:paraId="27B3F248" w14:textId="431F97F5" w:rsidR="007772C8" w:rsidRPr="0040656D" w:rsidRDefault="007772C8" w:rsidP="00657117">
            <w:pPr>
              <w:pStyle w:val="Default"/>
              <w:spacing w:after="240"/>
              <w:rPr>
                <w:rFonts w:ascii="Arial" w:hAnsi="Arial" w:cs="Arial"/>
                <w:sz w:val="18"/>
                <w:szCs w:val="18"/>
              </w:rPr>
            </w:pPr>
            <w:r>
              <w:rPr>
                <w:rFonts w:ascii="Arial" w:hAnsi="Arial" w:cs="Arial"/>
                <w:sz w:val="18"/>
                <w:szCs w:val="18"/>
              </w:rPr>
              <w:t>CDRB</w:t>
            </w:r>
          </w:p>
        </w:tc>
        <w:tc>
          <w:tcPr>
            <w:tcW w:w="1559" w:type="dxa"/>
          </w:tcPr>
          <w:p w14:paraId="3D626DED" w14:textId="0D2500BC" w:rsidR="007772C8" w:rsidRPr="0040656D" w:rsidRDefault="007772C8" w:rsidP="00657117">
            <w:pPr>
              <w:pStyle w:val="Default"/>
              <w:spacing w:after="240"/>
              <w:rPr>
                <w:rFonts w:ascii="Arial" w:hAnsi="Arial" w:cs="Arial"/>
                <w:sz w:val="18"/>
                <w:szCs w:val="18"/>
              </w:rPr>
            </w:pPr>
            <w:r>
              <w:rPr>
                <w:rFonts w:ascii="Arial" w:hAnsi="Arial" w:cs="Arial"/>
                <w:sz w:val="18"/>
                <w:szCs w:val="18"/>
              </w:rPr>
              <w:t>Committed</w:t>
            </w:r>
          </w:p>
        </w:tc>
        <w:tc>
          <w:tcPr>
            <w:tcW w:w="1560" w:type="dxa"/>
          </w:tcPr>
          <w:p w14:paraId="041FF8AA" w14:textId="6D3D0EDC" w:rsidR="007772C8" w:rsidRPr="0040656D" w:rsidRDefault="007772C8" w:rsidP="00657117">
            <w:pPr>
              <w:pStyle w:val="Default"/>
              <w:spacing w:after="240"/>
              <w:rPr>
                <w:rFonts w:ascii="Arial" w:hAnsi="Arial" w:cs="Arial"/>
                <w:sz w:val="18"/>
                <w:szCs w:val="18"/>
              </w:rPr>
            </w:pPr>
            <w:r>
              <w:rPr>
                <w:rFonts w:ascii="Arial" w:hAnsi="Arial" w:cs="Arial"/>
                <w:sz w:val="18"/>
                <w:szCs w:val="18"/>
              </w:rPr>
              <w:t>8</w:t>
            </w:r>
          </w:p>
        </w:tc>
        <w:tc>
          <w:tcPr>
            <w:tcW w:w="1429" w:type="dxa"/>
          </w:tcPr>
          <w:p w14:paraId="599343E2" w14:textId="29B296A9" w:rsidR="007772C8" w:rsidRPr="0040656D" w:rsidRDefault="007772C8" w:rsidP="00657117">
            <w:pPr>
              <w:pStyle w:val="Default"/>
              <w:spacing w:after="240"/>
              <w:rPr>
                <w:rFonts w:ascii="Arial" w:hAnsi="Arial" w:cs="Arial"/>
                <w:sz w:val="18"/>
                <w:szCs w:val="18"/>
              </w:rPr>
            </w:pPr>
            <w:r>
              <w:rPr>
                <w:rFonts w:ascii="Arial" w:hAnsi="Arial" w:cs="Arial"/>
                <w:sz w:val="18"/>
                <w:szCs w:val="18"/>
              </w:rPr>
              <w:t>0.77</w:t>
            </w:r>
          </w:p>
        </w:tc>
        <w:tc>
          <w:tcPr>
            <w:tcW w:w="1689" w:type="dxa"/>
          </w:tcPr>
          <w:p w14:paraId="01A022CD" w14:textId="73E6BA72" w:rsidR="007772C8" w:rsidRPr="0040656D" w:rsidRDefault="007772C8" w:rsidP="00657117">
            <w:pPr>
              <w:pStyle w:val="Default"/>
              <w:spacing w:after="240"/>
              <w:rPr>
                <w:rFonts w:ascii="Arial" w:hAnsi="Arial" w:cs="Arial"/>
                <w:sz w:val="18"/>
                <w:szCs w:val="18"/>
              </w:rPr>
            </w:pPr>
            <w:r>
              <w:rPr>
                <w:rFonts w:ascii="Arial" w:hAnsi="Arial" w:cs="Arial"/>
                <w:sz w:val="18"/>
                <w:szCs w:val="18"/>
              </w:rPr>
              <w:t>Planned</w:t>
            </w:r>
          </w:p>
        </w:tc>
      </w:tr>
      <w:tr w:rsidR="00C5654E" w:rsidRPr="0040656D" w14:paraId="67F1DD48" w14:textId="77777777" w:rsidTr="789C6A0B">
        <w:trPr>
          <w:trHeight w:val="195"/>
        </w:trPr>
        <w:tc>
          <w:tcPr>
            <w:tcW w:w="771" w:type="dxa"/>
            <w:vMerge/>
          </w:tcPr>
          <w:p w14:paraId="493AD220" w14:textId="77777777" w:rsidR="007772C8" w:rsidRPr="0040656D" w:rsidRDefault="007772C8" w:rsidP="00657117">
            <w:pPr>
              <w:pStyle w:val="Default"/>
              <w:spacing w:after="240"/>
              <w:rPr>
                <w:rFonts w:ascii="Arial" w:hAnsi="Arial" w:cs="Arial"/>
                <w:sz w:val="18"/>
                <w:szCs w:val="18"/>
              </w:rPr>
            </w:pPr>
          </w:p>
        </w:tc>
        <w:tc>
          <w:tcPr>
            <w:tcW w:w="851" w:type="dxa"/>
          </w:tcPr>
          <w:p w14:paraId="709BDF94" w14:textId="29739729" w:rsidR="007772C8" w:rsidRPr="0040656D" w:rsidRDefault="007772C8" w:rsidP="00657117">
            <w:pPr>
              <w:pStyle w:val="Default"/>
              <w:spacing w:after="240"/>
              <w:rPr>
                <w:rFonts w:ascii="Arial" w:hAnsi="Arial" w:cs="Arial"/>
                <w:sz w:val="18"/>
                <w:szCs w:val="18"/>
              </w:rPr>
            </w:pPr>
            <w:r>
              <w:rPr>
                <w:rFonts w:ascii="Arial" w:hAnsi="Arial" w:cs="Arial"/>
                <w:sz w:val="18"/>
                <w:szCs w:val="18"/>
              </w:rPr>
              <w:t>AFR</w:t>
            </w:r>
          </w:p>
        </w:tc>
        <w:tc>
          <w:tcPr>
            <w:tcW w:w="1276" w:type="dxa"/>
          </w:tcPr>
          <w:p w14:paraId="26DD1552" w14:textId="744B30A2" w:rsidR="007772C8" w:rsidRPr="0040656D" w:rsidRDefault="007772C8" w:rsidP="00657117">
            <w:pPr>
              <w:pStyle w:val="Default"/>
              <w:spacing w:after="240"/>
              <w:rPr>
                <w:rFonts w:ascii="Arial" w:hAnsi="Arial" w:cs="Arial"/>
                <w:sz w:val="18"/>
                <w:szCs w:val="18"/>
              </w:rPr>
            </w:pPr>
            <w:r>
              <w:rPr>
                <w:rFonts w:ascii="Arial" w:hAnsi="Arial" w:cs="Arial"/>
                <w:sz w:val="18"/>
                <w:szCs w:val="18"/>
              </w:rPr>
              <w:t>Kenya</w:t>
            </w:r>
          </w:p>
        </w:tc>
        <w:tc>
          <w:tcPr>
            <w:tcW w:w="1559" w:type="dxa"/>
          </w:tcPr>
          <w:p w14:paraId="0A87BBA4" w14:textId="4E3B17BB" w:rsidR="007772C8" w:rsidRPr="0040656D" w:rsidRDefault="007772C8" w:rsidP="00657117">
            <w:pPr>
              <w:pStyle w:val="Default"/>
              <w:spacing w:after="240"/>
              <w:rPr>
                <w:rFonts w:ascii="Arial" w:hAnsi="Arial" w:cs="Arial"/>
                <w:sz w:val="18"/>
                <w:szCs w:val="18"/>
              </w:rPr>
            </w:pPr>
            <w:r>
              <w:rPr>
                <w:rFonts w:ascii="Arial" w:hAnsi="Arial" w:cs="Arial"/>
                <w:sz w:val="18"/>
                <w:szCs w:val="18"/>
              </w:rPr>
              <w:t xml:space="preserve">IHS </w:t>
            </w:r>
          </w:p>
        </w:tc>
        <w:tc>
          <w:tcPr>
            <w:tcW w:w="1559" w:type="dxa"/>
          </w:tcPr>
          <w:p w14:paraId="143635AF" w14:textId="53276CC2" w:rsidR="007772C8" w:rsidRPr="0040656D" w:rsidRDefault="007772C8" w:rsidP="00657117">
            <w:pPr>
              <w:pStyle w:val="Default"/>
              <w:spacing w:after="240"/>
              <w:rPr>
                <w:rFonts w:ascii="Arial" w:hAnsi="Arial" w:cs="Arial"/>
                <w:sz w:val="18"/>
                <w:szCs w:val="18"/>
              </w:rPr>
            </w:pPr>
            <w:r>
              <w:rPr>
                <w:rFonts w:ascii="Arial" w:hAnsi="Arial" w:cs="Arial"/>
                <w:sz w:val="18"/>
                <w:szCs w:val="18"/>
              </w:rPr>
              <w:t>Committed</w:t>
            </w:r>
          </w:p>
        </w:tc>
        <w:tc>
          <w:tcPr>
            <w:tcW w:w="1560" w:type="dxa"/>
          </w:tcPr>
          <w:p w14:paraId="7EB62967" w14:textId="45C1C8A2" w:rsidR="007772C8" w:rsidRPr="0040656D" w:rsidRDefault="007772C8" w:rsidP="00657117">
            <w:pPr>
              <w:pStyle w:val="Default"/>
              <w:spacing w:after="240"/>
              <w:rPr>
                <w:rFonts w:ascii="Arial" w:hAnsi="Arial" w:cs="Arial"/>
                <w:sz w:val="18"/>
                <w:szCs w:val="18"/>
              </w:rPr>
            </w:pPr>
            <w:r>
              <w:rPr>
                <w:rFonts w:ascii="Arial" w:hAnsi="Arial" w:cs="Arial"/>
                <w:sz w:val="18"/>
                <w:szCs w:val="18"/>
              </w:rPr>
              <w:t>129</w:t>
            </w:r>
          </w:p>
        </w:tc>
        <w:tc>
          <w:tcPr>
            <w:tcW w:w="1429" w:type="dxa"/>
          </w:tcPr>
          <w:p w14:paraId="2D5F426A" w14:textId="5F2EC5D9" w:rsidR="007772C8" w:rsidRPr="0040656D" w:rsidRDefault="007772C8" w:rsidP="00657117">
            <w:pPr>
              <w:pStyle w:val="Default"/>
              <w:spacing w:after="240"/>
              <w:rPr>
                <w:rFonts w:ascii="Arial" w:hAnsi="Arial" w:cs="Arial"/>
                <w:sz w:val="18"/>
                <w:szCs w:val="18"/>
              </w:rPr>
            </w:pPr>
            <w:r>
              <w:rPr>
                <w:rFonts w:ascii="Arial" w:hAnsi="Arial" w:cs="Arial"/>
                <w:sz w:val="18"/>
                <w:szCs w:val="18"/>
              </w:rPr>
              <w:t>10</w:t>
            </w:r>
          </w:p>
        </w:tc>
        <w:tc>
          <w:tcPr>
            <w:tcW w:w="1689" w:type="dxa"/>
          </w:tcPr>
          <w:p w14:paraId="3A83A8DC" w14:textId="4EA8E639" w:rsidR="007772C8" w:rsidRPr="0040656D" w:rsidRDefault="007772C8" w:rsidP="00657117">
            <w:pPr>
              <w:pStyle w:val="Default"/>
              <w:spacing w:after="240"/>
              <w:rPr>
                <w:rFonts w:ascii="Arial" w:hAnsi="Arial" w:cs="Arial"/>
                <w:sz w:val="18"/>
                <w:szCs w:val="18"/>
              </w:rPr>
            </w:pPr>
            <w:r>
              <w:rPr>
                <w:rFonts w:ascii="Arial" w:hAnsi="Arial" w:cs="Arial"/>
                <w:sz w:val="18"/>
                <w:szCs w:val="18"/>
              </w:rPr>
              <w:t>-</w:t>
            </w:r>
          </w:p>
        </w:tc>
      </w:tr>
      <w:tr w:rsidR="00C5654E" w:rsidRPr="0040656D" w14:paraId="367FDB1B" w14:textId="77777777" w:rsidTr="789C6A0B">
        <w:trPr>
          <w:trHeight w:val="195"/>
        </w:trPr>
        <w:tc>
          <w:tcPr>
            <w:tcW w:w="771" w:type="dxa"/>
            <w:vMerge/>
          </w:tcPr>
          <w:p w14:paraId="44C2F96F" w14:textId="77777777" w:rsidR="007772C8" w:rsidRPr="0040656D" w:rsidRDefault="007772C8" w:rsidP="00657117">
            <w:pPr>
              <w:pStyle w:val="Default"/>
              <w:spacing w:after="240"/>
              <w:rPr>
                <w:rFonts w:ascii="Arial" w:hAnsi="Arial" w:cs="Arial"/>
                <w:sz w:val="18"/>
                <w:szCs w:val="18"/>
              </w:rPr>
            </w:pPr>
          </w:p>
        </w:tc>
        <w:tc>
          <w:tcPr>
            <w:tcW w:w="851" w:type="dxa"/>
          </w:tcPr>
          <w:p w14:paraId="06E7EED8" w14:textId="2B894CD4" w:rsidR="007772C8" w:rsidRPr="0040656D" w:rsidRDefault="007772C8" w:rsidP="00657117">
            <w:pPr>
              <w:pStyle w:val="Default"/>
              <w:spacing w:after="240"/>
              <w:rPr>
                <w:rFonts w:ascii="Arial" w:hAnsi="Arial" w:cs="Arial"/>
                <w:sz w:val="18"/>
                <w:szCs w:val="18"/>
              </w:rPr>
            </w:pPr>
            <w:r>
              <w:rPr>
                <w:rFonts w:ascii="Arial" w:hAnsi="Arial" w:cs="Arial"/>
                <w:sz w:val="18"/>
                <w:szCs w:val="18"/>
              </w:rPr>
              <w:t>SA</w:t>
            </w:r>
          </w:p>
        </w:tc>
        <w:tc>
          <w:tcPr>
            <w:tcW w:w="1276" w:type="dxa"/>
          </w:tcPr>
          <w:p w14:paraId="0AC28DF1" w14:textId="44E53821" w:rsidR="007772C8" w:rsidRPr="0040656D" w:rsidRDefault="007772C8" w:rsidP="00657117">
            <w:pPr>
              <w:pStyle w:val="Default"/>
              <w:spacing w:after="240"/>
              <w:rPr>
                <w:rFonts w:ascii="Arial" w:hAnsi="Arial" w:cs="Arial"/>
                <w:sz w:val="18"/>
                <w:szCs w:val="18"/>
              </w:rPr>
            </w:pPr>
            <w:r>
              <w:rPr>
                <w:rFonts w:ascii="Arial" w:hAnsi="Arial" w:cs="Arial"/>
                <w:sz w:val="18"/>
                <w:szCs w:val="18"/>
              </w:rPr>
              <w:t>India</w:t>
            </w:r>
          </w:p>
        </w:tc>
        <w:tc>
          <w:tcPr>
            <w:tcW w:w="1559" w:type="dxa"/>
          </w:tcPr>
          <w:p w14:paraId="64CC163D" w14:textId="6E95D63B" w:rsidR="007772C8" w:rsidRPr="0040656D" w:rsidRDefault="007772C8" w:rsidP="00657117">
            <w:pPr>
              <w:pStyle w:val="Default"/>
              <w:spacing w:after="240"/>
              <w:rPr>
                <w:rFonts w:ascii="Arial" w:hAnsi="Arial" w:cs="Arial"/>
                <w:sz w:val="18"/>
                <w:szCs w:val="18"/>
              </w:rPr>
            </w:pPr>
            <w:r>
              <w:rPr>
                <w:rFonts w:ascii="Arial" w:hAnsi="Arial" w:cs="Arial"/>
                <w:sz w:val="18"/>
                <w:szCs w:val="18"/>
              </w:rPr>
              <w:t>Vastu</w:t>
            </w:r>
          </w:p>
        </w:tc>
        <w:tc>
          <w:tcPr>
            <w:tcW w:w="1559" w:type="dxa"/>
          </w:tcPr>
          <w:p w14:paraId="047E0B23" w14:textId="79BB47A4" w:rsidR="007772C8" w:rsidRPr="0040656D" w:rsidRDefault="007772C8" w:rsidP="00657117">
            <w:pPr>
              <w:pStyle w:val="Default"/>
              <w:spacing w:after="240"/>
              <w:rPr>
                <w:rFonts w:ascii="Arial" w:hAnsi="Arial" w:cs="Arial"/>
                <w:sz w:val="18"/>
                <w:szCs w:val="18"/>
              </w:rPr>
            </w:pPr>
            <w:r>
              <w:rPr>
                <w:rFonts w:ascii="Arial" w:hAnsi="Arial" w:cs="Arial"/>
                <w:sz w:val="18"/>
                <w:szCs w:val="18"/>
              </w:rPr>
              <w:t>Committed</w:t>
            </w:r>
          </w:p>
        </w:tc>
        <w:tc>
          <w:tcPr>
            <w:tcW w:w="1560" w:type="dxa"/>
          </w:tcPr>
          <w:p w14:paraId="727E038C" w14:textId="60379046" w:rsidR="007772C8" w:rsidRPr="0040656D" w:rsidRDefault="007772C8" w:rsidP="00657117">
            <w:pPr>
              <w:pStyle w:val="Default"/>
              <w:spacing w:after="240"/>
              <w:rPr>
                <w:rFonts w:ascii="Arial" w:hAnsi="Arial" w:cs="Arial"/>
                <w:sz w:val="18"/>
                <w:szCs w:val="18"/>
              </w:rPr>
            </w:pPr>
            <w:r>
              <w:rPr>
                <w:rFonts w:ascii="Arial" w:hAnsi="Arial" w:cs="Arial"/>
                <w:sz w:val="18"/>
                <w:szCs w:val="18"/>
              </w:rPr>
              <w:t>40</w:t>
            </w:r>
          </w:p>
        </w:tc>
        <w:tc>
          <w:tcPr>
            <w:tcW w:w="1429" w:type="dxa"/>
          </w:tcPr>
          <w:p w14:paraId="675AF6C9" w14:textId="4B0D002B" w:rsidR="007772C8" w:rsidRPr="0040656D" w:rsidRDefault="007772C8" w:rsidP="00657117">
            <w:pPr>
              <w:pStyle w:val="Default"/>
              <w:spacing w:after="240"/>
              <w:rPr>
                <w:rFonts w:ascii="Arial" w:hAnsi="Arial" w:cs="Arial"/>
                <w:sz w:val="18"/>
                <w:szCs w:val="18"/>
              </w:rPr>
            </w:pPr>
            <w:r>
              <w:rPr>
                <w:rFonts w:ascii="Arial" w:hAnsi="Arial" w:cs="Arial"/>
                <w:sz w:val="18"/>
                <w:szCs w:val="18"/>
              </w:rPr>
              <w:t>0.91</w:t>
            </w:r>
          </w:p>
        </w:tc>
        <w:tc>
          <w:tcPr>
            <w:tcW w:w="1689" w:type="dxa"/>
          </w:tcPr>
          <w:p w14:paraId="27BA70A3" w14:textId="0123EC25" w:rsidR="007772C8" w:rsidRPr="0040656D" w:rsidRDefault="007772C8" w:rsidP="00657117">
            <w:pPr>
              <w:pStyle w:val="Default"/>
              <w:spacing w:after="240"/>
              <w:rPr>
                <w:rFonts w:ascii="Arial" w:hAnsi="Arial" w:cs="Arial"/>
                <w:sz w:val="18"/>
                <w:szCs w:val="18"/>
              </w:rPr>
            </w:pPr>
            <w:r>
              <w:rPr>
                <w:rFonts w:ascii="Arial" w:hAnsi="Arial" w:cs="Arial"/>
                <w:sz w:val="18"/>
                <w:szCs w:val="18"/>
              </w:rPr>
              <w:t>Implementing</w:t>
            </w:r>
          </w:p>
        </w:tc>
      </w:tr>
      <w:tr w:rsidR="00C5654E" w:rsidRPr="0040656D" w14:paraId="0C235930" w14:textId="77777777" w:rsidTr="789C6A0B">
        <w:trPr>
          <w:trHeight w:val="195"/>
        </w:trPr>
        <w:tc>
          <w:tcPr>
            <w:tcW w:w="771" w:type="dxa"/>
            <w:vMerge/>
          </w:tcPr>
          <w:p w14:paraId="620575FF" w14:textId="77777777" w:rsidR="007772C8" w:rsidRPr="0040656D" w:rsidRDefault="007772C8" w:rsidP="00657117">
            <w:pPr>
              <w:pStyle w:val="Default"/>
              <w:spacing w:after="240"/>
              <w:rPr>
                <w:rFonts w:ascii="Arial" w:hAnsi="Arial" w:cs="Arial"/>
                <w:sz w:val="18"/>
                <w:szCs w:val="18"/>
              </w:rPr>
            </w:pPr>
          </w:p>
        </w:tc>
        <w:tc>
          <w:tcPr>
            <w:tcW w:w="851" w:type="dxa"/>
          </w:tcPr>
          <w:p w14:paraId="068C93A7" w14:textId="034373EC" w:rsidR="007772C8" w:rsidRPr="0040656D" w:rsidRDefault="007772C8" w:rsidP="00657117">
            <w:pPr>
              <w:pStyle w:val="Default"/>
              <w:spacing w:after="240"/>
              <w:rPr>
                <w:rFonts w:ascii="Arial" w:hAnsi="Arial" w:cs="Arial"/>
                <w:sz w:val="18"/>
                <w:szCs w:val="18"/>
              </w:rPr>
            </w:pPr>
            <w:r>
              <w:rPr>
                <w:rFonts w:ascii="Arial" w:hAnsi="Arial" w:cs="Arial"/>
                <w:sz w:val="18"/>
                <w:szCs w:val="18"/>
              </w:rPr>
              <w:t>AFR</w:t>
            </w:r>
          </w:p>
        </w:tc>
        <w:tc>
          <w:tcPr>
            <w:tcW w:w="1276" w:type="dxa"/>
          </w:tcPr>
          <w:p w14:paraId="5A09233E" w14:textId="23A999D5" w:rsidR="007772C8" w:rsidRPr="0040656D" w:rsidRDefault="007772C8" w:rsidP="00657117">
            <w:pPr>
              <w:pStyle w:val="Default"/>
              <w:spacing w:after="240"/>
              <w:rPr>
                <w:rFonts w:ascii="Arial" w:hAnsi="Arial" w:cs="Arial"/>
                <w:sz w:val="18"/>
                <w:szCs w:val="18"/>
              </w:rPr>
            </w:pPr>
            <w:r>
              <w:rPr>
                <w:rFonts w:ascii="Arial" w:hAnsi="Arial" w:cs="Arial"/>
                <w:sz w:val="18"/>
                <w:szCs w:val="18"/>
              </w:rPr>
              <w:t>South Africa</w:t>
            </w:r>
          </w:p>
        </w:tc>
        <w:tc>
          <w:tcPr>
            <w:tcW w:w="1559" w:type="dxa"/>
          </w:tcPr>
          <w:p w14:paraId="2B99D67E" w14:textId="73D66396" w:rsidR="007772C8" w:rsidRPr="0040656D" w:rsidRDefault="007772C8" w:rsidP="00657117">
            <w:pPr>
              <w:pStyle w:val="Default"/>
              <w:spacing w:after="240"/>
              <w:rPr>
                <w:rFonts w:ascii="Arial" w:hAnsi="Arial" w:cs="Arial"/>
                <w:sz w:val="18"/>
                <w:szCs w:val="18"/>
              </w:rPr>
            </w:pPr>
            <w:r>
              <w:rPr>
                <w:rFonts w:ascii="Arial" w:hAnsi="Arial" w:cs="Arial"/>
                <w:sz w:val="18"/>
                <w:szCs w:val="18"/>
              </w:rPr>
              <w:t>First Rand Bank</w:t>
            </w:r>
          </w:p>
        </w:tc>
        <w:tc>
          <w:tcPr>
            <w:tcW w:w="1559" w:type="dxa"/>
          </w:tcPr>
          <w:p w14:paraId="47C678DD" w14:textId="39E70E74" w:rsidR="007772C8" w:rsidRPr="0040656D" w:rsidRDefault="007772C8" w:rsidP="00657117">
            <w:pPr>
              <w:pStyle w:val="Default"/>
              <w:spacing w:after="240"/>
              <w:rPr>
                <w:rFonts w:ascii="Arial" w:hAnsi="Arial" w:cs="Arial"/>
                <w:sz w:val="18"/>
                <w:szCs w:val="18"/>
              </w:rPr>
            </w:pPr>
            <w:r>
              <w:rPr>
                <w:rFonts w:ascii="Arial" w:hAnsi="Arial" w:cs="Arial"/>
                <w:sz w:val="18"/>
                <w:szCs w:val="18"/>
              </w:rPr>
              <w:t>Committed</w:t>
            </w:r>
          </w:p>
        </w:tc>
        <w:tc>
          <w:tcPr>
            <w:tcW w:w="1560" w:type="dxa"/>
          </w:tcPr>
          <w:p w14:paraId="24178F01" w14:textId="4EE3A80E" w:rsidR="007772C8" w:rsidRPr="0040656D" w:rsidRDefault="007772C8" w:rsidP="00657117">
            <w:pPr>
              <w:pStyle w:val="Default"/>
              <w:spacing w:after="240"/>
              <w:rPr>
                <w:rFonts w:ascii="Arial" w:hAnsi="Arial" w:cs="Arial"/>
                <w:sz w:val="18"/>
                <w:szCs w:val="18"/>
              </w:rPr>
            </w:pPr>
            <w:r>
              <w:rPr>
                <w:rFonts w:ascii="Arial" w:hAnsi="Arial" w:cs="Arial"/>
                <w:sz w:val="18"/>
                <w:szCs w:val="18"/>
              </w:rPr>
              <w:t>250</w:t>
            </w:r>
          </w:p>
        </w:tc>
        <w:tc>
          <w:tcPr>
            <w:tcW w:w="1429" w:type="dxa"/>
          </w:tcPr>
          <w:p w14:paraId="36D5CF3D" w14:textId="502E362A" w:rsidR="007772C8" w:rsidRPr="0040656D" w:rsidRDefault="007772C8" w:rsidP="00657117">
            <w:pPr>
              <w:pStyle w:val="Default"/>
              <w:spacing w:after="240"/>
              <w:rPr>
                <w:rFonts w:ascii="Arial" w:hAnsi="Arial" w:cs="Arial"/>
                <w:sz w:val="18"/>
                <w:szCs w:val="18"/>
              </w:rPr>
            </w:pPr>
            <w:r>
              <w:rPr>
                <w:rFonts w:ascii="Arial" w:hAnsi="Arial" w:cs="Arial"/>
                <w:sz w:val="18"/>
                <w:szCs w:val="18"/>
              </w:rPr>
              <w:t>4.35</w:t>
            </w:r>
          </w:p>
        </w:tc>
        <w:tc>
          <w:tcPr>
            <w:tcW w:w="1689" w:type="dxa"/>
          </w:tcPr>
          <w:p w14:paraId="437C21A4" w14:textId="66C0640B" w:rsidR="007772C8" w:rsidRPr="0040656D" w:rsidRDefault="007772C8" w:rsidP="00657117">
            <w:pPr>
              <w:pStyle w:val="Default"/>
              <w:spacing w:after="240"/>
              <w:rPr>
                <w:rFonts w:ascii="Arial" w:hAnsi="Arial" w:cs="Arial"/>
                <w:sz w:val="18"/>
                <w:szCs w:val="18"/>
              </w:rPr>
            </w:pPr>
            <w:r>
              <w:rPr>
                <w:rFonts w:ascii="Arial" w:hAnsi="Arial" w:cs="Arial"/>
                <w:sz w:val="18"/>
                <w:szCs w:val="18"/>
              </w:rPr>
              <w:t>Planned</w:t>
            </w:r>
          </w:p>
        </w:tc>
      </w:tr>
      <w:tr w:rsidR="00C5654E" w:rsidRPr="0040656D" w14:paraId="2A637249" w14:textId="77777777" w:rsidTr="789C6A0B">
        <w:trPr>
          <w:trHeight w:val="195"/>
        </w:trPr>
        <w:tc>
          <w:tcPr>
            <w:tcW w:w="771" w:type="dxa"/>
            <w:vMerge/>
          </w:tcPr>
          <w:p w14:paraId="43213A4A" w14:textId="77777777" w:rsidR="007772C8" w:rsidRPr="0040656D" w:rsidRDefault="007772C8" w:rsidP="00657117">
            <w:pPr>
              <w:pStyle w:val="Default"/>
              <w:spacing w:after="240"/>
              <w:rPr>
                <w:rFonts w:ascii="Arial" w:hAnsi="Arial" w:cs="Arial"/>
                <w:sz w:val="18"/>
                <w:szCs w:val="18"/>
              </w:rPr>
            </w:pPr>
          </w:p>
        </w:tc>
        <w:tc>
          <w:tcPr>
            <w:tcW w:w="851" w:type="dxa"/>
          </w:tcPr>
          <w:p w14:paraId="6CC5F708" w14:textId="76BB42C4" w:rsidR="007772C8" w:rsidRPr="0040656D" w:rsidRDefault="007772C8" w:rsidP="00657117">
            <w:pPr>
              <w:pStyle w:val="Default"/>
              <w:spacing w:after="240"/>
              <w:rPr>
                <w:rFonts w:ascii="Arial" w:hAnsi="Arial" w:cs="Arial"/>
                <w:sz w:val="18"/>
                <w:szCs w:val="18"/>
              </w:rPr>
            </w:pPr>
            <w:r>
              <w:rPr>
                <w:rFonts w:ascii="Arial" w:hAnsi="Arial" w:cs="Arial"/>
                <w:sz w:val="18"/>
                <w:szCs w:val="18"/>
              </w:rPr>
              <w:t>EAP</w:t>
            </w:r>
          </w:p>
        </w:tc>
        <w:tc>
          <w:tcPr>
            <w:tcW w:w="1276" w:type="dxa"/>
          </w:tcPr>
          <w:p w14:paraId="01A2D90F" w14:textId="49F8E64B" w:rsidR="007772C8" w:rsidRPr="0040656D" w:rsidRDefault="007772C8" w:rsidP="00657117">
            <w:pPr>
              <w:pStyle w:val="Default"/>
              <w:spacing w:after="240"/>
              <w:rPr>
                <w:rFonts w:ascii="Arial" w:hAnsi="Arial" w:cs="Arial"/>
                <w:sz w:val="18"/>
                <w:szCs w:val="18"/>
              </w:rPr>
            </w:pPr>
            <w:r>
              <w:rPr>
                <w:rFonts w:ascii="Arial" w:hAnsi="Arial" w:cs="Arial"/>
                <w:sz w:val="18"/>
                <w:szCs w:val="18"/>
              </w:rPr>
              <w:t>Vietnam</w:t>
            </w:r>
          </w:p>
        </w:tc>
        <w:tc>
          <w:tcPr>
            <w:tcW w:w="1559" w:type="dxa"/>
          </w:tcPr>
          <w:p w14:paraId="5F6DBE55" w14:textId="15C6E304" w:rsidR="007772C8" w:rsidRPr="0040656D" w:rsidRDefault="007772C8" w:rsidP="00657117">
            <w:pPr>
              <w:pStyle w:val="Default"/>
              <w:spacing w:after="240"/>
              <w:rPr>
                <w:rFonts w:ascii="Arial" w:hAnsi="Arial" w:cs="Arial"/>
                <w:sz w:val="18"/>
                <w:szCs w:val="18"/>
              </w:rPr>
            </w:pPr>
            <w:r>
              <w:rPr>
                <w:rFonts w:ascii="Arial" w:hAnsi="Arial" w:cs="Arial"/>
                <w:sz w:val="18"/>
                <w:szCs w:val="18"/>
              </w:rPr>
              <w:t>SEABank</w:t>
            </w:r>
          </w:p>
        </w:tc>
        <w:tc>
          <w:tcPr>
            <w:tcW w:w="1559" w:type="dxa"/>
          </w:tcPr>
          <w:p w14:paraId="102BB154" w14:textId="715821AB" w:rsidR="007772C8" w:rsidRPr="0040656D" w:rsidRDefault="007772C8" w:rsidP="00657117">
            <w:pPr>
              <w:pStyle w:val="Default"/>
              <w:spacing w:after="240"/>
              <w:rPr>
                <w:rFonts w:ascii="Arial" w:hAnsi="Arial" w:cs="Arial"/>
                <w:sz w:val="18"/>
                <w:szCs w:val="18"/>
              </w:rPr>
            </w:pPr>
            <w:r>
              <w:rPr>
                <w:rFonts w:ascii="Arial" w:hAnsi="Arial" w:cs="Arial"/>
                <w:sz w:val="18"/>
                <w:szCs w:val="18"/>
              </w:rPr>
              <w:t>Committed</w:t>
            </w:r>
          </w:p>
        </w:tc>
        <w:tc>
          <w:tcPr>
            <w:tcW w:w="1560" w:type="dxa"/>
          </w:tcPr>
          <w:p w14:paraId="773E9869" w14:textId="070C289B" w:rsidR="007772C8" w:rsidRPr="0040656D" w:rsidRDefault="007772C8" w:rsidP="00657117">
            <w:pPr>
              <w:pStyle w:val="Default"/>
              <w:spacing w:after="240"/>
              <w:rPr>
                <w:rFonts w:ascii="Arial" w:hAnsi="Arial" w:cs="Arial"/>
                <w:sz w:val="18"/>
                <w:szCs w:val="18"/>
              </w:rPr>
            </w:pPr>
            <w:r>
              <w:rPr>
                <w:rFonts w:ascii="Arial" w:hAnsi="Arial" w:cs="Arial"/>
                <w:sz w:val="18"/>
                <w:szCs w:val="18"/>
              </w:rPr>
              <w:t>50</w:t>
            </w:r>
          </w:p>
        </w:tc>
        <w:tc>
          <w:tcPr>
            <w:tcW w:w="1429" w:type="dxa"/>
          </w:tcPr>
          <w:p w14:paraId="3769FD7D" w14:textId="2B0C0DC9" w:rsidR="007772C8" w:rsidRPr="0040656D" w:rsidRDefault="007772C8" w:rsidP="00657117">
            <w:pPr>
              <w:pStyle w:val="Default"/>
              <w:spacing w:after="240"/>
              <w:rPr>
                <w:rFonts w:ascii="Arial" w:hAnsi="Arial" w:cs="Arial"/>
                <w:sz w:val="18"/>
                <w:szCs w:val="18"/>
              </w:rPr>
            </w:pPr>
            <w:r>
              <w:rPr>
                <w:rFonts w:ascii="Arial" w:hAnsi="Arial" w:cs="Arial"/>
                <w:sz w:val="18"/>
                <w:szCs w:val="18"/>
              </w:rPr>
              <w:t>0.5</w:t>
            </w:r>
          </w:p>
        </w:tc>
        <w:tc>
          <w:tcPr>
            <w:tcW w:w="1689" w:type="dxa"/>
          </w:tcPr>
          <w:p w14:paraId="782E7C4C" w14:textId="7FA2B30F" w:rsidR="007772C8" w:rsidRPr="0040656D" w:rsidRDefault="007772C8" w:rsidP="00657117">
            <w:pPr>
              <w:pStyle w:val="Default"/>
              <w:spacing w:after="240"/>
              <w:rPr>
                <w:rFonts w:ascii="Arial" w:hAnsi="Arial" w:cs="Arial"/>
                <w:sz w:val="18"/>
                <w:szCs w:val="18"/>
              </w:rPr>
            </w:pPr>
            <w:r>
              <w:rPr>
                <w:rFonts w:ascii="Arial" w:hAnsi="Arial" w:cs="Arial"/>
                <w:sz w:val="18"/>
                <w:szCs w:val="18"/>
              </w:rPr>
              <w:t>Planned</w:t>
            </w:r>
          </w:p>
        </w:tc>
      </w:tr>
      <w:tr w:rsidR="00C5654E" w:rsidRPr="0040656D" w14:paraId="07A11922" w14:textId="77777777" w:rsidTr="789C6A0B">
        <w:trPr>
          <w:trHeight w:val="195"/>
        </w:trPr>
        <w:tc>
          <w:tcPr>
            <w:tcW w:w="771" w:type="dxa"/>
            <w:vMerge/>
          </w:tcPr>
          <w:p w14:paraId="44242BF7" w14:textId="77777777" w:rsidR="007772C8" w:rsidRPr="0040656D" w:rsidRDefault="007772C8" w:rsidP="00657117">
            <w:pPr>
              <w:pStyle w:val="Default"/>
              <w:spacing w:after="240"/>
              <w:rPr>
                <w:rFonts w:ascii="Arial" w:hAnsi="Arial" w:cs="Arial"/>
                <w:sz w:val="18"/>
                <w:szCs w:val="18"/>
              </w:rPr>
            </w:pPr>
          </w:p>
        </w:tc>
        <w:tc>
          <w:tcPr>
            <w:tcW w:w="851" w:type="dxa"/>
          </w:tcPr>
          <w:p w14:paraId="3AB78D94" w14:textId="614E8550" w:rsidR="007772C8" w:rsidRPr="0040656D" w:rsidRDefault="007772C8" w:rsidP="00657117">
            <w:pPr>
              <w:pStyle w:val="Default"/>
              <w:spacing w:after="240"/>
              <w:rPr>
                <w:rFonts w:ascii="Arial" w:hAnsi="Arial" w:cs="Arial"/>
                <w:sz w:val="18"/>
                <w:szCs w:val="18"/>
              </w:rPr>
            </w:pPr>
            <w:r>
              <w:rPr>
                <w:rFonts w:ascii="Arial" w:hAnsi="Arial" w:cs="Arial"/>
                <w:sz w:val="18"/>
                <w:szCs w:val="18"/>
              </w:rPr>
              <w:t>EAP</w:t>
            </w:r>
          </w:p>
        </w:tc>
        <w:tc>
          <w:tcPr>
            <w:tcW w:w="1276" w:type="dxa"/>
          </w:tcPr>
          <w:p w14:paraId="2EBF415B" w14:textId="3C82983A" w:rsidR="007772C8" w:rsidRPr="0040656D" w:rsidRDefault="007772C8" w:rsidP="00657117">
            <w:pPr>
              <w:pStyle w:val="Default"/>
              <w:spacing w:after="240"/>
              <w:rPr>
                <w:rFonts w:ascii="Arial" w:hAnsi="Arial" w:cs="Arial"/>
                <w:sz w:val="18"/>
                <w:szCs w:val="18"/>
              </w:rPr>
            </w:pPr>
            <w:r>
              <w:rPr>
                <w:rFonts w:ascii="Arial" w:hAnsi="Arial" w:cs="Arial"/>
                <w:sz w:val="18"/>
                <w:szCs w:val="18"/>
              </w:rPr>
              <w:t>Vietnam</w:t>
            </w:r>
          </w:p>
        </w:tc>
        <w:tc>
          <w:tcPr>
            <w:tcW w:w="1559" w:type="dxa"/>
          </w:tcPr>
          <w:p w14:paraId="7A3B0AAF" w14:textId="34C9D5C8" w:rsidR="007772C8" w:rsidRPr="0040656D" w:rsidRDefault="007772C8" w:rsidP="00657117">
            <w:pPr>
              <w:pStyle w:val="Default"/>
              <w:spacing w:after="240"/>
              <w:rPr>
                <w:rFonts w:ascii="Arial" w:hAnsi="Arial" w:cs="Arial"/>
                <w:sz w:val="18"/>
                <w:szCs w:val="18"/>
              </w:rPr>
            </w:pPr>
            <w:r>
              <w:rPr>
                <w:rFonts w:ascii="Arial" w:hAnsi="Arial" w:cs="Arial"/>
                <w:sz w:val="18"/>
                <w:szCs w:val="18"/>
              </w:rPr>
              <w:t>OCB</w:t>
            </w:r>
          </w:p>
        </w:tc>
        <w:tc>
          <w:tcPr>
            <w:tcW w:w="1559" w:type="dxa"/>
          </w:tcPr>
          <w:p w14:paraId="4615D87B" w14:textId="5241C6CB" w:rsidR="007772C8" w:rsidRPr="0040656D" w:rsidRDefault="007772C8" w:rsidP="00657117">
            <w:pPr>
              <w:pStyle w:val="Default"/>
              <w:spacing w:after="240"/>
              <w:rPr>
                <w:rFonts w:ascii="Arial" w:hAnsi="Arial" w:cs="Arial"/>
                <w:sz w:val="18"/>
                <w:szCs w:val="18"/>
              </w:rPr>
            </w:pPr>
            <w:r>
              <w:rPr>
                <w:rFonts w:ascii="Arial" w:hAnsi="Arial" w:cs="Arial"/>
                <w:sz w:val="18"/>
                <w:szCs w:val="18"/>
              </w:rPr>
              <w:t>Committed</w:t>
            </w:r>
          </w:p>
        </w:tc>
        <w:tc>
          <w:tcPr>
            <w:tcW w:w="1560" w:type="dxa"/>
          </w:tcPr>
          <w:p w14:paraId="4F1EB8BB" w14:textId="3DB27DFE" w:rsidR="007772C8" w:rsidRPr="0040656D" w:rsidRDefault="007772C8" w:rsidP="00657117">
            <w:pPr>
              <w:pStyle w:val="Default"/>
              <w:spacing w:after="240"/>
              <w:rPr>
                <w:rFonts w:ascii="Arial" w:hAnsi="Arial" w:cs="Arial"/>
                <w:sz w:val="18"/>
                <w:szCs w:val="18"/>
              </w:rPr>
            </w:pPr>
            <w:r>
              <w:rPr>
                <w:rFonts w:ascii="Arial" w:hAnsi="Arial" w:cs="Arial"/>
                <w:sz w:val="18"/>
                <w:szCs w:val="18"/>
              </w:rPr>
              <w:t>50</w:t>
            </w:r>
          </w:p>
        </w:tc>
        <w:tc>
          <w:tcPr>
            <w:tcW w:w="1429" w:type="dxa"/>
          </w:tcPr>
          <w:p w14:paraId="68A1B3CD" w14:textId="4A2B62CE" w:rsidR="007772C8" w:rsidRPr="0040656D" w:rsidRDefault="007772C8" w:rsidP="00657117">
            <w:pPr>
              <w:pStyle w:val="Default"/>
              <w:spacing w:after="240"/>
              <w:rPr>
                <w:rFonts w:ascii="Arial" w:hAnsi="Arial" w:cs="Arial"/>
                <w:sz w:val="18"/>
                <w:szCs w:val="18"/>
              </w:rPr>
            </w:pPr>
            <w:r>
              <w:rPr>
                <w:rFonts w:ascii="Arial" w:hAnsi="Arial" w:cs="Arial"/>
                <w:sz w:val="18"/>
                <w:szCs w:val="18"/>
              </w:rPr>
              <w:t>0.48</w:t>
            </w:r>
          </w:p>
        </w:tc>
        <w:tc>
          <w:tcPr>
            <w:tcW w:w="1689" w:type="dxa"/>
          </w:tcPr>
          <w:p w14:paraId="1E7B9F75" w14:textId="2BF67EE1" w:rsidR="007772C8" w:rsidRPr="0040656D" w:rsidRDefault="007772C8" w:rsidP="00657117">
            <w:pPr>
              <w:pStyle w:val="Default"/>
              <w:spacing w:after="240"/>
              <w:rPr>
                <w:rFonts w:ascii="Arial" w:hAnsi="Arial" w:cs="Arial"/>
                <w:sz w:val="18"/>
                <w:szCs w:val="18"/>
              </w:rPr>
            </w:pPr>
            <w:r>
              <w:rPr>
                <w:rFonts w:ascii="Arial" w:hAnsi="Arial" w:cs="Arial"/>
                <w:sz w:val="18"/>
                <w:szCs w:val="18"/>
              </w:rPr>
              <w:t>Planned</w:t>
            </w:r>
          </w:p>
        </w:tc>
      </w:tr>
      <w:tr w:rsidR="00F72DBF" w:rsidRPr="0040656D" w14:paraId="2C9B5FAA" w14:textId="77777777" w:rsidTr="789C6A0B">
        <w:trPr>
          <w:trHeight w:val="195"/>
        </w:trPr>
        <w:tc>
          <w:tcPr>
            <w:tcW w:w="771" w:type="dxa"/>
            <w:shd w:val="clear" w:color="auto" w:fill="D1D1D1" w:themeFill="background2" w:themeFillShade="E6"/>
          </w:tcPr>
          <w:p w14:paraId="0AF7AC31" w14:textId="77777777" w:rsidR="001F7F66" w:rsidRPr="0040656D" w:rsidRDefault="001F7F66" w:rsidP="00657117">
            <w:pPr>
              <w:pStyle w:val="Default"/>
              <w:spacing w:after="240"/>
              <w:rPr>
                <w:rFonts w:ascii="Arial" w:hAnsi="Arial" w:cs="Arial"/>
                <w:b/>
                <w:bCs/>
                <w:sz w:val="18"/>
                <w:szCs w:val="18"/>
              </w:rPr>
            </w:pPr>
          </w:p>
        </w:tc>
        <w:tc>
          <w:tcPr>
            <w:tcW w:w="3686" w:type="dxa"/>
            <w:gridSpan w:val="3"/>
            <w:shd w:val="clear" w:color="auto" w:fill="D1D1D1" w:themeFill="background2" w:themeFillShade="E6"/>
          </w:tcPr>
          <w:p w14:paraId="5A95803B" w14:textId="77777777" w:rsidR="001F7F66" w:rsidRPr="0040656D" w:rsidRDefault="001F7F66" w:rsidP="00657117">
            <w:pPr>
              <w:pStyle w:val="Default"/>
              <w:spacing w:after="240"/>
              <w:rPr>
                <w:rFonts w:ascii="Arial" w:hAnsi="Arial" w:cs="Arial"/>
                <w:sz w:val="18"/>
                <w:szCs w:val="18"/>
              </w:rPr>
            </w:pPr>
            <w:r w:rsidRPr="0040656D">
              <w:rPr>
                <w:rFonts w:ascii="Arial" w:hAnsi="Arial" w:cs="Arial"/>
                <w:b/>
                <w:bCs/>
                <w:sz w:val="18"/>
                <w:szCs w:val="18"/>
              </w:rPr>
              <w:t xml:space="preserve">Total </w:t>
            </w:r>
          </w:p>
        </w:tc>
        <w:tc>
          <w:tcPr>
            <w:tcW w:w="1559" w:type="dxa"/>
            <w:shd w:val="clear" w:color="auto" w:fill="D1D1D1" w:themeFill="background2" w:themeFillShade="E6"/>
          </w:tcPr>
          <w:p w14:paraId="34654C9F" w14:textId="3ECCAF98" w:rsidR="001F7F66" w:rsidRPr="0040656D" w:rsidRDefault="00C65105" w:rsidP="00657117">
            <w:pPr>
              <w:pStyle w:val="Default"/>
              <w:spacing w:after="240"/>
              <w:rPr>
                <w:rFonts w:ascii="Arial" w:hAnsi="Arial" w:cs="Arial"/>
                <w:sz w:val="18"/>
                <w:szCs w:val="18"/>
              </w:rPr>
            </w:pPr>
            <w:r>
              <w:rPr>
                <w:rFonts w:ascii="Arial" w:hAnsi="Arial" w:cs="Arial"/>
                <w:b/>
                <w:bCs/>
                <w:sz w:val="18"/>
                <w:szCs w:val="18"/>
              </w:rPr>
              <w:t>21</w:t>
            </w:r>
          </w:p>
        </w:tc>
        <w:tc>
          <w:tcPr>
            <w:tcW w:w="1560" w:type="dxa"/>
            <w:shd w:val="clear" w:color="auto" w:fill="D1D1D1" w:themeFill="background2" w:themeFillShade="E6"/>
          </w:tcPr>
          <w:p w14:paraId="2D394CE6" w14:textId="4D79297E" w:rsidR="001F7F66" w:rsidRPr="0040656D" w:rsidRDefault="00C65105" w:rsidP="00657117">
            <w:pPr>
              <w:pStyle w:val="Default"/>
              <w:spacing w:after="240"/>
              <w:rPr>
                <w:rFonts w:ascii="Arial" w:hAnsi="Arial" w:cs="Arial"/>
                <w:sz w:val="18"/>
                <w:szCs w:val="18"/>
              </w:rPr>
            </w:pPr>
            <w:r>
              <w:rPr>
                <w:rFonts w:ascii="Arial" w:hAnsi="Arial" w:cs="Arial"/>
                <w:b/>
                <w:bCs/>
                <w:sz w:val="18"/>
                <w:szCs w:val="18"/>
              </w:rPr>
              <w:t>1</w:t>
            </w:r>
            <w:r w:rsidR="007772C8">
              <w:rPr>
                <w:rFonts w:ascii="Arial" w:hAnsi="Arial" w:cs="Arial"/>
                <w:b/>
                <w:bCs/>
                <w:sz w:val="18"/>
                <w:szCs w:val="18"/>
              </w:rPr>
              <w:t>,742</w:t>
            </w:r>
          </w:p>
        </w:tc>
        <w:tc>
          <w:tcPr>
            <w:tcW w:w="1429" w:type="dxa"/>
            <w:shd w:val="clear" w:color="auto" w:fill="D1D1D1" w:themeFill="background2" w:themeFillShade="E6"/>
          </w:tcPr>
          <w:p w14:paraId="0A47E4EE" w14:textId="3C39A75B" w:rsidR="001F7F66" w:rsidRPr="0040656D" w:rsidRDefault="007772C8" w:rsidP="00657117">
            <w:pPr>
              <w:pStyle w:val="Default"/>
              <w:spacing w:after="240"/>
              <w:rPr>
                <w:rFonts w:ascii="Arial" w:hAnsi="Arial" w:cs="Arial"/>
                <w:sz w:val="18"/>
                <w:szCs w:val="18"/>
              </w:rPr>
            </w:pPr>
            <w:r>
              <w:rPr>
                <w:rFonts w:ascii="Arial" w:hAnsi="Arial" w:cs="Arial"/>
                <w:b/>
                <w:bCs/>
                <w:sz w:val="18"/>
                <w:szCs w:val="18"/>
              </w:rPr>
              <w:t>56.39</w:t>
            </w:r>
          </w:p>
        </w:tc>
        <w:tc>
          <w:tcPr>
            <w:tcW w:w="1689" w:type="dxa"/>
            <w:shd w:val="clear" w:color="auto" w:fill="D1D1D1" w:themeFill="background2" w:themeFillShade="E6"/>
          </w:tcPr>
          <w:p w14:paraId="305F976C" w14:textId="7202BC59" w:rsidR="007772C8" w:rsidRDefault="007772C8" w:rsidP="00657117">
            <w:pPr>
              <w:pStyle w:val="Default"/>
              <w:spacing w:after="240"/>
              <w:rPr>
                <w:rFonts w:ascii="Arial" w:hAnsi="Arial" w:cs="Arial"/>
                <w:b/>
                <w:bCs/>
                <w:sz w:val="18"/>
                <w:szCs w:val="18"/>
              </w:rPr>
            </w:pPr>
            <w:r>
              <w:rPr>
                <w:rFonts w:ascii="Arial" w:hAnsi="Arial" w:cs="Arial"/>
                <w:b/>
                <w:bCs/>
                <w:sz w:val="18"/>
                <w:szCs w:val="18"/>
              </w:rPr>
              <w:t>Completed (4)</w:t>
            </w:r>
          </w:p>
          <w:p w14:paraId="03263BFB" w14:textId="0443995F" w:rsidR="001F7F66" w:rsidRPr="0040656D" w:rsidRDefault="001F7F66" w:rsidP="00657117">
            <w:pPr>
              <w:pStyle w:val="Default"/>
              <w:spacing w:after="240"/>
              <w:rPr>
                <w:rFonts w:ascii="Arial" w:hAnsi="Arial" w:cs="Arial"/>
                <w:sz w:val="18"/>
                <w:szCs w:val="18"/>
              </w:rPr>
            </w:pPr>
            <w:r w:rsidRPr="0040656D">
              <w:rPr>
                <w:rFonts w:ascii="Arial" w:hAnsi="Arial" w:cs="Arial"/>
                <w:b/>
                <w:bCs/>
                <w:sz w:val="18"/>
                <w:szCs w:val="18"/>
              </w:rPr>
              <w:lastRenderedPageBreak/>
              <w:t xml:space="preserve">Implementing (8) </w:t>
            </w:r>
          </w:p>
          <w:p w14:paraId="6CD7C487" w14:textId="0AD62D12" w:rsidR="001F7F66" w:rsidRPr="0040656D" w:rsidRDefault="001F7F66" w:rsidP="00657117">
            <w:pPr>
              <w:pStyle w:val="Default"/>
              <w:spacing w:after="240"/>
              <w:rPr>
                <w:rFonts w:ascii="Arial" w:hAnsi="Arial" w:cs="Arial"/>
                <w:sz w:val="18"/>
                <w:szCs w:val="18"/>
              </w:rPr>
            </w:pPr>
            <w:r w:rsidRPr="0040656D">
              <w:rPr>
                <w:rFonts w:ascii="Arial" w:hAnsi="Arial" w:cs="Arial"/>
                <w:b/>
                <w:bCs/>
                <w:sz w:val="18"/>
                <w:szCs w:val="18"/>
              </w:rPr>
              <w:t>Planned (</w:t>
            </w:r>
            <w:r w:rsidR="007772C8">
              <w:rPr>
                <w:rFonts w:ascii="Arial" w:hAnsi="Arial" w:cs="Arial"/>
                <w:b/>
                <w:bCs/>
                <w:sz w:val="18"/>
                <w:szCs w:val="18"/>
              </w:rPr>
              <w:t>5</w:t>
            </w:r>
            <w:r w:rsidRPr="0040656D">
              <w:rPr>
                <w:rFonts w:ascii="Arial" w:hAnsi="Arial" w:cs="Arial"/>
                <w:b/>
                <w:bCs/>
                <w:sz w:val="18"/>
                <w:szCs w:val="18"/>
              </w:rPr>
              <w:t xml:space="preserve">) </w:t>
            </w:r>
          </w:p>
        </w:tc>
      </w:tr>
      <w:tr w:rsidR="00844903" w:rsidRPr="0040656D" w14:paraId="597C7216" w14:textId="77777777" w:rsidTr="789C6A0B">
        <w:trPr>
          <w:trHeight w:val="90"/>
        </w:trPr>
        <w:tc>
          <w:tcPr>
            <w:tcW w:w="771" w:type="dxa"/>
            <w:shd w:val="clear" w:color="auto" w:fill="83CAEB" w:themeFill="accent1" w:themeFillTint="66"/>
          </w:tcPr>
          <w:p w14:paraId="5FB1C776" w14:textId="77777777" w:rsidR="001F7F66" w:rsidRPr="0040656D" w:rsidRDefault="001F7F66" w:rsidP="00657117">
            <w:pPr>
              <w:pStyle w:val="Default"/>
              <w:spacing w:after="240"/>
              <w:jc w:val="center"/>
              <w:rPr>
                <w:rFonts w:ascii="Arial" w:hAnsi="Arial" w:cs="Arial"/>
                <w:sz w:val="18"/>
                <w:szCs w:val="18"/>
              </w:rPr>
            </w:pPr>
          </w:p>
        </w:tc>
        <w:tc>
          <w:tcPr>
            <w:tcW w:w="9923" w:type="dxa"/>
            <w:gridSpan w:val="7"/>
            <w:shd w:val="clear" w:color="auto" w:fill="83CAEB" w:themeFill="accent1" w:themeFillTint="66"/>
          </w:tcPr>
          <w:p w14:paraId="423DD761" w14:textId="77777777" w:rsidR="001F7F66" w:rsidRPr="0040656D" w:rsidRDefault="001F7F66" w:rsidP="00657117">
            <w:pPr>
              <w:pStyle w:val="Default"/>
              <w:spacing w:after="240"/>
              <w:jc w:val="center"/>
              <w:rPr>
                <w:rFonts w:ascii="Arial" w:hAnsi="Arial" w:cs="Arial"/>
                <w:sz w:val="18"/>
                <w:szCs w:val="18"/>
              </w:rPr>
            </w:pPr>
            <w:r w:rsidRPr="0040656D">
              <w:rPr>
                <w:rFonts w:ascii="Arial" w:hAnsi="Arial" w:cs="Arial"/>
                <w:sz w:val="18"/>
                <w:szCs w:val="18"/>
              </w:rPr>
              <w:t>Advisory Only</w:t>
            </w:r>
          </w:p>
        </w:tc>
      </w:tr>
      <w:tr w:rsidR="00A27B51" w:rsidRPr="0040656D" w14:paraId="4F3FF873" w14:textId="77777777" w:rsidTr="789C6A0B">
        <w:trPr>
          <w:trHeight w:val="359"/>
        </w:trPr>
        <w:tc>
          <w:tcPr>
            <w:tcW w:w="771" w:type="dxa"/>
            <w:vMerge w:val="restart"/>
            <w:textDirection w:val="btLr"/>
            <w:vAlign w:val="center"/>
          </w:tcPr>
          <w:p w14:paraId="1631ABA2" w14:textId="77777777" w:rsidR="001F7F66" w:rsidRPr="0040656D" w:rsidRDefault="001F7F66" w:rsidP="00657117">
            <w:pPr>
              <w:pStyle w:val="Default"/>
              <w:spacing w:after="240"/>
              <w:ind w:left="113" w:right="113"/>
              <w:jc w:val="center"/>
              <w:rPr>
                <w:rFonts w:ascii="Arial" w:hAnsi="Arial" w:cs="Arial"/>
                <w:sz w:val="18"/>
                <w:szCs w:val="18"/>
              </w:rPr>
            </w:pPr>
            <w:r w:rsidRPr="0040656D">
              <w:rPr>
                <w:rFonts w:ascii="Arial" w:hAnsi="Arial" w:cs="Arial"/>
                <w:sz w:val="18"/>
                <w:szCs w:val="18"/>
              </w:rPr>
              <w:t>FY20</w:t>
            </w:r>
          </w:p>
        </w:tc>
        <w:tc>
          <w:tcPr>
            <w:tcW w:w="851" w:type="dxa"/>
          </w:tcPr>
          <w:p w14:paraId="0A922013"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SA </w:t>
            </w:r>
          </w:p>
        </w:tc>
        <w:tc>
          <w:tcPr>
            <w:tcW w:w="1276" w:type="dxa"/>
          </w:tcPr>
          <w:p w14:paraId="22E5318D"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India </w:t>
            </w:r>
          </w:p>
        </w:tc>
        <w:tc>
          <w:tcPr>
            <w:tcW w:w="1559" w:type="dxa"/>
          </w:tcPr>
          <w:p w14:paraId="4DAAADFC"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Aavas</w:t>
            </w:r>
          </w:p>
        </w:tc>
        <w:tc>
          <w:tcPr>
            <w:tcW w:w="1559" w:type="dxa"/>
          </w:tcPr>
          <w:p w14:paraId="27E18C7E"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Implementing</w:t>
            </w:r>
          </w:p>
        </w:tc>
        <w:tc>
          <w:tcPr>
            <w:tcW w:w="1560" w:type="dxa"/>
          </w:tcPr>
          <w:p w14:paraId="12D77F7D"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 </w:t>
            </w:r>
          </w:p>
        </w:tc>
        <w:tc>
          <w:tcPr>
            <w:tcW w:w="1429" w:type="dxa"/>
          </w:tcPr>
          <w:p w14:paraId="70429D59"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 </w:t>
            </w:r>
          </w:p>
        </w:tc>
        <w:tc>
          <w:tcPr>
            <w:tcW w:w="1689" w:type="dxa"/>
          </w:tcPr>
          <w:p w14:paraId="469B4F5A"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1 AS only project </w:t>
            </w:r>
          </w:p>
        </w:tc>
      </w:tr>
      <w:tr w:rsidR="00C5654E" w:rsidRPr="0040656D" w14:paraId="0D8B9867" w14:textId="77777777" w:rsidTr="789C6A0B">
        <w:trPr>
          <w:trHeight w:val="435"/>
        </w:trPr>
        <w:tc>
          <w:tcPr>
            <w:tcW w:w="771" w:type="dxa"/>
            <w:vMerge/>
          </w:tcPr>
          <w:p w14:paraId="642B3BED" w14:textId="77777777" w:rsidR="001F7F66" w:rsidRPr="0040656D" w:rsidRDefault="001F7F66" w:rsidP="00657117">
            <w:pPr>
              <w:pStyle w:val="Default"/>
              <w:spacing w:after="240"/>
              <w:rPr>
                <w:rFonts w:ascii="Arial" w:hAnsi="Arial" w:cs="Arial"/>
                <w:sz w:val="18"/>
                <w:szCs w:val="18"/>
              </w:rPr>
            </w:pPr>
          </w:p>
        </w:tc>
        <w:tc>
          <w:tcPr>
            <w:tcW w:w="851" w:type="dxa"/>
          </w:tcPr>
          <w:p w14:paraId="69A6DF5E"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LAC </w:t>
            </w:r>
          </w:p>
        </w:tc>
        <w:tc>
          <w:tcPr>
            <w:tcW w:w="1276" w:type="dxa"/>
          </w:tcPr>
          <w:p w14:paraId="41D4050C"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Brazil </w:t>
            </w:r>
          </w:p>
        </w:tc>
        <w:tc>
          <w:tcPr>
            <w:tcW w:w="1559" w:type="dxa"/>
          </w:tcPr>
          <w:p w14:paraId="7DD26669"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Itaú Unibanco </w:t>
            </w:r>
          </w:p>
        </w:tc>
        <w:tc>
          <w:tcPr>
            <w:tcW w:w="1559" w:type="dxa"/>
          </w:tcPr>
          <w:p w14:paraId="0BAFCE2C"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Implementing</w:t>
            </w:r>
          </w:p>
        </w:tc>
        <w:tc>
          <w:tcPr>
            <w:tcW w:w="1560" w:type="dxa"/>
          </w:tcPr>
          <w:p w14:paraId="7285238E"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 </w:t>
            </w:r>
          </w:p>
        </w:tc>
        <w:tc>
          <w:tcPr>
            <w:tcW w:w="1429" w:type="dxa"/>
          </w:tcPr>
          <w:p w14:paraId="78B1F9EA"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 </w:t>
            </w:r>
          </w:p>
        </w:tc>
        <w:tc>
          <w:tcPr>
            <w:tcW w:w="1689" w:type="dxa"/>
          </w:tcPr>
          <w:p w14:paraId="5ECD859C"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 xml:space="preserve">1 AS only project </w:t>
            </w:r>
          </w:p>
        </w:tc>
      </w:tr>
      <w:tr w:rsidR="00A27B51" w:rsidRPr="0040656D" w14:paraId="104954A7" w14:textId="77777777" w:rsidTr="789C6A0B">
        <w:trPr>
          <w:cantSplit/>
          <w:trHeight w:val="859"/>
        </w:trPr>
        <w:tc>
          <w:tcPr>
            <w:tcW w:w="771" w:type="dxa"/>
            <w:textDirection w:val="btLr"/>
            <w:vAlign w:val="center"/>
          </w:tcPr>
          <w:p w14:paraId="3F625C05" w14:textId="77777777" w:rsidR="001F7F66" w:rsidRPr="0040656D" w:rsidRDefault="001F7F66" w:rsidP="00657117">
            <w:pPr>
              <w:pStyle w:val="Default"/>
              <w:spacing w:after="240"/>
              <w:ind w:left="113" w:right="113"/>
              <w:jc w:val="center"/>
              <w:rPr>
                <w:rFonts w:ascii="Arial" w:hAnsi="Arial" w:cs="Arial"/>
                <w:sz w:val="18"/>
                <w:szCs w:val="18"/>
              </w:rPr>
            </w:pPr>
            <w:r w:rsidRPr="0040656D">
              <w:rPr>
                <w:rFonts w:ascii="Arial" w:hAnsi="Arial" w:cs="Arial"/>
                <w:sz w:val="18"/>
                <w:szCs w:val="18"/>
              </w:rPr>
              <w:t>FY23</w:t>
            </w:r>
          </w:p>
        </w:tc>
        <w:tc>
          <w:tcPr>
            <w:tcW w:w="851" w:type="dxa"/>
          </w:tcPr>
          <w:p w14:paraId="3B70F2ED"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LAC</w:t>
            </w:r>
          </w:p>
        </w:tc>
        <w:tc>
          <w:tcPr>
            <w:tcW w:w="1276" w:type="dxa"/>
          </w:tcPr>
          <w:p w14:paraId="77243008"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Mexico</w:t>
            </w:r>
          </w:p>
        </w:tc>
        <w:tc>
          <w:tcPr>
            <w:tcW w:w="1559" w:type="dxa"/>
          </w:tcPr>
          <w:p w14:paraId="42539D1D"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Santander</w:t>
            </w:r>
          </w:p>
        </w:tc>
        <w:tc>
          <w:tcPr>
            <w:tcW w:w="1559" w:type="dxa"/>
          </w:tcPr>
          <w:p w14:paraId="1CBF4544"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Implementing</w:t>
            </w:r>
          </w:p>
        </w:tc>
        <w:tc>
          <w:tcPr>
            <w:tcW w:w="1560" w:type="dxa"/>
          </w:tcPr>
          <w:p w14:paraId="70D11279"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w:t>
            </w:r>
          </w:p>
        </w:tc>
        <w:tc>
          <w:tcPr>
            <w:tcW w:w="1429" w:type="dxa"/>
          </w:tcPr>
          <w:p w14:paraId="1FBEA4D2"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w:t>
            </w:r>
          </w:p>
        </w:tc>
        <w:tc>
          <w:tcPr>
            <w:tcW w:w="1689" w:type="dxa"/>
          </w:tcPr>
          <w:p w14:paraId="6FC5BF50" w14:textId="77777777" w:rsidR="001F7F66" w:rsidRPr="0040656D" w:rsidRDefault="001F7F66" w:rsidP="00657117">
            <w:pPr>
              <w:pStyle w:val="Default"/>
              <w:spacing w:after="240"/>
              <w:rPr>
                <w:rFonts w:ascii="Arial" w:hAnsi="Arial" w:cs="Arial"/>
                <w:sz w:val="18"/>
                <w:szCs w:val="18"/>
              </w:rPr>
            </w:pPr>
            <w:r w:rsidRPr="0040656D">
              <w:rPr>
                <w:rFonts w:ascii="Arial" w:hAnsi="Arial" w:cs="Arial"/>
                <w:sz w:val="18"/>
                <w:szCs w:val="18"/>
              </w:rPr>
              <w:t>1 AS only project</w:t>
            </w:r>
          </w:p>
        </w:tc>
      </w:tr>
      <w:tr w:rsidR="00A27B51" w:rsidRPr="0040656D" w14:paraId="3FC9941C" w14:textId="77777777" w:rsidTr="789C6A0B">
        <w:trPr>
          <w:cantSplit/>
          <w:trHeight w:val="859"/>
        </w:trPr>
        <w:tc>
          <w:tcPr>
            <w:tcW w:w="771" w:type="dxa"/>
            <w:textDirection w:val="btLr"/>
            <w:vAlign w:val="center"/>
          </w:tcPr>
          <w:p w14:paraId="64025A4E" w14:textId="33A27DBF" w:rsidR="007E71A9" w:rsidRPr="0040656D" w:rsidRDefault="007E71A9" w:rsidP="00657117">
            <w:pPr>
              <w:pStyle w:val="Default"/>
              <w:spacing w:after="240"/>
              <w:ind w:left="113" w:right="113"/>
              <w:jc w:val="center"/>
              <w:rPr>
                <w:rFonts w:ascii="Arial" w:hAnsi="Arial" w:cs="Arial"/>
                <w:sz w:val="18"/>
                <w:szCs w:val="18"/>
              </w:rPr>
            </w:pPr>
            <w:r>
              <w:rPr>
                <w:rFonts w:ascii="Arial" w:hAnsi="Arial" w:cs="Arial"/>
                <w:sz w:val="18"/>
                <w:szCs w:val="18"/>
              </w:rPr>
              <w:t>FY24</w:t>
            </w:r>
          </w:p>
        </w:tc>
        <w:tc>
          <w:tcPr>
            <w:tcW w:w="851" w:type="dxa"/>
          </w:tcPr>
          <w:p w14:paraId="494F45FE" w14:textId="576F1C74" w:rsidR="007E71A9" w:rsidRPr="0040656D" w:rsidRDefault="00C65105" w:rsidP="00657117">
            <w:pPr>
              <w:pStyle w:val="Default"/>
              <w:spacing w:after="240"/>
              <w:rPr>
                <w:rFonts w:ascii="Arial" w:hAnsi="Arial" w:cs="Arial"/>
                <w:sz w:val="18"/>
                <w:szCs w:val="18"/>
              </w:rPr>
            </w:pPr>
            <w:r>
              <w:rPr>
                <w:rFonts w:ascii="Arial" w:hAnsi="Arial" w:cs="Arial"/>
                <w:sz w:val="18"/>
                <w:szCs w:val="18"/>
              </w:rPr>
              <w:t>EAP</w:t>
            </w:r>
          </w:p>
        </w:tc>
        <w:tc>
          <w:tcPr>
            <w:tcW w:w="1276" w:type="dxa"/>
          </w:tcPr>
          <w:p w14:paraId="013CEB15" w14:textId="0C9A1D71" w:rsidR="007E71A9" w:rsidRPr="0040656D" w:rsidRDefault="00C65105" w:rsidP="00657117">
            <w:pPr>
              <w:pStyle w:val="Default"/>
              <w:spacing w:after="240"/>
              <w:rPr>
                <w:rFonts w:ascii="Arial" w:hAnsi="Arial" w:cs="Arial"/>
                <w:sz w:val="18"/>
                <w:szCs w:val="18"/>
              </w:rPr>
            </w:pPr>
            <w:r>
              <w:rPr>
                <w:rFonts w:ascii="Arial" w:hAnsi="Arial" w:cs="Arial"/>
                <w:sz w:val="18"/>
                <w:szCs w:val="18"/>
              </w:rPr>
              <w:t>Mongolia</w:t>
            </w:r>
          </w:p>
        </w:tc>
        <w:tc>
          <w:tcPr>
            <w:tcW w:w="1559" w:type="dxa"/>
          </w:tcPr>
          <w:p w14:paraId="191334E3" w14:textId="5A7D113C" w:rsidR="007E71A9" w:rsidRPr="0040656D" w:rsidRDefault="00C65105" w:rsidP="00657117">
            <w:pPr>
              <w:pStyle w:val="Default"/>
              <w:spacing w:after="240"/>
              <w:rPr>
                <w:rFonts w:ascii="Arial" w:hAnsi="Arial" w:cs="Arial"/>
                <w:sz w:val="18"/>
                <w:szCs w:val="18"/>
              </w:rPr>
            </w:pPr>
            <w:r>
              <w:rPr>
                <w:rFonts w:ascii="Arial" w:hAnsi="Arial" w:cs="Arial"/>
                <w:sz w:val="18"/>
                <w:szCs w:val="18"/>
              </w:rPr>
              <w:t>Khan Bank</w:t>
            </w:r>
          </w:p>
        </w:tc>
        <w:tc>
          <w:tcPr>
            <w:tcW w:w="1559" w:type="dxa"/>
          </w:tcPr>
          <w:p w14:paraId="10E09B0C" w14:textId="4CC6A4C6" w:rsidR="007E71A9" w:rsidRPr="0040656D" w:rsidRDefault="00C65105" w:rsidP="00657117">
            <w:pPr>
              <w:pStyle w:val="Default"/>
              <w:spacing w:after="240"/>
              <w:rPr>
                <w:rFonts w:ascii="Arial" w:hAnsi="Arial" w:cs="Arial"/>
                <w:sz w:val="18"/>
                <w:szCs w:val="18"/>
              </w:rPr>
            </w:pPr>
            <w:r>
              <w:rPr>
                <w:rFonts w:ascii="Arial" w:hAnsi="Arial" w:cs="Arial"/>
                <w:sz w:val="18"/>
                <w:szCs w:val="18"/>
              </w:rPr>
              <w:t>Implementing</w:t>
            </w:r>
          </w:p>
        </w:tc>
        <w:tc>
          <w:tcPr>
            <w:tcW w:w="1560" w:type="dxa"/>
          </w:tcPr>
          <w:p w14:paraId="13A8CB47" w14:textId="215201E4" w:rsidR="007E71A9" w:rsidRPr="0040656D" w:rsidRDefault="007E71A9" w:rsidP="00657117">
            <w:pPr>
              <w:pStyle w:val="Default"/>
              <w:numPr>
                <w:ilvl w:val="0"/>
                <w:numId w:val="39"/>
              </w:numPr>
              <w:spacing w:after="240"/>
              <w:rPr>
                <w:rFonts w:ascii="Arial" w:hAnsi="Arial" w:cs="Arial"/>
                <w:sz w:val="18"/>
                <w:szCs w:val="18"/>
              </w:rPr>
            </w:pPr>
          </w:p>
        </w:tc>
        <w:tc>
          <w:tcPr>
            <w:tcW w:w="1429" w:type="dxa"/>
          </w:tcPr>
          <w:p w14:paraId="4D8B2F8E" w14:textId="0939113F" w:rsidR="007E71A9" w:rsidRPr="0040656D" w:rsidRDefault="00C65105" w:rsidP="00657117">
            <w:pPr>
              <w:pStyle w:val="Default"/>
              <w:spacing w:after="240"/>
              <w:rPr>
                <w:rFonts w:ascii="Arial" w:hAnsi="Arial" w:cs="Arial"/>
                <w:sz w:val="18"/>
                <w:szCs w:val="18"/>
              </w:rPr>
            </w:pPr>
            <w:r>
              <w:rPr>
                <w:rFonts w:ascii="Arial" w:hAnsi="Arial" w:cs="Arial"/>
                <w:sz w:val="18"/>
                <w:szCs w:val="18"/>
              </w:rPr>
              <w:t>-</w:t>
            </w:r>
          </w:p>
        </w:tc>
        <w:tc>
          <w:tcPr>
            <w:tcW w:w="1689" w:type="dxa"/>
          </w:tcPr>
          <w:p w14:paraId="6FAC4B17" w14:textId="2714C24D" w:rsidR="007E71A9" w:rsidRPr="0040656D" w:rsidRDefault="00C65105" w:rsidP="00657117">
            <w:pPr>
              <w:pStyle w:val="Default"/>
              <w:spacing w:after="240"/>
              <w:rPr>
                <w:rFonts w:ascii="Arial" w:hAnsi="Arial" w:cs="Arial"/>
                <w:sz w:val="18"/>
                <w:szCs w:val="18"/>
              </w:rPr>
            </w:pPr>
            <w:r>
              <w:rPr>
                <w:rFonts w:ascii="Arial" w:hAnsi="Arial" w:cs="Arial"/>
                <w:sz w:val="18"/>
                <w:szCs w:val="18"/>
              </w:rPr>
              <w:t>1 AS only</w:t>
            </w:r>
          </w:p>
        </w:tc>
      </w:tr>
      <w:tr w:rsidR="00F72DBF" w:rsidRPr="0040656D" w14:paraId="682F3BC6" w14:textId="77777777" w:rsidTr="789C6A0B">
        <w:trPr>
          <w:cantSplit/>
          <w:trHeight w:val="435"/>
        </w:trPr>
        <w:tc>
          <w:tcPr>
            <w:tcW w:w="771" w:type="dxa"/>
            <w:shd w:val="clear" w:color="auto" w:fill="D9D9D9" w:themeFill="background1" w:themeFillShade="D9"/>
          </w:tcPr>
          <w:p w14:paraId="6841566B" w14:textId="77777777" w:rsidR="001F7F66" w:rsidRPr="0040656D" w:rsidRDefault="001F7F66" w:rsidP="00657117">
            <w:pPr>
              <w:pStyle w:val="Default"/>
              <w:spacing w:after="240"/>
              <w:ind w:left="113" w:right="113"/>
              <w:jc w:val="center"/>
              <w:rPr>
                <w:rFonts w:ascii="Arial" w:hAnsi="Arial" w:cs="Arial"/>
                <w:sz w:val="18"/>
                <w:szCs w:val="18"/>
              </w:rPr>
            </w:pPr>
          </w:p>
        </w:tc>
        <w:tc>
          <w:tcPr>
            <w:tcW w:w="3686" w:type="dxa"/>
            <w:gridSpan w:val="3"/>
            <w:shd w:val="clear" w:color="auto" w:fill="D9D9D9" w:themeFill="background1" w:themeFillShade="D9"/>
          </w:tcPr>
          <w:p w14:paraId="2D9D3937" w14:textId="77777777" w:rsidR="001F7F66" w:rsidRPr="0040656D" w:rsidRDefault="001F7F66" w:rsidP="00657117">
            <w:pPr>
              <w:pStyle w:val="Default"/>
              <w:spacing w:after="240"/>
              <w:rPr>
                <w:rFonts w:ascii="Arial" w:hAnsi="Arial" w:cs="Arial"/>
                <w:sz w:val="18"/>
                <w:szCs w:val="18"/>
              </w:rPr>
            </w:pPr>
            <w:r w:rsidRPr="0040656D">
              <w:rPr>
                <w:rFonts w:ascii="Arial" w:hAnsi="Arial" w:cs="Arial"/>
                <w:b/>
                <w:bCs/>
                <w:sz w:val="18"/>
                <w:szCs w:val="18"/>
              </w:rPr>
              <w:t xml:space="preserve">Total </w:t>
            </w:r>
          </w:p>
        </w:tc>
        <w:tc>
          <w:tcPr>
            <w:tcW w:w="1559" w:type="dxa"/>
            <w:shd w:val="clear" w:color="auto" w:fill="D9D9D9" w:themeFill="background1" w:themeFillShade="D9"/>
          </w:tcPr>
          <w:p w14:paraId="03A8AD81" w14:textId="558BCB4D" w:rsidR="001F7F66" w:rsidRPr="0040656D" w:rsidRDefault="00C65105" w:rsidP="00657117">
            <w:pPr>
              <w:pStyle w:val="Default"/>
              <w:spacing w:after="240"/>
              <w:rPr>
                <w:rFonts w:ascii="Arial" w:hAnsi="Arial" w:cs="Arial"/>
                <w:b/>
                <w:bCs/>
                <w:sz w:val="18"/>
                <w:szCs w:val="18"/>
              </w:rPr>
            </w:pPr>
            <w:r>
              <w:rPr>
                <w:rFonts w:ascii="Arial" w:hAnsi="Arial" w:cs="Arial"/>
                <w:b/>
                <w:bCs/>
                <w:sz w:val="18"/>
                <w:szCs w:val="18"/>
              </w:rPr>
              <w:t>4</w:t>
            </w:r>
          </w:p>
        </w:tc>
        <w:tc>
          <w:tcPr>
            <w:tcW w:w="1560" w:type="dxa"/>
            <w:shd w:val="clear" w:color="auto" w:fill="D9D9D9" w:themeFill="background1" w:themeFillShade="D9"/>
          </w:tcPr>
          <w:p w14:paraId="7914DC04" w14:textId="77777777" w:rsidR="001F7F66" w:rsidRPr="0040656D" w:rsidRDefault="001F7F66" w:rsidP="00657117">
            <w:pPr>
              <w:pStyle w:val="Default"/>
              <w:spacing w:after="240"/>
              <w:rPr>
                <w:rFonts w:ascii="Arial" w:hAnsi="Arial" w:cs="Arial"/>
                <w:sz w:val="18"/>
                <w:szCs w:val="18"/>
              </w:rPr>
            </w:pPr>
          </w:p>
        </w:tc>
        <w:tc>
          <w:tcPr>
            <w:tcW w:w="1429" w:type="dxa"/>
            <w:shd w:val="clear" w:color="auto" w:fill="D9D9D9" w:themeFill="background1" w:themeFillShade="D9"/>
          </w:tcPr>
          <w:p w14:paraId="30498176" w14:textId="77777777" w:rsidR="001F7F66" w:rsidRPr="0040656D" w:rsidRDefault="001F7F66" w:rsidP="00657117">
            <w:pPr>
              <w:pStyle w:val="Default"/>
              <w:spacing w:after="240"/>
              <w:rPr>
                <w:rFonts w:ascii="Arial" w:hAnsi="Arial" w:cs="Arial"/>
                <w:sz w:val="18"/>
                <w:szCs w:val="18"/>
              </w:rPr>
            </w:pPr>
          </w:p>
        </w:tc>
        <w:tc>
          <w:tcPr>
            <w:tcW w:w="1689" w:type="dxa"/>
            <w:shd w:val="clear" w:color="auto" w:fill="D9D9D9" w:themeFill="background1" w:themeFillShade="D9"/>
          </w:tcPr>
          <w:p w14:paraId="0EF85706" w14:textId="77777777" w:rsidR="001F7F66" w:rsidRPr="0040656D" w:rsidRDefault="001F7F66" w:rsidP="00657117">
            <w:pPr>
              <w:pStyle w:val="Default"/>
              <w:spacing w:after="240"/>
              <w:rPr>
                <w:rFonts w:ascii="Arial" w:hAnsi="Arial" w:cs="Arial"/>
                <w:sz w:val="18"/>
                <w:szCs w:val="18"/>
              </w:rPr>
            </w:pPr>
          </w:p>
        </w:tc>
      </w:tr>
    </w:tbl>
    <w:p w14:paraId="7714F66A" w14:textId="77777777" w:rsidR="006A123D" w:rsidRPr="0040656D" w:rsidRDefault="006A123D" w:rsidP="00657117">
      <w:pPr>
        <w:spacing w:before="120" w:after="240"/>
        <w:rPr>
          <w:rFonts w:eastAsiaTheme="minorHAnsi" w:cs="Arial"/>
          <w:sz w:val="20"/>
          <w:szCs w:val="20"/>
          <w:lang w:eastAsia="en-GB"/>
        </w:rPr>
      </w:pPr>
    </w:p>
    <w:p w14:paraId="7A3E3864" w14:textId="31DAEDAA" w:rsidR="006A123D" w:rsidRPr="0040656D" w:rsidRDefault="006A123D" w:rsidP="00657117">
      <w:pPr>
        <w:spacing w:before="120" w:after="240"/>
        <w:rPr>
          <w:rFonts w:eastAsiaTheme="minorHAnsi" w:cs="Arial"/>
          <w:sz w:val="20"/>
          <w:szCs w:val="20"/>
          <w:u w:val="single"/>
          <w:lang w:eastAsia="en-GB"/>
        </w:rPr>
      </w:pPr>
      <w:r w:rsidRPr="0040656D">
        <w:rPr>
          <w:rFonts w:eastAsiaTheme="minorHAnsi" w:cs="Arial"/>
          <w:sz w:val="20"/>
          <w:szCs w:val="20"/>
          <w:u w:val="single"/>
          <w:lang w:eastAsia="en-GB"/>
        </w:rPr>
        <w:t>MAGC Investment Summaries</w:t>
      </w:r>
    </w:p>
    <w:p w14:paraId="40064625" w14:textId="77777777" w:rsidR="006A123D" w:rsidRPr="0040656D" w:rsidRDefault="006A123D" w:rsidP="00657117">
      <w:pPr>
        <w:spacing w:before="120" w:after="240"/>
        <w:rPr>
          <w:rFonts w:eastAsiaTheme="minorHAnsi" w:cs="Arial"/>
          <w:i/>
          <w:iCs/>
          <w:sz w:val="20"/>
          <w:szCs w:val="20"/>
          <w:lang w:eastAsia="en-GB"/>
        </w:rPr>
      </w:pPr>
      <w:r w:rsidRPr="0040656D">
        <w:rPr>
          <w:rFonts w:eastAsiaTheme="minorHAnsi" w:cs="Arial"/>
          <w:i/>
          <w:iCs/>
          <w:sz w:val="20"/>
          <w:szCs w:val="20"/>
          <w:lang w:eastAsia="en-GB"/>
        </w:rPr>
        <w:t>FY20</w:t>
      </w:r>
    </w:p>
    <w:p w14:paraId="4BBDCFFC" w14:textId="77777777" w:rsidR="006A123D" w:rsidRPr="0040656D" w:rsidRDefault="006A123D" w:rsidP="00657117">
      <w:pPr>
        <w:pStyle w:val="ListParagraph"/>
        <w:numPr>
          <w:ilvl w:val="0"/>
          <w:numId w:val="19"/>
        </w:numPr>
        <w:spacing w:before="120" w:after="240"/>
        <w:jc w:val="both"/>
        <w:rPr>
          <w:rFonts w:eastAsiaTheme="minorEastAsia" w:cs="Arial"/>
          <w:sz w:val="20"/>
          <w:szCs w:val="20"/>
        </w:rPr>
      </w:pPr>
      <w:r w:rsidRPr="2DE7778C">
        <w:rPr>
          <w:rFonts w:eastAsiaTheme="minorEastAsia" w:cs="Arial"/>
          <w:sz w:val="20"/>
          <w:szCs w:val="20"/>
        </w:rPr>
        <w:t xml:space="preserve">IFC’s first project commitment using IFC-MAGC funds, to </w:t>
      </w:r>
      <w:r w:rsidRPr="2DE7778C">
        <w:rPr>
          <w:rFonts w:eastAsiaTheme="minorEastAsia" w:cs="Arial"/>
          <w:b/>
          <w:bCs/>
          <w:sz w:val="20"/>
          <w:szCs w:val="20"/>
        </w:rPr>
        <w:t>Oversea-Chinese Banking Corporation (OCBS NISP) in Indonesia</w:t>
      </w:r>
      <w:r w:rsidRPr="2DE7778C">
        <w:rPr>
          <w:rFonts w:eastAsiaTheme="minorEastAsia" w:cs="Arial"/>
          <w:sz w:val="20"/>
          <w:szCs w:val="20"/>
        </w:rPr>
        <w:t>, occurred in February 2020. OCBC NISP, the eighth largest bank in Indonesia, placed a green bond in Indonesian rupiah equivalent of US$100 million in partnership</w:t>
      </w:r>
      <w:r w:rsidRPr="2DE7778C">
        <w:rPr>
          <w:rFonts w:cs="Arial"/>
        </w:rPr>
        <w:t xml:space="preserve"> </w:t>
      </w:r>
      <w:r w:rsidRPr="2DE7778C">
        <w:rPr>
          <w:rFonts w:eastAsiaTheme="minorEastAsia" w:cs="Arial"/>
          <w:sz w:val="20"/>
          <w:szCs w:val="20"/>
        </w:rPr>
        <w:t>with IFC. Proceeds from the issuance will be used by OCBC NISP to finance a portfolio of green buildings. The investment was structured using a performance-based incentive, a non-returnable capital instrument, payable upon achievement of the pre-agreed green building certification milestones. Each dollar of funding provided by UK-MAGC leveraged approximately US$34 from IFC own-account resources.</w:t>
      </w:r>
    </w:p>
    <w:p w14:paraId="4BE0C885" w14:textId="77777777" w:rsidR="006A123D" w:rsidRPr="0040656D" w:rsidRDefault="006A123D" w:rsidP="00657117">
      <w:pPr>
        <w:spacing w:before="120" w:after="240"/>
        <w:jc w:val="both"/>
        <w:rPr>
          <w:rFonts w:eastAsiaTheme="minorEastAsia" w:cs="Arial"/>
          <w:i/>
          <w:iCs/>
          <w:sz w:val="20"/>
          <w:szCs w:val="20"/>
          <w:lang w:eastAsia="en-GB"/>
        </w:rPr>
      </w:pPr>
      <w:r w:rsidRPr="2DE7778C">
        <w:rPr>
          <w:rFonts w:eastAsiaTheme="minorEastAsia" w:cs="Arial"/>
          <w:i/>
          <w:iCs/>
          <w:sz w:val="20"/>
          <w:szCs w:val="20"/>
          <w:lang w:eastAsia="en-GB"/>
        </w:rPr>
        <w:t xml:space="preserve">FY21 </w:t>
      </w:r>
    </w:p>
    <w:p w14:paraId="09796538" w14:textId="77777777" w:rsidR="006A123D" w:rsidRPr="0040656D" w:rsidRDefault="006A123D" w:rsidP="00657117">
      <w:pPr>
        <w:pStyle w:val="ListParagraph"/>
        <w:numPr>
          <w:ilvl w:val="0"/>
          <w:numId w:val="7"/>
        </w:numPr>
        <w:spacing w:before="120" w:after="240"/>
        <w:jc w:val="both"/>
        <w:rPr>
          <w:rFonts w:eastAsiaTheme="minorEastAsia" w:cs="Arial"/>
          <w:sz w:val="20"/>
          <w:szCs w:val="20"/>
        </w:rPr>
      </w:pPr>
      <w:r w:rsidRPr="2DE7778C">
        <w:rPr>
          <w:rFonts w:eastAsiaTheme="minorEastAsia" w:cs="Arial"/>
          <w:sz w:val="20"/>
          <w:szCs w:val="20"/>
        </w:rPr>
        <w:t xml:space="preserve">IFC committed US$100 million to </w:t>
      </w:r>
      <w:r w:rsidRPr="2DE7778C">
        <w:rPr>
          <w:rFonts w:eastAsiaTheme="minorEastAsia" w:cs="Arial"/>
          <w:b/>
          <w:bCs/>
          <w:sz w:val="20"/>
          <w:szCs w:val="20"/>
        </w:rPr>
        <w:t>Commercial International Bank (CIB) Egypt</w:t>
      </w:r>
      <w:r w:rsidRPr="2DE7778C">
        <w:rPr>
          <w:rFonts w:eastAsiaTheme="minorEastAsia" w:cs="Arial"/>
          <w:sz w:val="20"/>
          <w:szCs w:val="20"/>
        </w:rPr>
        <w:t>, the largest private sector bank in Egypt, for the issuance of the country’s first senior Green Bond program. Approximately US$50 million of the Green Bond’s proceeds will be dedicated to financing the construction of eligible, certified green buildings. Each dollar of funding provided by UK-MAGC leveraged approximately US$35 from IFC own-account resources intended for green buildings. Technical Assistance will help the bank to develop a pipeline of green building transactions and report on green bond impact. Green building financing support will include pipeline developments, support to green building design, construction and certification and market events.</w:t>
      </w:r>
    </w:p>
    <w:p w14:paraId="112CD316" w14:textId="4341B4F0" w:rsidR="006A123D" w:rsidRPr="0040656D" w:rsidRDefault="006A123D" w:rsidP="418D93A9">
      <w:pPr>
        <w:pStyle w:val="ListParagraph"/>
        <w:numPr>
          <w:ilvl w:val="0"/>
          <w:numId w:val="7"/>
        </w:numPr>
        <w:spacing w:before="120" w:after="240"/>
        <w:jc w:val="both"/>
        <w:rPr>
          <w:rFonts w:eastAsiaTheme="minorEastAsia" w:cs="Arial"/>
          <w:sz w:val="20"/>
          <w:szCs w:val="20"/>
        </w:rPr>
      </w:pPr>
      <w:r w:rsidRPr="418D93A9">
        <w:rPr>
          <w:rFonts w:eastAsiaTheme="minorEastAsia" w:cs="Arial"/>
          <w:sz w:val="20"/>
          <w:szCs w:val="20"/>
        </w:rPr>
        <w:t xml:space="preserve">IFC committed approximately </w:t>
      </w:r>
      <w:r w:rsidRPr="418D93A9">
        <w:rPr>
          <w:rFonts w:eastAsiaTheme="minorEastAsia" w:cs="Arial"/>
          <w:b/>
          <w:bCs/>
          <w:sz w:val="20"/>
          <w:szCs w:val="20"/>
        </w:rPr>
        <w:t>US$14 million to Business Partners Limited (BPL) in South Africa,</w:t>
      </w:r>
      <w:r w:rsidRPr="418D93A9">
        <w:rPr>
          <w:rFonts w:eastAsiaTheme="minorEastAsia" w:cs="Arial"/>
          <w:sz w:val="20"/>
          <w:szCs w:val="20"/>
        </w:rPr>
        <w:t xml:space="preserve"> this project is fully dedicated to green buildings. The investment was structured using a performance-based incentive and an interest-rate buy-down. Each dollar of funding provided by UK-MAGC leveraged approximately US$5 from IFC own-account resources. Technical assistance will enable BPL to enhance its existing property business line, create market differentiation, and to expand its existing property offering into green buildings that will benefit Small and Medium Enterprises (SMEs) as end beneficiaries.</w:t>
      </w:r>
    </w:p>
    <w:p w14:paraId="245B8684" w14:textId="3829FED3" w:rsidR="418D93A9" w:rsidRDefault="418D93A9" w:rsidP="7934F405">
      <w:pPr>
        <w:spacing w:before="120" w:after="240"/>
        <w:jc w:val="both"/>
        <w:rPr>
          <w:rFonts w:eastAsiaTheme="minorEastAsia" w:cs="Arial"/>
          <w:i/>
          <w:iCs/>
          <w:sz w:val="20"/>
          <w:szCs w:val="20"/>
          <w:lang w:eastAsia="en-GB"/>
        </w:rPr>
      </w:pPr>
    </w:p>
    <w:p w14:paraId="286A121E" w14:textId="49F8B1BE" w:rsidR="7934F405" w:rsidRDefault="7934F405" w:rsidP="7934F405">
      <w:pPr>
        <w:spacing w:before="120" w:after="240"/>
        <w:jc w:val="both"/>
        <w:rPr>
          <w:rFonts w:eastAsiaTheme="minorEastAsia" w:cs="Arial"/>
          <w:i/>
          <w:iCs/>
          <w:sz w:val="20"/>
          <w:szCs w:val="20"/>
          <w:lang w:eastAsia="en-GB"/>
        </w:rPr>
      </w:pPr>
    </w:p>
    <w:p w14:paraId="7FAAC03D" w14:textId="77777777" w:rsidR="006A123D" w:rsidRPr="0040656D" w:rsidRDefault="006A123D" w:rsidP="00657117">
      <w:pPr>
        <w:spacing w:before="120" w:after="240"/>
        <w:jc w:val="both"/>
        <w:rPr>
          <w:rFonts w:eastAsiaTheme="minorEastAsia" w:cs="Arial"/>
          <w:i/>
          <w:iCs/>
          <w:sz w:val="20"/>
          <w:szCs w:val="20"/>
          <w:lang w:eastAsia="en-GB"/>
        </w:rPr>
      </w:pPr>
      <w:r w:rsidRPr="2DE7778C">
        <w:rPr>
          <w:rFonts w:eastAsiaTheme="minorEastAsia" w:cs="Arial"/>
          <w:i/>
          <w:iCs/>
          <w:sz w:val="20"/>
          <w:szCs w:val="20"/>
          <w:lang w:eastAsia="en-GB"/>
        </w:rPr>
        <w:t xml:space="preserve">FY22 </w:t>
      </w:r>
    </w:p>
    <w:p w14:paraId="549DEEC7" w14:textId="77777777" w:rsidR="006A123D" w:rsidRPr="0040656D" w:rsidRDefault="006A123D" w:rsidP="00657117">
      <w:pPr>
        <w:pStyle w:val="ListParagraph"/>
        <w:numPr>
          <w:ilvl w:val="0"/>
          <w:numId w:val="8"/>
        </w:numPr>
        <w:spacing w:before="120" w:after="240"/>
        <w:jc w:val="both"/>
        <w:rPr>
          <w:rFonts w:eastAsiaTheme="minorEastAsia" w:cs="Arial"/>
          <w:sz w:val="20"/>
          <w:szCs w:val="20"/>
        </w:rPr>
      </w:pPr>
      <w:r w:rsidRPr="2DE7778C">
        <w:rPr>
          <w:rFonts w:eastAsiaTheme="minorEastAsia" w:cs="Arial"/>
          <w:sz w:val="20"/>
          <w:szCs w:val="20"/>
        </w:rPr>
        <w:lastRenderedPageBreak/>
        <w:t xml:space="preserve">IFC committed up to US$90 million to </w:t>
      </w:r>
      <w:r w:rsidRPr="2DE7778C">
        <w:rPr>
          <w:rFonts w:eastAsiaTheme="minorEastAsia" w:cs="Arial"/>
          <w:b/>
          <w:bCs/>
          <w:sz w:val="20"/>
          <w:szCs w:val="20"/>
        </w:rPr>
        <w:t>Aadhar Housing Finance Limited (Aadhar</w:t>
      </w:r>
      <w:r w:rsidRPr="2DE7778C">
        <w:rPr>
          <w:rFonts w:eastAsiaTheme="minorEastAsia" w:cs="Arial"/>
          <w:sz w:val="20"/>
          <w:szCs w:val="20"/>
        </w:rPr>
        <w:t xml:space="preserve">), one of the largest affordable housing companies in </w:t>
      </w:r>
      <w:r w:rsidRPr="2DE7778C">
        <w:rPr>
          <w:rFonts w:eastAsiaTheme="minorEastAsia" w:cs="Arial"/>
          <w:b/>
          <w:bCs/>
          <w:sz w:val="20"/>
          <w:szCs w:val="20"/>
        </w:rPr>
        <w:t>India</w:t>
      </w:r>
      <w:r w:rsidRPr="2DE7778C">
        <w:rPr>
          <w:rFonts w:eastAsiaTheme="minorEastAsia" w:cs="Arial"/>
          <w:sz w:val="20"/>
          <w:szCs w:val="20"/>
        </w:rPr>
        <w:t xml:space="preserve"> servicing the home financing needs of the low-income sections of the society. The proceeds will be utilized to extend financing to retail buyers of affordable housing units. At least US$22.5 million is dedicated to financing green affordable housing, with a best-effort target to reach up to US$45 million. The investment will be structured using a performance-based incentive. Each dollar of funding provided by UK-MAGC leveraged approximately US$32 from IFC own-account resources intended for green buildings. In addition, technical assistance, including EDGE training, will support the company in building its capacity to evaluate green housing opportunities and testing its green affordable housing value proposition in the self-construction segment.</w:t>
      </w:r>
    </w:p>
    <w:p w14:paraId="49DE23A1" w14:textId="77777777" w:rsidR="006A123D" w:rsidRPr="0040656D" w:rsidRDefault="006A123D" w:rsidP="00657117">
      <w:pPr>
        <w:pStyle w:val="ListParagraph"/>
        <w:numPr>
          <w:ilvl w:val="0"/>
          <w:numId w:val="8"/>
        </w:numPr>
        <w:spacing w:before="120" w:after="240"/>
        <w:jc w:val="both"/>
        <w:rPr>
          <w:rFonts w:eastAsiaTheme="minorEastAsia" w:cs="Arial"/>
          <w:sz w:val="20"/>
          <w:szCs w:val="20"/>
        </w:rPr>
      </w:pPr>
      <w:r w:rsidRPr="2DE7778C">
        <w:rPr>
          <w:rFonts w:eastAsiaTheme="minorEastAsia" w:cs="Arial"/>
          <w:sz w:val="20"/>
          <w:szCs w:val="20"/>
        </w:rPr>
        <w:t xml:space="preserve">IFC committed US$200 million to </w:t>
      </w:r>
      <w:r w:rsidRPr="2DE7778C">
        <w:rPr>
          <w:rFonts w:eastAsiaTheme="minorEastAsia" w:cs="Arial"/>
          <w:b/>
          <w:bCs/>
          <w:sz w:val="20"/>
          <w:szCs w:val="20"/>
        </w:rPr>
        <w:t xml:space="preserve">Banco Bilbao Vizcaya Argentaria Colombia S.A. (BBVA Colombia), </w:t>
      </w:r>
      <w:r w:rsidRPr="2DE7778C">
        <w:rPr>
          <w:rFonts w:eastAsiaTheme="minorEastAsia" w:cs="Arial"/>
          <w:sz w:val="20"/>
          <w:szCs w:val="20"/>
        </w:rPr>
        <w:t>the 4th largest bank in Colombia to support the growth of the bank’s green housing and climate-smart loan portfolios. US$70 million is dedicated to financing green buildings and the investment will be structured using performance-based incentives. Each dollar of funding provided by UK-MAGC leveraged approximately US$40 from IFC own-account resources intended for green buildings. In addition, technical assistance will facilitate the bank’s efforts to create a green building business line with a strong focus on EDGE Advanced certification.</w:t>
      </w:r>
    </w:p>
    <w:p w14:paraId="6A09C16F" w14:textId="77777777" w:rsidR="006A123D" w:rsidRPr="0040656D" w:rsidRDefault="006A123D" w:rsidP="00657117">
      <w:pPr>
        <w:pStyle w:val="ListParagraph"/>
        <w:numPr>
          <w:ilvl w:val="0"/>
          <w:numId w:val="8"/>
        </w:numPr>
        <w:spacing w:before="120" w:after="240"/>
        <w:jc w:val="both"/>
        <w:rPr>
          <w:rFonts w:eastAsiaTheme="minorEastAsia" w:cs="Arial"/>
          <w:sz w:val="20"/>
          <w:szCs w:val="20"/>
        </w:rPr>
      </w:pPr>
      <w:r w:rsidRPr="2DE7778C">
        <w:rPr>
          <w:rFonts w:eastAsiaTheme="minorEastAsia" w:cs="Arial"/>
          <w:sz w:val="20"/>
          <w:szCs w:val="20"/>
        </w:rPr>
        <w:t xml:space="preserve">IFC committed US$60 million to </w:t>
      </w:r>
      <w:r w:rsidRPr="2DE7778C">
        <w:rPr>
          <w:rFonts w:eastAsiaTheme="minorEastAsia" w:cs="Arial"/>
          <w:b/>
          <w:bCs/>
          <w:sz w:val="20"/>
          <w:szCs w:val="20"/>
        </w:rPr>
        <w:t>BBVA Peru</w:t>
      </w:r>
      <w:r w:rsidRPr="2DE7778C">
        <w:rPr>
          <w:rFonts w:eastAsiaTheme="minorEastAsia" w:cs="Arial"/>
          <w:sz w:val="20"/>
          <w:szCs w:val="20"/>
        </w:rPr>
        <w:t>, the second-largest bank in Peru, to support the bank’s efforts to jump-start and strengthen the green building finance market in the country. The investment was structured using a performance-based incentive, which will be passed through to make green mortgages affordable to the end-borrower. Each dollar of funding provided by UK-MAGC leveraged approximately US$33 from IFC own-account resources intended for green buildings. Technical assistance will support the bank in identifying green building business opportunities for its housing lending portfolio.</w:t>
      </w:r>
    </w:p>
    <w:p w14:paraId="134EB963" w14:textId="77777777" w:rsidR="006A123D" w:rsidRPr="0040656D" w:rsidRDefault="006A123D" w:rsidP="00657117">
      <w:pPr>
        <w:pStyle w:val="ListParagraph"/>
        <w:numPr>
          <w:ilvl w:val="0"/>
          <w:numId w:val="8"/>
        </w:numPr>
        <w:spacing w:before="120" w:after="240"/>
        <w:jc w:val="both"/>
        <w:rPr>
          <w:rFonts w:eastAsiaTheme="minorEastAsia" w:cs="Arial"/>
          <w:sz w:val="20"/>
          <w:szCs w:val="20"/>
        </w:rPr>
      </w:pPr>
      <w:r w:rsidRPr="2DE7778C">
        <w:rPr>
          <w:rFonts w:eastAsiaTheme="minorEastAsia" w:cs="Arial"/>
          <w:sz w:val="20"/>
          <w:szCs w:val="20"/>
        </w:rPr>
        <w:t xml:space="preserve">IFC committed US$31 million to </w:t>
      </w:r>
      <w:r w:rsidRPr="2DE7778C">
        <w:rPr>
          <w:rFonts w:eastAsiaTheme="minorEastAsia" w:cs="Arial"/>
          <w:b/>
          <w:bCs/>
          <w:sz w:val="20"/>
          <w:szCs w:val="20"/>
        </w:rPr>
        <w:t xml:space="preserve">Nedbank South Africa </w:t>
      </w:r>
      <w:r w:rsidRPr="2DE7778C">
        <w:rPr>
          <w:rFonts w:eastAsiaTheme="minorEastAsia" w:cs="Arial"/>
          <w:sz w:val="20"/>
          <w:szCs w:val="20"/>
        </w:rPr>
        <w:t>for issuing unsecured green bonds entirely earmarked for EDGE-certified residential housing developments. The investment mobilized an additional US$31 million The investment reflects the first green bond issued by an African commercial bank focused on green residential housing development. The investment was structured using a performance-based incentive that will partly offset greening and EDGE certification costs for developers. Each dollar of funding provided by UK-MAGC leveraged approximately US$11 from IFC own-account resources intended for green buildings. Technical assistance, including EDGE tool training and certification support for the bank and prospective developers to be financed with the bond proceeds, will support the country’s economic recovery from COVID-19 and support South Africa’s nascent green buildings market.</w:t>
      </w:r>
    </w:p>
    <w:p w14:paraId="4E2ABA52" w14:textId="77777777" w:rsidR="006A123D" w:rsidRPr="0040656D" w:rsidRDefault="006A123D" w:rsidP="00657117">
      <w:pPr>
        <w:spacing w:before="120" w:after="240"/>
        <w:jc w:val="both"/>
        <w:rPr>
          <w:rFonts w:eastAsiaTheme="minorEastAsia" w:cs="Arial"/>
          <w:i/>
          <w:iCs/>
          <w:sz w:val="20"/>
          <w:szCs w:val="20"/>
        </w:rPr>
      </w:pPr>
      <w:r w:rsidRPr="2DE7778C">
        <w:rPr>
          <w:rFonts w:eastAsiaTheme="minorEastAsia" w:cs="Arial"/>
          <w:i/>
          <w:iCs/>
          <w:sz w:val="20"/>
          <w:szCs w:val="20"/>
        </w:rPr>
        <w:t>FY23</w:t>
      </w:r>
    </w:p>
    <w:p w14:paraId="583AADD6" w14:textId="3F19F3F5" w:rsidR="006A123D" w:rsidRPr="0040656D" w:rsidRDefault="006A123D" w:rsidP="00657117">
      <w:pPr>
        <w:pStyle w:val="ListParagraph"/>
        <w:numPr>
          <w:ilvl w:val="0"/>
          <w:numId w:val="20"/>
        </w:numPr>
        <w:spacing w:before="120" w:after="240"/>
        <w:jc w:val="both"/>
        <w:rPr>
          <w:rFonts w:eastAsiaTheme="minorEastAsia" w:cs="Arial"/>
          <w:sz w:val="20"/>
          <w:szCs w:val="20"/>
        </w:rPr>
      </w:pPr>
      <w:r w:rsidRPr="2DE7778C">
        <w:rPr>
          <w:rFonts w:eastAsiaTheme="minorEastAsia" w:cs="Arial"/>
          <w:sz w:val="20"/>
          <w:szCs w:val="20"/>
        </w:rPr>
        <w:t xml:space="preserve">IFC committed US$40 million to </w:t>
      </w:r>
      <w:r w:rsidRPr="2DE7778C">
        <w:rPr>
          <w:rFonts w:eastAsiaTheme="minorEastAsia" w:cs="Arial"/>
          <w:b/>
          <w:bCs/>
          <w:sz w:val="20"/>
          <w:szCs w:val="20"/>
        </w:rPr>
        <w:t>Banbif Peru</w:t>
      </w:r>
      <w:r w:rsidRPr="2DE7778C">
        <w:rPr>
          <w:rFonts w:eastAsiaTheme="minorEastAsia" w:cs="Arial"/>
          <w:sz w:val="20"/>
          <w:szCs w:val="20"/>
        </w:rPr>
        <w:t xml:space="preserve"> to implement its green finance strategy including the finance of green building, out of which US$12.5 million is dedicated to green building. The investment is the first MAGC transaction in Latin America involving a sub-debt component and with blended finance focused exclusively on green residential buildings. The investment was structured using a performance-based incentive that will partly offset greening and EDGE certification costs for developers. Each dollar of funding provided by UK-MAGC leveraged approximately US$24 from IFC own-account resources intended for green buildings.</w:t>
      </w:r>
    </w:p>
    <w:p w14:paraId="5E2BC09C" w14:textId="77777777" w:rsidR="006A123D" w:rsidRPr="0040656D" w:rsidRDefault="006A123D" w:rsidP="00657117">
      <w:pPr>
        <w:pStyle w:val="ListParagraph"/>
        <w:numPr>
          <w:ilvl w:val="0"/>
          <w:numId w:val="20"/>
        </w:numPr>
        <w:spacing w:before="120" w:after="240"/>
        <w:jc w:val="both"/>
        <w:rPr>
          <w:rFonts w:eastAsiaTheme="minorEastAsia" w:cs="Arial"/>
          <w:sz w:val="20"/>
          <w:szCs w:val="20"/>
        </w:rPr>
      </w:pPr>
      <w:r w:rsidRPr="2DE7778C">
        <w:rPr>
          <w:rFonts w:eastAsiaTheme="minorEastAsia" w:cs="Arial"/>
          <w:sz w:val="20"/>
          <w:szCs w:val="20"/>
        </w:rPr>
        <w:t xml:space="preserve">IFC committed up to US$34 million (out of which ~US$17 million dedicated to green building) to </w:t>
      </w:r>
      <w:r w:rsidRPr="2DE7778C">
        <w:rPr>
          <w:rFonts w:eastAsiaTheme="minorEastAsia" w:cs="Arial"/>
          <w:b/>
          <w:bCs/>
          <w:sz w:val="20"/>
          <w:szCs w:val="20"/>
        </w:rPr>
        <w:t>Home First Finance in India</w:t>
      </w:r>
      <w:r w:rsidRPr="2DE7778C">
        <w:rPr>
          <w:rFonts w:eastAsiaTheme="minorEastAsia" w:cs="Arial"/>
          <w:sz w:val="20"/>
          <w:szCs w:val="20"/>
        </w:rPr>
        <w:t xml:space="preserve"> to support Home First’s effort in providing counter cyclical support for the housing needs of lower income groups as well as support green affordable housing in India. The investment leverages the EDGE functionality for self-built housing developed under the Aavas advisory program and already leveraged with Aadhar (both India). The investment was structured using a performance-based incentive that will partly offset greening and EDGE certification costs for home buyers. Each dollar of funding provided by UK-MAGC leveraged approximately US$20 from IFC own-account resources intended for green buildings. Technical assistance will support the integration of EDGE with Home First’s internal processes, as well as capacity building on the processes of green affordable housing portfolio.</w:t>
      </w:r>
    </w:p>
    <w:p w14:paraId="4F8900A8" w14:textId="77777777" w:rsidR="006A123D" w:rsidRPr="0040656D" w:rsidRDefault="006A123D" w:rsidP="00657117">
      <w:pPr>
        <w:pStyle w:val="ListParagraph"/>
        <w:numPr>
          <w:ilvl w:val="0"/>
          <w:numId w:val="20"/>
        </w:numPr>
        <w:spacing w:before="120" w:after="240"/>
        <w:jc w:val="both"/>
        <w:rPr>
          <w:rFonts w:eastAsiaTheme="minorEastAsia" w:cs="Arial"/>
          <w:sz w:val="20"/>
          <w:szCs w:val="20"/>
        </w:rPr>
      </w:pPr>
      <w:r w:rsidRPr="2DE7778C">
        <w:rPr>
          <w:rFonts w:eastAsiaTheme="minorEastAsia" w:cs="Arial"/>
          <w:sz w:val="20"/>
          <w:szCs w:val="20"/>
        </w:rPr>
        <w:t xml:space="preserve">IFC committed another US$22.1 million to </w:t>
      </w:r>
      <w:r w:rsidRPr="2DE7778C">
        <w:rPr>
          <w:rFonts w:eastAsiaTheme="minorEastAsia" w:cs="Arial"/>
          <w:b/>
          <w:bCs/>
          <w:sz w:val="20"/>
          <w:szCs w:val="20"/>
        </w:rPr>
        <w:t>BPL South Africa</w:t>
      </w:r>
      <w:r w:rsidRPr="2DE7778C">
        <w:rPr>
          <w:rFonts w:eastAsiaTheme="minorEastAsia" w:cs="Arial"/>
          <w:sz w:val="20"/>
          <w:szCs w:val="20"/>
        </w:rPr>
        <w:t>, the second tranche of the investment committed in FY21, the IFC loan in South Africa exclusively dedicated to SME green lending for commercial properties.</w:t>
      </w:r>
    </w:p>
    <w:p w14:paraId="55EAFAA8" w14:textId="77777777" w:rsidR="006A123D" w:rsidRPr="0040656D" w:rsidRDefault="006A123D" w:rsidP="00657117">
      <w:pPr>
        <w:pStyle w:val="ListParagraph"/>
        <w:numPr>
          <w:ilvl w:val="0"/>
          <w:numId w:val="20"/>
        </w:numPr>
        <w:spacing w:before="120" w:after="240"/>
        <w:jc w:val="both"/>
        <w:rPr>
          <w:rFonts w:eastAsiaTheme="minorEastAsia" w:cs="Arial"/>
          <w:sz w:val="20"/>
          <w:szCs w:val="20"/>
        </w:rPr>
      </w:pPr>
      <w:r w:rsidRPr="2DE7778C">
        <w:rPr>
          <w:rFonts w:eastAsiaTheme="minorEastAsia" w:cs="Arial"/>
          <w:sz w:val="20"/>
          <w:szCs w:val="20"/>
        </w:rPr>
        <w:t xml:space="preserve">IFC committed US$75 million (out of which US$37.5 million dedicated to green building) to </w:t>
      </w:r>
      <w:r w:rsidRPr="2DE7778C">
        <w:rPr>
          <w:rFonts w:eastAsiaTheme="minorEastAsia" w:cs="Arial"/>
          <w:b/>
          <w:bCs/>
          <w:sz w:val="20"/>
          <w:szCs w:val="20"/>
        </w:rPr>
        <w:t>Banco de Bogota in Colombia</w:t>
      </w:r>
      <w:r w:rsidRPr="2DE7778C">
        <w:rPr>
          <w:rFonts w:eastAsiaTheme="minorEastAsia" w:cs="Arial"/>
          <w:sz w:val="20"/>
          <w:szCs w:val="20"/>
        </w:rPr>
        <w:t xml:space="preserve"> for a sustainability bond to support Banco de Bogota’s green buildings portfolio and its social loan portfolio. The investment was structured using a performance-based incentive for EDGE Advanced certified construction. Each dollar of funding </w:t>
      </w:r>
      <w:r w:rsidRPr="2DE7778C">
        <w:rPr>
          <w:rFonts w:eastAsiaTheme="minorEastAsia" w:cs="Arial"/>
          <w:sz w:val="20"/>
          <w:szCs w:val="20"/>
        </w:rPr>
        <w:lastRenderedPageBreak/>
        <w:t>provided by UK-MAGC leveraged approximately US$20 from IFC own-account resources intended for green buildings.</w:t>
      </w:r>
    </w:p>
    <w:p w14:paraId="329EDFC4" w14:textId="77777777" w:rsidR="006A123D" w:rsidRPr="0040656D" w:rsidRDefault="006A123D" w:rsidP="00657117">
      <w:pPr>
        <w:pStyle w:val="ListParagraph"/>
        <w:numPr>
          <w:ilvl w:val="0"/>
          <w:numId w:val="20"/>
        </w:numPr>
        <w:spacing w:before="120" w:after="240"/>
        <w:jc w:val="both"/>
        <w:rPr>
          <w:rFonts w:eastAsiaTheme="minorEastAsia" w:cs="Arial"/>
          <w:sz w:val="20"/>
          <w:szCs w:val="20"/>
        </w:rPr>
      </w:pPr>
      <w:r w:rsidRPr="2DE7778C">
        <w:rPr>
          <w:rFonts w:eastAsiaTheme="minorEastAsia" w:cs="Arial"/>
          <w:sz w:val="20"/>
          <w:szCs w:val="20"/>
        </w:rPr>
        <w:t xml:space="preserve">IFC committed approximately US$241.1 million equivalent to </w:t>
      </w:r>
      <w:r w:rsidRPr="2DE7778C">
        <w:rPr>
          <w:rFonts w:eastAsiaTheme="minorEastAsia" w:cs="Arial"/>
          <w:b/>
          <w:bCs/>
          <w:sz w:val="20"/>
          <w:szCs w:val="20"/>
        </w:rPr>
        <w:t>Absa Bank Limited in South Africa</w:t>
      </w:r>
      <w:r w:rsidRPr="2DE7778C">
        <w:rPr>
          <w:rFonts w:eastAsiaTheme="minorEastAsia" w:cs="Arial"/>
          <w:sz w:val="20"/>
          <w:szCs w:val="20"/>
        </w:rPr>
        <w:t>, one of the leading providers of residential mortgages in the country, and the proceeds will be fully dedicated to financing certified green buildings in South Africa, with at least 50% in the affordable housing segment on a best effort basis. The investment was structured using a</w:t>
      </w:r>
      <w:r w:rsidRPr="2DE7778C">
        <w:rPr>
          <w:rFonts w:eastAsiaTheme="minorEastAsia" w:cs="Arial"/>
          <w:b/>
          <w:bCs/>
          <w:sz w:val="20"/>
          <w:szCs w:val="20"/>
        </w:rPr>
        <w:t xml:space="preserve"> </w:t>
      </w:r>
      <w:r w:rsidRPr="2DE7778C">
        <w:rPr>
          <w:rFonts w:eastAsiaTheme="minorEastAsia" w:cs="Arial"/>
          <w:sz w:val="20"/>
          <w:szCs w:val="20"/>
        </w:rPr>
        <w:t>performance-based incentive that will partly offset incremental greening costs related to EDGE-certified green residential buildings for developers and residential homeowners. Each dollar of funding provided by UK-MAGC leveraged approximately US$24 from IFC own-account resources intended for green buildings.</w:t>
      </w:r>
    </w:p>
    <w:p w14:paraId="13FB28CA" w14:textId="592B3BEF" w:rsidR="006A123D" w:rsidRPr="0040656D" w:rsidRDefault="006A123D" w:rsidP="00657117">
      <w:pPr>
        <w:pStyle w:val="ListParagraph"/>
        <w:numPr>
          <w:ilvl w:val="0"/>
          <w:numId w:val="20"/>
        </w:numPr>
        <w:spacing w:before="120" w:after="240"/>
        <w:jc w:val="both"/>
        <w:rPr>
          <w:rFonts w:eastAsiaTheme="minorEastAsia" w:cs="Arial"/>
          <w:sz w:val="20"/>
          <w:szCs w:val="20"/>
        </w:rPr>
      </w:pPr>
      <w:r w:rsidRPr="2DE7778C">
        <w:rPr>
          <w:rFonts w:eastAsiaTheme="minorEastAsia" w:cs="Arial"/>
          <w:sz w:val="20"/>
          <w:szCs w:val="20"/>
        </w:rPr>
        <w:t xml:space="preserve">IFC committed US$500 million (out of which US$100 million dedicated to green building) to </w:t>
      </w:r>
      <w:r w:rsidRPr="2DE7778C">
        <w:rPr>
          <w:rFonts w:eastAsiaTheme="minorEastAsia" w:cs="Arial"/>
          <w:b/>
          <w:bCs/>
          <w:sz w:val="20"/>
          <w:szCs w:val="20"/>
        </w:rPr>
        <w:t>BTPN Indonesia</w:t>
      </w:r>
      <w:r w:rsidRPr="2DE7778C">
        <w:rPr>
          <w:rFonts w:eastAsiaTheme="minorEastAsia" w:cs="Arial"/>
          <w:sz w:val="20"/>
          <w:szCs w:val="20"/>
        </w:rPr>
        <w:t xml:space="preserve"> for the issuance of BPTN’s first sustainability bonds, comprising a social bond and a green bond. The non-green proceeds will be used to support Indonesia’s micro, small and medium enterprise (MSME) sector. The investment was structured using a performance-based incentive. Each dollar of funding provided by UK-MAGC leveraged approximately US$29 from IFC own-account resources intended for green buildings.</w:t>
      </w:r>
    </w:p>
    <w:p w14:paraId="255884E8" w14:textId="77777777" w:rsidR="006A123D" w:rsidRDefault="006A123D" w:rsidP="00657117">
      <w:pPr>
        <w:pStyle w:val="ListParagraph"/>
        <w:numPr>
          <w:ilvl w:val="0"/>
          <w:numId w:val="20"/>
        </w:numPr>
        <w:spacing w:before="120" w:after="240"/>
        <w:jc w:val="both"/>
        <w:rPr>
          <w:rFonts w:eastAsiaTheme="minorEastAsia" w:cs="Arial"/>
          <w:sz w:val="20"/>
          <w:szCs w:val="20"/>
        </w:rPr>
      </w:pPr>
      <w:r w:rsidRPr="2DE7778C">
        <w:rPr>
          <w:rFonts w:eastAsiaTheme="minorEastAsia" w:cs="Arial"/>
          <w:sz w:val="20"/>
          <w:szCs w:val="20"/>
        </w:rPr>
        <w:t xml:space="preserve">IFC committed US$200 million to </w:t>
      </w:r>
      <w:r w:rsidRPr="2DE7778C">
        <w:rPr>
          <w:rFonts w:eastAsiaTheme="minorEastAsia" w:cs="Arial"/>
          <w:b/>
          <w:bCs/>
          <w:sz w:val="20"/>
          <w:szCs w:val="20"/>
        </w:rPr>
        <w:t>Commercial International Bank (CIB) Egypt</w:t>
      </w:r>
      <w:r w:rsidRPr="2DE7778C">
        <w:rPr>
          <w:rFonts w:eastAsiaTheme="minorEastAsia" w:cs="Arial"/>
          <w:sz w:val="20"/>
          <w:szCs w:val="20"/>
        </w:rPr>
        <w:t xml:space="preserve"> in the form of senior and subordinated loans, out of which US$50 million is dedicated green building. As part of the transaction, the bank will dedicate an additional US$50million of its own balance sheet for green building projects. This project builds on the previous 2021 green buildings investment in CIB by helping to sustain the momentum gained from the Bank's recent launch of its certified green mortgage product and subsequent growth in green buildings lending. The investment was structured using a performance-based incentive for on-lending to developers for the construction of residential, commercial, and industrial green buildings in Egypt. Each dollar of funding provided by UK-MAGC leveraged approximately US$18 from IFC own-account resources intended for green buildings.</w:t>
      </w:r>
    </w:p>
    <w:p w14:paraId="49DEF835" w14:textId="22711145" w:rsidR="00A11586" w:rsidRDefault="00A11586" w:rsidP="789C6A0B">
      <w:pPr>
        <w:spacing w:before="120" w:after="240"/>
        <w:jc w:val="both"/>
        <w:rPr>
          <w:rFonts w:eastAsiaTheme="minorEastAsia" w:cs="Arial"/>
          <w:i/>
          <w:iCs/>
          <w:sz w:val="20"/>
          <w:szCs w:val="20"/>
        </w:rPr>
      </w:pPr>
      <w:r w:rsidRPr="789C6A0B">
        <w:rPr>
          <w:rFonts w:eastAsiaTheme="minorEastAsia" w:cs="Arial"/>
          <w:i/>
          <w:iCs/>
          <w:sz w:val="20"/>
          <w:szCs w:val="20"/>
        </w:rPr>
        <w:t>FY24</w:t>
      </w:r>
    </w:p>
    <w:p w14:paraId="2C907635" w14:textId="77777777" w:rsidR="0039328B" w:rsidRPr="0039328B" w:rsidRDefault="0039328B" w:rsidP="00657117">
      <w:pPr>
        <w:pStyle w:val="ListParagraph"/>
        <w:numPr>
          <w:ilvl w:val="0"/>
          <w:numId w:val="38"/>
        </w:numPr>
        <w:spacing w:before="120" w:after="240"/>
        <w:jc w:val="both"/>
        <w:rPr>
          <w:rFonts w:eastAsiaTheme="minorEastAsia" w:cs="Arial"/>
          <w:sz w:val="20"/>
          <w:szCs w:val="20"/>
        </w:rPr>
      </w:pPr>
      <w:r w:rsidRPr="0039328B">
        <w:rPr>
          <w:rFonts w:eastAsiaTheme="minorEastAsia" w:cs="Arial"/>
          <w:sz w:val="20"/>
          <w:szCs w:val="20"/>
        </w:rPr>
        <w:t xml:space="preserve">IFC committed US$400 million </w:t>
      </w:r>
      <w:r w:rsidRPr="008E5FC7">
        <w:rPr>
          <w:rFonts w:eastAsiaTheme="minorEastAsia" w:cs="Arial"/>
          <w:b/>
          <w:bCs/>
          <w:sz w:val="20"/>
          <w:szCs w:val="20"/>
        </w:rPr>
        <w:t>to BBVA Peru</w:t>
      </w:r>
      <w:r w:rsidRPr="0039328B">
        <w:rPr>
          <w:rFonts w:eastAsiaTheme="minorEastAsia" w:cs="Arial"/>
          <w:sz w:val="20"/>
          <w:szCs w:val="20"/>
        </w:rPr>
        <w:t xml:space="preserve"> to support the growth of its climate lending portfolio including up to $250 million for financing of real estate developers and consumer mortgages, focusing on green affordable housing and low-to-middle income housing. The investment was structured to include performance-based incentives, partly offsetting greening and EDGE certification costs for developers.</w:t>
      </w:r>
    </w:p>
    <w:p w14:paraId="329BF9D0" w14:textId="77777777" w:rsidR="0039328B" w:rsidRPr="0039328B" w:rsidRDefault="0039328B" w:rsidP="00657117">
      <w:pPr>
        <w:pStyle w:val="ListParagraph"/>
        <w:numPr>
          <w:ilvl w:val="0"/>
          <w:numId w:val="38"/>
        </w:numPr>
        <w:spacing w:before="120" w:after="240"/>
        <w:jc w:val="both"/>
        <w:rPr>
          <w:rFonts w:eastAsiaTheme="minorEastAsia" w:cs="Arial"/>
          <w:sz w:val="20"/>
          <w:szCs w:val="20"/>
        </w:rPr>
      </w:pPr>
      <w:r w:rsidRPr="0039328B">
        <w:rPr>
          <w:rFonts w:eastAsiaTheme="minorEastAsia" w:cs="Arial"/>
          <w:sz w:val="20"/>
          <w:szCs w:val="20"/>
        </w:rPr>
        <w:t xml:space="preserve">In India, US$100 million was committed to </w:t>
      </w:r>
      <w:r w:rsidRPr="008E5FC7">
        <w:rPr>
          <w:rFonts w:eastAsiaTheme="minorEastAsia" w:cs="Arial"/>
          <w:b/>
          <w:bCs/>
          <w:sz w:val="20"/>
          <w:szCs w:val="20"/>
        </w:rPr>
        <w:t>IIFL Finance</w:t>
      </w:r>
      <w:r w:rsidRPr="0039328B">
        <w:rPr>
          <w:rFonts w:eastAsiaTheme="minorEastAsia" w:cs="Arial"/>
          <w:sz w:val="20"/>
          <w:szCs w:val="20"/>
        </w:rPr>
        <w:t xml:space="preserve"> to assist developers and consumer mortgages in the affordable housing sector, with US$50 million dedicated to green housing. This investment leverages the EDGE functionality for self-build housing. It includes performance-based incentives to offset greening and EDGE certification costs for home buyers.</w:t>
      </w:r>
    </w:p>
    <w:p w14:paraId="28AB8690" w14:textId="77777777" w:rsidR="0039328B" w:rsidRPr="0039328B" w:rsidRDefault="0039328B" w:rsidP="00657117">
      <w:pPr>
        <w:pStyle w:val="ListParagraph"/>
        <w:numPr>
          <w:ilvl w:val="0"/>
          <w:numId w:val="38"/>
        </w:numPr>
        <w:spacing w:before="120" w:after="240"/>
        <w:jc w:val="both"/>
        <w:rPr>
          <w:rFonts w:eastAsiaTheme="minorEastAsia" w:cs="Arial"/>
          <w:sz w:val="20"/>
          <w:szCs w:val="20"/>
        </w:rPr>
      </w:pPr>
      <w:r w:rsidRPr="0039328B">
        <w:rPr>
          <w:rFonts w:eastAsiaTheme="minorEastAsia" w:cs="Arial"/>
          <w:sz w:val="20"/>
          <w:szCs w:val="20"/>
        </w:rPr>
        <w:t xml:space="preserve">Additionally, IFC committed US$40 million to </w:t>
      </w:r>
      <w:r w:rsidRPr="008E5FC7">
        <w:rPr>
          <w:rFonts w:eastAsiaTheme="minorEastAsia" w:cs="Arial"/>
          <w:b/>
          <w:bCs/>
          <w:sz w:val="20"/>
          <w:szCs w:val="20"/>
        </w:rPr>
        <w:t>Vastu Housing Finance Corporation</w:t>
      </w:r>
      <w:r w:rsidRPr="0039328B">
        <w:rPr>
          <w:rFonts w:eastAsiaTheme="minorEastAsia" w:cs="Arial"/>
          <w:sz w:val="20"/>
          <w:szCs w:val="20"/>
        </w:rPr>
        <w:t>, marking IFC’s first equity investment focusing on green affordable housing in the country. This investment was supported by a MAGC performance-based incentive, which will be passed to home buyers and self-constructors of homes in economically weak, low-income, and middle-income housing segments to partially offset the incremental greening and certification costs.</w:t>
      </w:r>
    </w:p>
    <w:p w14:paraId="6E72475D" w14:textId="1C0766EA" w:rsidR="00A11586" w:rsidRDefault="0039328B" w:rsidP="00657117">
      <w:pPr>
        <w:pStyle w:val="ListParagraph"/>
        <w:numPr>
          <w:ilvl w:val="0"/>
          <w:numId w:val="38"/>
        </w:numPr>
        <w:spacing w:before="120" w:after="240"/>
        <w:jc w:val="both"/>
        <w:rPr>
          <w:rFonts w:eastAsiaTheme="minorEastAsia" w:cs="Arial"/>
          <w:sz w:val="20"/>
          <w:szCs w:val="20"/>
        </w:rPr>
      </w:pPr>
      <w:r w:rsidRPr="0039328B">
        <w:rPr>
          <w:rFonts w:eastAsiaTheme="minorEastAsia" w:cs="Arial"/>
          <w:sz w:val="20"/>
          <w:szCs w:val="20"/>
        </w:rPr>
        <w:t xml:space="preserve">In Tanzania, IFC supported </w:t>
      </w:r>
      <w:r w:rsidRPr="008E5FC7">
        <w:rPr>
          <w:rFonts w:eastAsiaTheme="minorEastAsia" w:cs="Arial"/>
          <w:b/>
          <w:bCs/>
          <w:sz w:val="20"/>
          <w:szCs w:val="20"/>
        </w:rPr>
        <w:t>CRDB’s</w:t>
      </w:r>
      <w:r w:rsidRPr="0039328B">
        <w:rPr>
          <w:rFonts w:eastAsiaTheme="minorEastAsia" w:cs="Arial"/>
          <w:sz w:val="20"/>
          <w:szCs w:val="20"/>
        </w:rPr>
        <w:t xml:space="preserve"> first green bond issuance, also a first in the country, with an up to US$24 million equivalent local currency carve out for green buildings. This investment was structured using a performance-based incentive to offset the additional costs of green construction and was MAGC’s first transaction in Tanzania, which had been added as a MAGC eligible country that same year.</w:t>
      </w:r>
    </w:p>
    <w:p w14:paraId="68A5A47B" w14:textId="498725E1" w:rsidR="00D75230" w:rsidRPr="008E5FC7" w:rsidRDefault="00D75230" w:rsidP="00657117">
      <w:pPr>
        <w:pStyle w:val="ListParagraph"/>
        <w:numPr>
          <w:ilvl w:val="0"/>
          <w:numId w:val="38"/>
        </w:numPr>
        <w:spacing w:before="120" w:after="240"/>
        <w:jc w:val="both"/>
        <w:rPr>
          <w:rFonts w:eastAsiaTheme="minorEastAsia" w:cs="Arial"/>
          <w:sz w:val="20"/>
          <w:szCs w:val="20"/>
        </w:rPr>
      </w:pPr>
      <w:r w:rsidRPr="00D75230">
        <w:rPr>
          <w:rFonts w:eastAsiaTheme="minorEastAsia" w:cs="Arial"/>
          <w:sz w:val="20"/>
          <w:szCs w:val="20"/>
        </w:rPr>
        <w:t xml:space="preserve">IFC's financial commitments in Kenya included an investment into a fully dedicated green affordable housing fund in partnership with </w:t>
      </w:r>
      <w:r w:rsidRPr="008E5FC7">
        <w:rPr>
          <w:rFonts w:eastAsiaTheme="minorEastAsia" w:cs="Arial"/>
          <w:b/>
          <w:bCs/>
          <w:sz w:val="20"/>
          <w:szCs w:val="20"/>
        </w:rPr>
        <w:t>International Housing Solutions (IHS).</w:t>
      </w:r>
      <w:r w:rsidRPr="00D75230">
        <w:rPr>
          <w:rFonts w:eastAsiaTheme="minorEastAsia" w:cs="Arial"/>
          <w:sz w:val="20"/>
          <w:szCs w:val="20"/>
        </w:rPr>
        <w:t xml:space="preserve"> The</w:t>
      </w:r>
      <w:r>
        <w:rPr>
          <w:rFonts w:eastAsiaTheme="minorEastAsia" w:cs="Arial"/>
          <w:sz w:val="20"/>
          <w:szCs w:val="20"/>
        </w:rPr>
        <w:t xml:space="preserve"> </w:t>
      </w:r>
      <w:r w:rsidRPr="008E5FC7">
        <w:rPr>
          <w:rFonts w:eastAsiaTheme="minorEastAsia" w:cs="Arial"/>
          <w:sz w:val="20"/>
          <w:szCs w:val="20"/>
        </w:rPr>
        <w:t>investment included EUR10 million from IFC’s own account, US$10 million from MAGC funds for credit enhancement, and an expected mobilization of up to US$118 million of from other private sector investors.</w:t>
      </w:r>
      <w:r w:rsidR="00C800D0">
        <w:rPr>
          <w:rFonts w:eastAsiaTheme="minorEastAsia" w:cs="Arial"/>
          <w:sz w:val="20"/>
          <w:szCs w:val="20"/>
        </w:rPr>
        <w:t xml:space="preserve"> </w:t>
      </w:r>
      <w:r w:rsidRPr="008E5FC7">
        <w:rPr>
          <w:rFonts w:eastAsiaTheme="minorEastAsia" w:cs="Arial"/>
          <w:sz w:val="20"/>
          <w:szCs w:val="20"/>
        </w:rPr>
        <w:t xml:space="preserve">This is the first project to structure MAGC funds as equity in a stand-alone fund structure, and was committed in joint venture with IFC’s Manufacturing, Agribusiness, and Services (MAS) industry vertical. </w:t>
      </w:r>
    </w:p>
    <w:p w14:paraId="35A3FC38" w14:textId="6AA72D11" w:rsidR="00D75230" w:rsidRPr="00D75230" w:rsidRDefault="00D75230" w:rsidP="00657117">
      <w:pPr>
        <w:pStyle w:val="ListParagraph"/>
        <w:numPr>
          <w:ilvl w:val="0"/>
          <w:numId w:val="38"/>
        </w:numPr>
        <w:spacing w:before="120" w:after="240"/>
        <w:jc w:val="both"/>
        <w:rPr>
          <w:rFonts w:eastAsiaTheme="minorEastAsia" w:cs="Arial"/>
          <w:sz w:val="20"/>
          <w:szCs w:val="20"/>
        </w:rPr>
      </w:pPr>
      <w:r w:rsidRPr="00D75230">
        <w:rPr>
          <w:rFonts w:eastAsiaTheme="minorEastAsia" w:cs="Arial"/>
          <w:sz w:val="20"/>
          <w:szCs w:val="20"/>
        </w:rPr>
        <w:t xml:space="preserve">In South Africa, IFC committed US$250 million to </w:t>
      </w:r>
      <w:r w:rsidRPr="00D75230">
        <w:rPr>
          <w:rFonts w:eastAsiaTheme="minorEastAsia" w:cs="Arial"/>
          <w:b/>
          <w:bCs/>
          <w:sz w:val="20"/>
          <w:szCs w:val="20"/>
        </w:rPr>
        <w:t xml:space="preserve">First Rand Bank </w:t>
      </w:r>
      <w:r w:rsidRPr="00D75230">
        <w:rPr>
          <w:rFonts w:eastAsiaTheme="minorEastAsia" w:cs="Arial"/>
          <w:sz w:val="20"/>
          <w:szCs w:val="20"/>
        </w:rPr>
        <w:t xml:space="preserve">to support the bank’s expansion of EDGE certified green buildings, including green affordable housing and low-to-middle income housing. This investment was a milestone for MAGC, marking the first project with a specific housing carve-out that integrated climate and gender. </w:t>
      </w:r>
    </w:p>
    <w:p w14:paraId="6F0FBBA5" w14:textId="585AEDE3" w:rsidR="00D75230" w:rsidRPr="00D75230" w:rsidRDefault="00D75230" w:rsidP="00657117">
      <w:pPr>
        <w:pStyle w:val="ListParagraph"/>
        <w:numPr>
          <w:ilvl w:val="0"/>
          <w:numId w:val="38"/>
        </w:numPr>
        <w:spacing w:before="120" w:after="240"/>
        <w:jc w:val="both"/>
        <w:rPr>
          <w:rFonts w:eastAsiaTheme="minorEastAsia" w:cs="Arial"/>
          <w:sz w:val="20"/>
          <w:szCs w:val="20"/>
        </w:rPr>
      </w:pPr>
      <w:r w:rsidRPr="00D75230">
        <w:rPr>
          <w:rFonts w:eastAsiaTheme="minorEastAsia" w:cs="Arial"/>
          <w:sz w:val="20"/>
          <w:szCs w:val="20"/>
        </w:rPr>
        <w:t xml:space="preserve">IFC committed US$225 million to </w:t>
      </w:r>
      <w:r w:rsidRPr="00D75230">
        <w:rPr>
          <w:rFonts w:eastAsiaTheme="minorEastAsia" w:cs="Arial"/>
          <w:b/>
          <w:bCs/>
          <w:sz w:val="20"/>
          <w:szCs w:val="20"/>
        </w:rPr>
        <w:t xml:space="preserve">SEABank </w:t>
      </w:r>
      <w:r w:rsidRPr="00D75230">
        <w:rPr>
          <w:rFonts w:eastAsiaTheme="minorEastAsia" w:cs="Arial"/>
          <w:sz w:val="20"/>
          <w:szCs w:val="20"/>
        </w:rPr>
        <w:t xml:space="preserve">in Vietnam, supporting low-to-middle income housing, with US$50 million dedicated to green buildings. This investment includes a </w:t>
      </w:r>
      <w:r w:rsidRPr="00D75230">
        <w:rPr>
          <w:rFonts w:eastAsiaTheme="minorEastAsia" w:cs="Arial"/>
          <w:sz w:val="20"/>
          <w:szCs w:val="20"/>
        </w:rPr>
        <w:lastRenderedPageBreak/>
        <w:t xml:space="preserve">performance-based incentive from MAGC to partially offset the costs of building green in such a nascent market. In addition to the green housing carve out, the project was a first-of-its-kind, and part of the first green and blue bond issued by a private commercial bank in Vietnam. </w:t>
      </w:r>
    </w:p>
    <w:p w14:paraId="6AF90EDE" w14:textId="71A2B0F6" w:rsidR="00AF25E7" w:rsidRDefault="00D75230" w:rsidP="00657117">
      <w:pPr>
        <w:spacing w:after="240"/>
      </w:pPr>
      <w:r w:rsidRPr="55B5BF1F">
        <w:rPr>
          <w:rFonts w:eastAsiaTheme="minorEastAsia" w:cs="Arial"/>
          <w:sz w:val="20"/>
          <w:szCs w:val="20"/>
        </w:rPr>
        <w:t xml:space="preserve">IFC committed US$75 million to </w:t>
      </w:r>
      <w:r w:rsidRPr="55B5BF1F">
        <w:rPr>
          <w:rFonts w:eastAsiaTheme="minorEastAsia" w:cs="Arial"/>
          <w:b/>
          <w:bCs/>
          <w:sz w:val="20"/>
          <w:szCs w:val="20"/>
        </w:rPr>
        <w:t xml:space="preserve">OCB Sustainability </w:t>
      </w:r>
      <w:r w:rsidRPr="55B5BF1F">
        <w:rPr>
          <w:rFonts w:eastAsiaTheme="minorEastAsia" w:cs="Arial"/>
          <w:sz w:val="20"/>
          <w:szCs w:val="20"/>
        </w:rPr>
        <w:t xml:space="preserve">in Vietnam, focusing on low-to-middle income housing, with US$50 million dedicated to green buildings. This investment was structured using a performance-based incentive from MAGC. </w:t>
      </w:r>
    </w:p>
    <w:sectPr w:rsidR="00AF25E7" w:rsidSect="00840DEE">
      <w:headerReference w:type="default" r:id="rId29"/>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FCDF" w14:textId="77777777" w:rsidR="00BC215E" w:rsidRDefault="00BC215E" w:rsidP="006A123D">
      <w:r>
        <w:separator/>
      </w:r>
    </w:p>
  </w:endnote>
  <w:endnote w:type="continuationSeparator" w:id="0">
    <w:p w14:paraId="5358E264" w14:textId="77777777" w:rsidR="00BC215E" w:rsidRDefault="00BC215E" w:rsidP="006A123D">
      <w:r>
        <w:continuationSeparator/>
      </w:r>
    </w:p>
  </w:endnote>
  <w:endnote w:type="continuationNotice" w:id="1">
    <w:p w14:paraId="453E0048" w14:textId="77777777" w:rsidR="00BC215E" w:rsidRDefault="00BC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AA0D" w14:textId="53C92DC4" w:rsidR="006A123D" w:rsidRDefault="00257228">
    <w:pPr>
      <w:pStyle w:val="Footer"/>
    </w:pPr>
    <w:r>
      <w:rPr>
        <w:noProof/>
        <w14:ligatures w14:val="standardContextual"/>
      </w:rPr>
      <mc:AlternateContent>
        <mc:Choice Requires="wps">
          <w:drawing>
            <wp:anchor distT="0" distB="0" distL="0" distR="0" simplePos="0" relativeHeight="251658241" behindDoc="0" locked="0" layoutInCell="1" allowOverlap="1" wp14:anchorId="67EDA3DF" wp14:editId="0229D96F">
              <wp:simplePos x="635" y="635"/>
              <wp:positionH relativeFrom="page">
                <wp:align>right</wp:align>
              </wp:positionH>
              <wp:positionV relativeFrom="page">
                <wp:align>bottom</wp:align>
              </wp:positionV>
              <wp:extent cx="1106805" cy="345440"/>
              <wp:effectExtent l="0" t="0" r="0" b="0"/>
              <wp:wrapNone/>
              <wp:docPr id="107213452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6D9C87E" w14:textId="6BED3E12" w:rsidR="00257228" w:rsidRPr="00257228" w:rsidRDefault="00257228" w:rsidP="00257228">
                          <w:pPr>
                            <w:rPr>
                              <w:rFonts w:ascii="Calibri" w:eastAsia="Calibri" w:hAnsi="Calibri" w:cs="Calibri"/>
                              <w:noProof/>
                              <w:color w:val="000000"/>
                              <w:sz w:val="20"/>
                              <w:szCs w:val="20"/>
                            </w:rPr>
                          </w:pPr>
                          <w:r w:rsidRPr="0025722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FB8CC95">
            <v:shapetype id="_x0000_t202" coordsize="21600,21600" o:spt="202" path="m,l,21600r21600,l21600,xe" w14:anchorId="67EDA3DF">
              <v:stroke joinstyle="miter"/>
              <v:path gradientshapeok="t" o:connecttype="rect"/>
            </v:shapetype>
            <v:shape id="Text Box 2" style="position:absolute;margin-left:35.95pt;margin-top:0;width:87.15pt;height:27.2pt;z-index:251658241;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v:textbox style="mso-fit-shape-to-text:t" inset="0,0,20pt,15pt">
                <w:txbxContent>
                  <w:p w:rsidRPr="00257228" w:rsidR="00257228" w:rsidP="00257228" w:rsidRDefault="00257228" w14:paraId="78EEBE67" w14:textId="6BED3E12">
                    <w:pPr>
                      <w:rPr>
                        <w:rFonts w:ascii="Calibri" w:hAnsi="Calibri" w:eastAsia="Calibri" w:cs="Calibri"/>
                        <w:noProof/>
                        <w:color w:val="000000"/>
                        <w:sz w:val="20"/>
                        <w:szCs w:val="20"/>
                      </w:rPr>
                    </w:pPr>
                    <w:r w:rsidRPr="00257228">
                      <w:rPr>
                        <w:rFonts w:ascii="Calibri" w:hAnsi="Calibri" w:eastAsia="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0750" w14:textId="53B2D967" w:rsidR="006A123D" w:rsidRDefault="00257228">
    <w:pPr>
      <w:pStyle w:val="Footer"/>
      <w:jc w:val="right"/>
    </w:pPr>
    <w:r>
      <w:rPr>
        <w:noProof/>
        <w14:ligatures w14:val="standardContextual"/>
      </w:rPr>
      <mc:AlternateContent>
        <mc:Choice Requires="wps">
          <w:drawing>
            <wp:anchor distT="0" distB="0" distL="0" distR="0" simplePos="0" relativeHeight="251658242" behindDoc="0" locked="0" layoutInCell="1" allowOverlap="1" wp14:anchorId="0C3F009D" wp14:editId="527AFD20">
              <wp:simplePos x="635" y="635"/>
              <wp:positionH relativeFrom="page">
                <wp:align>right</wp:align>
              </wp:positionH>
              <wp:positionV relativeFrom="page">
                <wp:align>bottom</wp:align>
              </wp:positionV>
              <wp:extent cx="1106805" cy="345440"/>
              <wp:effectExtent l="0" t="0" r="0" b="0"/>
              <wp:wrapNone/>
              <wp:docPr id="75242302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17DF62" w14:textId="0CE1A6D2" w:rsidR="00257228" w:rsidRPr="00257228" w:rsidRDefault="00257228" w:rsidP="002A1117">
                          <w:pPr>
                            <w:jc w:val="center"/>
                            <w:rPr>
                              <w:rFonts w:ascii="Calibri" w:eastAsia="Calibri" w:hAnsi="Calibri" w:cs="Calibri"/>
                              <w:noProof/>
                              <w:color w:val="000000"/>
                              <w:sz w:val="20"/>
                              <w:szCs w:val="20"/>
                            </w:rPr>
                          </w:pPr>
                          <w:r w:rsidRPr="0025722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7D54CB3">
            <v:shapetype id="_x0000_t202" coordsize="21600,21600" o:spt="202" path="m,l,21600r21600,l21600,xe" w14:anchorId="0C3F009D">
              <v:stroke joinstyle="miter"/>
              <v:path gradientshapeok="t" o:connecttype="rect"/>
            </v:shapetype>
            <v:shape id="Text Box 3" style="position:absolute;left:0;text-align:left;margin-left:35.95pt;margin-top:0;width:87.15pt;height:27.2pt;z-index:251658242;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v:textbox style="mso-fit-shape-to-text:t" inset="0,0,20pt,15pt">
                <w:txbxContent>
                  <w:p w:rsidRPr="00257228" w:rsidR="00257228" w:rsidP="002A1117" w:rsidRDefault="00257228" w14:paraId="5F5E7A98" w14:textId="0CE1A6D2">
                    <w:pPr>
                      <w:jc w:val="center"/>
                      <w:rPr>
                        <w:rFonts w:ascii="Calibri" w:hAnsi="Calibri" w:eastAsia="Calibri" w:cs="Calibri"/>
                        <w:noProof/>
                        <w:color w:val="000000"/>
                        <w:sz w:val="20"/>
                        <w:szCs w:val="20"/>
                      </w:rPr>
                    </w:pPr>
                    <w:r w:rsidRPr="00257228">
                      <w:rPr>
                        <w:rFonts w:ascii="Calibri" w:hAnsi="Calibri" w:eastAsia="Calibri" w:cs="Calibri"/>
                        <w:noProof/>
                        <w:color w:val="000000"/>
                        <w:sz w:val="20"/>
                        <w:szCs w:val="20"/>
                      </w:rPr>
                      <w:t>Official Use Only</w:t>
                    </w:r>
                  </w:p>
                </w:txbxContent>
              </v:textbox>
              <w10:wrap anchorx="page" anchory="page"/>
            </v:shape>
          </w:pict>
        </mc:Fallback>
      </mc:AlternateContent>
    </w:r>
    <w:sdt>
      <w:sdtPr>
        <w:id w:val="1075242543"/>
        <w:docPartObj>
          <w:docPartGallery w:val="Page Numbers (Bottom of Page)"/>
          <w:docPartUnique/>
        </w:docPartObj>
      </w:sdtPr>
      <w:sdtEndPr>
        <w:rPr>
          <w:noProof/>
        </w:rPr>
      </w:sdtEndPr>
      <w:sdtContent>
        <w:r w:rsidR="006A123D" w:rsidRPr="00A068BC">
          <w:rPr>
            <w:sz w:val="16"/>
            <w:szCs w:val="16"/>
          </w:rPr>
          <w:fldChar w:fldCharType="begin"/>
        </w:r>
        <w:r w:rsidR="006A123D" w:rsidRPr="00A068BC">
          <w:rPr>
            <w:sz w:val="16"/>
            <w:szCs w:val="16"/>
          </w:rPr>
          <w:instrText xml:space="preserve"> PAGE   \* MERGEFORMAT </w:instrText>
        </w:r>
        <w:r w:rsidR="006A123D" w:rsidRPr="00A068BC">
          <w:rPr>
            <w:sz w:val="16"/>
            <w:szCs w:val="16"/>
          </w:rPr>
          <w:fldChar w:fldCharType="separate"/>
        </w:r>
        <w:r w:rsidR="006A123D" w:rsidRPr="00A068BC">
          <w:rPr>
            <w:noProof/>
            <w:sz w:val="16"/>
            <w:szCs w:val="16"/>
          </w:rPr>
          <w:t>2</w:t>
        </w:r>
        <w:r w:rsidR="006A123D" w:rsidRPr="00A068BC">
          <w:rPr>
            <w:noProof/>
            <w:sz w:val="16"/>
            <w:szCs w:val="16"/>
          </w:rPr>
          <w:fldChar w:fldCharType="end"/>
        </w:r>
      </w:sdtContent>
    </w:sdt>
  </w:p>
  <w:p w14:paraId="2F133AA4" w14:textId="77777777" w:rsidR="006A123D" w:rsidRDefault="006A1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57F0" w14:textId="6CD1598A" w:rsidR="006A123D" w:rsidRDefault="00257228">
    <w:pPr>
      <w:pStyle w:val="Footer"/>
    </w:pPr>
    <w:r>
      <w:rPr>
        <w:noProof/>
        <w14:ligatures w14:val="standardContextual"/>
      </w:rPr>
      <mc:AlternateContent>
        <mc:Choice Requires="wps">
          <w:drawing>
            <wp:anchor distT="0" distB="0" distL="0" distR="0" simplePos="0" relativeHeight="251658240" behindDoc="0" locked="0" layoutInCell="1" allowOverlap="1" wp14:anchorId="3664ED28" wp14:editId="10EE6647">
              <wp:simplePos x="635" y="635"/>
              <wp:positionH relativeFrom="page">
                <wp:align>right</wp:align>
              </wp:positionH>
              <wp:positionV relativeFrom="page">
                <wp:align>bottom</wp:align>
              </wp:positionV>
              <wp:extent cx="1106805" cy="345440"/>
              <wp:effectExtent l="0" t="0" r="0" b="0"/>
              <wp:wrapNone/>
              <wp:docPr id="67846805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85D19A2" w14:textId="36AD2A27" w:rsidR="00257228" w:rsidRPr="00257228" w:rsidRDefault="00257228" w:rsidP="00257228">
                          <w:pPr>
                            <w:rPr>
                              <w:rFonts w:ascii="Calibri" w:eastAsia="Calibri" w:hAnsi="Calibri" w:cs="Calibri"/>
                              <w:noProof/>
                              <w:color w:val="000000"/>
                              <w:sz w:val="20"/>
                              <w:szCs w:val="20"/>
                            </w:rPr>
                          </w:pPr>
                          <w:r w:rsidRPr="0025722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D4BC02C">
            <v:shapetype id="_x0000_t202" coordsize="21600,21600" o:spt="202" path="m,l,21600r21600,l21600,xe" w14:anchorId="3664ED28">
              <v:stroke joinstyle="miter"/>
              <v:path gradientshapeok="t" o:connecttype="rect"/>
            </v:shapetype>
            <v:shape id="Text Box 1"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v:textbox style="mso-fit-shape-to-text:t" inset="0,0,20pt,15pt">
                <w:txbxContent>
                  <w:p w:rsidRPr="00257228" w:rsidR="00257228" w:rsidP="00257228" w:rsidRDefault="00257228" w14:paraId="6EE10CDF" w14:textId="36AD2A27">
                    <w:pPr>
                      <w:rPr>
                        <w:rFonts w:ascii="Calibri" w:hAnsi="Calibri" w:eastAsia="Calibri" w:cs="Calibri"/>
                        <w:noProof/>
                        <w:color w:val="000000"/>
                        <w:sz w:val="20"/>
                        <w:szCs w:val="20"/>
                      </w:rPr>
                    </w:pPr>
                    <w:r w:rsidRPr="00257228">
                      <w:rPr>
                        <w:rFonts w:ascii="Calibri" w:hAnsi="Calibri" w:eastAsia="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4577" w14:textId="77777777" w:rsidR="00BC215E" w:rsidRDefault="00BC215E" w:rsidP="006A123D">
      <w:r>
        <w:separator/>
      </w:r>
    </w:p>
  </w:footnote>
  <w:footnote w:type="continuationSeparator" w:id="0">
    <w:p w14:paraId="78FA19BB" w14:textId="77777777" w:rsidR="00BC215E" w:rsidRDefault="00BC215E" w:rsidP="006A123D">
      <w:r>
        <w:continuationSeparator/>
      </w:r>
    </w:p>
  </w:footnote>
  <w:footnote w:type="continuationNotice" w:id="1">
    <w:p w14:paraId="59566C86" w14:textId="77777777" w:rsidR="00BC215E" w:rsidRDefault="00BC215E"/>
  </w:footnote>
  <w:footnote w:id="2">
    <w:p w14:paraId="1860E89E" w14:textId="2F8402FF" w:rsidR="29CA07FD" w:rsidRPr="000C48FF" w:rsidRDefault="29CA07FD" w:rsidP="3FB2AD31">
      <w:pPr>
        <w:rPr>
          <w:rFonts w:eastAsia="Arial" w:cs="Arial"/>
          <w:sz w:val="16"/>
          <w:szCs w:val="16"/>
        </w:rPr>
      </w:pPr>
      <w:r w:rsidRPr="000C48FF">
        <w:rPr>
          <w:rFonts w:eastAsia="Arial" w:cs="Arial"/>
          <w:sz w:val="12"/>
          <w:szCs w:val="12"/>
        </w:rPr>
        <w:footnoteRef/>
      </w:r>
      <w:r w:rsidR="3D03AEAD" w:rsidRPr="000C48FF">
        <w:rPr>
          <w:rFonts w:eastAsia="Arial" w:cs="Arial"/>
          <w:sz w:val="16"/>
          <w:szCs w:val="16"/>
        </w:rPr>
        <w:t xml:space="preserve"> CAFI is a web-based platform that allows FIs to verify whether a project meets internationally agreed-upon criteria for climate finance in line with IFC's Definitions for Climate-Related Activities and the Common Principles for Climate Mitigation Finance Tracking; and to calculate its impact based on a standardised methodology</w:t>
      </w:r>
    </w:p>
  </w:footnote>
  <w:footnote w:id="3">
    <w:p w14:paraId="3F6CD604" w14:textId="4C1E361A" w:rsidR="009E451B" w:rsidRDefault="009E451B">
      <w:pPr>
        <w:pStyle w:val="FootnoteText"/>
      </w:pPr>
      <w:r>
        <w:rPr>
          <w:rStyle w:val="FootnoteReference"/>
        </w:rPr>
        <w:footnoteRef/>
      </w:r>
      <w:r>
        <w:t xml:space="preserve"> </w:t>
      </w:r>
      <w:r w:rsidR="00887F7B" w:rsidRPr="00D25339">
        <w:rPr>
          <w:sz w:val="16"/>
          <w:szCs w:val="16"/>
        </w:rPr>
        <w:t xml:space="preserve">Extrapolation methodology for this indicator was proposed by IFC, however it was </w:t>
      </w:r>
      <w:r w:rsidR="00531BC3" w:rsidRPr="00D25339">
        <w:rPr>
          <w:sz w:val="16"/>
          <w:szCs w:val="16"/>
        </w:rPr>
        <w:t>extreme compared to target figures and previous years reporting, so was rejected by DESNZ. IFC and DESNZ continue to work together to</w:t>
      </w:r>
      <w:r w:rsidR="00C450EC" w:rsidRPr="00D25339">
        <w:rPr>
          <w:sz w:val="16"/>
          <w:szCs w:val="16"/>
        </w:rPr>
        <w:t xml:space="preserve"> provide a suitable methodology for future years.</w:t>
      </w:r>
      <w:r w:rsidR="00C450EC">
        <w:t xml:space="preserve"> </w:t>
      </w:r>
    </w:p>
  </w:footnote>
  <w:footnote w:id="4">
    <w:p w14:paraId="3C716EAE" w14:textId="6B345D10" w:rsidR="00FF3E8B" w:rsidRDefault="00C450EC">
      <w:pPr>
        <w:pStyle w:val="FootnoteText"/>
      </w:pPr>
      <w:r>
        <w:rPr>
          <w:rStyle w:val="FootnoteReference"/>
        </w:rPr>
        <w:footnoteRef/>
      </w:r>
      <w:r>
        <w:t xml:space="preserve"> </w:t>
      </w:r>
      <w:r w:rsidRPr="00D25339">
        <w:rPr>
          <w:sz w:val="16"/>
          <w:szCs w:val="16"/>
        </w:rPr>
        <w:t xml:space="preserve">This indicator is linked to the GHG emissions calculated against replicated finance. </w:t>
      </w:r>
      <w:r w:rsidR="00FF3E8B" w:rsidRPr="00D25339">
        <w:rPr>
          <w:sz w:val="16"/>
          <w:szCs w:val="16"/>
        </w:rPr>
        <w:t>As detailed on page 5</w:t>
      </w:r>
      <w:r w:rsidR="005412B0" w:rsidRPr="00D25339">
        <w:rPr>
          <w:sz w:val="16"/>
          <w:szCs w:val="16"/>
        </w:rPr>
        <w:t xml:space="preserve">, replicated finance indicators continue to substantially underperform against targets, due to challenges relating to reporting and collecting data. </w:t>
      </w:r>
      <w:r w:rsidR="00FF3E8B" w:rsidRPr="00D25339">
        <w:rPr>
          <w:sz w:val="16"/>
          <w:szCs w:val="16"/>
        </w:rPr>
        <w:t>So far, in the programme lifetime ‘replicated finance’ has been defined at the individual FI level which prevents subsequent transactions by the same FI from being reported. As part of the Logframe update anticipated in the next reporting period</w:t>
      </w:r>
      <w:r w:rsidR="006470ED" w:rsidRPr="00D25339">
        <w:rPr>
          <w:sz w:val="16"/>
          <w:szCs w:val="16"/>
        </w:rPr>
        <w:t xml:space="preserve"> (Recommendation </w:t>
      </w:r>
      <w:r w:rsidR="00690311" w:rsidRPr="00D25339">
        <w:rPr>
          <w:sz w:val="16"/>
          <w:szCs w:val="16"/>
        </w:rPr>
        <w:t>3</w:t>
      </w:r>
      <w:r w:rsidR="006470ED" w:rsidRPr="00D25339">
        <w:rPr>
          <w:sz w:val="16"/>
          <w:szCs w:val="16"/>
        </w:rPr>
        <w:t>)</w:t>
      </w:r>
      <w:r w:rsidR="00FF3E8B" w:rsidRPr="00D25339">
        <w:rPr>
          <w:sz w:val="16"/>
          <w:szCs w:val="16"/>
        </w:rPr>
        <w:t>, this definition will be updated to ensure accurate reporting in future years of the programme and should ease underperformance against this indicator.</w:t>
      </w:r>
    </w:p>
    <w:p w14:paraId="73E8B708" w14:textId="05BBCE5A" w:rsidR="00C450EC" w:rsidRDefault="00C450EC">
      <w:pPr>
        <w:pStyle w:val="FootnoteText"/>
      </w:pPr>
    </w:p>
  </w:footnote>
  <w:footnote w:id="5">
    <w:p w14:paraId="48745070" w14:textId="77777777" w:rsidR="005553FB" w:rsidRDefault="005553FB" w:rsidP="005553FB">
      <w:pPr>
        <w:pStyle w:val="FootnoteText"/>
      </w:pPr>
      <w:r w:rsidRPr="00005E66">
        <w:rPr>
          <w:rStyle w:val="FootnoteReference"/>
          <w:sz w:val="16"/>
          <w:szCs w:val="16"/>
        </w:rPr>
        <w:footnoteRef/>
      </w:r>
      <w:r w:rsidRPr="00005E66">
        <w:rPr>
          <w:sz w:val="16"/>
          <w:szCs w:val="16"/>
        </w:rPr>
        <w:t xml:space="preserve"> By FY2</w:t>
      </w:r>
      <w:r>
        <w:rPr>
          <w:sz w:val="16"/>
          <w:szCs w:val="16"/>
        </w:rPr>
        <w:t>4</w:t>
      </w:r>
      <w:r w:rsidRPr="00005E66">
        <w:rPr>
          <w:sz w:val="16"/>
          <w:szCs w:val="16"/>
        </w:rPr>
        <w:t xml:space="preserve">, IFC committed a total of </w:t>
      </w:r>
      <w:r>
        <w:rPr>
          <w:sz w:val="16"/>
          <w:szCs w:val="16"/>
        </w:rPr>
        <w:t>21</w:t>
      </w:r>
      <w:r w:rsidRPr="00005E66">
        <w:rPr>
          <w:sz w:val="16"/>
          <w:szCs w:val="16"/>
        </w:rPr>
        <w:t xml:space="preserve"> MAGC-supported investments. Since this includes two separate projects with CIB</w:t>
      </w:r>
      <w:r>
        <w:rPr>
          <w:sz w:val="16"/>
          <w:szCs w:val="16"/>
        </w:rPr>
        <w:t xml:space="preserve"> and two separate projects with BBVA Peru,</w:t>
      </w:r>
      <w:r w:rsidRPr="00005E66">
        <w:rPr>
          <w:sz w:val="16"/>
          <w:szCs w:val="16"/>
        </w:rPr>
        <w:t xml:space="preserve"> the number on Indicator 1a.1 is reported as 1</w:t>
      </w:r>
      <w:r>
        <w:rPr>
          <w:sz w:val="16"/>
          <w:szCs w:val="16"/>
        </w:rPr>
        <w:t>9</w:t>
      </w:r>
      <w:r w:rsidRPr="00005E66">
        <w:rPr>
          <w:sz w:val="16"/>
          <w:szCs w:val="16"/>
        </w:rPr>
        <w:t xml:space="preserve">. </w:t>
      </w:r>
    </w:p>
  </w:footnote>
  <w:footnote w:id="6">
    <w:p w14:paraId="78ECFEB0" w14:textId="7330937F" w:rsidR="006A123D" w:rsidRDefault="006A123D" w:rsidP="006A123D">
      <w:pPr>
        <w:pStyle w:val="FootnoteText"/>
      </w:pPr>
      <w:r>
        <w:rPr>
          <w:rStyle w:val="FootnoteReference"/>
        </w:rPr>
        <w:footnoteRef/>
      </w:r>
      <w:r>
        <w:t xml:space="preserve"> </w:t>
      </w:r>
      <w:r w:rsidRPr="004B5B75">
        <w:rPr>
          <w:sz w:val="16"/>
          <w:szCs w:val="16"/>
        </w:rPr>
        <w:t xml:space="preserve">In the </w:t>
      </w:r>
      <w:r w:rsidR="003175D6" w:rsidRPr="004B5B75">
        <w:rPr>
          <w:sz w:val="16"/>
          <w:szCs w:val="16"/>
        </w:rPr>
        <w:t>Logframe</w:t>
      </w:r>
      <w:r w:rsidRPr="004B5B75">
        <w:rPr>
          <w:sz w:val="16"/>
          <w:szCs w:val="16"/>
        </w:rPr>
        <w:t>, key stakeholders are defined as participating FI employees, building developers and representatives from sectoral associations and bodies.</w:t>
      </w:r>
    </w:p>
  </w:footnote>
  <w:footnote w:id="7">
    <w:p w14:paraId="36F39A14" w14:textId="479A217B" w:rsidR="006A123D" w:rsidRDefault="006A123D" w:rsidP="006A123D">
      <w:pPr>
        <w:pStyle w:val="FootnoteText"/>
      </w:pPr>
      <w:r>
        <w:rPr>
          <w:rStyle w:val="FootnoteReference"/>
        </w:rPr>
        <w:footnoteRef/>
      </w:r>
      <w:r>
        <w:t xml:space="preserve"> </w:t>
      </w:r>
      <w:r w:rsidR="00024C7F" w:rsidRPr="00005E66">
        <w:rPr>
          <w:sz w:val="16"/>
          <w:szCs w:val="16"/>
        </w:rPr>
        <w:t>By FY2</w:t>
      </w:r>
      <w:r w:rsidR="00024C7F">
        <w:rPr>
          <w:sz w:val="16"/>
          <w:szCs w:val="16"/>
        </w:rPr>
        <w:t>4</w:t>
      </w:r>
      <w:r w:rsidR="00024C7F" w:rsidRPr="00005E66">
        <w:rPr>
          <w:sz w:val="16"/>
          <w:szCs w:val="16"/>
        </w:rPr>
        <w:t xml:space="preserve">, IFC committed a total of </w:t>
      </w:r>
      <w:r w:rsidR="00024C7F">
        <w:rPr>
          <w:sz w:val="16"/>
          <w:szCs w:val="16"/>
        </w:rPr>
        <w:t>21</w:t>
      </w:r>
      <w:r w:rsidR="00024C7F" w:rsidRPr="00005E66">
        <w:rPr>
          <w:sz w:val="16"/>
          <w:szCs w:val="16"/>
        </w:rPr>
        <w:t xml:space="preserve"> MAGC-supported investments. Since this includes two separate projects with CIB</w:t>
      </w:r>
      <w:r w:rsidR="00024C7F">
        <w:rPr>
          <w:sz w:val="16"/>
          <w:szCs w:val="16"/>
        </w:rPr>
        <w:t xml:space="preserve"> and two separate projects with BBVA Peru,</w:t>
      </w:r>
      <w:r w:rsidR="00024C7F" w:rsidRPr="00005E66">
        <w:rPr>
          <w:sz w:val="16"/>
          <w:szCs w:val="16"/>
        </w:rPr>
        <w:t xml:space="preserve"> the number on Indicator 1a.1 is reported as 1</w:t>
      </w:r>
      <w:r w:rsidR="00024C7F">
        <w:rPr>
          <w:sz w:val="16"/>
          <w:szCs w:val="16"/>
        </w:rPr>
        <w:t>9</w:t>
      </w:r>
      <w:r w:rsidR="00024C7F" w:rsidRPr="00005E66">
        <w:rPr>
          <w:sz w:val="16"/>
          <w:szCs w:val="16"/>
        </w:rPr>
        <w:t>.</w:t>
      </w:r>
    </w:p>
  </w:footnote>
  <w:footnote w:id="8">
    <w:p w14:paraId="3A6AB9B9" w14:textId="77777777" w:rsidR="006A123D" w:rsidRPr="005376B6" w:rsidRDefault="006A123D" w:rsidP="006A123D">
      <w:pPr>
        <w:rPr>
          <w:rFonts w:cs="Arial"/>
          <w:sz w:val="18"/>
          <w:szCs w:val="18"/>
        </w:rPr>
      </w:pPr>
      <w:r w:rsidRPr="005376B6">
        <w:rPr>
          <w:rStyle w:val="FootnoteReference"/>
          <w:sz w:val="18"/>
          <w:szCs w:val="18"/>
        </w:rPr>
        <w:footnoteRef/>
      </w:r>
      <w:r w:rsidRPr="005376B6">
        <w:rPr>
          <w:sz w:val="18"/>
          <w:szCs w:val="18"/>
        </w:rPr>
        <w:t xml:space="preserve"> </w:t>
      </w:r>
      <w:r w:rsidRPr="00DA7E31">
        <w:rPr>
          <w:rFonts w:cs="Arial"/>
          <w:sz w:val="16"/>
          <w:szCs w:val="16"/>
        </w:rPr>
        <w:t>GBP-USD exchange rate of 0.78 applied.</w:t>
      </w:r>
      <w:r w:rsidRPr="005376B6">
        <w:rPr>
          <w:rFonts w:cs="Arial"/>
          <w:sz w:val="18"/>
          <w:szCs w:val="18"/>
        </w:rPr>
        <w:t xml:space="preserve"> </w:t>
      </w:r>
    </w:p>
    <w:p w14:paraId="2B63BA7C" w14:textId="77777777" w:rsidR="006A123D" w:rsidRDefault="006A123D" w:rsidP="006A123D">
      <w:pPr>
        <w:pStyle w:val="FootnoteText"/>
      </w:pPr>
    </w:p>
  </w:footnote>
  <w:footnote w:id="9">
    <w:p w14:paraId="1C57F451" w14:textId="5F21ADB3" w:rsidR="0017693C" w:rsidRDefault="0017693C">
      <w:pPr>
        <w:pStyle w:val="FootnoteText"/>
      </w:pPr>
      <w:r>
        <w:rPr>
          <w:rStyle w:val="FootnoteReference"/>
        </w:rPr>
        <w:footnoteRef/>
      </w:r>
      <w:r>
        <w:t xml:space="preserve"> </w:t>
      </w:r>
      <w:r w:rsidRPr="002237F6">
        <w:rPr>
          <w:sz w:val="16"/>
          <w:szCs w:val="16"/>
        </w:rPr>
        <w:t>Department for International Development. (2016). Raising the standard: the Multilateral Development Review 2016. https://www.gov.uk/government/publications/raising-the-standard-the-multilateral-development-review-2016</w:t>
      </w:r>
      <w:r w:rsidRPr="008E5FC7">
        <w:rPr>
          <w:sz w:val="18"/>
          <w:szCs w:val="18"/>
        </w:rPr>
        <w:t> </w:t>
      </w:r>
    </w:p>
  </w:footnote>
  <w:footnote w:id="10">
    <w:p w14:paraId="4BBB0F28" w14:textId="2CEC5263" w:rsidR="0017693C" w:rsidRDefault="0017693C">
      <w:pPr>
        <w:pStyle w:val="FootnoteText"/>
      </w:pPr>
      <w:r>
        <w:rPr>
          <w:rStyle w:val="FootnoteReference"/>
        </w:rPr>
        <w:footnoteRef/>
      </w:r>
      <w:r>
        <w:t xml:space="preserve"> </w:t>
      </w:r>
      <w:r w:rsidR="002D5320" w:rsidRPr="002237F6">
        <w:rPr>
          <w:sz w:val="16"/>
          <w:szCs w:val="16"/>
        </w:rPr>
        <w:t>S&amp;P Global. (2023). International Finance Corp. https://www.ifc.org/content/dam/ifc/doc/2023/20230222-S-and-P-rating-report-IFC.pdf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F665E6" w14:paraId="5DF79DB3" w14:textId="77777777" w:rsidTr="7EF665E6">
      <w:trPr>
        <w:trHeight w:val="300"/>
      </w:trPr>
      <w:tc>
        <w:tcPr>
          <w:tcW w:w="3005" w:type="dxa"/>
        </w:tcPr>
        <w:p w14:paraId="2064B654" w14:textId="11F24DD9" w:rsidR="7EF665E6" w:rsidRDefault="7EF665E6" w:rsidP="7EF665E6">
          <w:pPr>
            <w:pStyle w:val="Header"/>
            <w:ind w:left="-115"/>
          </w:pPr>
        </w:p>
      </w:tc>
      <w:tc>
        <w:tcPr>
          <w:tcW w:w="3005" w:type="dxa"/>
        </w:tcPr>
        <w:p w14:paraId="54896634" w14:textId="0D66D943" w:rsidR="7EF665E6" w:rsidRDefault="7EF665E6" w:rsidP="7EF665E6">
          <w:pPr>
            <w:pStyle w:val="Header"/>
            <w:jc w:val="center"/>
          </w:pPr>
        </w:p>
      </w:tc>
      <w:tc>
        <w:tcPr>
          <w:tcW w:w="3005" w:type="dxa"/>
        </w:tcPr>
        <w:p w14:paraId="74738A29" w14:textId="22C94977" w:rsidR="7EF665E6" w:rsidRDefault="7EF665E6" w:rsidP="7EF665E6">
          <w:pPr>
            <w:pStyle w:val="Header"/>
            <w:ind w:right="-115"/>
            <w:jc w:val="right"/>
          </w:pPr>
        </w:p>
      </w:tc>
    </w:tr>
  </w:tbl>
  <w:p w14:paraId="15C925FA" w14:textId="4DAAA727" w:rsidR="7EF665E6" w:rsidRDefault="7EF665E6" w:rsidP="7EF6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7EF665E6" w14:paraId="5D868D51" w14:textId="77777777" w:rsidTr="7EF665E6">
      <w:trPr>
        <w:trHeight w:val="300"/>
      </w:trPr>
      <w:tc>
        <w:tcPr>
          <w:tcW w:w="5140" w:type="dxa"/>
        </w:tcPr>
        <w:p w14:paraId="63DCF80C" w14:textId="3DE8D807" w:rsidR="7EF665E6" w:rsidRDefault="7EF665E6" w:rsidP="7EF665E6">
          <w:pPr>
            <w:pStyle w:val="Header"/>
            <w:ind w:left="-115"/>
          </w:pPr>
        </w:p>
      </w:tc>
      <w:tc>
        <w:tcPr>
          <w:tcW w:w="5140" w:type="dxa"/>
        </w:tcPr>
        <w:p w14:paraId="41BD9DD8" w14:textId="0E7C38B1" w:rsidR="7EF665E6" w:rsidRDefault="7EF665E6" w:rsidP="7EF665E6">
          <w:pPr>
            <w:pStyle w:val="Header"/>
            <w:jc w:val="center"/>
          </w:pPr>
        </w:p>
      </w:tc>
      <w:tc>
        <w:tcPr>
          <w:tcW w:w="5140" w:type="dxa"/>
        </w:tcPr>
        <w:p w14:paraId="21550CC7" w14:textId="6DD1A401" w:rsidR="7EF665E6" w:rsidRDefault="7EF665E6" w:rsidP="7EF665E6">
          <w:pPr>
            <w:pStyle w:val="Header"/>
            <w:ind w:right="-115"/>
            <w:jc w:val="right"/>
          </w:pPr>
        </w:p>
      </w:tc>
    </w:tr>
  </w:tbl>
  <w:p w14:paraId="7C8CB301" w14:textId="3A2F26AF" w:rsidR="7EF665E6" w:rsidRDefault="7EF665E6" w:rsidP="7EF66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F665E6" w14:paraId="61EA3F2E" w14:textId="77777777" w:rsidTr="7EF665E6">
      <w:trPr>
        <w:trHeight w:val="300"/>
      </w:trPr>
      <w:tc>
        <w:tcPr>
          <w:tcW w:w="3005" w:type="dxa"/>
        </w:tcPr>
        <w:p w14:paraId="307C713B" w14:textId="6447866B" w:rsidR="7EF665E6" w:rsidRDefault="7EF665E6" w:rsidP="7EF665E6">
          <w:pPr>
            <w:pStyle w:val="Header"/>
            <w:ind w:left="-115"/>
          </w:pPr>
        </w:p>
      </w:tc>
      <w:tc>
        <w:tcPr>
          <w:tcW w:w="3005" w:type="dxa"/>
        </w:tcPr>
        <w:p w14:paraId="7BE13746" w14:textId="5099952F" w:rsidR="7EF665E6" w:rsidRDefault="7EF665E6" w:rsidP="7EF665E6">
          <w:pPr>
            <w:pStyle w:val="Header"/>
            <w:jc w:val="center"/>
          </w:pPr>
        </w:p>
      </w:tc>
      <w:tc>
        <w:tcPr>
          <w:tcW w:w="3005" w:type="dxa"/>
        </w:tcPr>
        <w:p w14:paraId="2B693733" w14:textId="65B93D59" w:rsidR="7EF665E6" w:rsidRDefault="7EF665E6" w:rsidP="7EF665E6">
          <w:pPr>
            <w:pStyle w:val="Header"/>
            <w:ind w:right="-115"/>
            <w:jc w:val="right"/>
          </w:pPr>
        </w:p>
      </w:tc>
    </w:tr>
  </w:tbl>
  <w:p w14:paraId="78EC8D45" w14:textId="4B841B19" w:rsidR="7EF665E6" w:rsidRDefault="7EF665E6" w:rsidP="7EF665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7EF665E6" w14:paraId="45A06AAF" w14:textId="77777777" w:rsidTr="7EF665E6">
      <w:trPr>
        <w:trHeight w:val="300"/>
      </w:trPr>
      <w:tc>
        <w:tcPr>
          <w:tcW w:w="5140" w:type="dxa"/>
        </w:tcPr>
        <w:p w14:paraId="58891889" w14:textId="15877212" w:rsidR="7EF665E6" w:rsidRDefault="7EF665E6" w:rsidP="7EF665E6">
          <w:pPr>
            <w:pStyle w:val="Header"/>
            <w:ind w:left="-115"/>
          </w:pPr>
        </w:p>
      </w:tc>
      <w:tc>
        <w:tcPr>
          <w:tcW w:w="5140" w:type="dxa"/>
        </w:tcPr>
        <w:p w14:paraId="69DBDAEF" w14:textId="72CA8521" w:rsidR="7EF665E6" w:rsidRDefault="7EF665E6" w:rsidP="7EF665E6">
          <w:pPr>
            <w:pStyle w:val="Header"/>
            <w:jc w:val="center"/>
          </w:pPr>
        </w:p>
      </w:tc>
      <w:tc>
        <w:tcPr>
          <w:tcW w:w="5140" w:type="dxa"/>
        </w:tcPr>
        <w:p w14:paraId="0331918E" w14:textId="2D27F633" w:rsidR="7EF665E6" w:rsidRDefault="7EF665E6" w:rsidP="7EF665E6">
          <w:pPr>
            <w:pStyle w:val="Header"/>
            <w:ind w:right="-115"/>
            <w:jc w:val="right"/>
          </w:pPr>
        </w:p>
      </w:tc>
    </w:tr>
  </w:tbl>
  <w:p w14:paraId="2881F028" w14:textId="501AFCDD" w:rsidR="7EF665E6" w:rsidRDefault="7EF665E6" w:rsidP="7EF665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EF665E6" w14:paraId="56EB850F" w14:textId="77777777" w:rsidTr="7EF665E6">
      <w:trPr>
        <w:trHeight w:val="300"/>
      </w:trPr>
      <w:tc>
        <w:tcPr>
          <w:tcW w:w="3005" w:type="dxa"/>
        </w:tcPr>
        <w:p w14:paraId="60C9666F" w14:textId="16577741" w:rsidR="7EF665E6" w:rsidRDefault="7EF665E6" w:rsidP="7EF665E6">
          <w:pPr>
            <w:pStyle w:val="Header"/>
            <w:ind w:left="-115"/>
          </w:pPr>
        </w:p>
      </w:tc>
      <w:tc>
        <w:tcPr>
          <w:tcW w:w="3005" w:type="dxa"/>
        </w:tcPr>
        <w:p w14:paraId="0093811E" w14:textId="22B15774" w:rsidR="7EF665E6" w:rsidRDefault="7EF665E6" w:rsidP="7EF665E6">
          <w:pPr>
            <w:pStyle w:val="Header"/>
            <w:jc w:val="center"/>
          </w:pPr>
        </w:p>
      </w:tc>
      <w:tc>
        <w:tcPr>
          <w:tcW w:w="3005" w:type="dxa"/>
        </w:tcPr>
        <w:p w14:paraId="444FCC47" w14:textId="1D824439" w:rsidR="7EF665E6" w:rsidRDefault="7EF665E6" w:rsidP="7EF665E6">
          <w:pPr>
            <w:pStyle w:val="Header"/>
            <w:ind w:right="-115"/>
            <w:jc w:val="right"/>
          </w:pPr>
        </w:p>
      </w:tc>
    </w:tr>
  </w:tbl>
  <w:p w14:paraId="42BBA5D2" w14:textId="7240C50D" w:rsidR="7EF665E6" w:rsidRDefault="7EF665E6" w:rsidP="7EF66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67B"/>
    <w:multiLevelType w:val="hybridMultilevel"/>
    <w:tmpl w:val="66A662F6"/>
    <w:lvl w:ilvl="0" w:tplc="FB94F732">
      <w:start w:val="1"/>
      <w:numFmt w:val="upperLetter"/>
      <w:lvlText w:val="%1)"/>
      <w:lvlJc w:val="left"/>
      <w:pPr>
        <w:ind w:left="720" w:hanging="360"/>
      </w:pPr>
    </w:lvl>
    <w:lvl w:ilvl="1" w:tplc="D34ED102" w:tentative="1">
      <w:start w:val="1"/>
      <w:numFmt w:val="lowerLetter"/>
      <w:lvlText w:val="%2."/>
      <w:lvlJc w:val="left"/>
      <w:pPr>
        <w:ind w:left="1440" w:hanging="360"/>
      </w:pPr>
    </w:lvl>
    <w:lvl w:ilvl="2" w:tplc="BA783A9E" w:tentative="1">
      <w:start w:val="1"/>
      <w:numFmt w:val="lowerRoman"/>
      <w:lvlText w:val="%3."/>
      <w:lvlJc w:val="right"/>
      <w:pPr>
        <w:ind w:left="2160" w:hanging="180"/>
      </w:pPr>
    </w:lvl>
    <w:lvl w:ilvl="3" w:tplc="4DFAF44E" w:tentative="1">
      <w:start w:val="1"/>
      <w:numFmt w:val="decimal"/>
      <w:lvlText w:val="%4."/>
      <w:lvlJc w:val="left"/>
      <w:pPr>
        <w:ind w:left="2880" w:hanging="360"/>
      </w:pPr>
    </w:lvl>
    <w:lvl w:ilvl="4" w:tplc="DD1AB856" w:tentative="1">
      <w:start w:val="1"/>
      <w:numFmt w:val="lowerLetter"/>
      <w:lvlText w:val="%5."/>
      <w:lvlJc w:val="left"/>
      <w:pPr>
        <w:ind w:left="3600" w:hanging="360"/>
      </w:pPr>
    </w:lvl>
    <w:lvl w:ilvl="5" w:tplc="32486BA8" w:tentative="1">
      <w:start w:val="1"/>
      <w:numFmt w:val="lowerRoman"/>
      <w:lvlText w:val="%6."/>
      <w:lvlJc w:val="right"/>
      <w:pPr>
        <w:ind w:left="4320" w:hanging="180"/>
      </w:pPr>
    </w:lvl>
    <w:lvl w:ilvl="6" w:tplc="9BC69D8A" w:tentative="1">
      <w:start w:val="1"/>
      <w:numFmt w:val="decimal"/>
      <w:lvlText w:val="%7."/>
      <w:lvlJc w:val="left"/>
      <w:pPr>
        <w:ind w:left="5040" w:hanging="360"/>
      </w:pPr>
    </w:lvl>
    <w:lvl w:ilvl="7" w:tplc="54EC55B2" w:tentative="1">
      <w:start w:val="1"/>
      <w:numFmt w:val="lowerLetter"/>
      <w:lvlText w:val="%8."/>
      <w:lvlJc w:val="left"/>
      <w:pPr>
        <w:ind w:left="5760" w:hanging="360"/>
      </w:pPr>
    </w:lvl>
    <w:lvl w:ilvl="8" w:tplc="0204A8BE" w:tentative="1">
      <w:start w:val="1"/>
      <w:numFmt w:val="lowerRoman"/>
      <w:lvlText w:val="%9."/>
      <w:lvlJc w:val="right"/>
      <w:pPr>
        <w:ind w:left="6480" w:hanging="180"/>
      </w:pPr>
    </w:lvl>
  </w:abstractNum>
  <w:abstractNum w:abstractNumId="1" w15:restartNumberingAfterBreak="0">
    <w:nsid w:val="038D5C6D"/>
    <w:multiLevelType w:val="hybridMultilevel"/>
    <w:tmpl w:val="18DAE8A0"/>
    <w:lvl w:ilvl="0" w:tplc="F2F40DD8">
      <w:start w:val="1"/>
      <w:numFmt w:val="bullet"/>
      <w:lvlText w:val=""/>
      <w:lvlJc w:val="left"/>
      <w:pPr>
        <w:ind w:left="720" w:hanging="360"/>
      </w:pPr>
      <w:rPr>
        <w:rFonts w:ascii="Symbol" w:hAnsi="Symbol" w:hint="default"/>
      </w:rPr>
    </w:lvl>
    <w:lvl w:ilvl="1" w:tplc="5C64F250" w:tentative="1">
      <w:start w:val="1"/>
      <w:numFmt w:val="bullet"/>
      <w:lvlText w:val="o"/>
      <w:lvlJc w:val="left"/>
      <w:pPr>
        <w:ind w:left="1440" w:hanging="360"/>
      </w:pPr>
      <w:rPr>
        <w:rFonts w:ascii="Courier New" w:hAnsi="Courier New" w:hint="default"/>
      </w:rPr>
    </w:lvl>
    <w:lvl w:ilvl="2" w:tplc="913629F2" w:tentative="1">
      <w:start w:val="1"/>
      <w:numFmt w:val="bullet"/>
      <w:lvlText w:val=""/>
      <w:lvlJc w:val="left"/>
      <w:pPr>
        <w:ind w:left="2160" w:hanging="360"/>
      </w:pPr>
      <w:rPr>
        <w:rFonts w:ascii="Wingdings" w:hAnsi="Wingdings" w:hint="default"/>
      </w:rPr>
    </w:lvl>
    <w:lvl w:ilvl="3" w:tplc="7B1E912E" w:tentative="1">
      <w:start w:val="1"/>
      <w:numFmt w:val="bullet"/>
      <w:lvlText w:val=""/>
      <w:lvlJc w:val="left"/>
      <w:pPr>
        <w:ind w:left="2880" w:hanging="360"/>
      </w:pPr>
      <w:rPr>
        <w:rFonts w:ascii="Symbol" w:hAnsi="Symbol" w:hint="default"/>
      </w:rPr>
    </w:lvl>
    <w:lvl w:ilvl="4" w:tplc="199E12B6" w:tentative="1">
      <w:start w:val="1"/>
      <w:numFmt w:val="bullet"/>
      <w:lvlText w:val="o"/>
      <w:lvlJc w:val="left"/>
      <w:pPr>
        <w:ind w:left="3600" w:hanging="360"/>
      </w:pPr>
      <w:rPr>
        <w:rFonts w:ascii="Courier New" w:hAnsi="Courier New" w:hint="default"/>
      </w:rPr>
    </w:lvl>
    <w:lvl w:ilvl="5" w:tplc="3FDADF4C" w:tentative="1">
      <w:start w:val="1"/>
      <w:numFmt w:val="bullet"/>
      <w:lvlText w:val=""/>
      <w:lvlJc w:val="left"/>
      <w:pPr>
        <w:ind w:left="4320" w:hanging="360"/>
      </w:pPr>
      <w:rPr>
        <w:rFonts w:ascii="Wingdings" w:hAnsi="Wingdings" w:hint="default"/>
      </w:rPr>
    </w:lvl>
    <w:lvl w:ilvl="6" w:tplc="201EAAAE" w:tentative="1">
      <w:start w:val="1"/>
      <w:numFmt w:val="bullet"/>
      <w:lvlText w:val=""/>
      <w:lvlJc w:val="left"/>
      <w:pPr>
        <w:ind w:left="5040" w:hanging="360"/>
      </w:pPr>
      <w:rPr>
        <w:rFonts w:ascii="Symbol" w:hAnsi="Symbol" w:hint="default"/>
      </w:rPr>
    </w:lvl>
    <w:lvl w:ilvl="7" w:tplc="83BC3F74" w:tentative="1">
      <w:start w:val="1"/>
      <w:numFmt w:val="bullet"/>
      <w:lvlText w:val="o"/>
      <w:lvlJc w:val="left"/>
      <w:pPr>
        <w:ind w:left="5760" w:hanging="360"/>
      </w:pPr>
      <w:rPr>
        <w:rFonts w:ascii="Courier New" w:hAnsi="Courier New" w:hint="default"/>
      </w:rPr>
    </w:lvl>
    <w:lvl w:ilvl="8" w:tplc="D500FE2C" w:tentative="1">
      <w:start w:val="1"/>
      <w:numFmt w:val="bullet"/>
      <w:lvlText w:val=""/>
      <w:lvlJc w:val="left"/>
      <w:pPr>
        <w:ind w:left="6480" w:hanging="360"/>
      </w:pPr>
      <w:rPr>
        <w:rFonts w:ascii="Wingdings" w:hAnsi="Wingdings" w:hint="default"/>
      </w:rPr>
    </w:lvl>
  </w:abstractNum>
  <w:abstractNum w:abstractNumId="2" w15:restartNumberingAfterBreak="0">
    <w:nsid w:val="09564D09"/>
    <w:multiLevelType w:val="hybridMultilevel"/>
    <w:tmpl w:val="5706E19A"/>
    <w:lvl w:ilvl="0" w:tplc="3664126C">
      <w:start w:val="1"/>
      <w:numFmt w:val="decimal"/>
      <w:lvlText w:val="%1."/>
      <w:lvlJc w:val="left"/>
      <w:pPr>
        <w:ind w:left="357" w:hanging="360"/>
      </w:pPr>
    </w:lvl>
    <w:lvl w:ilvl="1" w:tplc="19008046">
      <w:start w:val="1"/>
      <w:numFmt w:val="lowerLetter"/>
      <w:lvlText w:val="%2."/>
      <w:lvlJc w:val="left"/>
      <w:pPr>
        <w:ind w:left="1077" w:hanging="360"/>
      </w:pPr>
    </w:lvl>
    <w:lvl w:ilvl="2" w:tplc="71903E76" w:tentative="1">
      <w:start w:val="1"/>
      <w:numFmt w:val="lowerRoman"/>
      <w:lvlText w:val="%3."/>
      <w:lvlJc w:val="right"/>
      <w:pPr>
        <w:ind w:left="1797" w:hanging="180"/>
      </w:pPr>
    </w:lvl>
    <w:lvl w:ilvl="3" w:tplc="A5CC2578" w:tentative="1">
      <w:start w:val="1"/>
      <w:numFmt w:val="decimal"/>
      <w:lvlText w:val="%4."/>
      <w:lvlJc w:val="left"/>
      <w:pPr>
        <w:ind w:left="2517" w:hanging="360"/>
      </w:pPr>
    </w:lvl>
    <w:lvl w:ilvl="4" w:tplc="F3D6FBCE" w:tentative="1">
      <w:start w:val="1"/>
      <w:numFmt w:val="lowerLetter"/>
      <w:lvlText w:val="%5."/>
      <w:lvlJc w:val="left"/>
      <w:pPr>
        <w:ind w:left="3237" w:hanging="360"/>
      </w:pPr>
    </w:lvl>
    <w:lvl w:ilvl="5" w:tplc="AB72D062" w:tentative="1">
      <w:start w:val="1"/>
      <w:numFmt w:val="lowerRoman"/>
      <w:lvlText w:val="%6."/>
      <w:lvlJc w:val="right"/>
      <w:pPr>
        <w:ind w:left="3957" w:hanging="180"/>
      </w:pPr>
    </w:lvl>
    <w:lvl w:ilvl="6" w:tplc="F12EFAD4" w:tentative="1">
      <w:start w:val="1"/>
      <w:numFmt w:val="decimal"/>
      <w:lvlText w:val="%7."/>
      <w:lvlJc w:val="left"/>
      <w:pPr>
        <w:ind w:left="4677" w:hanging="360"/>
      </w:pPr>
    </w:lvl>
    <w:lvl w:ilvl="7" w:tplc="414A292A" w:tentative="1">
      <w:start w:val="1"/>
      <w:numFmt w:val="lowerLetter"/>
      <w:lvlText w:val="%8."/>
      <w:lvlJc w:val="left"/>
      <w:pPr>
        <w:ind w:left="5397" w:hanging="360"/>
      </w:pPr>
    </w:lvl>
    <w:lvl w:ilvl="8" w:tplc="846477FC" w:tentative="1">
      <w:start w:val="1"/>
      <w:numFmt w:val="lowerRoman"/>
      <w:lvlText w:val="%9."/>
      <w:lvlJc w:val="right"/>
      <w:pPr>
        <w:ind w:left="6117" w:hanging="180"/>
      </w:pPr>
    </w:lvl>
  </w:abstractNum>
  <w:abstractNum w:abstractNumId="3" w15:restartNumberingAfterBreak="0">
    <w:nsid w:val="0A4E1620"/>
    <w:multiLevelType w:val="hybridMultilevel"/>
    <w:tmpl w:val="F3D84530"/>
    <w:lvl w:ilvl="0" w:tplc="A66AC740">
      <w:start w:val="1"/>
      <w:numFmt w:val="bullet"/>
      <w:lvlText w:val=""/>
      <w:lvlJc w:val="left"/>
      <w:pPr>
        <w:ind w:left="720" w:hanging="360"/>
      </w:pPr>
      <w:rPr>
        <w:rFonts w:ascii="Symbol" w:hAnsi="Symbol" w:hint="default"/>
      </w:rPr>
    </w:lvl>
    <w:lvl w:ilvl="1" w:tplc="711A796C" w:tentative="1">
      <w:start w:val="1"/>
      <w:numFmt w:val="bullet"/>
      <w:lvlText w:val="o"/>
      <w:lvlJc w:val="left"/>
      <w:pPr>
        <w:ind w:left="1440" w:hanging="360"/>
      </w:pPr>
      <w:rPr>
        <w:rFonts w:ascii="Courier New" w:hAnsi="Courier New" w:hint="default"/>
      </w:rPr>
    </w:lvl>
    <w:lvl w:ilvl="2" w:tplc="AF9EBEAC" w:tentative="1">
      <w:start w:val="1"/>
      <w:numFmt w:val="bullet"/>
      <w:lvlText w:val=""/>
      <w:lvlJc w:val="left"/>
      <w:pPr>
        <w:ind w:left="2160" w:hanging="360"/>
      </w:pPr>
      <w:rPr>
        <w:rFonts w:ascii="Wingdings" w:hAnsi="Wingdings" w:hint="default"/>
      </w:rPr>
    </w:lvl>
    <w:lvl w:ilvl="3" w:tplc="6DF00F6A" w:tentative="1">
      <w:start w:val="1"/>
      <w:numFmt w:val="bullet"/>
      <w:lvlText w:val=""/>
      <w:lvlJc w:val="left"/>
      <w:pPr>
        <w:ind w:left="2880" w:hanging="360"/>
      </w:pPr>
      <w:rPr>
        <w:rFonts w:ascii="Symbol" w:hAnsi="Symbol" w:hint="default"/>
      </w:rPr>
    </w:lvl>
    <w:lvl w:ilvl="4" w:tplc="9A4602E0" w:tentative="1">
      <w:start w:val="1"/>
      <w:numFmt w:val="bullet"/>
      <w:lvlText w:val="o"/>
      <w:lvlJc w:val="left"/>
      <w:pPr>
        <w:ind w:left="3600" w:hanging="360"/>
      </w:pPr>
      <w:rPr>
        <w:rFonts w:ascii="Courier New" w:hAnsi="Courier New" w:hint="default"/>
      </w:rPr>
    </w:lvl>
    <w:lvl w:ilvl="5" w:tplc="B6C65DC4" w:tentative="1">
      <w:start w:val="1"/>
      <w:numFmt w:val="bullet"/>
      <w:lvlText w:val=""/>
      <w:lvlJc w:val="left"/>
      <w:pPr>
        <w:ind w:left="4320" w:hanging="360"/>
      </w:pPr>
      <w:rPr>
        <w:rFonts w:ascii="Wingdings" w:hAnsi="Wingdings" w:hint="default"/>
      </w:rPr>
    </w:lvl>
    <w:lvl w:ilvl="6" w:tplc="7C28A016" w:tentative="1">
      <w:start w:val="1"/>
      <w:numFmt w:val="bullet"/>
      <w:lvlText w:val=""/>
      <w:lvlJc w:val="left"/>
      <w:pPr>
        <w:ind w:left="5040" w:hanging="360"/>
      </w:pPr>
      <w:rPr>
        <w:rFonts w:ascii="Symbol" w:hAnsi="Symbol" w:hint="default"/>
      </w:rPr>
    </w:lvl>
    <w:lvl w:ilvl="7" w:tplc="D6D40CCC" w:tentative="1">
      <w:start w:val="1"/>
      <w:numFmt w:val="bullet"/>
      <w:lvlText w:val="o"/>
      <w:lvlJc w:val="left"/>
      <w:pPr>
        <w:ind w:left="5760" w:hanging="360"/>
      </w:pPr>
      <w:rPr>
        <w:rFonts w:ascii="Courier New" w:hAnsi="Courier New" w:hint="default"/>
      </w:rPr>
    </w:lvl>
    <w:lvl w:ilvl="8" w:tplc="3850BD0E" w:tentative="1">
      <w:start w:val="1"/>
      <w:numFmt w:val="bullet"/>
      <w:lvlText w:val=""/>
      <w:lvlJc w:val="left"/>
      <w:pPr>
        <w:ind w:left="6480" w:hanging="360"/>
      </w:pPr>
      <w:rPr>
        <w:rFonts w:ascii="Wingdings" w:hAnsi="Wingdings" w:hint="default"/>
      </w:rPr>
    </w:lvl>
  </w:abstractNum>
  <w:abstractNum w:abstractNumId="4" w15:restartNumberingAfterBreak="0">
    <w:nsid w:val="0B5C00A4"/>
    <w:multiLevelType w:val="hybridMultilevel"/>
    <w:tmpl w:val="EB248C3E"/>
    <w:lvl w:ilvl="0" w:tplc="71DC6AA6">
      <w:start w:val="1"/>
      <w:numFmt w:val="bullet"/>
      <w:lvlText w:val=""/>
      <w:lvlJc w:val="left"/>
      <w:pPr>
        <w:ind w:left="720" w:hanging="360"/>
      </w:pPr>
      <w:rPr>
        <w:rFonts w:ascii="Symbol" w:hAnsi="Symbol" w:hint="default"/>
      </w:rPr>
    </w:lvl>
    <w:lvl w:ilvl="1" w:tplc="CF488690">
      <w:start w:val="1"/>
      <w:numFmt w:val="bullet"/>
      <w:lvlText w:val=""/>
      <w:lvlJc w:val="left"/>
      <w:pPr>
        <w:ind w:left="1440" w:hanging="360"/>
      </w:pPr>
      <w:rPr>
        <w:rFonts w:ascii="Symbol" w:hAnsi="Symbol" w:hint="default"/>
      </w:rPr>
    </w:lvl>
    <w:lvl w:ilvl="2" w:tplc="B972CC38" w:tentative="1">
      <w:start w:val="1"/>
      <w:numFmt w:val="bullet"/>
      <w:lvlText w:val=""/>
      <w:lvlJc w:val="left"/>
      <w:pPr>
        <w:ind w:left="2160" w:hanging="360"/>
      </w:pPr>
      <w:rPr>
        <w:rFonts w:ascii="Wingdings" w:hAnsi="Wingdings" w:hint="default"/>
      </w:rPr>
    </w:lvl>
    <w:lvl w:ilvl="3" w:tplc="013A8A0E" w:tentative="1">
      <w:start w:val="1"/>
      <w:numFmt w:val="bullet"/>
      <w:lvlText w:val=""/>
      <w:lvlJc w:val="left"/>
      <w:pPr>
        <w:ind w:left="2880" w:hanging="360"/>
      </w:pPr>
      <w:rPr>
        <w:rFonts w:ascii="Symbol" w:hAnsi="Symbol" w:hint="default"/>
      </w:rPr>
    </w:lvl>
    <w:lvl w:ilvl="4" w:tplc="AF9A1ADA" w:tentative="1">
      <w:start w:val="1"/>
      <w:numFmt w:val="bullet"/>
      <w:lvlText w:val="o"/>
      <w:lvlJc w:val="left"/>
      <w:pPr>
        <w:ind w:left="3600" w:hanging="360"/>
      </w:pPr>
      <w:rPr>
        <w:rFonts w:ascii="Courier New" w:hAnsi="Courier New" w:hint="default"/>
      </w:rPr>
    </w:lvl>
    <w:lvl w:ilvl="5" w:tplc="A322BC86" w:tentative="1">
      <w:start w:val="1"/>
      <w:numFmt w:val="bullet"/>
      <w:lvlText w:val=""/>
      <w:lvlJc w:val="left"/>
      <w:pPr>
        <w:ind w:left="4320" w:hanging="360"/>
      </w:pPr>
      <w:rPr>
        <w:rFonts w:ascii="Wingdings" w:hAnsi="Wingdings" w:hint="default"/>
      </w:rPr>
    </w:lvl>
    <w:lvl w:ilvl="6" w:tplc="FAB826DA" w:tentative="1">
      <w:start w:val="1"/>
      <w:numFmt w:val="bullet"/>
      <w:lvlText w:val=""/>
      <w:lvlJc w:val="left"/>
      <w:pPr>
        <w:ind w:left="5040" w:hanging="360"/>
      </w:pPr>
      <w:rPr>
        <w:rFonts w:ascii="Symbol" w:hAnsi="Symbol" w:hint="default"/>
      </w:rPr>
    </w:lvl>
    <w:lvl w:ilvl="7" w:tplc="BB74D14E" w:tentative="1">
      <w:start w:val="1"/>
      <w:numFmt w:val="bullet"/>
      <w:lvlText w:val="o"/>
      <w:lvlJc w:val="left"/>
      <w:pPr>
        <w:ind w:left="5760" w:hanging="360"/>
      </w:pPr>
      <w:rPr>
        <w:rFonts w:ascii="Courier New" w:hAnsi="Courier New" w:hint="default"/>
      </w:rPr>
    </w:lvl>
    <w:lvl w:ilvl="8" w:tplc="4A32B378" w:tentative="1">
      <w:start w:val="1"/>
      <w:numFmt w:val="bullet"/>
      <w:lvlText w:val=""/>
      <w:lvlJc w:val="left"/>
      <w:pPr>
        <w:ind w:left="6480" w:hanging="360"/>
      </w:pPr>
      <w:rPr>
        <w:rFonts w:ascii="Wingdings" w:hAnsi="Wingdings" w:hint="default"/>
      </w:rPr>
    </w:lvl>
  </w:abstractNum>
  <w:abstractNum w:abstractNumId="5" w15:restartNumberingAfterBreak="0">
    <w:nsid w:val="0C2F1593"/>
    <w:multiLevelType w:val="hybridMultilevel"/>
    <w:tmpl w:val="D22436DC"/>
    <w:lvl w:ilvl="0" w:tplc="01E03A7C">
      <w:start w:val="1"/>
      <w:numFmt w:val="bullet"/>
      <w:lvlText w:val=""/>
      <w:lvlJc w:val="left"/>
      <w:pPr>
        <w:ind w:left="720" w:hanging="360"/>
      </w:pPr>
      <w:rPr>
        <w:rFonts w:ascii="Symbol" w:hAnsi="Symbol" w:hint="default"/>
      </w:rPr>
    </w:lvl>
    <w:lvl w:ilvl="1" w:tplc="0C904670" w:tentative="1">
      <w:start w:val="1"/>
      <w:numFmt w:val="bullet"/>
      <w:lvlText w:val="o"/>
      <w:lvlJc w:val="left"/>
      <w:pPr>
        <w:ind w:left="1440" w:hanging="360"/>
      </w:pPr>
      <w:rPr>
        <w:rFonts w:ascii="Courier New" w:hAnsi="Courier New" w:hint="default"/>
      </w:rPr>
    </w:lvl>
    <w:lvl w:ilvl="2" w:tplc="92E6018C" w:tentative="1">
      <w:start w:val="1"/>
      <w:numFmt w:val="bullet"/>
      <w:lvlText w:val=""/>
      <w:lvlJc w:val="left"/>
      <w:pPr>
        <w:ind w:left="2160" w:hanging="360"/>
      </w:pPr>
      <w:rPr>
        <w:rFonts w:ascii="Wingdings" w:hAnsi="Wingdings" w:hint="default"/>
      </w:rPr>
    </w:lvl>
    <w:lvl w:ilvl="3" w:tplc="D95C5BF8" w:tentative="1">
      <w:start w:val="1"/>
      <w:numFmt w:val="bullet"/>
      <w:lvlText w:val=""/>
      <w:lvlJc w:val="left"/>
      <w:pPr>
        <w:ind w:left="2880" w:hanging="360"/>
      </w:pPr>
      <w:rPr>
        <w:rFonts w:ascii="Symbol" w:hAnsi="Symbol" w:hint="default"/>
      </w:rPr>
    </w:lvl>
    <w:lvl w:ilvl="4" w:tplc="C45A531A" w:tentative="1">
      <w:start w:val="1"/>
      <w:numFmt w:val="bullet"/>
      <w:lvlText w:val="o"/>
      <w:lvlJc w:val="left"/>
      <w:pPr>
        <w:ind w:left="3600" w:hanging="360"/>
      </w:pPr>
      <w:rPr>
        <w:rFonts w:ascii="Courier New" w:hAnsi="Courier New" w:hint="default"/>
      </w:rPr>
    </w:lvl>
    <w:lvl w:ilvl="5" w:tplc="5BAC4140" w:tentative="1">
      <w:start w:val="1"/>
      <w:numFmt w:val="bullet"/>
      <w:lvlText w:val=""/>
      <w:lvlJc w:val="left"/>
      <w:pPr>
        <w:ind w:left="4320" w:hanging="360"/>
      </w:pPr>
      <w:rPr>
        <w:rFonts w:ascii="Wingdings" w:hAnsi="Wingdings" w:hint="default"/>
      </w:rPr>
    </w:lvl>
    <w:lvl w:ilvl="6" w:tplc="ABEABE6A" w:tentative="1">
      <w:start w:val="1"/>
      <w:numFmt w:val="bullet"/>
      <w:lvlText w:val=""/>
      <w:lvlJc w:val="left"/>
      <w:pPr>
        <w:ind w:left="5040" w:hanging="360"/>
      </w:pPr>
      <w:rPr>
        <w:rFonts w:ascii="Symbol" w:hAnsi="Symbol" w:hint="default"/>
      </w:rPr>
    </w:lvl>
    <w:lvl w:ilvl="7" w:tplc="70FA8032" w:tentative="1">
      <w:start w:val="1"/>
      <w:numFmt w:val="bullet"/>
      <w:lvlText w:val="o"/>
      <w:lvlJc w:val="left"/>
      <w:pPr>
        <w:ind w:left="5760" w:hanging="360"/>
      </w:pPr>
      <w:rPr>
        <w:rFonts w:ascii="Courier New" w:hAnsi="Courier New" w:hint="default"/>
      </w:rPr>
    </w:lvl>
    <w:lvl w:ilvl="8" w:tplc="9FB8C1C6" w:tentative="1">
      <w:start w:val="1"/>
      <w:numFmt w:val="bullet"/>
      <w:lvlText w:val=""/>
      <w:lvlJc w:val="left"/>
      <w:pPr>
        <w:ind w:left="6480" w:hanging="360"/>
      </w:pPr>
      <w:rPr>
        <w:rFonts w:ascii="Wingdings" w:hAnsi="Wingdings" w:hint="default"/>
      </w:rPr>
    </w:lvl>
  </w:abstractNum>
  <w:abstractNum w:abstractNumId="6" w15:restartNumberingAfterBreak="0">
    <w:nsid w:val="0CCB05AD"/>
    <w:multiLevelType w:val="hybridMultilevel"/>
    <w:tmpl w:val="5706E19A"/>
    <w:lvl w:ilvl="0" w:tplc="D95AE61C">
      <w:start w:val="1"/>
      <w:numFmt w:val="decimal"/>
      <w:lvlText w:val="%1."/>
      <w:lvlJc w:val="left"/>
      <w:pPr>
        <w:ind w:left="-1065" w:hanging="360"/>
      </w:pPr>
    </w:lvl>
    <w:lvl w:ilvl="1" w:tplc="812CD336" w:tentative="1">
      <w:start w:val="1"/>
      <w:numFmt w:val="lowerLetter"/>
      <w:lvlText w:val="%2."/>
      <w:lvlJc w:val="left"/>
      <w:pPr>
        <w:ind w:left="-345" w:hanging="360"/>
      </w:pPr>
    </w:lvl>
    <w:lvl w:ilvl="2" w:tplc="40A67860" w:tentative="1">
      <w:start w:val="1"/>
      <w:numFmt w:val="lowerRoman"/>
      <w:lvlText w:val="%3."/>
      <w:lvlJc w:val="right"/>
      <w:pPr>
        <w:ind w:left="375" w:hanging="180"/>
      </w:pPr>
    </w:lvl>
    <w:lvl w:ilvl="3" w:tplc="6C72B92E" w:tentative="1">
      <w:start w:val="1"/>
      <w:numFmt w:val="decimal"/>
      <w:lvlText w:val="%4."/>
      <w:lvlJc w:val="left"/>
      <w:pPr>
        <w:ind w:left="1095" w:hanging="360"/>
      </w:pPr>
    </w:lvl>
    <w:lvl w:ilvl="4" w:tplc="9094EDAE" w:tentative="1">
      <w:start w:val="1"/>
      <w:numFmt w:val="lowerLetter"/>
      <w:lvlText w:val="%5."/>
      <w:lvlJc w:val="left"/>
      <w:pPr>
        <w:ind w:left="1815" w:hanging="360"/>
      </w:pPr>
    </w:lvl>
    <w:lvl w:ilvl="5" w:tplc="BD4CC52E" w:tentative="1">
      <w:start w:val="1"/>
      <w:numFmt w:val="lowerRoman"/>
      <w:lvlText w:val="%6."/>
      <w:lvlJc w:val="right"/>
      <w:pPr>
        <w:ind w:left="2535" w:hanging="180"/>
      </w:pPr>
    </w:lvl>
    <w:lvl w:ilvl="6" w:tplc="EDF09346" w:tentative="1">
      <w:start w:val="1"/>
      <w:numFmt w:val="decimal"/>
      <w:lvlText w:val="%7."/>
      <w:lvlJc w:val="left"/>
      <w:pPr>
        <w:ind w:left="3255" w:hanging="360"/>
      </w:pPr>
    </w:lvl>
    <w:lvl w:ilvl="7" w:tplc="4ED262AC" w:tentative="1">
      <w:start w:val="1"/>
      <w:numFmt w:val="lowerLetter"/>
      <w:lvlText w:val="%8."/>
      <w:lvlJc w:val="left"/>
      <w:pPr>
        <w:ind w:left="3975" w:hanging="360"/>
      </w:pPr>
    </w:lvl>
    <w:lvl w:ilvl="8" w:tplc="C8DAD980" w:tentative="1">
      <w:start w:val="1"/>
      <w:numFmt w:val="lowerRoman"/>
      <w:lvlText w:val="%9."/>
      <w:lvlJc w:val="right"/>
      <w:pPr>
        <w:ind w:left="4695" w:hanging="180"/>
      </w:pPr>
    </w:lvl>
  </w:abstractNum>
  <w:abstractNum w:abstractNumId="7" w15:restartNumberingAfterBreak="0">
    <w:nsid w:val="0D7A2186"/>
    <w:multiLevelType w:val="multilevel"/>
    <w:tmpl w:val="7B68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6970DE"/>
    <w:multiLevelType w:val="hybridMultilevel"/>
    <w:tmpl w:val="7FF2FDAE"/>
    <w:lvl w:ilvl="0" w:tplc="47D06D42">
      <w:start w:val="1"/>
      <w:numFmt w:val="lowerLetter"/>
      <w:lvlText w:val="%1)"/>
      <w:lvlJc w:val="left"/>
      <w:pPr>
        <w:ind w:left="720" w:hanging="360"/>
      </w:pPr>
    </w:lvl>
    <w:lvl w:ilvl="1" w:tplc="D5ACD4E6" w:tentative="1">
      <w:start w:val="1"/>
      <w:numFmt w:val="lowerLetter"/>
      <w:lvlText w:val="%2."/>
      <w:lvlJc w:val="left"/>
      <w:pPr>
        <w:ind w:left="1440" w:hanging="360"/>
      </w:pPr>
    </w:lvl>
    <w:lvl w:ilvl="2" w:tplc="05C81852" w:tentative="1">
      <w:start w:val="1"/>
      <w:numFmt w:val="lowerRoman"/>
      <w:lvlText w:val="%3."/>
      <w:lvlJc w:val="right"/>
      <w:pPr>
        <w:ind w:left="2160" w:hanging="180"/>
      </w:pPr>
    </w:lvl>
    <w:lvl w:ilvl="3" w:tplc="87E03E96" w:tentative="1">
      <w:start w:val="1"/>
      <w:numFmt w:val="decimal"/>
      <w:lvlText w:val="%4."/>
      <w:lvlJc w:val="left"/>
      <w:pPr>
        <w:ind w:left="2880" w:hanging="360"/>
      </w:pPr>
    </w:lvl>
    <w:lvl w:ilvl="4" w:tplc="727A3B82" w:tentative="1">
      <w:start w:val="1"/>
      <w:numFmt w:val="lowerLetter"/>
      <w:lvlText w:val="%5."/>
      <w:lvlJc w:val="left"/>
      <w:pPr>
        <w:ind w:left="3600" w:hanging="360"/>
      </w:pPr>
    </w:lvl>
    <w:lvl w:ilvl="5" w:tplc="4F7C985E" w:tentative="1">
      <w:start w:val="1"/>
      <w:numFmt w:val="lowerRoman"/>
      <w:lvlText w:val="%6."/>
      <w:lvlJc w:val="right"/>
      <w:pPr>
        <w:ind w:left="4320" w:hanging="180"/>
      </w:pPr>
    </w:lvl>
    <w:lvl w:ilvl="6" w:tplc="E73A411A" w:tentative="1">
      <w:start w:val="1"/>
      <w:numFmt w:val="decimal"/>
      <w:lvlText w:val="%7."/>
      <w:lvlJc w:val="left"/>
      <w:pPr>
        <w:ind w:left="5040" w:hanging="360"/>
      </w:pPr>
    </w:lvl>
    <w:lvl w:ilvl="7" w:tplc="E72AD84A" w:tentative="1">
      <w:start w:val="1"/>
      <w:numFmt w:val="lowerLetter"/>
      <w:lvlText w:val="%8."/>
      <w:lvlJc w:val="left"/>
      <w:pPr>
        <w:ind w:left="5760" w:hanging="360"/>
      </w:pPr>
    </w:lvl>
    <w:lvl w:ilvl="8" w:tplc="0BA06A8E" w:tentative="1">
      <w:start w:val="1"/>
      <w:numFmt w:val="lowerRoman"/>
      <w:lvlText w:val="%9."/>
      <w:lvlJc w:val="right"/>
      <w:pPr>
        <w:ind w:left="6480" w:hanging="180"/>
      </w:pPr>
    </w:lvl>
  </w:abstractNum>
  <w:abstractNum w:abstractNumId="9" w15:restartNumberingAfterBreak="0">
    <w:nsid w:val="0F7B1697"/>
    <w:multiLevelType w:val="hybridMultilevel"/>
    <w:tmpl w:val="5AFE4DBA"/>
    <w:lvl w:ilvl="0" w:tplc="CDB8A7B0">
      <w:start w:val="1"/>
      <w:numFmt w:val="decimal"/>
      <w:lvlText w:val="%1."/>
      <w:lvlJc w:val="left"/>
      <w:pPr>
        <w:ind w:left="720" w:hanging="360"/>
      </w:pPr>
    </w:lvl>
    <w:lvl w:ilvl="1" w:tplc="A51C90DE" w:tentative="1">
      <w:start w:val="1"/>
      <w:numFmt w:val="lowerLetter"/>
      <w:lvlText w:val="%2."/>
      <w:lvlJc w:val="left"/>
      <w:pPr>
        <w:ind w:left="1440" w:hanging="360"/>
      </w:pPr>
    </w:lvl>
    <w:lvl w:ilvl="2" w:tplc="01768ACC" w:tentative="1">
      <w:start w:val="1"/>
      <w:numFmt w:val="lowerRoman"/>
      <w:lvlText w:val="%3."/>
      <w:lvlJc w:val="right"/>
      <w:pPr>
        <w:ind w:left="2160" w:hanging="180"/>
      </w:pPr>
    </w:lvl>
    <w:lvl w:ilvl="3" w:tplc="469ACF86" w:tentative="1">
      <w:start w:val="1"/>
      <w:numFmt w:val="decimal"/>
      <w:lvlText w:val="%4."/>
      <w:lvlJc w:val="left"/>
      <w:pPr>
        <w:ind w:left="2880" w:hanging="360"/>
      </w:pPr>
    </w:lvl>
    <w:lvl w:ilvl="4" w:tplc="FB1E47EA" w:tentative="1">
      <w:start w:val="1"/>
      <w:numFmt w:val="lowerLetter"/>
      <w:lvlText w:val="%5."/>
      <w:lvlJc w:val="left"/>
      <w:pPr>
        <w:ind w:left="3600" w:hanging="360"/>
      </w:pPr>
    </w:lvl>
    <w:lvl w:ilvl="5" w:tplc="36584A8A" w:tentative="1">
      <w:start w:val="1"/>
      <w:numFmt w:val="lowerRoman"/>
      <w:lvlText w:val="%6."/>
      <w:lvlJc w:val="right"/>
      <w:pPr>
        <w:ind w:left="4320" w:hanging="180"/>
      </w:pPr>
    </w:lvl>
    <w:lvl w:ilvl="6" w:tplc="08503028" w:tentative="1">
      <w:start w:val="1"/>
      <w:numFmt w:val="decimal"/>
      <w:lvlText w:val="%7."/>
      <w:lvlJc w:val="left"/>
      <w:pPr>
        <w:ind w:left="5040" w:hanging="360"/>
      </w:pPr>
    </w:lvl>
    <w:lvl w:ilvl="7" w:tplc="C504D462" w:tentative="1">
      <w:start w:val="1"/>
      <w:numFmt w:val="lowerLetter"/>
      <w:lvlText w:val="%8."/>
      <w:lvlJc w:val="left"/>
      <w:pPr>
        <w:ind w:left="5760" w:hanging="360"/>
      </w:pPr>
    </w:lvl>
    <w:lvl w:ilvl="8" w:tplc="4A1A4766" w:tentative="1">
      <w:start w:val="1"/>
      <w:numFmt w:val="lowerRoman"/>
      <w:lvlText w:val="%9."/>
      <w:lvlJc w:val="right"/>
      <w:pPr>
        <w:ind w:left="6480" w:hanging="180"/>
      </w:pPr>
    </w:lvl>
  </w:abstractNum>
  <w:abstractNum w:abstractNumId="10" w15:restartNumberingAfterBreak="0">
    <w:nsid w:val="115518C6"/>
    <w:multiLevelType w:val="hybridMultilevel"/>
    <w:tmpl w:val="4F52820C"/>
    <w:lvl w:ilvl="0" w:tplc="12FC97C0">
      <w:start w:val="1"/>
      <w:numFmt w:val="bullet"/>
      <w:lvlText w:val=""/>
      <w:lvlJc w:val="left"/>
      <w:pPr>
        <w:ind w:left="720" w:hanging="360"/>
      </w:pPr>
      <w:rPr>
        <w:rFonts w:ascii="Symbol" w:hAnsi="Symbol" w:hint="default"/>
      </w:rPr>
    </w:lvl>
    <w:lvl w:ilvl="1" w:tplc="3536B566" w:tentative="1">
      <w:start w:val="1"/>
      <w:numFmt w:val="bullet"/>
      <w:lvlText w:val="o"/>
      <w:lvlJc w:val="left"/>
      <w:pPr>
        <w:ind w:left="1440" w:hanging="360"/>
      </w:pPr>
      <w:rPr>
        <w:rFonts w:ascii="Courier New" w:hAnsi="Courier New" w:hint="default"/>
      </w:rPr>
    </w:lvl>
    <w:lvl w:ilvl="2" w:tplc="7D3E1692" w:tentative="1">
      <w:start w:val="1"/>
      <w:numFmt w:val="bullet"/>
      <w:lvlText w:val=""/>
      <w:lvlJc w:val="left"/>
      <w:pPr>
        <w:ind w:left="2160" w:hanging="360"/>
      </w:pPr>
      <w:rPr>
        <w:rFonts w:ascii="Wingdings" w:hAnsi="Wingdings" w:hint="default"/>
      </w:rPr>
    </w:lvl>
    <w:lvl w:ilvl="3" w:tplc="3550ACC8" w:tentative="1">
      <w:start w:val="1"/>
      <w:numFmt w:val="bullet"/>
      <w:lvlText w:val=""/>
      <w:lvlJc w:val="left"/>
      <w:pPr>
        <w:ind w:left="2880" w:hanging="360"/>
      </w:pPr>
      <w:rPr>
        <w:rFonts w:ascii="Symbol" w:hAnsi="Symbol" w:hint="default"/>
      </w:rPr>
    </w:lvl>
    <w:lvl w:ilvl="4" w:tplc="E95031BC" w:tentative="1">
      <w:start w:val="1"/>
      <w:numFmt w:val="bullet"/>
      <w:lvlText w:val="o"/>
      <w:lvlJc w:val="left"/>
      <w:pPr>
        <w:ind w:left="3600" w:hanging="360"/>
      </w:pPr>
      <w:rPr>
        <w:rFonts w:ascii="Courier New" w:hAnsi="Courier New" w:hint="default"/>
      </w:rPr>
    </w:lvl>
    <w:lvl w:ilvl="5" w:tplc="504490B0" w:tentative="1">
      <w:start w:val="1"/>
      <w:numFmt w:val="bullet"/>
      <w:lvlText w:val=""/>
      <w:lvlJc w:val="left"/>
      <w:pPr>
        <w:ind w:left="4320" w:hanging="360"/>
      </w:pPr>
      <w:rPr>
        <w:rFonts w:ascii="Wingdings" w:hAnsi="Wingdings" w:hint="default"/>
      </w:rPr>
    </w:lvl>
    <w:lvl w:ilvl="6" w:tplc="4756FD64" w:tentative="1">
      <w:start w:val="1"/>
      <w:numFmt w:val="bullet"/>
      <w:lvlText w:val=""/>
      <w:lvlJc w:val="left"/>
      <w:pPr>
        <w:ind w:left="5040" w:hanging="360"/>
      </w:pPr>
      <w:rPr>
        <w:rFonts w:ascii="Symbol" w:hAnsi="Symbol" w:hint="default"/>
      </w:rPr>
    </w:lvl>
    <w:lvl w:ilvl="7" w:tplc="A1F6D714" w:tentative="1">
      <w:start w:val="1"/>
      <w:numFmt w:val="bullet"/>
      <w:lvlText w:val="o"/>
      <w:lvlJc w:val="left"/>
      <w:pPr>
        <w:ind w:left="5760" w:hanging="360"/>
      </w:pPr>
      <w:rPr>
        <w:rFonts w:ascii="Courier New" w:hAnsi="Courier New" w:hint="default"/>
      </w:rPr>
    </w:lvl>
    <w:lvl w:ilvl="8" w:tplc="BAA4B5EE" w:tentative="1">
      <w:start w:val="1"/>
      <w:numFmt w:val="bullet"/>
      <w:lvlText w:val=""/>
      <w:lvlJc w:val="left"/>
      <w:pPr>
        <w:ind w:left="6480" w:hanging="360"/>
      </w:pPr>
      <w:rPr>
        <w:rFonts w:ascii="Wingdings" w:hAnsi="Wingdings" w:hint="default"/>
      </w:rPr>
    </w:lvl>
  </w:abstractNum>
  <w:abstractNum w:abstractNumId="11" w15:restartNumberingAfterBreak="0">
    <w:nsid w:val="11B91774"/>
    <w:multiLevelType w:val="multilevel"/>
    <w:tmpl w:val="F332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B54B0"/>
    <w:multiLevelType w:val="multilevel"/>
    <w:tmpl w:val="25A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B856F7"/>
    <w:multiLevelType w:val="multilevel"/>
    <w:tmpl w:val="FF94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E45075"/>
    <w:multiLevelType w:val="hybridMultilevel"/>
    <w:tmpl w:val="B9B03F40"/>
    <w:lvl w:ilvl="0" w:tplc="23F25C0E">
      <w:start w:val="1"/>
      <w:numFmt w:val="bullet"/>
      <w:lvlText w:val=""/>
      <w:lvlJc w:val="left"/>
      <w:pPr>
        <w:ind w:left="720" w:hanging="360"/>
      </w:pPr>
      <w:rPr>
        <w:rFonts w:ascii="Symbol" w:hAnsi="Symbol" w:hint="default"/>
      </w:rPr>
    </w:lvl>
    <w:lvl w:ilvl="1" w:tplc="E950339C" w:tentative="1">
      <w:start w:val="1"/>
      <w:numFmt w:val="bullet"/>
      <w:lvlText w:val="o"/>
      <w:lvlJc w:val="left"/>
      <w:pPr>
        <w:ind w:left="1440" w:hanging="360"/>
      </w:pPr>
      <w:rPr>
        <w:rFonts w:ascii="Courier New" w:hAnsi="Courier New" w:hint="default"/>
      </w:rPr>
    </w:lvl>
    <w:lvl w:ilvl="2" w:tplc="46629100" w:tentative="1">
      <w:start w:val="1"/>
      <w:numFmt w:val="bullet"/>
      <w:lvlText w:val=""/>
      <w:lvlJc w:val="left"/>
      <w:pPr>
        <w:ind w:left="2160" w:hanging="360"/>
      </w:pPr>
      <w:rPr>
        <w:rFonts w:ascii="Wingdings" w:hAnsi="Wingdings" w:hint="default"/>
      </w:rPr>
    </w:lvl>
    <w:lvl w:ilvl="3" w:tplc="56F675B2" w:tentative="1">
      <w:start w:val="1"/>
      <w:numFmt w:val="bullet"/>
      <w:lvlText w:val=""/>
      <w:lvlJc w:val="left"/>
      <w:pPr>
        <w:ind w:left="2880" w:hanging="360"/>
      </w:pPr>
      <w:rPr>
        <w:rFonts w:ascii="Symbol" w:hAnsi="Symbol" w:hint="default"/>
      </w:rPr>
    </w:lvl>
    <w:lvl w:ilvl="4" w:tplc="B358A72C" w:tentative="1">
      <w:start w:val="1"/>
      <w:numFmt w:val="bullet"/>
      <w:lvlText w:val="o"/>
      <w:lvlJc w:val="left"/>
      <w:pPr>
        <w:ind w:left="3600" w:hanging="360"/>
      </w:pPr>
      <w:rPr>
        <w:rFonts w:ascii="Courier New" w:hAnsi="Courier New" w:hint="default"/>
      </w:rPr>
    </w:lvl>
    <w:lvl w:ilvl="5" w:tplc="B7CC9796" w:tentative="1">
      <w:start w:val="1"/>
      <w:numFmt w:val="bullet"/>
      <w:lvlText w:val=""/>
      <w:lvlJc w:val="left"/>
      <w:pPr>
        <w:ind w:left="4320" w:hanging="360"/>
      </w:pPr>
      <w:rPr>
        <w:rFonts w:ascii="Wingdings" w:hAnsi="Wingdings" w:hint="default"/>
      </w:rPr>
    </w:lvl>
    <w:lvl w:ilvl="6" w:tplc="F704EFF4" w:tentative="1">
      <w:start w:val="1"/>
      <w:numFmt w:val="bullet"/>
      <w:lvlText w:val=""/>
      <w:lvlJc w:val="left"/>
      <w:pPr>
        <w:ind w:left="5040" w:hanging="360"/>
      </w:pPr>
      <w:rPr>
        <w:rFonts w:ascii="Symbol" w:hAnsi="Symbol" w:hint="default"/>
      </w:rPr>
    </w:lvl>
    <w:lvl w:ilvl="7" w:tplc="2B3601A6" w:tentative="1">
      <w:start w:val="1"/>
      <w:numFmt w:val="bullet"/>
      <w:lvlText w:val="o"/>
      <w:lvlJc w:val="left"/>
      <w:pPr>
        <w:ind w:left="5760" w:hanging="360"/>
      </w:pPr>
      <w:rPr>
        <w:rFonts w:ascii="Courier New" w:hAnsi="Courier New" w:hint="default"/>
      </w:rPr>
    </w:lvl>
    <w:lvl w:ilvl="8" w:tplc="A2288AE2" w:tentative="1">
      <w:start w:val="1"/>
      <w:numFmt w:val="bullet"/>
      <w:lvlText w:val=""/>
      <w:lvlJc w:val="left"/>
      <w:pPr>
        <w:ind w:left="6480" w:hanging="360"/>
      </w:pPr>
      <w:rPr>
        <w:rFonts w:ascii="Wingdings" w:hAnsi="Wingdings" w:hint="default"/>
      </w:rPr>
    </w:lvl>
  </w:abstractNum>
  <w:abstractNum w:abstractNumId="15" w15:restartNumberingAfterBreak="0">
    <w:nsid w:val="16656211"/>
    <w:multiLevelType w:val="hybridMultilevel"/>
    <w:tmpl w:val="5706E19A"/>
    <w:lvl w:ilvl="0" w:tplc="2E3C37F4">
      <w:start w:val="1"/>
      <w:numFmt w:val="decimal"/>
      <w:lvlText w:val="%1."/>
      <w:lvlJc w:val="left"/>
      <w:pPr>
        <w:ind w:left="360" w:hanging="360"/>
      </w:pPr>
    </w:lvl>
    <w:lvl w:ilvl="1" w:tplc="E9785730" w:tentative="1">
      <w:start w:val="1"/>
      <w:numFmt w:val="lowerLetter"/>
      <w:lvlText w:val="%2."/>
      <w:lvlJc w:val="left"/>
      <w:pPr>
        <w:ind w:left="1080" w:hanging="360"/>
      </w:pPr>
    </w:lvl>
    <w:lvl w:ilvl="2" w:tplc="2BACB7D2" w:tentative="1">
      <w:start w:val="1"/>
      <w:numFmt w:val="lowerRoman"/>
      <w:lvlText w:val="%3."/>
      <w:lvlJc w:val="right"/>
      <w:pPr>
        <w:ind w:left="1800" w:hanging="180"/>
      </w:pPr>
    </w:lvl>
    <w:lvl w:ilvl="3" w:tplc="A5145CB4" w:tentative="1">
      <w:start w:val="1"/>
      <w:numFmt w:val="decimal"/>
      <w:lvlText w:val="%4."/>
      <w:lvlJc w:val="left"/>
      <w:pPr>
        <w:ind w:left="2520" w:hanging="360"/>
      </w:pPr>
    </w:lvl>
    <w:lvl w:ilvl="4" w:tplc="F6362A44" w:tentative="1">
      <w:start w:val="1"/>
      <w:numFmt w:val="lowerLetter"/>
      <w:lvlText w:val="%5."/>
      <w:lvlJc w:val="left"/>
      <w:pPr>
        <w:ind w:left="3240" w:hanging="360"/>
      </w:pPr>
    </w:lvl>
    <w:lvl w:ilvl="5" w:tplc="F62A4516" w:tentative="1">
      <w:start w:val="1"/>
      <w:numFmt w:val="lowerRoman"/>
      <w:lvlText w:val="%6."/>
      <w:lvlJc w:val="right"/>
      <w:pPr>
        <w:ind w:left="3960" w:hanging="180"/>
      </w:pPr>
    </w:lvl>
    <w:lvl w:ilvl="6" w:tplc="BAE44BC6" w:tentative="1">
      <w:start w:val="1"/>
      <w:numFmt w:val="decimal"/>
      <w:lvlText w:val="%7."/>
      <w:lvlJc w:val="left"/>
      <w:pPr>
        <w:ind w:left="4680" w:hanging="360"/>
      </w:pPr>
    </w:lvl>
    <w:lvl w:ilvl="7" w:tplc="659EEEBA" w:tentative="1">
      <w:start w:val="1"/>
      <w:numFmt w:val="lowerLetter"/>
      <w:lvlText w:val="%8."/>
      <w:lvlJc w:val="left"/>
      <w:pPr>
        <w:ind w:left="5400" w:hanging="360"/>
      </w:pPr>
    </w:lvl>
    <w:lvl w:ilvl="8" w:tplc="F0F22BA4" w:tentative="1">
      <w:start w:val="1"/>
      <w:numFmt w:val="lowerRoman"/>
      <w:lvlText w:val="%9."/>
      <w:lvlJc w:val="right"/>
      <w:pPr>
        <w:ind w:left="6120" w:hanging="180"/>
      </w:pPr>
    </w:lvl>
  </w:abstractNum>
  <w:abstractNum w:abstractNumId="16" w15:restartNumberingAfterBreak="0">
    <w:nsid w:val="16CA7C11"/>
    <w:multiLevelType w:val="hybridMultilevel"/>
    <w:tmpl w:val="EC2E6320"/>
    <w:lvl w:ilvl="0" w:tplc="055AC14A">
      <w:start w:val="1"/>
      <w:numFmt w:val="bullet"/>
      <w:lvlText w:val=""/>
      <w:lvlJc w:val="left"/>
      <w:pPr>
        <w:ind w:left="1080" w:hanging="360"/>
      </w:pPr>
      <w:rPr>
        <w:rFonts w:ascii="Symbol" w:hAnsi="Symbol" w:hint="default"/>
      </w:rPr>
    </w:lvl>
    <w:lvl w:ilvl="1" w:tplc="E29E8110" w:tentative="1">
      <w:start w:val="1"/>
      <w:numFmt w:val="bullet"/>
      <w:lvlText w:val="o"/>
      <w:lvlJc w:val="left"/>
      <w:pPr>
        <w:ind w:left="1800" w:hanging="360"/>
      </w:pPr>
      <w:rPr>
        <w:rFonts w:ascii="Courier New" w:hAnsi="Courier New" w:hint="default"/>
      </w:rPr>
    </w:lvl>
    <w:lvl w:ilvl="2" w:tplc="BDEA2D78" w:tentative="1">
      <w:start w:val="1"/>
      <w:numFmt w:val="bullet"/>
      <w:lvlText w:val=""/>
      <w:lvlJc w:val="left"/>
      <w:pPr>
        <w:ind w:left="2520" w:hanging="360"/>
      </w:pPr>
      <w:rPr>
        <w:rFonts w:ascii="Wingdings" w:hAnsi="Wingdings" w:hint="default"/>
      </w:rPr>
    </w:lvl>
    <w:lvl w:ilvl="3" w:tplc="9D4017CE" w:tentative="1">
      <w:start w:val="1"/>
      <w:numFmt w:val="bullet"/>
      <w:lvlText w:val=""/>
      <w:lvlJc w:val="left"/>
      <w:pPr>
        <w:ind w:left="3240" w:hanging="360"/>
      </w:pPr>
      <w:rPr>
        <w:rFonts w:ascii="Symbol" w:hAnsi="Symbol" w:hint="default"/>
      </w:rPr>
    </w:lvl>
    <w:lvl w:ilvl="4" w:tplc="A1EA3540" w:tentative="1">
      <w:start w:val="1"/>
      <w:numFmt w:val="bullet"/>
      <w:lvlText w:val="o"/>
      <w:lvlJc w:val="left"/>
      <w:pPr>
        <w:ind w:left="3960" w:hanging="360"/>
      </w:pPr>
      <w:rPr>
        <w:rFonts w:ascii="Courier New" w:hAnsi="Courier New" w:hint="default"/>
      </w:rPr>
    </w:lvl>
    <w:lvl w:ilvl="5" w:tplc="2B2C7E5E" w:tentative="1">
      <w:start w:val="1"/>
      <w:numFmt w:val="bullet"/>
      <w:lvlText w:val=""/>
      <w:lvlJc w:val="left"/>
      <w:pPr>
        <w:ind w:left="4680" w:hanging="360"/>
      </w:pPr>
      <w:rPr>
        <w:rFonts w:ascii="Wingdings" w:hAnsi="Wingdings" w:hint="default"/>
      </w:rPr>
    </w:lvl>
    <w:lvl w:ilvl="6" w:tplc="743CC1EA" w:tentative="1">
      <w:start w:val="1"/>
      <w:numFmt w:val="bullet"/>
      <w:lvlText w:val=""/>
      <w:lvlJc w:val="left"/>
      <w:pPr>
        <w:ind w:left="5400" w:hanging="360"/>
      </w:pPr>
      <w:rPr>
        <w:rFonts w:ascii="Symbol" w:hAnsi="Symbol" w:hint="default"/>
      </w:rPr>
    </w:lvl>
    <w:lvl w:ilvl="7" w:tplc="A112BACA" w:tentative="1">
      <w:start w:val="1"/>
      <w:numFmt w:val="bullet"/>
      <w:lvlText w:val="o"/>
      <w:lvlJc w:val="left"/>
      <w:pPr>
        <w:ind w:left="6120" w:hanging="360"/>
      </w:pPr>
      <w:rPr>
        <w:rFonts w:ascii="Courier New" w:hAnsi="Courier New" w:hint="default"/>
      </w:rPr>
    </w:lvl>
    <w:lvl w:ilvl="8" w:tplc="81029A98" w:tentative="1">
      <w:start w:val="1"/>
      <w:numFmt w:val="bullet"/>
      <w:lvlText w:val=""/>
      <w:lvlJc w:val="left"/>
      <w:pPr>
        <w:ind w:left="6840" w:hanging="360"/>
      </w:pPr>
      <w:rPr>
        <w:rFonts w:ascii="Wingdings" w:hAnsi="Wingdings" w:hint="default"/>
      </w:rPr>
    </w:lvl>
  </w:abstractNum>
  <w:abstractNum w:abstractNumId="17" w15:restartNumberingAfterBreak="0">
    <w:nsid w:val="19FF788A"/>
    <w:multiLevelType w:val="hybridMultilevel"/>
    <w:tmpl w:val="38323F2C"/>
    <w:lvl w:ilvl="0" w:tplc="F084B72C">
      <w:start w:val="1"/>
      <w:numFmt w:val="bullet"/>
      <w:lvlText w:val=""/>
      <w:lvlJc w:val="left"/>
      <w:pPr>
        <w:ind w:left="720" w:hanging="360"/>
      </w:pPr>
      <w:rPr>
        <w:rFonts w:ascii="Symbol" w:hAnsi="Symbol" w:hint="default"/>
      </w:rPr>
    </w:lvl>
    <w:lvl w:ilvl="1" w:tplc="C1AA4766" w:tentative="1">
      <w:start w:val="1"/>
      <w:numFmt w:val="bullet"/>
      <w:lvlText w:val="o"/>
      <w:lvlJc w:val="left"/>
      <w:pPr>
        <w:ind w:left="1440" w:hanging="360"/>
      </w:pPr>
      <w:rPr>
        <w:rFonts w:ascii="Courier New" w:hAnsi="Courier New" w:hint="default"/>
      </w:rPr>
    </w:lvl>
    <w:lvl w:ilvl="2" w:tplc="8AF2C5BA" w:tentative="1">
      <w:start w:val="1"/>
      <w:numFmt w:val="bullet"/>
      <w:lvlText w:val=""/>
      <w:lvlJc w:val="left"/>
      <w:pPr>
        <w:ind w:left="2160" w:hanging="360"/>
      </w:pPr>
      <w:rPr>
        <w:rFonts w:ascii="Wingdings" w:hAnsi="Wingdings" w:hint="default"/>
      </w:rPr>
    </w:lvl>
    <w:lvl w:ilvl="3" w:tplc="2C900A74" w:tentative="1">
      <w:start w:val="1"/>
      <w:numFmt w:val="bullet"/>
      <w:lvlText w:val=""/>
      <w:lvlJc w:val="left"/>
      <w:pPr>
        <w:ind w:left="2880" w:hanging="360"/>
      </w:pPr>
      <w:rPr>
        <w:rFonts w:ascii="Symbol" w:hAnsi="Symbol" w:hint="default"/>
      </w:rPr>
    </w:lvl>
    <w:lvl w:ilvl="4" w:tplc="5EA44DB8" w:tentative="1">
      <w:start w:val="1"/>
      <w:numFmt w:val="bullet"/>
      <w:lvlText w:val="o"/>
      <w:lvlJc w:val="left"/>
      <w:pPr>
        <w:ind w:left="3600" w:hanging="360"/>
      </w:pPr>
      <w:rPr>
        <w:rFonts w:ascii="Courier New" w:hAnsi="Courier New" w:hint="default"/>
      </w:rPr>
    </w:lvl>
    <w:lvl w:ilvl="5" w:tplc="DBA846D0" w:tentative="1">
      <w:start w:val="1"/>
      <w:numFmt w:val="bullet"/>
      <w:lvlText w:val=""/>
      <w:lvlJc w:val="left"/>
      <w:pPr>
        <w:ind w:left="4320" w:hanging="360"/>
      </w:pPr>
      <w:rPr>
        <w:rFonts w:ascii="Wingdings" w:hAnsi="Wingdings" w:hint="default"/>
      </w:rPr>
    </w:lvl>
    <w:lvl w:ilvl="6" w:tplc="F2BE0374" w:tentative="1">
      <w:start w:val="1"/>
      <w:numFmt w:val="bullet"/>
      <w:lvlText w:val=""/>
      <w:lvlJc w:val="left"/>
      <w:pPr>
        <w:ind w:left="5040" w:hanging="360"/>
      </w:pPr>
      <w:rPr>
        <w:rFonts w:ascii="Symbol" w:hAnsi="Symbol" w:hint="default"/>
      </w:rPr>
    </w:lvl>
    <w:lvl w:ilvl="7" w:tplc="FC1A049E" w:tentative="1">
      <w:start w:val="1"/>
      <w:numFmt w:val="bullet"/>
      <w:lvlText w:val="o"/>
      <w:lvlJc w:val="left"/>
      <w:pPr>
        <w:ind w:left="5760" w:hanging="360"/>
      </w:pPr>
      <w:rPr>
        <w:rFonts w:ascii="Courier New" w:hAnsi="Courier New" w:hint="default"/>
      </w:rPr>
    </w:lvl>
    <w:lvl w:ilvl="8" w:tplc="6518DEF0" w:tentative="1">
      <w:start w:val="1"/>
      <w:numFmt w:val="bullet"/>
      <w:lvlText w:val=""/>
      <w:lvlJc w:val="left"/>
      <w:pPr>
        <w:ind w:left="6480" w:hanging="360"/>
      </w:pPr>
      <w:rPr>
        <w:rFonts w:ascii="Wingdings" w:hAnsi="Wingdings" w:hint="default"/>
      </w:rPr>
    </w:lvl>
  </w:abstractNum>
  <w:abstractNum w:abstractNumId="18" w15:restartNumberingAfterBreak="0">
    <w:nsid w:val="1A556CCB"/>
    <w:multiLevelType w:val="hybridMultilevel"/>
    <w:tmpl w:val="EEE678DE"/>
    <w:lvl w:ilvl="0" w:tplc="D45AF74A">
      <w:start w:val="1"/>
      <w:numFmt w:val="bullet"/>
      <w:lvlText w:val=""/>
      <w:lvlJc w:val="left"/>
      <w:pPr>
        <w:ind w:left="1080" w:hanging="360"/>
      </w:pPr>
      <w:rPr>
        <w:rFonts w:ascii="Symbol" w:hAnsi="Symbol" w:hint="default"/>
      </w:rPr>
    </w:lvl>
    <w:lvl w:ilvl="1" w:tplc="739C9F02" w:tentative="1">
      <w:start w:val="1"/>
      <w:numFmt w:val="bullet"/>
      <w:lvlText w:val="o"/>
      <w:lvlJc w:val="left"/>
      <w:pPr>
        <w:ind w:left="1800" w:hanging="360"/>
      </w:pPr>
      <w:rPr>
        <w:rFonts w:ascii="Courier New" w:hAnsi="Courier New" w:hint="default"/>
      </w:rPr>
    </w:lvl>
    <w:lvl w:ilvl="2" w:tplc="A290EE80" w:tentative="1">
      <w:start w:val="1"/>
      <w:numFmt w:val="bullet"/>
      <w:lvlText w:val=""/>
      <w:lvlJc w:val="left"/>
      <w:pPr>
        <w:ind w:left="2520" w:hanging="360"/>
      </w:pPr>
      <w:rPr>
        <w:rFonts w:ascii="Wingdings" w:hAnsi="Wingdings" w:hint="default"/>
      </w:rPr>
    </w:lvl>
    <w:lvl w:ilvl="3" w:tplc="4E323C0C" w:tentative="1">
      <w:start w:val="1"/>
      <w:numFmt w:val="bullet"/>
      <w:lvlText w:val=""/>
      <w:lvlJc w:val="left"/>
      <w:pPr>
        <w:ind w:left="3240" w:hanging="360"/>
      </w:pPr>
      <w:rPr>
        <w:rFonts w:ascii="Symbol" w:hAnsi="Symbol" w:hint="default"/>
      </w:rPr>
    </w:lvl>
    <w:lvl w:ilvl="4" w:tplc="F7FAE57A" w:tentative="1">
      <w:start w:val="1"/>
      <w:numFmt w:val="bullet"/>
      <w:lvlText w:val="o"/>
      <w:lvlJc w:val="left"/>
      <w:pPr>
        <w:ind w:left="3960" w:hanging="360"/>
      </w:pPr>
      <w:rPr>
        <w:rFonts w:ascii="Courier New" w:hAnsi="Courier New" w:hint="default"/>
      </w:rPr>
    </w:lvl>
    <w:lvl w:ilvl="5" w:tplc="2086057E" w:tentative="1">
      <w:start w:val="1"/>
      <w:numFmt w:val="bullet"/>
      <w:lvlText w:val=""/>
      <w:lvlJc w:val="left"/>
      <w:pPr>
        <w:ind w:left="4680" w:hanging="360"/>
      </w:pPr>
      <w:rPr>
        <w:rFonts w:ascii="Wingdings" w:hAnsi="Wingdings" w:hint="default"/>
      </w:rPr>
    </w:lvl>
    <w:lvl w:ilvl="6" w:tplc="EB06D276" w:tentative="1">
      <w:start w:val="1"/>
      <w:numFmt w:val="bullet"/>
      <w:lvlText w:val=""/>
      <w:lvlJc w:val="left"/>
      <w:pPr>
        <w:ind w:left="5400" w:hanging="360"/>
      </w:pPr>
      <w:rPr>
        <w:rFonts w:ascii="Symbol" w:hAnsi="Symbol" w:hint="default"/>
      </w:rPr>
    </w:lvl>
    <w:lvl w:ilvl="7" w:tplc="98ACA34A" w:tentative="1">
      <w:start w:val="1"/>
      <w:numFmt w:val="bullet"/>
      <w:lvlText w:val="o"/>
      <w:lvlJc w:val="left"/>
      <w:pPr>
        <w:ind w:left="6120" w:hanging="360"/>
      </w:pPr>
      <w:rPr>
        <w:rFonts w:ascii="Courier New" w:hAnsi="Courier New" w:hint="default"/>
      </w:rPr>
    </w:lvl>
    <w:lvl w:ilvl="8" w:tplc="DCA68030" w:tentative="1">
      <w:start w:val="1"/>
      <w:numFmt w:val="bullet"/>
      <w:lvlText w:val=""/>
      <w:lvlJc w:val="left"/>
      <w:pPr>
        <w:ind w:left="6840" w:hanging="360"/>
      </w:pPr>
      <w:rPr>
        <w:rFonts w:ascii="Wingdings" w:hAnsi="Wingdings" w:hint="default"/>
      </w:rPr>
    </w:lvl>
  </w:abstractNum>
  <w:abstractNum w:abstractNumId="19" w15:restartNumberingAfterBreak="0">
    <w:nsid w:val="1C3F5E25"/>
    <w:multiLevelType w:val="hybridMultilevel"/>
    <w:tmpl w:val="1B8ACD5E"/>
    <w:lvl w:ilvl="0" w:tplc="451A871A">
      <w:start w:val="1"/>
      <w:numFmt w:val="bullet"/>
      <w:lvlText w:val=""/>
      <w:lvlJc w:val="left"/>
      <w:pPr>
        <w:ind w:left="720" w:hanging="360"/>
      </w:pPr>
      <w:rPr>
        <w:rFonts w:ascii="Symbol" w:hAnsi="Symbol" w:hint="default"/>
      </w:rPr>
    </w:lvl>
    <w:lvl w:ilvl="1" w:tplc="532ADFC6" w:tentative="1">
      <w:start w:val="1"/>
      <w:numFmt w:val="bullet"/>
      <w:lvlText w:val="o"/>
      <w:lvlJc w:val="left"/>
      <w:pPr>
        <w:ind w:left="1440" w:hanging="360"/>
      </w:pPr>
      <w:rPr>
        <w:rFonts w:ascii="Courier New" w:hAnsi="Courier New" w:hint="default"/>
      </w:rPr>
    </w:lvl>
    <w:lvl w:ilvl="2" w:tplc="54CEBE6C" w:tentative="1">
      <w:start w:val="1"/>
      <w:numFmt w:val="bullet"/>
      <w:lvlText w:val=""/>
      <w:lvlJc w:val="left"/>
      <w:pPr>
        <w:ind w:left="2160" w:hanging="360"/>
      </w:pPr>
      <w:rPr>
        <w:rFonts w:ascii="Wingdings" w:hAnsi="Wingdings" w:hint="default"/>
      </w:rPr>
    </w:lvl>
    <w:lvl w:ilvl="3" w:tplc="B4966C02" w:tentative="1">
      <w:start w:val="1"/>
      <w:numFmt w:val="bullet"/>
      <w:lvlText w:val=""/>
      <w:lvlJc w:val="left"/>
      <w:pPr>
        <w:ind w:left="2880" w:hanging="360"/>
      </w:pPr>
      <w:rPr>
        <w:rFonts w:ascii="Symbol" w:hAnsi="Symbol" w:hint="default"/>
      </w:rPr>
    </w:lvl>
    <w:lvl w:ilvl="4" w:tplc="FF3650D6" w:tentative="1">
      <w:start w:val="1"/>
      <w:numFmt w:val="bullet"/>
      <w:lvlText w:val="o"/>
      <w:lvlJc w:val="left"/>
      <w:pPr>
        <w:ind w:left="3600" w:hanging="360"/>
      </w:pPr>
      <w:rPr>
        <w:rFonts w:ascii="Courier New" w:hAnsi="Courier New" w:hint="default"/>
      </w:rPr>
    </w:lvl>
    <w:lvl w:ilvl="5" w:tplc="76645D92" w:tentative="1">
      <w:start w:val="1"/>
      <w:numFmt w:val="bullet"/>
      <w:lvlText w:val=""/>
      <w:lvlJc w:val="left"/>
      <w:pPr>
        <w:ind w:left="4320" w:hanging="360"/>
      </w:pPr>
      <w:rPr>
        <w:rFonts w:ascii="Wingdings" w:hAnsi="Wingdings" w:hint="default"/>
      </w:rPr>
    </w:lvl>
    <w:lvl w:ilvl="6" w:tplc="1896B490" w:tentative="1">
      <w:start w:val="1"/>
      <w:numFmt w:val="bullet"/>
      <w:lvlText w:val=""/>
      <w:lvlJc w:val="left"/>
      <w:pPr>
        <w:ind w:left="5040" w:hanging="360"/>
      </w:pPr>
      <w:rPr>
        <w:rFonts w:ascii="Symbol" w:hAnsi="Symbol" w:hint="default"/>
      </w:rPr>
    </w:lvl>
    <w:lvl w:ilvl="7" w:tplc="6EAE62E2" w:tentative="1">
      <w:start w:val="1"/>
      <w:numFmt w:val="bullet"/>
      <w:lvlText w:val="o"/>
      <w:lvlJc w:val="left"/>
      <w:pPr>
        <w:ind w:left="5760" w:hanging="360"/>
      </w:pPr>
      <w:rPr>
        <w:rFonts w:ascii="Courier New" w:hAnsi="Courier New" w:hint="default"/>
      </w:rPr>
    </w:lvl>
    <w:lvl w:ilvl="8" w:tplc="E9AAC398" w:tentative="1">
      <w:start w:val="1"/>
      <w:numFmt w:val="bullet"/>
      <w:lvlText w:val=""/>
      <w:lvlJc w:val="left"/>
      <w:pPr>
        <w:ind w:left="6480" w:hanging="360"/>
      </w:pPr>
      <w:rPr>
        <w:rFonts w:ascii="Wingdings" w:hAnsi="Wingdings" w:hint="default"/>
      </w:rPr>
    </w:lvl>
  </w:abstractNum>
  <w:abstractNum w:abstractNumId="20" w15:restartNumberingAfterBreak="0">
    <w:nsid w:val="1C441639"/>
    <w:multiLevelType w:val="hybridMultilevel"/>
    <w:tmpl w:val="54EA11EA"/>
    <w:lvl w:ilvl="0" w:tplc="11924A92">
      <w:start w:val="1"/>
      <w:numFmt w:val="bullet"/>
      <w:lvlText w:val=""/>
      <w:lvlJc w:val="left"/>
      <w:pPr>
        <w:ind w:left="720" w:hanging="360"/>
      </w:pPr>
      <w:rPr>
        <w:rFonts w:ascii="Symbol" w:hAnsi="Symbol" w:hint="default"/>
      </w:rPr>
    </w:lvl>
    <w:lvl w:ilvl="1" w:tplc="49409A94" w:tentative="1">
      <w:start w:val="1"/>
      <w:numFmt w:val="bullet"/>
      <w:lvlText w:val="o"/>
      <w:lvlJc w:val="left"/>
      <w:pPr>
        <w:ind w:left="1440" w:hanging="360"/>
      </w:pPr>
      <w:rPr>
        <w:rFonts w:ascii="Courier New" w:hAnsi="Courier New" w:hint="default"/>
      </w:rPr>
    </w:lvl>
    <w:lvl w:ilvl="2" w:tplc="BFE4FF76" w:tentative="1">
      <w:start w:val="1"/>
      <w:numFmt w:val="bullet"/>
      <w:lvlText w:val=""/>
      <w:lvlJc w:val="left"/>
      <w:pPr>
        <w:ind w:left="2160" w:hanging="360"/>
      </w:pPr>
      <w:rPr>
        <w:rFonts w:ascii="Wingdings" w:hAnsi="Wingdings" w:hint="default"/>
      </w:rPr>
    </w:lvl>
    <w:lvl w:ilvl="3" w:tplc="EB049BE6" w:tentative="1">
      <w:start w:val="1"/>
      <w:numFmt w:val="bullet"/>
      <w:lvlText w:val=""/>
      <w:lvlJc w:val="left"/>
      <w:pPr>
        <w:ind w:left="2880" w:hanging="360"/>
      </w:pPr>
      <w:rPr>
        <w:rFonts w:ascii="Symbol" w:hAnsi="Symbol" w:hint="default"/>
      </w:rPr>
    </w:lvl>
    <w:lvl w:ilvl="4" w:tplc="5B60042E" w:tentative="1">
      <w:start w:val="1"/>
      <w:numFmt w:val="bullet"/>
      <w:lvlText w:val="o"/>
      <w:lvlJc w:val="left"/>
      <w:pPr>
        <w:ind w:left="3600" w:hanging="360"/>
      </w:pPr>
      <w:rPr>
        <w:rFonts w:ascii="Courier New" w:hAnsi="Courier New" w:hint="default"/>
      </w:rPr>
    </w:lvl>
    <w:lvl w:ilvl="5" w:tplc="CDD4B720" w:tentative="1">
      <w:start w:val="1"/>
      <w:numFmt w:val="bullet"/>
      <w:lvlText w:val=""/>
      <w:lvlJc w:val="left"/>
      <w:pPr>
        <w:ind w:left="4320" w:hanging="360"/>
      </w:pPr>
      <w:rPr>
        <w:rFonts w:ascii="Wingdings" w:hAnsi="Wingdings" w:hint="default"/>
      </w:rPr>
    </w:lvl>
    <w:lvl w:ilvl="6" w:tplc="DADE142C" w:tentative="1">
      <w:start w:val="1"/>
      <w:numFmt w:val="bullet"/>
      <w:lvlText w:val=""/>
      <w:lvlJc w:val="left"/>
      <w:pPr>
        <w:ind w:left="5040" w:hanging="360"/>
      </w:pPr>
      <w:rPr>
        <w:rFonts w:ascii="Symbol" w:hAnsi="Symbol" w:hint="default"/>
      </w:rPr>
    </w:lvl>
    <w:lvl w:ilvl="7" w:tplc="3222AB8E" w:tentative="1">
      <w:start w:val="1"/>
      <w:numFmt w:val="bullet"/>
      <w:lvlText w:val="o"/>
      <w:lvlJc w:val="left"/>
      <w:pPr>
        <w:ind w:left="5760" w:hanging="360"/>
      </w:pPr>
      <w:rPr>
        <w:rFonts w:ascii="Courier New" w:hAnsi="Courier New" w:hint="default"/>
      </w:rPr>
    </w:lvl>
    <w:lvl w:ilvl="8" w:tplc="0A6C56A6" w:tentative="1">
      <w:start w:val="1"/>
      <w:numFmt w:val="bullet"/>
      <w:lvlText w:val=""/>
      <w:lvlJc w:val="left"/>
      <w:pPr>
        <w:ind w:left="6480" w:hanging="360"/>
      </w:pPr>
      <w:rPr>
        <w:rFonts w:ascii="Wingdings" w:hAnsi="Wingdings" w:hint="default"/>
      </w:rPr>
    </w:lvl>
  </w:abstractNum>
  <w:abstractNum w:abstractNumId="21" w15:restartNumberingAfterBreak="0">
    <w:nsid w:val="1D045399"/>
    <w:multiLevelType w:val="multilevel"/>
    <w:tmpl w:val="AB12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205825"/>
    <w:multiLevelType w:val="hybridMultilevel"/>
    <w:tmpl w:val="503EADDA"/>
    <w:lvl w:ilvl="0" w:tplc="0E124DA4">
      <w:start w:val="1"/>
      <w:numFmt w:val="decimal"/>
      <w:lvlText w:val="%1."/>
      <w:lvlJc w:val="left"/>
      <w:pPr>
        <w:ind w:left="360" w:hanging="360"/>
      </w:pPr>
    </w:lvl>
    <w:lvl w:ilvl="1" w:tplc="04E07D60">
      <w:start w:val="1"/>
      <w:numFmt w:val="lowerLetter"/>
      <w:lvlText w:val="%2."/>
      <w:lvlJc w:val="left"/>
      <w:pPr>
        <w:ind w:left="1440" w:hanging="360"/>
      </w:pPr>
    </w:lvl>
    <w:lvl w:ilvl="2" w:tplc="6D26DB88">
      <w:start w:val="1"/>
      <w:numFmt w:val="lowerRoman"/>
      <w:lvlText w:val="%3."/>
      <w:lvlJc w:val="right"/>
      <w:pPr>
        <w:ind w:left="2160" w:hanging="180"/>
      </w:pPr>
    </w:lvl>
    <w:lvl w:ilvl="3" w:tplc="B34CEF56">
      <w:start w:val="1"/>
      <w:numFmt w:val="decimal"/>
      <w:lvlText w:val="%4."/>
      <w:lvlJc w:val="left"/>
      <w:pPr>
        <w:ind w:left="2880" w:hanging="360"/>
      </w:pPr>
    </w:lvl>
    <w:lvl w:ilvl="4" w:tplc="809E9254">
      <w:start w:val="1"/>
      <w:numFmt w:val="lowerLetter"/>
      <w:lvlText w:val="%5."/>
      <w:lvlJc w:val="left"/>
      <w:pPr>
        <w:ind w:left="3600" w:hanging="360"/>
      </w:pPr>
    </w:lvl>
    <w:lvl w:ilvl="5" w:tplc="37FE58E2">
      <w:start w:val="1"/>
      <w:numFmt w:val="lowerRoman"/>
      <w:lvlText w:val="%6."/>
      <w:lvlJc w:val="right"/>
      <w:pPr>
        <w:ind w:left="4320" w:hanging="180"/>
      </w:pPr>
    </w:lvl>
    <w:lvl w:ilvl="6" w:tplc="2B26B884">
      <w:start w:val="1"/>
      <w:numFmt w:val="decimal"/>
      <w:lvlText w:val="%7."/>
      <w:lvlJc w:val="left"/>
      <w:pPr>
        <w:ind w:left="5040" w:hanging="360"/>
      </w:pPr>
    </w:lvl>
    <w:lvl w:ilvl="7" w:tplc="58CE3B10">
      <w:start w:val="1"/>
      <w:numFmt w:val="lowerLetter"/>
      <w:lvlText w:val="%8."/>
      <w:lvlJc w:val="left"/>
      <w:pPr>
        <w:ind w:left="5760" w:hanging="360"/>
      </w:pPr>
    </w:lvl>
    <w:lvl w:ilvl="8" w:tplc="533A3172">
      <w:start w:val="1"/>
      <w:numFmt w:val="lowerRoman"/>
      <w:lvlText w:val="%9."/>
      <w:lvlJc w:val="right"/>
      <w:pPr>
        <w:ind w:left="6480" w:hanging="180"/>
      </w:pPr>
    </w:lvl>
  </w:abstractNum>
  <w:abstractNum w:abstractNumId="23" w15:restartNumberingAfterBreak="0">
    <w:nsid w:val="1D697466"/>
    <w:multiLevelType w:val="hybridMultilevel"/>
    <w:tmpl w:val="8B8272CC"/>
    <w:lvl w:ilvl="0" w:tplc="32ECEC74">
      <w:start w:val="1"/>
      <w:numFmt w:val="bullet"/>
      <w:lvlText w:val=""/>
      <w:lvlJc w:val="left"/>
      <w:pPr>
        <w:ind w:left="720" w:hanging="360"/>
      </w:pPr>
      <w:rPr>
        <w:rFonts w:ascii="Symbol" w:hAnsi="Symbol" w:hint="default"/>
      </w:rPr>
    </w:lvl>
    <w:lvl w:ilvl="1" w:tplc="BF34C912" w:tentative="1">
      <w:start w:val="1"/>
      <w:numFmt w:val="bullet"/>
      <w:lvlText w:val="o"/>
      <w:lvlJc w:val="left"/>
      <w:pPr>
        <w:ind w:left="1440" w:hanging="360"/>
      </w:pPr>
      <w:rPr>
        <w:rFonts w:ascii="Courier New" w:hAnsi="Courier New" w:hint="default"/>
      </w:rPr>
    </w:lvl>
    <w:lvl w:ilvl="2" w:tplc="39641F8A" w:tentative="1">
      <w:start w:val="1"/>
      <w:numFmt w:val="bullet"/>
      <w:lvlText w:val=""/>
      <w:lvlJc w:val="left"/>
      <w:pPr>
        <w:ind w:left="2160" w:hanging="360"/>
      </w:pPr>
      <w:rPr>
        <w:rFonts w:ascii="Wingdings" w:hAnsi="Wingdings" w:hint="default"/>
      </w:rPr>
    </w:lvl>
    <w:lvl w:ilvl="3" w:tplc="4BAC973E" w:tentative="1">
      <w:start w:val="1"/>
      <w:numFmt w:val="bullet"/>
      <w:lvlText w:val=""/>
      <w:lvlJc w:val="left"/>
      <w:pPr>
        <w:ind w:left="2880" w:hanging="360"/>
      </w:pPr>
      <w:rPr>
        <w:rFonts w:ascii="Symbol" w:hAnsi="Symbol" w:hint="default"/>
      </w:rPr>
    </w:lvl>
    <w:lvl w:ilvl="4" w:tplc="8C3EC76A" w:tentative="1">
      <w:start w:val="1"/>
      <w:numFmt w:val="bullet"/>
      <w:lvlText w:val="o"/>
      <w:lvlJc w:val="left"/>
      <w:pPr>
        <w:ind w:left="3600" w:hanging="360"/>
      </w:pPr>
      <w:rPr>
        <w:rFonts w:ascii="Courier New" w:hAnsi="Courier New" w:hint="default"/>
      </w:rPr>
    </w:lvl>
    <w:lvl w:ilvl="5" w:tplc="C0F27DC4" w:tentative="1">
      <w:start w:val="1"/>
      <w:numFmt w:val="bullet"/>
      <w:lvlText w:val=""/>
      <w:lvlJc w:val="left"/>
      <w:pPr>
        <w:ind w:left="4320" w:hanging="360"/>
      </w:pPr>
      <w:rPr>
        <w:rFonts w:ascii="Wingdings" w:hAnsi="Wingdings" w:hint="default"/>
      </w:rPr>
    </w:lvl>
    <w:lvl w:ilvl="6" w:tplc="5E065F4C" w:tentative="1">
      <w:start w:val="1"/>
      <w:numFmt w:val="bullet"/>
      <w:lvlText w:val=""/>
      <w:lvlJc w:val="left"/>
      <w:pPr>
        <w:ind w:left="5040" w:hanging="360"/>
      </w:pPr>
      <w:rPr>
        <w:rFonts w:ascii="Symbol" w:hAnsi="Symbol" w:hint="default"/>
      </w:rPr>
    </w:lvl>
    <w:lvl w:ilvl="7" w:tplc="3E8037C8" w:tentative="1">
      <w:start w:val="1"/>
      <w:numFmt w:val="bullet"/>
      <w:lvlText w:val="o"/>
      <w:lvlJc w:val="left"/>
      <w:pPr>
        <w:ind w:left="5760" w:hanging="360"/>
      </w:pPr>
      <w:rPr>
        <w:rFonts w:ascii="Courier New" w:hAnsi="Courier New" w:hint="default"/>
      </w:rPr>
    </w:lvl>
    <w:lvl w:ilvl="8" w:tplc="7BFCEE18" w:tentative="1">
      <w:start w:val="1"/>
      <w:numFmt w:val="bullet"/>
      <w:lvlText w:val=""/>
      <w:lvlJc w:val="left"/>
      <w:pPr>
        <w:ind w:left="6480" w:hanging="360"/>
      </w:pPr>
      <w:rPr>
        <w:rFonts w:ascii="Wingdings" w:hAnsi="Wingdings" w:hint="default"/>
      </w:rPr>
    </w:lvl>
  </w:abstractNum>
  <w:abstractNum w:abstractNumId="24" w15:restartNumberingAfterBreak="0">
    <w:nsid w:val="1E8C2115"/>
    <w:multiLevelType w:val="hybridMultilevel"/>
    <w:tmpl w:val="ED72B244"/>
    <w:lvl w:ilvl="0" w:tplc="B32629D6">
      <w:start w:val="1"/>
      <w:numFmt w:val="decimal"/>
      <w:lvlText w:val="%1."/>
      <w:lvlJc w:val="left"/>
      <w:pPr>
        <w:ind w:left="360" w:hanging="360"/>
      </w:pPr>
    </w:lvl>
    <w:lvl w:ilvl="1" w:tplc="54C68ED6" w:tentative="1">
      <w:start w:val="1"/>
      <w:numFmt w:val="lowerLetter"/>
      <w:lvlText w:val="%2."/>
      <w:lvlJc w:val="left"/>
      <w:pPr>
        <w:ind w:left="1080" w:hanging="360"/>
      </w:pPr>
    </w:lvl>
    <w:lvl w:ilvl="2" w:tplc="17FC6290" w:tentative="1">
      <w:start w:val="1"/>
      <w:numFmt w:val="lowerRoman"/>
      <w:lvlText w:val="%3."/>
      <w:lvlJc w:val="right"/>
      <w:pPr>
        <w:ind w:left="1800" w:hanging="180"/>
      </w:pPr>
    </w:lvl>
    <w:lvl w:ilvl="3" w:tplc="A3240832" w:tentative="1">
      <w:start w:val="1"/>
      <w:numFmt w:val="decimal"/>
      <w:lvlText w:val="%4."/>
      <w:lvlJc w:val="left"/>
      <w:pPr>
        <w:ind w:left="2520" w:hanging="360"/>
      </w:pPr>
    </w:lvl>
    <w:lvl w:ilvl="4" w:tplc="C31A625C" w:tentative="1">
      <w:start w:val="1"/>
      <w:numFmt w:val="lowerLetter"/>
      <w:lvlText w:val="%5."/>
      <w:lvlJc w:val="left"/>
      <w:pPr>
        <w:ind w:left="3240" w:hanging="360"/>
      </w:pPr>
    </w:lvl>
    <w:lvl w:ilvl="5" w:tplc="EA0EB93A" w:tentative="1">
      <w:start w:val="1"/>
      <w:numFmt w:val="lowerRoman"/>
      <w:lvlText w:val="%6."/>
      <w:lvlJc w:val="right"/>
      <w:pPr>
        <w:ind w:left="3960" w:hanging="180"/>
      </w:pPr>
    </w:lvl>
    <w:lvl w:ilvl="6" w:tplc="82CA004A" w:tentative="1">
      <w:start w:val="1"/>
      <w:numFmt w:val="decimal"/>
      <w:lvlText w:val="%7."/>
      <w:lvlJc w:val="left"/>
      <w:pPr>
        <w:ind w:left="4680" w:hanging="360"/>
      </w:pPr>
    </w:lvl>
    <w:lvl w:ilvl="7" w:tplc="5EC05640" w:tentative="1">
      <w:start w:val="1"/>
      <w:numFmt w:val="lowerLetter"/>
      <w:lvlText w:val="%8."/>
      <w:lvlJc w:val="left"/>
      <w:pPr>
        <w:ind w:left="5400" w:hanging="360"/>
      </w:pPr>
    </w:lvl>
    <w:lvl w:ilvl="8" w:tplc="334C7888" w:tentative="1">
      <w:start w:val="1"/>
      <w:numFmt w:val="lowerRoman"/>
      <w:lvlText w:val="%9."/>
      <w:lvlJc w:val="right"/>
      <w:pPr>
        <w:ind w:left="6120" w:hanging="180"/>
      </w:pPr>
    </w:lvl>
  </w:abstractNum>
  <w:abstractNum w:abstractNumId="25" w15:restartNumberingAfterBreak="0">
    <w:nsid w:val="1EBB2812"/>
    <w:multiLevelType w:val="hybridMultilevel"/>
    <w:tmpl w:val="C644D712"/>
    <w:lvl w:ilvl="0" w:tplc="0F00B044">
      <w:start w:val="1"/>
      <w:numFmt w:val="bullet"/>
      <w:lvlText w:val=""/>
      <w:lvlJc w:val="left"/>
      <w:pPr>
        <w:ind w:left="720" w:hanging="360"/>
      </w:pPr>
      <w:rPr>
        <w:rFonts w:ascii="Symbol" w:hAnsi="Symbol" w:hint="default"/>
      </w:rPr>
    </w:lvl>
    <w:lvl w:ilvl="1" w:tplc="A8B269F4" w:tentative="1">
      <w:start w:val="1"/>
      <w:numFmt w:val="bullet"/>
      <w:lvlText w:val="o"/>
      <w:lvlJc w:val="left"/>
      <w:pPr>
        <w:ind w:left="1440" w:hanging="360"/>
      </w:pPr>
      <w:rPr>
        <w:rFonts w:ascii="Courier New" w:hAnsi="Courier New" w:hint="default"/>
      </w:rPr>
    </w:lvl>
    <w:lvl w:ilvl="2" w:tplc="1B3653AA" w:tentative="1">
      <w:start w:val="1"/>
      <w:numFmt w:val="bullet"/>
      <w:lvlText w:val=""/>
      <w:lvlJc w:val="left"/>
      <w:pPr>
        <w:ind w:left="2160" w:hanging="360"/>
      </w:pPr>
      <w:rPr>
        <w:rFonts w:ascii="Wingdings" w:hAnsi="Wingdings" w:hint="default"/>
      </w:rPr>
    </w:lvl>
    <w:lvl w:ilvl="3" w:tplc="0ECE5574" w:tentative="1">
      <w:start w:val="1"/>
      <w:numFmt w:val="bullet"/>
      <w:lvlText w:val=""/>
      <w:lvlJc w:val="left"/>
      <w:pPr>
        <w:ind w:left="2880" w:hanging="360"/>
      </w:pPr>
      <w:rPr>
        <w:rFonts w:ascii="Symbol" w:hAnsi="Symbol" w:hint="default"/>
      </w:rPr>
    </w:lvl>
    <w:lvl w:ilvl="4" w:tplc="CA186E62" w:tentative="1">
      <w:start w:val="1"/>
      <w:numFmt w:val="bullet"/>
      <w:lvlText w:val="o"/>
      <w:lvlJc w:val="left"/>
      <w:pPr>
        <w:ind w:left="3600" w:hanging="360"/>
      </w:pPr>
      <w:rPr>
        <w:rFonts w:ascii="Courier New" w:hAnsi="Courier New" w:hint="default"/>
      </w:rPr>
    </w:lvl>
    <w:lvl w:ilvl="5" w:tplc="20EEC0CE" w:tentative="1">
      <w:start w:val="1"/>
      <w:numFmt w:val="bullet"/>
      <w:lvlText w:val=""/>
      <w:lvlJc w:val="left"/>
      <w:pPr>
        <w:ind w:left="4320" w:hanging="360"/>
      </w:pPr>
      <w:rPr>
        <w:rFonts w:ascii="Wingdings" w:hAnsi="Wingdings" w:hint="default"/>
      </w:rPr>
    </w:lvl>
    <w:lvl w:ilvl="6" w:tplc="17EC1E84" w:tentative="1">
      <w:start w:val="1"/>
      <w:numFmt w:val="bullet"/>
      <w:lvlText w:val=""/>
      <w:lvlJc w:val="left"/>
      <w:pPr>
        <w:ind w:left="5040" w:hanging="360"/>
      </w:pPr>
      <w:rPr>
        <w:rFonts w:ascii="Symbol" w:hAnsi="Symbol" w:hint="default"/>
      </w:rPr>
    </w:lvl>
    <w:lvl w:ilvl="7" w:tplc="FF643ECA" w:tentative="1">
      <w:start w:val="1"/>
      <w:numFmt w:val="bullet"/>
      <w:lvlText w:val="o"/>
      <w:lvlJc w:val="left"/>
      <w:pPr>
        <w:ind w:left="5760" w:hanging="360"/>
      </w:pPr>
      <w:rPr>
        <w:rFonts w:ascii="Courier New" w:hAnsi="Courier New" w:hint="default"/>
      </w:rPr>
    </w:lvl>
    <w:lvl w:ilvl="8" w:tplc="603C40AA" w:tentative="1">
      <w:start w:val="1"/>
      <w:numFmt w:val="bullet"/>
      <w:lvlText w:val=""/>
      <w:lvlJc w:val="left"/>
      <w:pPr>
        <w:ind w:left="6480" w:hanging="360"/>
      </w:pPr>
      <w:rPr>
        <w:rFonts w:ascii="Wingdings" w:hAnsi="Wingdings" w:hint="default"/>
      </w:rPr>
    </w:lvl>
  </w:abstractNum>
  <w:abstractNum w:abstractNumId="26" w15:restartNumberingAfterBreak="0">
    <w:nsid w:val="219D37EF"/>
    <w:multiLevelType w:val="hybridMultilevel"/>
    <w:tmpl w:val="D2A458DA"/>
    <w:lvl w:ilvl="0" w:tplc="6B0406DA">
      <w:start w:val="1"/>
      <w:numFmt w:val="bullet"/>
      <w:lvlText w:val=""/>
      <w:lvlJc w:val="left"/>
      <w:pPr>
        <w:ind w:left="720" w:hanging="360"/>
      </w:pPr>
      <w:rPr>
        <w:rFonts w:ascii="Symbol" w:hAnsi="Symbol" w:hint="default"/>
        <w:sz w:val="20"/>
        <w:szCs w:val="20"/>
      </w:rPr>
    </w:lvl>
    <w:lvl w:ilvl="1" w:tplc="52E6B292" w:tentative="1">
      <w:start w:val="1"/>
      <w:numFmt w:val="bullet"/>
      <w:lvlText w:val="o"/>
      <w:lvlJc w:val="left"/>
      <w:pPr>
        <w:ind w:left="1440" w:hanging="360"/>
      </w:pPr>
      <w:rPr>
        <w:rFonts w:ascii="Courier New" w:hAnsi="Courier New" w:hint="default"/>
      </w:rPr>
    </w:lvl>
    <w:lvl w:ilvl="2" w:tplc="210ACD92" w:tentative="1">
      <w:start w:val="1"/>
      <w:numFmt w:val="bullet"/>
      <w:lvlText w:val=""/>
      <w:lvlJc w:val="left"/>
      <w:pPr>
        <w:ind w:left="2160" w:hanging="360"/>
      </w:pPr>
      <w:rPr>
        <w:rFonts w:ascii="Wingdings" w:hAnsi="Wingdings" w:hint="default"/>
      </w:rPr>
    </w:lvl>
    <w:lvl w:ilvl="3" w:tplc="E9A27C88" w:tentative="1">
      <w:start w:val="1"/>
      <w:numFmt w:val="bullet"/>
      <w:lvlText w:val=""/>
      <w:lvlJc w:val="left"/>
      <w:pPr>
        <w:ind w:left="2880" w:hanging="360"/>
      </w:pPr>
      <w:rPr>
        <w:rFonts w:ascii="Symbol" w:hAnsi="Symbol" w:hint="default"/>
      </w:rPr>
    </w:lvl>
    <w:lvl w:ilvl="4" w:tplc="E0CA3540" w:tentative="1">
      <w:start w:val="1"/>
      <w:numFmt w:val="bullet"/>
      <w:lvlText w:val="o"/>
      <w:lvlJc w:val="left"/>
      <w:pPr>
        <w:ind w:left="3600" w:hanging="360"/>
      </w:pPr>
      <w:rPr>
        <w:rFonts w:ascii="Courier New" w:hAnsi="Courier New" w:hint="default"/>
      </w:rPr>
    </w:lvl>
    <w:lvl w:ilvl="5" w:tplc="525631D0" w:tentative="1">
      <w:start w:val="1"/>
      <w:numFmt w:val="bullet"/>
      <w:lvlText w:val=""/>
      <w:lvlJc w:val="left"/>
      <w:pPr>
        <w:ind w:left="4320" w:hanging="360"/>
      </w:pPr>
      <w:rPr>
        <w:rFonts w:ascii="Wingdings" w:hAnsi="Wingdings" w:hint="default"/>
      </w:rPr>
    </w:lvl>
    <w:lvl w:ilvl="6" w:tplc="6728CB5C" w:tentative="1">
      <w:start w:val="1"/>
      <w:numFmt w:val="bullet"/>
      <w:lvlText w:val=""/>
      <w:lvlJc w:val="left"/>
      <w:pPr>
        <w:ind w:left="5040" w:hanging="360"/>
      </w:pPr>
      <w:rPr>
        <w:rFonts w:ascii="Symbol" w:hAnsi="Symbol" w:hint="default"/>
      </w:rPr>
    </w:lvl>
    <w:lvl w:ilvl="7" w:tplc="1B1ED168" w:tentative="1">
      <w:start w:val="1"/>
      <w:numFmt w:val="bullet"/>
      <w:lvlText w:val="o"/>
      <w:lvlJc w:val="left"/>
      <w:pPr>
        <w:ind w:left="5760" w:hanging="360"/>
      </w:pPr>
      <w:rPr>
        <w:rFonts w:ascii="Courier New" w:hAnsi="Courier New" w:hint="default"/>
      </w:rPr>
    </w:lvl>
    <w:lvl w:ilvl="8" w:tplc="225EDC32" w:tentative="1">
      <w:start w:val="1"/>
      <w:numFmt w:val="bullet"/>
      <w:lvlText w:val=""/>
      <w:lvlJc w:val="left"/>
      <w:pPr>
        <w:ind w:left="6480" w:hanging="360"/>
      </w:pPr>
      <w:rPr>
        <w:rFonts w:ascii="Wingdings" w:hAnsi="Wingdings" w:hint="default"/>
      </w:rPr>
    </w:lvl>
  </w:abstractNum>
  <w:abstractNum w:abstractNumId="27" w15:restartNumberingAfterBreak="0">
    <w:nsid w:val="21E21D5D"/>
    <w:multiLevelType w:val="hybridMultilevel"/>
    <w:tmpl w:val="5706E19A"/>
    <w:lvl w:ilvl="0" w:tplc="EEC22408">
      <w:start w:val="1"/>
      <w:numFmt w:val="decimal"/>
      <w:lvlText w:val="%1."/>
      <w:lvlJc w:val="left"/>
      <w:pPr>
        <w:ind w:left="360" w:hanging="360"/>
      </w:pPr>
    </w:lvl>
    <w:lvl w:ilvl="1" w:tplc="94A2B85A">
      <w:start w:val="1"/>
      <w:numFmt w:val="lowerLetter"/>
      <w:lvlText w:val="%2."/>
      <w:lvlJc w:val="left"/>
      <w:pPr>
        <w:ind w:left="1080" w:hanging="360"/>
      </w:pPr>
    </w:lvl>
    <w:lvl w:ilvl="2" w:tplc="EBFE11EC" w:tentative="1">
      <w:start w:val="1"/>
      <w:numFmt w:val="lowerRoman"/>
      <w:lvlText w:val="%3."/>
      <w:lvlJc w:val="right"/>
      <w:pPr>
        <w:ind w:left="1800" w:hanging="180"/>
      </w:pPr>
    </w:lvl>
    <w:lvl w:ilvl="3" w:tplc="EC0AFADC" w:tentative="1">
      <w:start w:val="1"/>
      <w:numFmt w:val="decimal"/>
      <w:lvlText w:val="%4."/>
      <w:lvlJc w:val="left"/>
      <w:pPr>
        <w:ind w:left="2520" w:hanging="360"/>
      </w:pPr>
    </w:lvl>
    <w:lvl w:ilvl="4" w:tplc="881C43E8" w:tentative="1">
      <w:start w:val="1"/>
      <w:numFmt w:val="lowerLetter"/>
      <w:lvlText w:val="%5."/>
      <w:lvlJc w:val="left"/>
      <w:pPr>
        <w:ind w:left="3240" w:hanging="360"/>
      </w:pPr>
    </w:lvl>
    <w:lvl w:ilvl="5" w:tplc="70083CD0" w:tentative="1">
      <w:start w:val="1"/>
      <w:numFmt w:val="lowerRoman"/>
      <w:lvlText w:val="%6."/>
      <w:lvlJc w:val="right"/>
      <w:pPr>
        <w:ind w:left="3960" w:hanging="180"/>
      </w:pPr>
    </w:lvl>
    <w:lvl w:ilvl="6" w:tplc="48BA655E" w:tentative="1">
      <w:start w:val="1"/>
      <w:numFmt w:val="decimal"/>
      <w:lvlText w:val="%7."/>
      <w:lvlJc w:val="left"/>
      <w:pPr>
        <w:ind w:left="4680" w:hanging="360"/>
      </w:pPr>
    </w:lvl>
    <w:lvl w:ilvl="7" w:tplc="5CEA0D86" w:tentative="1">
      <w:start w:val="1"/>
      <w:numFmt w:val="lowerLetter"/>
      <w:lvlText w:val="%8."/>
      <w:lvlJc w:val="left"/>
      <w:pPr>
        <w:ind w:left="5400" w:hanging="360"/>
      </w:pPr>
    </w:lvl>
    <w:lvl w:ilvl="8" w:tplc="482879DA" w:tentative="1">
      <w:start w:val="1"/>
      <w:numFmt w:val="lowerRoman"/>
      <w:lvlText w:val="%9."/>
      <w:lvlJc w:val="right"/>
      <w:pPr>
        <w:ind w:left="6120" w:hanging="180"/>
      </w:pPr>
    </w:lvl>
  </w:abstractNum>
  <w:abstractNum w:abstractNumId="28" w15:restartNumberingAfterBreak="0">
    <w:nsid w:val="231D51F0"/>
    <w:multiLevelType w:val="multilevel"/>
    <w:tmpl w:val="25AA7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A82D91"/>
    <w:multiLevelType w:val="hybridMultilevel"/>
    <w:tmpl w:val="274C10E0"/>
    <w:lvl w:ilvl="0" w:tplc="FE128E68">
      <w:start w:val="1"/>
      <w:numFmt w:val="decimal"/>
      <w:lvlText w:val="%1."/>
      <w:lvlJc w:val="left"/>
      <w:pPr>
        <w:ind w:left="720" w:hanging="360"/>
      </w:pPr>
      <w:rPr>
        <w:b w:val="0"/>
        <w:color w:val="000000"/>
      </w:rPr>
    </w:lvl>
    <w:lvl w:ilvl="1" w:tplc="B5506624" w:tentative="1">
      <w:start w:val="1"/>
      <w:numFmt w:val="lowerLetter"/>
      <w:lvlText w:val="%2."/>
      <w:lvlJc w:val="left"/>
      <w:pPr>
        <w:ind w:left="1440" w:hanging="360"/>
      </w:pPr>
    </w:lvl>
    <w:lvl w:ilvl="2" w:tplc="DAA69B34" w:tentative="1">
      <w:start w:val="1"/>
      <w:numFmt w:val="lowerRoman"/>
      <w:lvlText w:val="%3."/>
      <w:lvlJc w:val="right"/>
      <w:pPr>
        <w:ind w:left="2160" w:hanging="180"/>
      </w:pPr>
    </w:lvl>
    <w:lvl w:ilvl="3" w:tplc="9C8C1028" w:tentative="1">
      <w:start w:val="1"/>
      <w:numFmt w:val="decimal"/>
      <w:lvlText w:val="%4."/>
      <w:lvlJc w:val="left"/>
      <w:pPr>
        <w:ind w:left="2880" w:hanging="360"/>
      </w:pPr>
    </w:lvl>
    <w:lvl w:ilvl="4" w:tplc="25DAA252" w:tentative="1">
      <w:start w:val="1"/>
      <w:numFmt w:val="lowerLetter"/>
      <w:lvlText w:val="%5."/>
      <w:lvlJc w:val="left"/>
      <w:pPr>
        <w:ind w:left="3600" w:hanging="360"/>
      </w:pPr>
    </w:lvl>
    <w:lvl w:ilvl="5" w:tplc="D6F8A898" w:tentative="1">
      <w:start w:val="1"/>
      <w:numFmt w:val="lowerRoman"/>
      <w:lvlText w:val="%6."/>
      <w:lvlJc w:val="right"/>
      <w:pPr>
        <w:ind w:left="4320" w:hanging="180"/>
      </w:pPr>
    </w:lvl>
    <w:lvl w:ilvl="6" w:tplc="43CE84EE" w:tentative="1">
      <w:start w:val="1"/>
      <w:numFmt w:val="decimal"/>
      <w:lvlText w:val="%7."/>
      <w:lvlJc w:val="left"/>
      <w:pPr>
        <w:ind w:left="5040" w:hanging="360"/>
      </w:pPr>
    </w:lvl>
    <w:lvl w:ilvl="7" w:tplc="FDFC7056" w:tentative="1">
      <w:start w:val="1"/>
      <w:numFmt w:val="lowerLetter"/>
      <w:lvlText w:val="%8."/>
      <w:lvlJc w:val="left"/>
      <w:pPr>
        <w:ind w:left="5760" w:hanging="360"/>
      </w:pPr>
    </w:lvl>
    <w:lvl w:ilvl="8" w:tplc="12188E88" w:tentative="1">
      <w:start w:val="1"/>
      <w:numFmt w:val="lowerRoman"/>
      <w:lvlText w:val="%9."/>
      <w:lvlJc w:val="right"/>
      <w:pPr>
        <w:ind w:left="6480" w:hanging="180"/>
      </w:pPr>
    </w:lvl>
  </w:abstractNum>
  <w:abstractNum w:abstractNumId="30" w15:restartNumberingAfterBreak="0">
    <w:nsid w:val="24F62742"/>
    <w:multiLevelType w:val="hybridMultilevel"/>
    <w:tmpl w:val="81505F40"/>
    <w:lvl w:ilvl="0" w:tplc="BCBACA7C">
      <w:start w:val="1"/>
      <w:numFmt w:val="bullet"/>
      <w:lvlText w:val=""/>
      <w:lvlJc w:val="left"/>
      <w:pPr>
        <w:ind w:left="720" w:hanging="360"/>
      </w:pPr>
      <w:rPr>
        <w:rFonts w:ascii="Symbol" w:hAnsi="Symbol" w:hint="default"/>
      </w:rPr>
    </w:lvl>
    <w:lvl w:ilvl="1" w:tplc="7D245958" w:tentative="1">
      <w:start w:val="1"/>
      <w:numFmt w:val="bullet"/>
      <w:lvlText w:val="o"/>
      <w:lvlJc w:val="left"/>
      <w:pPr>
        <w:ind w:left="1440" w:hanging="360"/>
      </w:pPr>
      <w:rPr>
        <w:rFonts w:ascii="Courier New" w:hAnsi="Courier New" w:hint="default"/>
      </w:rPr>
    </w:lvl>
    <w:lvl w:ilvl="2" w:tplc="0FEAEA60" w:tentative="1">
      <w:start w:val="1"/>
      <w:numFmt w:val="bullet"/>
      <w:lvlText w:val=""/>
      <w:lvlJc w:val="left"/>
      <w:pPr>
        <w:ind w:left="2160" w:hanging="360"/>
      </w:pPr>
      <w:rPr>
        <w:rFonts w:ascii="Wingdings" w:hAnsi="Wingdings" w:hint="default"/>
      </w:rPr>
    </w:lvl>
    <w:lvl w:ilvl="3" w:tplc="285A863E" w:tentative="1">
      <w:start w:val="1"/>
      <w:numFmt w:val="bullet"/>
      <w:lvlText w:val=""/>
      <w:lvlJc w:val="left"/>
      <w:pPr>
        <w:ind w:left="2880" w:hanging="360"/>
      </w:pPr>
      <w:rPr>
        <w:rFonts w:ascii="Symbol" w:hAnsi="Symbol" w:hint="default"/>
      </w:rPr>
    </w:lvl>
    <w:lvl w:ilvl="4" w:tplc="62BE961E" w:tentative="1">
      <w:start w:val="1"/>
      <w:numFmt w:val="bullet"/>
      <w:lvlText w:val="o"/>
      <w:lvlJc w:val="left"/>
      <w:pPr>
        <w:ind w:left="3600" w:hanging="360"/>
      </w:pPr>
      <w:rPr>
        <w:rFonts w:ascii="Courier New" w:hAnsi="Courier New" w:hint="default"/>
      </w:rPr>
    </w:lvl>
    <w:lvl w:ilvl="5" w:tplc="775C6BB6" w:tentative="1">
      <w:start w:val="1"/>
      <w:numFmt w:val="bullet"/>
      <w:lvlText w:val=""/>
      <w:lvlJc w:val="left"/>
      <w:pPr>
        <w:ind w:left="4320" w:hanging="360"/>
      </w:pPr>
      <w:rPr>
        <w:rFonts w:ascii="Wingdings" w:hAnsi="Wingdings" w:hint="default"/>
      </w:rPr>
    </w:lvl>
    <w:lvl w:ilvl="6" w:tplc="A1F835C8" w:tentative="1">
      <w:start w:val="1"/>
      <w:numFmt w:val="bullet"/>
      <w:lvlText w:val=""/>
      <w:lvlJc w:val="left"/>
      <w:pPr>
        <w:ind w:left="5040" w:hanging="360"/>
      </w:pPr>
      <w:rPr>
        <w:rFonts w:ascii="Symbol" w:hAnsi="Symbol" w:hint="default"/>
      </w:rPr>
    </w:lvl>
    <w:lvl w:ilvl="7" w:tplc="A0323144" w:tentative="1">
      <w:start w:val="1"/>
      <w:numFmt w:val="bullet"/>
      <w:lvlText w:val="o"/>
      <w:lvlJc w:val="left"/>
      <w:pPr>
        <w:ind w:left="5760" w:hanging="360"/>
      </w:pPr>
      <w:rPr>
        <w:rFonts w:ascii="Courier New" w:hAnsi="Courier New" w:hint="default"/>
      </w:rPr>
    </w:lvl>
    <w:lvl w:ilvl="8" w:tplc="6B68D9F6" w:tentative="1">
      <w:start w:val="1"/>
      <w:numFmt w:val="bullet"/>
      <w:lvlText w:val=""/>
      <w:lvlJc w:val="left"/>
      <w:pPr>
        <w:ind w:left="6480" w:hanging="360"/>
      </w:pPr>
      <w:rPr>
        <w:rFonts w:ascii="Wingdings" w:hAnsi="Wingdings" w:hint="default"/>
      </w:rPr>
    </w:lvl>
  </w:abstractNum>
  <w:abstractNum w:abstractNumId="31" w15:restartNumberingAfterBreak="0">
    <w:nsid w:val="258107F4"/>
    <w:multiLevelType w:val="hybridMultilevel"/>
    <w:tmpl w:val="5706E19A"/>
    <w:lvl w:ilvl="0" w:tplc="0FDA911A">
      <w:start w:val="1"/>
      <w:numFmt w:val="decimal"/>
      <w:lvlText w:val="%1."/>
      <w:lvlJc w:val="left"/>
      <w:pPr>
        <w:ind w:left="720" w:hanging="360"/>
      </w:pPr>
    </w:lvl>
    <w:lvl w:ilvl="1" w:tplc="36FCF43C" w:tentative="1">
      <w:start w:val="1"/>
      <w:numFmt w:val="lowerLetter"/>
      <w:lvlText w:val="%2."/>
      <w:lvlJc w:val="left"/>
      <w:pPr>
        <w:ind w:left="1440" w:hanging="360"/>
      </w:pPr>
    </w:lvl>
    <w:lvl w:ilvl="2" w:tplc="237CA038" w:tentative="1">
      <w:start w:val="1"/>
      <w:numFmt w:val="lowerRoman"/>
      <w:lvlText w:val="%3."/>
      <w:lvlJc w:val="right"/>
      <w:pPr>
        <w:ind w:left="2160" w:hanging="180"/>
      </w:pPr>
    </w:lvl>
    <w:lvl w:ilvl="3" w:tplc="F85226F4" w:tentative="1">
      <w:start w:val="1"/>
      <w:numFmt w:val="decimal"/>
      <w:lvlText w:val="%4."/>
      <w:lvlJc w:val="left"/>
      <w:pPr>
        <w:ind w:left="2880" w:hanging="360"/>
      </w:pPr>
    </w:lvl>
    <w:lvl w:ilvl="4" w:tplc="EBF0D71C" w:tentative="1">
      <w:start w:val="1"/>
      <w:numFmt w:val="lowerLetter"/>
      <w:lvlText w:val="%5."/>
      <w:lvlJc w:val="left"/>
      <w:pPr>
        <w:ind w:left="3600" w:hanging="360"/>
      </w:pPr>
    </w:lvl>
    <w:lvl w:ilvl="5" w:tplc="EA86B11E" w:tentative="1">
      <w:start w:val="1"/>
      <w:numFmt w:val="lowerRoman"/>
      <w:lvlText w:val="%6."/>
      <w:lvlJc w:val="right"/>
      <w:pPr>
        <w:ind w:left="4320" w:hanging="180"/>
      </w:pPr>
    </w:lvl>
    <w:lvl w:ilvl="6" w:tplc="7CE28AE8" w:tentative="1">
      <w:start w:val="1"/>
      <w:numFmt w:val="decimal"/>
      <w:lvlText w:val="%7."/>
      <w:lvlJc w:val="left"/>
      <w:pPr>
        <w:ind w:left="5040" w:hanging="360"/>
      </w:pPr>
    </w:lvl>
    <w:lvl w:ilvl="7" w:tplc="6B90E7C0" w:tentative="1">
      <w:start w:val="1"/>
      <w:numFmt w:val="lowerLetter"/>
      <w:lvlText w:val="%8."/>
      <w:lvlJc w:val="left"/>
      <w:pPr>
        <w:ind w:left="5760" w:hanging="360"/>
      </w:pPr>
    </w:lvl>
    <w:lvl w:ilvl="8" w:tplc="336AC9B6" w:tentative="1">
      <w:start w:val="1"/>
      <w:numFmt w:val="lowerRoman"/>
      <w:lvlText w:val="%9."/>
      <w:lvlJc w:val="right"/>
      <w:pPr>
        <w:ind w:left="6480" w:hanging="180"/>
      </w:pPr>
    </w:lvl>
  </w:abstractNum>
  <w:abstractNum w:abstractNumId="32" w15:restartNumberingAfterBreak="0">
    <w:nsid w:val="25EA3690"/>
    <w:multiLevelType w:val="hybridMultilevel"/>
    <w:tmpl w:val="49D4AA22"/>
    <w:lvl w:ilvl="0" w:tplc="6CF2EB18">
      <w:start w:val="1"/>
      <w:numFmt w:val="decimal"/>
      <w:lvlText w:val="%1."/>
      <w:lvlJc w:val="left"/>
      <w:pPr>
        <w:ind w:left="720" w:hanging="360"/>
      </w:pPr>
      <w:rPr>
        <w:rFonts w:ascii="Arial" w:hAnsi="Arial" w:hint="default"/>
        <w:b w:val="0"/>
        <w:color w:val="000000"/>
        <w:sz w:val="20"/>
        <w:szCs w:val="20"/>
      </w:rPr>
    </w:lvl>
    <w:lvl w:ilvl="1" w:tplc="B938477C" w:tentative="1">
      <w:start w:val="1"/>
      <w:numFmt w:val="bullet"/>
      <w:lvlText w:val="o"/>
      <w:lvlJc w:val="left"/>
      <w:pPr>
        <w:ind w:left="1440" w:hanging="360"/>
      </w:pPr>
      <w:rPr>
        <w:rFonts w:ascii="Courier New" w:hAnsi="Courier New" w:hint="default"/>
      </w:rPr>
    </w:lvl>
    <w:lvl w:ilvl="2" w:tplc="EACEA048" w:tentative="1">
      <w:start w:val="1"/>
      <w:numFmt w:val="bullet"/>
      <w:lvlText w:val=""/>
      <w:lvlJc w:val="left"/>
      <w:pPr>
        <w:ind w:left="2160" w:hanging="360"/>
      </w:pPr>
      <w:rPr>
        <w:rFonts w:ascii="Wingdings" w:hAnsi="Wingdings" w:hint="default"/>
      </w:rPr>
    </w:lvl>
    <w:lvl w:ilvl="3" w:tplc="8124D328" w:tentative="1">
      <w:start w:val="1"/>
      <w:numFmt w:val="bullet"/>
      <w:lvlText w:val=""/>
      <w:lvlJc w:val="left"/>
      <w:pPr>
        <w:ind w:left="2880" w:hanging="360"/>
      </w:pPr>
      <w:rPr>
        <w:rFonts w:ascii="Symbol" w:hAnsi="Symbol" w:hint="default"/>
      </w:rPr>
    </w:lvl>
    <w:lvl w:ilvl="4" w:tplc="61C09926" w:tentative="1">
      <w:start w:val="1"/>
      <w:numFmt w:val="bullet"/>
      <w:lvlText w:val="o"/>
      <w:lvlJc w:val="left"/>
      <w:pPr>
        <w:ind w:left="3600" w:hanging="360"/>
      </w:pPr>
      <w:rPr>
        <w:rFonts w:ascii="Courier New" w:hAnsi="Courier New" w:hint="default"/>
      </w:rPr>
    </w:lvl>
    <w:lvl w:ilvl="5" w:tplc="DF7AECFC" w:tentative="1">
      <w:start w:val="1"/>
      <w:numFmt w:val="bullet"/>
      <w:lvlText w:val=""/>
      <w:lvlJc w:val="left"/>
      <w:pPr>
        <w:ind w:left="4320" w:hanging="360"/>
      </w:pPr>
      <w:rPr>
        <w:rFonts w:ascii="Wingdings" w:hAnsi="Wingdings" w:hint="default"/>
      </w:rPr>
    </w:lvl>
    <w:lvl w:ilvl="6" w:tplc="06FC59DE" w:tentative="1">
      <w:start w:val="1"/>
      <w:numFmt w:val="bullet"/>
      <w:lvlText w:val=""/>
      <w:lvlJc w:val="left"/>
      <w:pPr>
        <w:ind w:left="5040" w:hanging="360"/>
      </w:pPr>
      <w:rPr>
        <w:rFonts w:ascii="Symbol" w:hAnsi="Symbol" w:hint="default"/>
      </w:rPr>
    </w:lvl>
    <w:lvl w:ilvl="7" w:tplc="01521A40" w:tentative="1">
      <w:start w:val="1"/>
      <w:numFmt w:val="bullet"/>
      <w:lvlText w:val="o"/>
      <w:lvlJc w:val="left"/>
      <w:pPr>
        <w:ind w:left="5760" w:hanging="360"/>
      </w:pPr>
      <w:rPr>
        <w:rFonts w:ascii="Courier New" w:hAnsi="Courier New" w:hint="default"/>
      </w:rPr>
    </w:lvl>
    <w:lvl w:ilvl="8" w:tplc="5F5CB658" w:tentative="1">
      <w:start w:val="1"/>
      <w:numFmt w:val="bullet"/>
      <w:lvlText w:val=""/>
      <w:lvlJc w:val="left"/>
      <w:pPr>
        <w:ind w:left="6480" w:hanging="360"/>
      </w:pPr>
      <w:rPr>
        <w:rFonts w:ascii="Wingdings" w:hAnsi="Wingdings" w:hint="default"/>
      </w:rPr>
    </w:lvl>
  </w:abstractNum>
  <w:abstractNum w:abstractNumId="33" w15:restartNumberingAfterBreak="0">
    <w:nsid w:val="26182B92"/>
    <w:multiLevelType w:val="hybridMultilevel"/>
    <w:tmpl w:val="85DCB44C"/>
    <w:lvl w:ilvl="0" w:tplc="E46E0EE0">
      <w:start w:val="1"/>
      <w:numFmt w:val="bullet"/>
      <w:lvlText w:val=""/>
      <w:lvlJc w:val="left"/>
      <w:pPr>
        <w:ind w:left="720" w:hanging="360"/>
      </w:pPr>
      <w:rPr>
        <w:rFonts w:ascii="Symbol" w:hAnsi="Symbol" w:hint="default"/>
      </w:rPr>
    </w:lvl>
    <w:lvl w:ilvl="1" w:tplc="233C010A" w:tentative="1">
      <w:start w:val="1"/>
      <w:numFmt w:val="bullet"/>
      <w:lvlText w:val="o"/>
      <w:lvlJc w:val="left"/>
      <w:pPr>
        <w:ind w:left="1440" w:hanging="360"/>
      </w:pPr>
      <w:rPr>
        <w:rFonts w:ascii="Courier New" w:hAnsi="Courier New" w:hint="default"/>
      </w:rPr>
    </w:lvl>
    <w:lvl w:ilvl="2" w:tplc="48A2CF7E" w:tentative="1">
      <w:start w:val="1"/>
      <w:numFmt w:val="bullet"/>
      <w:lvlText w:val=""/>
      <w:lvlJc w:val="left"/>
      <w:pPr>
        <w:ind w:left="2160" w:hanging="360"/>
      </w:pPr>
      <w:rPr>
        <w:rFonts w:ascii="Wingdings" w:hAnsi="Wingdings" w:hint="default"/>
      </w:rPr>
    </w:lvl>
    <w:lvl w:ilvl="3" w:tplc="D236E01E" w:tentative="1">
      <w:start w:val="1"/>
      <w:numFmt w:val="bullet"/>
      <w:lvlText w:val=""/>
      <w:lvlJc w:val="left"/>
      <w:pPr>
        <w:ind w:left="2880" w:hanging="360"/>
      </w:pPr>
      <w:rPr>
        <w:rFonts w:ascii="Symbol" w:hAnsi="Symbol" w:hint="default"/>
      </w:rPr>
    </w:lvl>
    <w:lvl w:ilvl="4" w:tplc="7EDC452E" w:tentative="1">
      <w:start w:val="1"/>
      <w:numFmt w:val="bullet"/>
      <w:lvlText w:val="o"/>
      <w:lvlJc w:val="left"/>
      <w:pPr>
        <w:ind w:left="3600" w:hanging="360"/>
      </w:pPr>
      <w:rPr>
        <w:rFonts w:ascii="Courier New" w:hAnsi="Courier New" w:hint="default"/>
      </w:rPr>
    </w:lvl>
    <w:lvl w:ilvl="5" w:tplc="42E6DDAC" w:tentative="1">
      <w:start w:val="1"/>
      <w:numFmt w:val="bullet"/>
      <w:lvlText w:val=""/>
      <w:lvlJc w:val="left"/>
      <w:pPr>
        <w:ind w:left="4320" w:hanging="360"/>
      </w:pPr>
      <w:rPr>
        <w:rFonts w:ascii="Wingdings" w:hAnsi="Wingdings" w:hint="default"/>
      </w:rPr>
    </w:lvl>
    <w:lvl w:ilvl="6" w:tplc="8EF61738" w:tentative="1">
      <w:start w:val="1"/>
      <w:numFmt w:val="bullet"/>
      <w:lvlText w:val=""/>
      <w:lvlJc w:val="left"/>
      <w:pPr>
        <w:ind w:left="5040" w:hanging="360"/>
      </w:pPr>
      <w:rPr>
        <w:rFonts w:ascii="Symbol" w:hAnsi="Symbol" w:hint="default"/>
      </w:rPr>
    </w:lvl>
    <w:lvl w:ilvl="7" w:tplc="0670758A" w:tentative="1">
      <w:start w:val="1"/>
      <w:numFmt w:val="bullet"/>
      <w:lvlText w:val="o"/>
      <w:lvlJc w:val="left"/>
      <w:pPr>
        <w:ind w:left="5760" w:hanging="360"/>
      </w:pPr>
      <w:rPr>
        <w:rFonts w:ascii="Courier New" w:hAnsi="Courier New" w:hint="default"/>
      </w:rPr>
    </w:lvl>
    <w:lvl w:ilvl="8" w:tplc="B6A8F904" w:tentative="1">
      <w:start w:val="1"/>
      <w:numFmt w:val="bullet"/>
      <w:lvlText w:val=""/>
      <w:lvlJc w:val="left"/>
      <w:pPr>
        <w:ind w:left="6480" w:hanging="360"/>
      </w:pPr>
      <w:rPr>
        <w:rFonts w:ascii="Wingdings" w:hAnsi="Wingdings" w:hint="default"/>
      </w:rPr>
    </w:lvl>
  </w:abstractNum>
  <w:abstractNum w:abstractNumId="34" w15:restartNumberingAfterBreak="0">
    <w:nsid w:val="28AC14CD"/>
    <w:multiLevelType w:val="hybridMultilevel"/>
    <w:tmpl w:val="3312C068"/>
    <w:lvl w:ilvl="0" w:tplc="934651DC">
      <w:start w:val="1"/>
      <w:numFmt w:val="decimal"/>
      <w:lvlText w:val="%1."/>
      <w:lvlJc w:val="left"/>
      <w:pPr>
        <w:ind w:left="720" w:hanging="360"/>
      </w:pPr>
    </w:lvl>
    <w:lvl w:ilvl="1" w:tplc="D624CEDC" w:tentative="1">
      <w:start w:val="1"/>
      <w:numFmt w:val="lowerLetter"/>
      <w:lvlText w:val="%2."/>
      <w:lvlJc w:val="left"/>
      <w:pPr>
        <w:ind w:left="1440" w:hanging="360"/>
      </w:pPr>
    </w:lvl>
    <w:lvl w:ilvl="2" w:tplc="890AEA3A" w:tentative="1">
      <w:start w:val="1"/>
      <w:numFmt w:val="lowerRoman"/>
      <w:lvlText w:val="%3."/>
      <w:lvlJc w:val="right"/>
      <w:pPr>
        <w:ind w:left="2160" w:hanging="180"/>
      </w:pPr>
    </w:lvl>
    <w:lvl w:ilvl="3" w:tplc="4D8C8DBC" w:tentative="1">
      <w:start w:val="1"/>
      <w:numFmt w:val="decimal"/>
      <w:lvlText w:val="%4."/>
      <w:lvlJc w:val="left"/>
      <w:pPr>
        <w:ind w:left="2880" w:hanging="360"/>
      </w:pPr>
    </w:lvl>
    <w:lvl w:ilvl="4" w:tplc="10D640E0" w:tentative="1">
      <w:start w:val="1"/>
      <w:numFmt w:val="lowerLetter"/>
      <w:lvlText w:val="%5."/>
      <w:lvlJc w:val="left"/>
      <w:pPr>
        <w:ind w:left="3600" w:hanging="360"/>
      </w:pPr>
    </w:lvl>
    <w:lvl w:ilvl="5" w:tplc="2668E5CC" w:tentative="1">
      <w:start w:val="1"/>
      <w:numFmt w:val="lowerRoman"/>
      <w:lvlText w:val="%6."/>
      <w:lvlJc w:val="right"/>
      <w:pPr>
        <w:ind w:left="4320" w:hanging="180"/>
      </w:pPr>
    </w:lvl>
    <w:lvl w:ilvl="6" w:tplc="5E10EFC2" w:tentative="1">
      <w:start w:val="1"/>
      <w:numFmt w:val="decimal"/>
      <w:lvlText w:val="%7."/>
      <w:lvlJc w:val="left"/>
      <w:pPr>
        <w:ind w:left="5040" w:hanging="360"/>
      </w:pPr>
    </w:lvl>
    <w:lvl w:ilvl="7" w:tplc="6EA8ADC6" w:tentative="1">
      <w:start w:val="1"/>
      <w:numFmt w:val="lowerLetter"/>
      <w:lvlText w:val="%8."/>
      <w:lvlJc w:val="left"/>
      <w:pPr>
        <w:ind w:left="5760" w:hanging="360"/>
      </w:pPr>
    </w:lvl>
    <w:lvl w:ilvl="8" w:tplc="35CADC8E" w:tentative="1">
      <w:start w:val="1"/>
      <w:numFmt w:val="lowerRoman"/>
      <w:lvlText w:val="%9."/>
      <w:lvlJc w:val="right"/>
      <w:pPr>
        <w:ind w:left="6480" w:hanging="180"/>
      </w:pPr>
    </w:lvl>
  </w:abstractNum>
  <w:abstractNum w:abstractNumId="35" w15:restartNumberingAfterBreak="0">
    <w:nsid w:val="2AD325B8"/>
    <w:multiLevelType w:val="multilevel"/>
    <w:tmpl w:val="F332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E0099F"/>
    <w:multiLevelType w:val="hybridMultilevel"/>
    <w:tmpl w:val="C88C1A5A"/>
    <w:lvl w:ilvl="0" w:tplc="F3E43BC0">
      <w:numFmt w:val="bullet"/>
      <w:lvlText w:val="-"/>
      <w:lvlJc w:val="left"/>
      <w:pPr>
        <w:ind w:left="720" w:hanging="360"/>
      </w:pPr>
      <w:rPr>
        <w:rFonts w:ascii="Arial" w:hAnsi="Arial" w:hint="default"/>
      </w:rPr>
    </w:lvl>
    <w:lvl w:ilvl="1" w:tplc="8D9E7498" w:tentative="1">
      <w:start w:val="1"/>
      <w:numFmt w:val="bullet"/>
      <w:lvlText w:val="o"/>
      <w:lvlJc w:val="left"/>
      <w:pPr>
        <w:ind w:left="1440" w:hanging="360"/>
      </w:pPr>
      <w:rPr>
        <w:rFonts w:ascii="Courier New" w:hAnsi="Courier New" w:hint="default"/>
      </w:rPr>
    </w:lvl>
    <w:lvl w:ilvl="2" w:tplc="6A5849A6" w:tentative="1">
      <w:start w:val="1"/>
      <w:numFmt w:val="bullet"/>
      <w:lvlText w:val=""/>
      <w:lvlJc w:val="left"/>
      <w:pPr>
        <w:ind w:left="2160" w:hanging="360"/>
      </w:pPr>
      <w:rPr>
        <w:rFonts w:ascii="Wingdings" w:hAnsi="Wingdings" w:hint="default"/>
      </w:rPr>
    </w:lvl>
    <w:lvl w:ilvl="3" w:tplc="B19E6E62" w:tentative="1">
      <w:start w:val="1"/>
      <w:numFmt w:val="bullet"/>
      <w:lvlText w:val=""/>
      <w:lvlJc w:val="left"/>
      <w:pPr>
        <w:ind w:left="2880" w:hanging="360"/>
      </w:pPr>
      <w:rPr>
        <w:rFonts w:ascii="Symbol" w:hAnsi="Symbol" w:hint="default"/>
      </w:rPr>
    </w:lvl>
    <w:lvl w:ilvl="4" w:tplc="12A24B7A" w:tentative="1">
      <w:start w:val="1"/>
      <w:numFmt w:val="bullet"/>
      <w:lvlText w:val="o"/>
      <w:lvlJc w:val="left"/>
      <w:pPr>
        <w:ind w:left="3600" w:hanging="360"/>
      </w:pPr>
      <w:rPr>
        <w:rFonts w:ascii="Courier New" w:hAnsi="Courier New" w:hint="default"/>
      </w:rPr>
    </w:lvl>
    <w:lvl w:ilvl="5" w:tplc="FE7EC310" w:tentative="1">
      <w:start w:val="1"/>
      <w:numFmt w:val="bullet"/>
      <w:lvlText w:val=""/>
      <w:lvlJc w:val="left"/>
      <w:pPr>
        <w:ind w:left="4320" w:hanging="360"/>
      </w:pPr>
      <w:rPr>
        <w:rFonts w:ascii="Wingdings" w:hAnsi="Wingdings" w:hint="default"/>
      </w:rPr>
    </w:lvl>
    <w:lvl w:ilvl="6" w:tplc="E7A2DCAA" w:tentative="1">
      <w:start w:val="1"/>
      <w:numFmt w:val="bullet"/>
      <w:lvlText w:val=""/>
      <w:lvlJc w:val="left"/>
      <w:pPr>
        <w:ind w:left="5040" w:hanging="360"/>
      </w:pPr>
      <w:rPr>
        <w:rFonts w:ascii="Symbol" w:hAnsi="Symbol" w:hint="default"/>
      </w:rPr>
    </w:lvl>
    <w:lvl w:ilvl="7" w:tplc="F192FD9A" w:tentative="1">
      <w:start w:val="1"/>
      <w:numFmt w:val="bullet"/>
      <w:lvlText w:val="o"/>
      <w:lvlJc w:val="left"/>
      <w:pPr>
        <w:ind w:left="5760" w:hanging="360"/>
      </w:pPr>
      <w:rPr>
        <w:rFonts w:ascii="Courier New" w:hAnsi="Courier New" w:hint="default"/>
      </w:rPr>
    </w:lvl>
    <w:lvl w:ilvl="8" w:tplc="B5EC91F2" w:tentative="1">
      <w:start w:val="1"/>
      <w:numFmt w:val="bullet"/>
      <w:lvlText w:val=""/>
      <w:lvlJc w:val="left"/>
      <w:pPr>
        <w:ind w:left="6480" w:hanging="360"/>
      </w:pPr>
      <w:rPr>
        <w:rFonts w:ascii="Wingdings" w:hAnsi="Wingdings" w:hint="default"/>
      </w:rPr>
    </w:lvl>
  </w:abstractNum>
  <w:abstractNum w:abstractNumId="37" w15:restartNumberingAfterBreak="0">
    <w:nsid w:val="2AF6604A"/>
    <w:multiLevelType w:val="hybridMultilevel"/>
    <w:tmpl w:val="6454570C"/>
    <w:lvl w:ilvl="0" w:tplc="D9A08C4E">
      <w:start w:val="1"/>
      <w:numFmt w:val="bullet"/>
      <w:lvlText w:val=""/>
      <w:lvlJc w:val="left"/>
      <w:pPr>
        <w:ind w:left="720" w:hanging="360"/>
      </w:pPr>
      <w:rPr>
        <w:rFonts w:ascii="Symbol" w:hAnsi="Symbol" w:hint="default"/>
      </w:rPr>
    </w:lvl>
    <w:lvl w:ilvl="1" w:tplc="2C16A68E" w:tentative="1">
      <w:start w:val="1"/>
      <w:numFmt w:val="bullet"/>
      <w:lvlText w:val="o"/>
      <w:lvlJc w:val="left"/>
      <w:pPr>
        <w:ind w:left="1440" w:hanging="360"/>
      </w:pPr>
      <w:rPr>
        <w:rFonts w:ascii="Courier New" w:hAnsi="Courier New" w:hint="default"/>
      </w:rPr>
    </w:lvl>
    <w:lvl w:ilvl="2" w:tplc="30CC4DF6" w:tentative="1">
      <w:start w:val="1"/>
      <w:numFmt w:val="bullet"/>
      <w:lvlText w:val=""/>
      <w:lvlJc w:val="left"/>
      <w:pPr>
        <w:ind w:left="2160" w:hanging="360"/>
      </w:pPr>
      <w:rPr>
        <w:rFonts w:ascii="Wingdings" w:hAnsi="Wingdings" w:hint="default"/>
      </w:rPr>
    </w:lvl>
    <w:lvl w:ilvl="3" w:tplc="6F989086" w:tentative="1">
      <w:start w:val="1"/>
      <w:numFmt w:val="bullet"/>
      <w:lvlText w:val=""/>
      <w:lvlJc w:val="left"/>
      <w:pPr>
        <w:ind w:left="2880" w:hanging="360"/>
      </w:pPr>
      <w:rPr>
        <w:rFonts w:ascii="Symbol" w:hAnsi="Symbol" w:hint="default"/>
      </w:rPr>
    </w:lvl>
    <w:lvl w:ilvl="4" w:tplc="0D164970" w:tentative="1">
      <w:start w:val="1"/>
      <w:numFmt w:val="bullet"/>
      <w:lvlText w:val="o"/>
      <w:lvlJc w:val="left"/>
      <w:pPr>
        <w:ind w:left="3600" w:hanging="360"/>
      </w:pPr>
      <w:rPr>
        <w:rFonts w:ascii="Courier New" w:hAnsi="Courier New" w:hint="default"/>
      </w:rPr>
    </w:lvl>
    <w:lvl w:ilvl="5" w:tplc="BD8667BE" w:tentative="1">
      <w:start w:val="1"/>
      <w:numFmt w:val="bullet"/>
      <w:lvlText w:val=""/>
      <w:lvlJc w:val="left"/>
      <w:pPr>
        <w:ind w:left="4320" w:hanging="360"/>
      </w:pPr>
      <w:rPr>
        <w:rFonts w:ascii="Wingdings" w:hAnsi="Wingdings" w:hint="default"/>
      </w:rPr>
    </w:lvl>
    <w:lvl w:ilvl="6" w:tplc="7242AECA" w:tentative="1">
      <w:start w:val="1"/>
      <w:numFmt w:val="bullet"/>
      <w:lvlText w:val=""/>
      <w:lvlJc w:val="left"/>
      <w:pPr>
        <w:ind w:left="5040" w:hanging="360"/>
      </w:pPr>
      <w:rPr>
        <w:rFonts w:ascii="Symbol" w:hAnsi="Symbol" w:hint="default"/>
      </w:rPr>
    </w:lvl>
    <w:lvl w:ilvl="7" w:tplc="E71807B8" w:tentative="1">
      <w:start w:val="1"/>
      <w:numFmt w:val="bullet"/>
      <w:lvlText w:val="o"/>
      <w:lvlJc w:val="left"/>
      <w:pPr>
        <w:ind w:left="5760" w:hanging="360"/>
      </w:pPr>
      <w:rPr>
        <w:rFonts w:ascii="Courier New" w:hAnsi="Courier New" w:hint="default"/>
      </w:rPr>
    </w:lvl>
    <w:lvl w:ilvl="8" w:tplc="93AA491E" w:tentative="1">
      <w:start w:val="1"/>
      <w:numFmt w:val="bullet"/>
      <w:lvlText w:val=""/>
      <w:lvlJc w:val="left"/>
      <w:pPr>
        <w:ind w:left="6480" w:hanging="360"/>
      </w:pPr>
      <w:rPr>
        <w:rFonts w:ascii="Wingdings" w:hAnsi="Wingdings" w:hint="default"/>
      </w:rPr>
    </w:lvl>
  </w:abstractNum>
  <w:abstractNum w:abstractNumId="38" w15:restartNumberingAfterBreak="0">
    <w:nsid w:val="2DFB2F14"/>
    <w:multiLevelType w:val="hybridMultilevel"/>
    <w:tmpl w:val="B4F234D2"/>
    <w:lvl w:ilvl="0" w:tplc="109A3A60">
      <w:start w:val="1"/>
      <w:numFmt w:val="decimal"/>
      <w:lvlText w:val="%1."/>
      <w:lvlJc w:val="left"/>
      <w:pPr>
        <w:ind w:left="720" w:hanging="360"/>
      </w:pPr>
      <w:rPr>
        <w:color w:val="000000" w:themeColor="text1"/>
        <w:sz w:val="22"/>
      </w:rPr>
    </w:lvl>
    <w:lvl w:ilvl="1" w:tplc="FFD67D62" w:tentative="1">
      <w:start w:val="1"/>
      <w:numFmt w:val="lowerLetter"/>
      <w:lvlText w:val="%2."/>
      <w:lvlJc w:val="left"/>
      <w:pPr>
        <w:ind w:left="1440" w:hanging="360"/>
      </w:pPr>
    </w:lvl>
    <w:lvl w:ilvl="2" w:tplc="9FA64698" w:tentative="1">
      <w:start w:val="1"/>
      <w:numFmt w:val="lowerRoman"/>
      <w:lvlText w:val="%3."/>
      <w:lvlJc w:val="right"/>
      <w:pPr>
        <w:ind w:left="2160" w:hanging="180"/>
      </w:pPr>
    </w:lvl>
    <w:lvl w:ilvl="3" w:tplc="C12C2826" w:tentative="1">
      <w:start w:val="1"/>
      <w:numFmt w:val="decimal"/>
      <w:lvlText w:val="%4."/>
      <w:lvlJc w:val="left"/>
      <w:pPr>
        <w:ind w:left="2880" w:hanging="360"/>
      </w:pPr>
    </w:lvl>
    <w:lvl w:ilvl="4" w:tplc="BEAAF60A" w:tentative="1">
      <w:start w:val="1"/>
      <w:numFmt w:val="lowerLetter"/>
      <w:lvlText w:val="%5."/>
      <w:lvlJc w:val="left"/>
      <w:pPr>
        <w:ind w:left="3600" w:hanging="360"/>
      </w:pPr>
    </w:lvl>
    <w:lvl w:ilvl="5" w:tplc="A6466C26" w:tentative="1">
      <w:start w:val="1"/>
      <w:numFmt w:val="lowerRoman"/>
      <w:lvlText w:val="%6."/>
      <w:lvlJc w:val="right"/>
      <w:pPr>
        <w:ind w:left="4320" w:hanging="180"/>
      </w:pPr>
    </w:lvl>
    <w:lvl w:ilvl="6" w:tplc="6E5C4488" w:tentative="1">
      <w:start w:val="1"/>
      <w:numFmt w:val="decimal"/>
      <w:lvlText w:val="%7."/>
      <w:lvlJc w:val="left"/>
      <w:pPr>
        <w:ind w:left="5040" w:hanging="360"/>
      </w:pPr>
    </w:lvl>
    <w:lvl w:ilvl="7" w:tplc="6FF47DA6" w:tentative="1">
      <w:start w:val="1"/>
      <w:numFmt w:val="lowerLetter"/>
      <w:lvlText w:val="%8."/>
      <w:lvlJc w:val="left"/>
      <w:pPr>
        <w:ind w:left="5760" w:hanging="360"/>
      </w:pPr>
    </w:lvl>
    <w:lvl w:ilvl="8" w:tplc="B6CEACCC" w:tentative="1">
      <w:start w:val="1"/>
      <w:numFmt w:val="lowerRoman"/>
      <w:lvlText w:val="%9."/>
      <w:lvlJc w:val="right"/>
      <w:pPr>
        <w:ind w:left="6480" w:hanging="180"/>
      </w:pPr>
    </w:lvl>
  </w:abstractNum>
  <w:abstractNum w:abstractNumId="39" w15:restartNumberingAfterBreak="0">
    <w:nsid w:val="2FF04AF1"/>
    <w:multiLevelType w:val="hybridMultilevel"/>
    <w:tmpl w:val="AE101224"/>
    <w:lvl w:ilvl="0" w:tplc="58D08FC2">
      <w:start w:val="1"/>
      <w:numFmt w:val="decimal"/>
      <w:lvlText w:val="%1."/>
      <w:lvlJc w:val="left"/>
      <w:pPr>
        <w:ind w:left="720" w:hanging="360"/>
      </w:pPr>
    </w:lvl>
    <w:lvl w:ilvl="1" w:tplc="ACB40D6A" w:tentative="1">
      <w:start w:val="1"/>
      <w:numFmt w:val="lowerLetter"/>
      <w:lvlText w:val="%2."/>
      <w:lvlJc w:val="left"/>
      <w:pPr>
        <w:ind w:left="1440" w:hanging="360"/>
      </w:pPr>
    </w:lvl>
    <w:lvl w:ilvl="2" w:tplc="0164C242" w:tentative="1">
      <w:start w:val="1"/>
      <w:numFmt w:val="lowerRoman"/>
      <w:lvlText w:val="%3."/>
      <w:lvlJc w:val="right"/>
      <w:pPr>
        <w:ind w:left="2160" w:hanging="180"/>
      </w:pPr>
    </w:lvl>
    <w:lvl w:ilvl="3" w:tplc="1332E26E" w:tentative="1">
      <w:start w:val="1"/>
      <w:numFmt w:val="decimal"/>
      <w:lvlText w:val="%4."/>
      <w:lvlJc w:val="left"/>
      <w:pPr>
        <w:ind w:left="2880" w:hanging="360"/>
      </w:pPr>
    </w:lvl>
    <w:lvl w:ilvl="4" w:tplc="400C920A" w:tentative="1">
      <w:start w:val="1"/>
      <w:numFmt w:val="lowerLetter"/>
      <w:lvlText w:val="%5."/>
      <w:lvlJc w:val="left"/>
      <w:pPr>
        <w:ind w:left="3600" w:hanging="360"/>
      </w:pPr>
    </w:lvl>
    <w:lvl w:ilvl="5" w:tplc="085886EC" w:tentative="1">
      <w:start w:val="1"/>
      <w:numFmt w:val="lowerRoman"/>
      <w:lvlText w:val="%6."/>
      <w:lvlJc w:val="right"/>
      <w:pPr>
        <w:ind w:left="4320" w:hanging="180"/>
      </w:pPr>
    </w:lvl>
    <w:lvl w:ilvl="6" w:tplc="A636D814" w:tentative="1">
      <w:start w:val="1"/>
      <w:numFmt w:val="decimal"/>
      <w:lvlText w:val="%7."/>
      <w:lvlJc w:val="left"/>
      <w:pPr>
        <w:ind w:left="5040" w:hanging="360"/>
      </w:pPr>
    </w:lvl>
    <w:lvl w:ilvl="7" w:tplc="36DAB750" w:tentative="1">
      <w:start w:val="1"/>
      <w:numFmt w:val="lowerLetter"/>
      <w:lvlText w:val="%8."/>
      <w:lvlJc w:val="left"/>
      <w:pPr>
        <w:ind w:left="5760" w:hanging="360"/>
      </w:pPr>
    </w:lvl>
    <w:lvl w:ilvl="8" w:tplc="07521BD4" w:tentative="1">
      <w:start w:val="1"/>
      <w:numFmt w:val="lowerRoman"/>
      <w:lvlText w:val="%9."/>
      <w:lvlJc w:val="right"/>
      <w:pPr>
        <w:ind w:left="6480" w:hanging="180"/>
      </w:pPr>
    </w:lvl>
  </w:abstractNum>
  <w:abstractNum w:abstractNumId="40" w15:restartNumberingAfterBreak="0">
    <w:nsid w:val="31566672"/>
    <w:multiLevelType w:val="multilevel"/>
    <w:tmpl w:val="CBA6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FC4663"/>
    <w:multiLevelType w:val="hybridMultilevel"/>
    <w:tmpl w:val="F6942C1A"/>
    <w:lvl w:ilvl="0" w:tplc="0316B49A">
      <w:start w:val="1"/>
      <w:numFmt w:val="bullet"/>
      <w:lvlText w:val=""/>
      <w:lvlJc w:val="left"/>
      <w:pPr>
        <w:ind w:left="720" w:hanging="360"/>
      </w:pPr>
      <w:rPr>
        <w:rFonts w:ascii="Symbol" w:hAnsi="Symbol" w:hint="default"/>
      </w:rPr>
    </w:lvl>
    <w:lvl w:ilvl="1" w:tplc="257A167C" w:tentative="1">
      <w:start w:val="1"/>
      <w:numFmt w:val="bullet"/>
      <w:lvlText w:val="o"/>
      <w:lvlJc w:val="left"/>
      <w:pPr>
        <w:ind w:left="1440" w:hanging="360"/>
      </w:pPr>
      <w:rPr>
        <w:rFonts w:ascii="Courier New" w:hAnsi="Courier New" w:hint="default"/>
      </w:rPr>
    </w:lvl>
    <w:lvl w:ilvl="2" w:tplc="FD02F954" w:tentative="1">
      <w:start w:val="1"/>
      <w:numFmt w:val="bullet"/>
      <w:lvlText w:val=""/>
      <w:lvlJc w:val="left"/>
      <w:pPr>
        <w:ind w:left="2160" w:hanging="360"/>
      </w:pPr>
      <w:rPr>
        <w:rFonts w:ascii="Wingdings" w:hAnsi="Wingdings" w:hint="default"/>
      </w:rPr>
    </w:lvl>
    <w:lvl w:ilvl="3" w:tplc="C99C0B2A" w:tentative="1">
      <w:start w:val="1"/>
      <w:numFmt w:val="bullet"/>
      <w:lvlText w:val=""/>
      <w:lvlJc w:val="left"/>
      <w:pPr>
        <w:ind w:left="2880" w:hanging="360"/>
      </w:pPr>
      <w:rPr>
        <w:rFonts w:ascii="Symbol" w:hAnsi="Symbol" w:hint="default"/>
      </w:rPr>
    </w:lvl>
    <w:lvl w:ilvl="4" w:tplc="B6940098" w:tentative="1">
      <w:start w:val="1"/>
      <w:numFmt w:val="bullet"/>
      <w:lvlText w:val="o"/>
      <w:lvlJc w:val="left"/>
      <w:pPr>
        <w:ind w:left="3600" w:hanging="360"/>
      </w:pPr>
      <w:rPr>
        <w:rFonts w:ascii="Courier New" w:hAnsi="Courier New" w:hint="default"/>
      </w:rPr>
    </w:lvl>
    <w:lvl w:ilvl="5" w:tplc="221CF54C" w:tentative="1">
      <w:start w:val="1"/>
      <w:numFmt w:val="bullet"/>
      <w:lvlText w:val=""/>
      <w:lvlJc w:val="left"/>
      <w:pPr>
        <w:ind w:left="4320" w:hanging="360"/>
      </w:pPr>
      <w:rPr>
        <w:rFonts w:ascii="Wingdings" w:hAnsi="Wingdings" w:hint="default"/>
      </w:rPr>
    </w:lvl>
    <w:lvl w:ilvl="6" w:tplc="179C0F3A" w:tentative="1">
      <w:start w:val="1"/>
      <w:numFmt w:val="bullet"/>
      <w:lvlText w:val=""/>
      <w:lvlJc w:val="left"/>
      <w:pPr>
        <w:ind w:left="5040" w:hanging="360"/>
      </w:pPr>
      <w:rPr>
        <w:rFonts w:ascii="Symbol" w:hAnsi="Symbol" w:hint="default"/>
      </w:rPr>
    </w:lvl>
    <w:lvl w:ilvl="7" w:tplc="768AE676" w:tentative="1">
      <w:start w:val="1"/>
      <w:numFmt w:val="bullet"/>
      <w:lvlText w:val="o"/>
      <w:lvlJc w:val="left"/>
      <w:pPr>
        <w:ind w:left="5760" w:hanging="360"/>
      </w:pPr>
      <w:rPr>
        <w:rFonts w:ascii="Courier New" w:hAnsi="Courier New" w:hint="default"/>
      </w:rPr>
    </w:lvl>
    <w:lvl w:ilvl="8" w:tplc="FFA619E8" w:tentative="1">
      <w:start w:val="1"/>
      <w:numFmt w:val="bullet"/>
      <w:lvlText w:val=""/>
      <w:lvlJc w:val="left"/>
      <w:pPr>
        <w:ind w:left="6480" w:hanging="360"/>
      </w:pPr>
      <w:rPr>
        <w:rFonts w:ascii="Wingdings" w:hAnsi="Wingdings" w:hint="default"/>
      </w:rPr>
    </w:lvl>
  </w:abstractNum>
  <w:abstractNum w:abstractNumId="42" w15:restartNumberingAfterBreak="0">
    <w:nsid w:val="32A762FA"/>
    <w:multiLevelType w:val="hybridMultilevel"/>
    <w:tmpl w:val="C3261E76"/>
    <w:lvl w:ilvl="0" w:tplc="97C4C476">
      <w:start w:val="1"/>
      <w:numFmt w:val="bullet"/>
      <w:lvlText w:val=""/>
      <w:lvlJc w:val="left"/>
      <w:pPr>
        <w:ind w:left="720" w:hanging="360"/>
      </w:pPr>
      <w:rPr>
        <w:rFonts w:ascii="Symbol" w:hAnsi="Symbol" w:hint="default"/>
      </w:rPr>
    </w:lvl>
    <w:lvl w:ilvl="1" w:tplc="9558D530" w:tentative="1">
      <w:start w:val="1"/>
      <w:numFmt w:val="bullet"/>
      <w:lvlText w:val="o"/>
      <w:lvlJc w:val="left"/>
      <w:pPr>
        <w:ind w:left="1440" w:hanging="360"/>
      </w:pPr>
      <w:rPr>
        <w:rFonts w:ascii="Courier New" w:hAnsi="Courier New" w:hint="default"/>
      </w:rPr>
    </w:lvl>
    <w:lvl w:ilvl="2" w:tplc="4F90B4E4" w:tentative="1">
      <w:start w:val="1"/>
      <w:numFmt w:val="bullet"/>
      <w:lvlText w:val=""/>
      <w:lvlJc w:val="left"/>
      <w:pPr>
        <w:ind w:left="2160" w:hanging="360"/>
      </w:pPr>
      <w:rPr>
        <w:rFonts w:ascii="Wingdings" w:hAnsi="Wingdings" w:hint="default"/>
      </w:rPr>
    </w:lvl>
    <w:lvl w:ilvl="3" w:tplc="3710DA3C" w:tentative="1">
      <w:start w:val="1"/>
      <w:numFmt w:val="bullet"/>
      <w:lvlText w:val=""/>
      <w:lvlJc w:val="left"/>
      <w:pPr>
        <w:ind w:left="2880" w:hanging="360"/>
      </w:pPr>
      <w:rPr>
        <w:rFonts w:ascii="Symbol" w:hAnsi="Symbol" w:hint="default"/>
      </w:rPr>
    </w:lvl>
    <w:lvl w:ilvl="4" w:tplc="C84EF7B8" w:tentative="1">
      <w:start w:val="1"/>
      <w:numFmt w:val="bullet"/>
      <w:lvlText w:val="o"/>
      <w:lvlJc w:val="left"/>
      <w:pPr>
        <w:ind w:left="3600" w:hanging="360"/>
      </w:pPr>
      <w:rPr>
        <w:rFonts w:ascii="Courier New" w:hAnsi="Courier New" w:hint="default"/>
      </w:rPr>
    </w:lvl>
    <w:lvl w:ilvl="5" w:tplc="FF46E294" w:tentative="1">
      <w:start w:val="1"/>
      <w:numFmt w:val="bullet"/>
      <w:lvlText w:val=""/>
      <w:lvlJc w:val="left"/>
      <w:pPr>
        <w:ind w:left="4320" w:hanging="360"/>
      </w:pPr>
      <w:rPr>
        <w:rFonts w:ascii="Wingdings" w:hAnsi="Wingdings" w:hint="default"/>
      </w:rPr>
    </w:lvl>
    <w:lvl w:ilvl="6" w:tplc="CC90650C" w:tentative="1">
      <w:start w:val="1"/>
      <w:numFmt w:val="bullet"/>
      <w:lvlText w:val=""/>
      <w:lvlJc w:val="left"/>
      <w:pPr>
        <w:ind w:left="5040" w:hanging="360"/>
      </w:pPr>
      <w:rPr>
        <w:rFonts w:ascii="Symbol" w:hAnsi="Symbol" w:hint="default"/>
      </w:rPr>
    </w:lvl>
    <w:lvl w:ilvl="7" w:tplc="183C20AA" w:tentative="1">
      <w:start w:val="1"/>
      <w:numFmt w:val="bullet"/>
      <w:lvlText w:val="o"/>
      <w:lvlJc w:val="left"/>
      <w:pPr>
        <w:ind w:left="5760" w:hanging="360"/>
      </w:pPr>
      <w:rPr>
        <w:rFonts w:ascii="Courier New" w:hAnsi="Courier New" w:hint="default"/>
      </w:rPr>
    </w:lvl>
    <w:lvl w:ilvl="8" w:tplc="7166EAF8" w:tentative="1">
      <w:start w:val="1"/>
      <w:numFmt w:val="bullet"/>
      <w:lvlText w:val=""/>
      <w:lvlJc w:val="left"/>
      <w:pPr>
        <w:ind w:left="6480" w:hanging="360"/>
      </w:pPr>
      <w:rPr>
        <w:rFonts w:ascii="Wingdings" w:hAnsi="Wingdings" w:hint="default"/>
      </w:rPr>
    </w:lvl>
  </w:abstractNum>
  <w:abstractNum w:abstractNumId="43" w15:restartNumberingAfterBreak="0">
    <w:nsid w:val="33DF23D1"/>
    <w:multiLevelType w:val="hybridMultilevel"/>
    <w:tmpl w:val="2DF8D7E6"/>
    <w:lvl w:ilvl="0" w:tplc="4C862500">
      <w:start w:val="1"/>
      <w:numFmt w:val="decimal"/>
      <w:lvlText w:val="%1."/>
      <w:lvlJc w:val="left"/>
      <w:pPr>
        <w:ind w:left="751" w:hanging="360"/>
      </w:pPr>
    </w:lvl>
    <w:lvl w:ilvl="1" w:tplc="C458E708">
      <w:start w:val="1"/>
      <w:numFmt w:val="lowerLetter"/>
      <w:lvlText w:val="%2."/>
      <w:lvlJc w:val="left"/>
      <w:pPr>
        <w:ind w:left="1471" w:hanging="360"/>
      </w:pPr>
    </w:lvl>
    <w:lvl w:ilvl="2" w:tplc="C5A0066E">
      <w:start w:val="1"/>
      <w:numFmt w:val="lowerRoman"/>
      <w:lvlText w:val="%3."/>
      <w:lvlJc w:val="right"/>
      <w:pPr>
        <w:ind w:left="2191" w:hanging="180"/>
      </w:pPr>
    </w:lvl>
    <w:lvl w:ilvl="3" w:tplc="126C3194">
      <w:start w:val="1"/>
      <w:numFmt w:val="decimal"/>
      <w:lvlText w:val="%4."/>
      <w:lvlJc w:val="left"/>
      <w:pPr>
        <w:ind w:left="2911" w:hanging="360"/>
      </w:pPr>
    </w:lvl>
    <w:lvl w:ilvl="4" w:tplc="42A88A40">
      <w:start w:val="1"/>
      <w:numFmt w:val="lowerLetter"/>
      <w:lvlText w:val="%5."/>
      <w:lvlJc w:val="left"/>
      <w:pPr>
        <w:ind w:left="3631" w:hanging="360"/>
      </w:pPr>
    </w:lvl>
    <w:lvl w:ilvl="5" w:tplc="5A8AB43C">
      <w:start w:val="1"/>
      <w:numFmt w:val="lowerRoman"/>
      <w:lvlText w:val="%6."/>
      <w:lvlJc w:val="right"/>
      <w:pPr>
        <w:ind w:left="4351" w:hanging="180"/>
      </w:pPr>
    </w:lvl>
    <w:lvl w:ilvl="6" w:tplc="08A2A872">
      <w:start w:val="1"/>
      <w:numFmt w:val="decimal"/>
      <w:lvlText w:val="%7."/>
      <w:lvlJc w:val="left"/>
      <w:pPr>
        <w:ind w:left="5071" w:hanging="360"/>
      </w:pPr>
    </w:lvl>
    <w:lvl w:ilvl="7" w:tplc="8BAE0996">
      <w:start w:val="1"/>
      <w:numFmt w:val="lowerLetter"/>
      <w:lvlText w:val="%8."/>
      <w:lvlJc w:val="left"/>
      <w:pPr>
        <w:ind w:left="5791" w:hanging="360"/>
      </w:pPr>
    </w:lvl>
    <w:lvl w:ilvl="8" w:tplc="193428DC">
      <w:start w:val="1"/>
      <w:numFmt w:val="lowerRoman"/>
      <w:lvlText w:val="%9."/>
      <w:lvlJc w:val="right"/>
      <w:pPr>
        <w:ind w:left="6511" w:hanging="180"/>
      </w:pPr>
    </w:lvl>
  </w:abstractNum>
  <w:abstractNum w:abstractNumId="44" w15:restartNumberingAfterBreak="0">
    <w:nsid w:val="35721DA5"/>
    <w:multiLevelType w:val="hybridMultilevel"/>
    <w:tmpl w:val="0F72F662"/>
    <w:lvl w:ilvl="0" w:tplc="5A5ABE1E">
      <w:start w:val="1"/>
      <w:numFmt w:val="bullet"/>
      <w:lvlText w:val=""/>
      <w:lvlJc w:val="left"/>
      <w:pPr>
        <w:ind w:left="360" w:hanging="360"/>
      </w:pPr>
      <w:rPr>
        <w:rFonts w:ascii="Symbol" w:hAnsi="Symbol" w:hint="default"/>
      </w:rPr>
    </w:lvl>
    <w:lvl w:ilvl="1" w:tplc="0BE2424C" w:tentative="1">
      <w:start w:val="1"/>
      <w:numFmt w:val="bullet"/>
      <w:lvlText w:val="o"/>
      <w:lvlJc w:val="left"/>
      <w:pPr>
        <w:ind w:left="1080" w:hanging="360"/>
      </w:pPr>
      <w:rPr>
        <w:rFonts w:ascii="Courier New" w:hAnsi="Courier New" w:hint="default"/>
      </w:rPr>
    </w:lvl>
    <w:lvl w:ilvl="2" w:tplc="BFBC2148" w:tentative="1">
      <w:start w:val="1"/>
      <w:numFmt w:val="bullet"/>
      <w:lvlText w:val=""/>
      <w:lvlJc w:val="left"/>
      <w:pPr>
        <w:ind w:left="1800" w:hanging="360"/>
      </w:pPr>
      <w:rPr>
        <w:rFonts w:ascii="Wingdings" w:hAnsi="Wingdings" w:hint="default"/>
      </w:rPr>
    </w:lvl>
    <w:lvl w:ilvl="3" w:tplc="2864FA9A" w:tentative="1">
      <w:start w:val="1"/>
      <w:numFmt w:val="bullet"/>
      <w:lvlText w:val=""/>
      <w:lvlJc w:val="left"/>
      <w:pPr>
        <w:ind w:left="2520" w:hanging="360"/>
      </w:pPr>
      <w:rPr>
        <w:rFonts w:ascii="Symbol" w:hAnsi="Symbol" w:hint="default"/>
      </w:rPr>
    </w:lvl>
    <w:lvl w:ilvl="4" w:tplc="9E64D070" w:tentative="1">
      <w:start w:val="1"/>
      <w:numFmt w:val="bullet"/>
      <w:lvlText w:val="o"/>
      <w:lvlJc w:val="left"/>
      <w:pPr>
        <w:ind w:left="3240" w:hanging="360"/>
      </w:pPr>
      <w:rPr>
        <w:rFonts w:ascii="Courier New" w:hAnsi="Courier New" w:hint="default"/>
      </w:rPr>
    </w:lvl>
    <w:lvl w:ilvl="5" w:tplc="F6247606" w:tentative="1">
      <w:start w:val="1"/>
      <w:numFmt w:val="bullet"/>
      <w:lvlText w:val=""/>
      <w:lvlJc w:val="left"/>
      <w:pPr>
        <w:ind w:left="3960" w:hanging="360"/>
      </w:pPr>
      <w:rPr>
        <w:rFonts w:ascii="Wingdings" w:hAnsi="Wingdings" w:hint="default"/>
      </w:rPr>
    </w:lvl>
    <w:lvl w:ilvl="6" w:tplc="5934951A" w:tentative="1">
      <w:start w:val="1"/>
      <w:numFmt w:val="bullet"/>
      <w:lvlText w:val=""/>
      <w:lvlJc w:val="left"/>
      <w:pPr>
        <w:ind w:left="4680" w:hanging="360"/>
      </w:pPr>
      <w:rPr>
        <w:rFonts w:ascii="Symbol" w:hAnsi="Symbol" w:hint="default"/>
      </w:rPr>
    </w:lvl>
    <w:lvl w:ilvl="7" w:tplc="6A942802" w:tentative="1">
      <w:start w:val="1"/>
      <w:numFmt w:val="bullet"/>
      <w:lvlText w:val="o"/>
      <w:lvlJc w:val="left"/>
      <w:pPr>
        <w:ind w:left="5400" w:hanging="360"/>
      </w:pPr>
      <w:rPr>
        <w:rFonts w:ascii="Courier New" w:hAnsi="Courier New" w:hint="default"/>
      </w:rPr>
    </w:lvl>
    <w:lvl w:ilvl="8" w:tplc="35D48862" w:tentative="1">
      <w:start w:val="1"/>
      <w:numFmt w:val="bullet"/>
      <w:lvlText w:val=""/>
      <w:lvlJc w:val="left"/>
      <w:pPr>
        <w:ind w:left="6120" w:hanging="360"/>
      </w:pPr>
      <w:rPr>
        <w:rFonts w:ascii="Wingdings" w:hAnsi="Wingdings" w:hint="default"/>
      </w:rPr>
    </w:lvl>
  </w:abstractNum>
  <w:abstractNum w:abstractNumId="45" w15:restartNumberingAfterBreak="0">
    <w:nsid w:val="38694B5A"/>
    <w:multiLevelType w:val="hybridMultilevel"/>
    <w:tmpl w:val="F1BC6A66"/>
    <w:lvl w:ilvl="0" w:tplc="A52CFBB0">
      <w:start w:val="1"/>
      <w:numFmt w:val="bullet"/>
      <w:lvlText w:val=""/>
      <w:lvlJc w:val="left"/>
      <w:pPr>
        <w:ind w:left="1080" w:hanging="360"/>
      </w:pPr>
      <w:rPr>
        <w:rFonts w:ascii="Symbol" w:hAnsi="Symbol" w:hint="default"/>
      </w:rPr>
    </w:lvl>
    <w:lvl w:ilvl="1" w:tplc="12C0CE44" w:tentative="1">
      <w:start w:val="1"/>
      <w:numFmt w:val="bullet"/>
      <w:lvlText w:val="o"/>
      <w:lvlJc w:val="left"/>
      <w:pPr>
        <w:ind w:left="1800" w:hanging="360"/>
      </w:pPr>
      <w:rPr>
        <w:rFonts w:ascii="Courier New" w:hAnsi="Courier New" w:hint="default"/>
      </w:rPr>
    </w:lvl>
    <w:lvl w:ilvl="2" w:tplc="9D5C7700" w:tentative="1">
      <w:start w:val="1"/>
      <w:numFmt w:val="bullet"/>
      <w:lvlText w:val=""/>
      <w:lvlJc w:val="left"/>
      <w:pPr>
        <w:ind w:left="2520" w:hanging="360"/>
      </w:pPr>
      <w:rPr>
        <w:rFonts w:ascii="Wingdings" w:hAnsi="Wingdings" w:hint="default"/>
      </w:rPr>
    </w:lvl>
    <w:lvl w:ilvl="3" w:tplc="DE867ED2" w:tentative="1">
      <w:start w:val="1"/>
      <w:numFmt w:val="bullet"/>
      <w:lvlText w:val=""/>
      <w:lvlJc w:val="left"/>
      <w:pPr>
        <w:ind w:left="3240" w:hanging="360"/>
      </w:pPr>
      <w:rPr>
        <w:rFonts w:ascii="Symbol" w:hAnsi="Symbol" w:hint="default"/>
      </w:rPr>
    </w:lvl>
    <w:lvl w:ilvl="4" w:tplc="AE183DEA" w:tentative="1">
      <w:start w:val="1"/>
      <w:numFmt w:val="bullet"/>
      <w:lvlText w:val="o"/>
      <w:lvlJc w:val="left"/>
      <w:pPr>
        <w:ind w:left="3960" w:hanging="360"/>
      </w:pPr>
      <w:rPr>
        <w:rFonts w:ascii="Courier New" w:hAnsi="Courier New" w:hint="default"/>
      </w:rPr>
    </w:lvl>
    <w:lvl w:ilvl="5" w:tplc="8D0802EE" w:tentative="1">
      <w:start w:val="1"/>
      <w:numFmt w:val="bullet"/>
      <w:lvlText w:val=""/>
      <w:lvlJc w:val="left"/>
      <w:pPr>
        <w:ind w:left="4680" w:hanging="360"/>
      </w:pPr>
      <w:rPr>
        <w:rFonts w:ascii="Wingdings" w:hAnsi="Wingdings" w:hint="default"/>
      </w:rPr>
    </w:lvl>
    <w:lvl w:ilvl="6" w:tplc="D7C40988" w:tentative="1">
      <w:start w:val="1"/>
      <w:numFmt w:val="bullet"/>
      <w:lvlText w:val=""/>
      <w:lvlJc w:val="left"/>
      <w:pPr>
        <w:ind w:left="5400" w:hanging="360"/>
      </w:pPr>
      <w:rPr>
        <w:rFonts w:ascii="Symbol" w:hAnsi="Symbol" w:hint="default"/>
      </w:rPr>
    </w:lvl>
    <w:lvl w:ilvl="7" w:tplc="22300482" w:tentative="1">
      <w:start w:val="1"/>
      <w:numFmt w:val="bullet"/>
      <w:lvlText w:val="o"/>
      <w:lvlJc w:val="left"/>
      <w:pPr>
        <w:ind w:left="6120" w:hanging="360"/>
      </w:pPr>
      <w:rPr>
        <w:rFonts w:ascii="Courier New" w:hAnsi="Courier New" w:hint="default"/>
      </w:rPr>
    </w:lvl>
    <w:lvl w:ilvl="8" w:tplc="34FC22FC" w:tentative="1">
      <w:start w:val="1"/>
      <w:numFmt w:val="bullet"/>
      <w:lvlText w:val=""/>
      <w:lvlJc w:val="left"/>
      <w:pPr>
        <w:ind w:left="6840" w:hanging="360"/>
      </w:pPr>
      <w:rPr>
        <w:rFonts w:ascii="Wingdings" w:hAnsi="Wingdings" w:hint="default"/>
      </w:rPr>
    </w:lvl>
  </w:abstractNum>
  <w:abstractNum w:abstractNumId="46" w15:restartNumberingAfterBreak="0">
    <w:nsid w:val="38E31DA6"/>
    <w:multiLevelType w:val="multilevel"/>
    <w:tmpl w:val="25AA7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F53D03"/>
    <w:multiLevelType w:val="hybridMultilevel"/>
    <w:tmpl w:val="9948ECBA"/>
    <w:lvl w:ilvl="0" w:tplc="973665E0">
      <w:start w:val="1"/>
      <w:numFmt w:val="bullet"/>
      <w:lvlText w:val=""/>
      <w:lvlJc w:val="left"/>
      <w:pPr>
        <w:ind w:left="720" w:hanging="360"/>
      </w:pPr>
      <w:rPr>
        <w:rFonts w:ascii="Symbol" w:hAnsi="Symbol" w:hint="default"/>
      </w:rPr>
    </w:lvl>
    <w:lvl w:ilvl="1" w:tplc="C706D11C" w:tentative="1">
      <w:start w:val="1"/>
      <w:numFmt w:val="bullet"/>
      <w:lvlText w:val="o"/>
      <w:lvlJc w:val="left"/>
      <w:pPr>
        <w:ind w:left="1440" w:hanging="360"/>
      </w:pPr>
      <w:rPr>
        <w:rFonts w:ascii="Courier New" w:hAnsi="Courier New" w:hint="default"/>
      </w:rPr>
    </w:lvl>
    <w:lvl w:ilvl="2" w:tplc="94948650" w:tentative="1">
      <w:start w:val="1"/>
      <w:numFmt w:val="bullet"/>
      <w:lvlText w:val=""/>
      <w:lvlJc w:val="left"/>
      <w:pPr>
        <w:ind w:left="2160" w:hanging="360"/>
      </w:pPr>
      <w:rPr>
        <w:rFonts w:ascii="Wingdings" w:hAnsi="Wingdings" w:hint="default"/>
      </w:rPr>
    </w:lvl>
    <w:lvl w:ilvl="3" w:tplc="40EAD5DA" w:tentative="1">
      <w:start w:val="1"/>
      <w:numFmt w:val="bullet"/>
      <w:lvlText w:val=""/>
      <w:lvlJc w:val="left"/>
      <w:pPr>
        <w:ind w:left="2880" w:hanging="360"/>
      </w:pPr>
      <w:rPr>
        <w:rFonts w:ascii="Symbol" w:hAnsi="Symbol" w:hint="default"/>
      </w:rPr>
    </w:lvl>
    <w:lvl w:ilvl="4" w:tplc="A57AB84A" w:tentative="1">
      <w:start w:val="1"/>
      <w:numFmt w:val="bullet"/>
      <w:lvlText w:val="o"/>
      <w:lvlJc w:val="left"/>
      <w:pPr>
        <w:ind w:left="3600" w:hanging="360"/>
      </w:pPr>
      <w:rPr>
        <w:rFonts w:ascii="Courier New" w:hAnsi="Courier New" w:hint="default"/>
      </w:rPr>
    </w:lvl>
    <w:lvl w:ilvl="5" w:tplc="953EFFEA" w:tentative="1">
      <w:start w:val="1"/>
      <w:numFmt w:val="bullet"/>
      <w:lvlText w:val=""/>
      <w:lvlJc w:val="left"/>
      <w:pPr>
        <w:ind w:left="4320" w:hanging="360"/>
      </w:pPr>
      <w:rPr>
        <w:rFonts w:ascii="Wingdings" w:hAnsi="Wingdings" w:hint="default"/>
      </w:rPr>
    </w:lvl>
    <w:lvl w:ilvl="6" w:tplc="736EB18A" w:tentative="1">
      <w:start w:val="1"/>
      <w:numFmt w:val="bullet"/>
      <w:lvlText w:val=""/>
      <w:lvlJc w:val="left"/>
      <w:pPr>
        <w:ind w:left="5040" w:hanging="360"/>
      </w:pPr>
      <w:rPr>
        <w:rFonts w:ascii="Symbol" w:hAnsi="Symbol" w:hint="default"/>
      </w:rPr>
    </w:lvl>
    <w:lvl w:ilvl="7" w:tplc="9C748F7A" w:tentative="1">
      <w:start w:val="1"/>
      <w:numFmt w:val="bullet"/>
      <w:lvlText w:val="o"/>
      <w:lvlJc w:val="left"/>
      <w:pPr>
        <w:ind w:left="5760" w:hanging="360"/>
      </w:pPr>
      <w:rPr>
        <w:rFonts w:ascii="Courier New" w:hAnsi="Courier New" w:hint="default"/>
      </w:rPr>
    </w:lvl>
    <w:lvl w:ilvl="8" w:tplc="BD0877D0" w:tentative="1">
      <w:start w:val="1"/>
      <w:numFmt w:val="bullet"/>
      <w:lvlText w:val=""/>
      <w:lvlJc w:val="left"/>
      <w:pPr>
        <w:ind w:left="6480" w:hanging="360"/>
      </w:pPr>
      <w:rPr>
        <w:rFonts w:ascii="Wingdings" w:hAnsi="Wingdings" w:hint="default"/>
      </w:rPr>
    </w:lvl>
  </w:abstractNum>
  <w:abstractNum w:abstractNumId="48" w15:restartNumberingAfterBreak="0">
    <w:nsid w:val="399F4C32"/>
    <w:multiLevelType w:val="hybridMultilevel"/>
    <w:tmpl w:val="46324A10"/>
    <w:lvl w:ilvl="0" w:tplc="478662F0">
      <w:start w:val="1"/>
      <w:numFmt w:val="bullet"/>
      <w:lvlText w:val=""/>
      <w:lvlJc w:val="left"/>
      <w:pPr>
        <w:ind w:left="774" w:hanging="360"/>
      </w:pPr>
      <w:rPr>
        <w:rFonts w:ascii="Symbol" w:hAnsi="Symbol" w:hint="default"/>
      </w:rPr>
    </w:lvl>
    <w:lvl w:ilvl="1" w:tplc="EA08E9B2" w:tentative="1">
      <w:start w:val="1"/>
      <w:numFmt w:val="bullet"/>
      <w:lvlText w:val="o"/>
      <w:lvlJc w:val="left"/>
      <w:pPr>
        <w:ind w:left="1494" w:hanging="360"/>
      </w:pPr>
      <w:rPr>
        <w:rFonts w:ascii="Courier New" w:hAnsi="Courier New" w:hint="default"/>
      </w:rPr>
    </w:lvl>
    <w:lvl w:ilvl="2" w:tplc="0554C7B0" w:tentative="1">
      <w:start w:val="1"/>
      <w:numFmt w:val="bullet"/>
      <w:lvlText w:val=""/>
      <w:lvlJc w:val="left"/>
      <w:pPr>
        <w:ind w:left="2214" w:hanging="360"/>
      </w:pPr>
      <w:rPr>
        <w:rFonts w:ascii="Wingdings" w:hAnsi="Wingdings" w:hint="default"/>
      </w:rPr>
    </w:lvl>
    <w:lvl w:ilvl="3" w:tplc="51CED5A8" w:tentative="1">
      <w:start w:val="1"/>
      <w:numFmt w:val="bullet"/>
      <w:lvlText w:val=""/>
      <w:lvlJc w:val="left"/>
      <w:pPr>
        <w:ind w:left="2934" w:hanging="360"/>
      </w:pPr>
      <w:rPr>
        <w:rFonts w:ascii="Symbol" w:hAnsi="Symbol" w:hint="default"/>
      </w:rPr>
    </w:lvl>
    <w:lvl w:ilvl="4" w:tplc="0B54D4DA" w:tentative="1">
      <w:start w:val="1"/>
      <w:numFmt w:val="bullet"/>
      <w:lvlText w:val="o"/>
      <w:lvlJc w:val="left"/>
      <w:pPr>
        <w:ind w:left="3654" w:hanging="360"/>
      </w:pPr>
      <w:rPr>
        <w:rFonts w:ascii="Courier New" w:hAnsi="Courier New" w:hint="default"/>
      </w:rPr>
    </w:lvl>
    <w:lvl w:ilvl="5" w:tplc="5178C91C" w:tentative="1">
      <w:start w:val="1"/>
      <w:numFmt w:val="bullet"/>
      <w:lvlText w:val=""/>
      <w:lvlJc w:val="left"/>
      <w:pPr>
        <w:ind w:left="4374" w:hanging="360"/>
      </w:pPr>
      <w:rPr>
        <w:rFonts w:ascii="Wingdings" w:hAnsi="Wingdings" w:hint="default"/>
      </w:rPr>
    </w:lvl>
    <w:lvl w:ilvl="6" w:tplc="EC0AEB22" w:tentative="1">
      <w:start w:val="1"/>
      <w:numFmt w:val="bullet"/>
      <w:lvlText w:val=""/>
      <w:lvlJc w:val="left"/>
      <w:pPr>
        <w:ind w:left="5094" w:hanging="360"/>
      </w:pPr>
      <w:rPr>
        <w:rFonts w:ascii="Symbol" w:hAnsi="Symbol" w:hint="default"/>
      </w:rPr>
    </w:lvl>
    <w:lvl w:ilvl="7" w:tplc="343C31FA" w:tentative="1">
      <w:start w:val="1"/>
      <w:numFmt w:val="bullet"/>
      <w:lvlText w:val="o"/>
      <w:lvlJc w:val="left"/>
      <w:pPr>
        <w:ind w:left="5814" w:hanging="360"/>
      </w:pPr>
      <w:rPr>
        <w:rFonts w:ascii="Courier New" w:hAnsi="Courier New" w:hint="default"/>
      </w:rPr>
    </w:lvl>
    <w:lvl w:ilvl="8" w:tplc="AC3038AC" w:tentative="1">
      <w:start w:val="1"/>
      <w:numFmt w:val="bullet"/>
      <w:lvlText w:val=""/>
      <w:lvlJc w:val="left"/>
      <w:pPr>
        <w:ind w:left="6534" w:hanging="360"/>
      </w:pPr>
      <w:rPr>
        <w:rFonts w:ascii="Wingdings" w:hAnsi="Wingdings" w:hint="default"/>
      </w:rPr>
    </w:lvl>
  </w:abstractNum>
  <w:abstractNum w:abstractNumId="49" w15:restartNumberingAfterBreak="0">
    <w:nsid w:val="3AC266B0"/>
    <w:multiLevelType w:val="hybridMultilevel"/>
    <w:tmpl w:val="5706E19A"/>
    <w:lvl w:ilvl="0" w:tplc="48043B02">
      <w:start w:val="1"/>
      <w:numFmt w:val="decimal"/>
      <w:lvlText w:val="%1."/>
      <w:lvlJc w:val="left"/>
      <w:pPr>
        <w:ind w:left="720" w:hanging="360"/>
      </w:pPr>
    </w:lvl>
    <w:lvl w:ilvl="1" w:tplc="120E0A9E">
      <w:start w:val="1"/>
      <w:numFmt w:val="lowerLetter"/>
      <w:lvlText w:val="%2."/>
      <w:lvlJc w:val="left"/>
      <w:pPr>
        <w:ind w:left="1440" w:hanging="360"/>
      </w:pPr>
    </w:lvl>
    <w:lvl w:ilvl="2" w:tplc="A3D0FD0A" w:tentative="1">
      <w:start w:val="1"/>
      <w:numFmt w:val="lowerRoman"/>
      <w:lvlText w:val="%3."/>
      <w:lvlJc w:val="right"/>
      <w:pPr>
        <w:ind w:left="2160" w:hanging="180"/>
      </w:pPr>
    </w:lvl>
    <w:lvl w:ilvl="3" w:tplc="2E0A82D8" w:tentative="1">
      <w:start w:val="1"/>
      <w:numFmt w:val="decimal"/>
      <w:lvlText w:val="%4."/>
      <w:lvlJc w:val="left"/>
      <w:pPr>
        <w:ind w:left="2880" w:hanging="360"/>
      </w:pPr>
    </w:lvl>
    <w:lvl w:ilvl="4" w:tplc="31422C04" w:tentative="1">
      <w:start w:val="1"/>
      <w:numFmt w:val="lowerLetter"/>
      <w:lvlText w:val="%5."/>
      <w:lvlJc w:val="left"/>
      <w:pPr>
        <w:ind w:left="3600" w:hanging="360"/>
      </w:pPr>
    </w:lvl>
    <w:lvl w:ilvl="5" w:tplc="11B0F140" w:tentative="1">
      <w:start w:val="1"/>
      <w:numFmt w:val="lowerRoman"/>
      <w:lvlText w:val="%6."/>
      <w:lvlJc w:val="right"/>
      <w:pPr>
        <w:ind w:left="4320" w:hanging="180"/>
      </w:pPr>
    </w:lvl>
    <w:lvl w:ilvl="6" w:tplc="DBDE51A2" w:tentative="1">
      <w:start w:val="1"/>
      <w:numFmt w:val="decimal"/>
      <w:lvlText w:val="%7."/>
      <w:lvlJc w:val="left"/>
      <w:pPr>
        <w:ind w:left="5040" w:hanging="360"/>
      </w:pPr>
    </w:lvl>
    <w:lvl w:ilvl="7" w:tplc="15C222B8" w:tentative="1">
      <w:start w:val="1"/>
      <w:numFmt w:val="lowerLetter"/>
      <w:lvlText w:val="%8."/>
      <w:lvlJc w:val="left"/>
      <w:pPr>
        <w:ind w:left="5760" w:hanging="360"/>
      </w:pPr>
    </w:lvl>
    <w:lvl w:ilvl="8" w:tplc="301E4C42" w:tentative="1">
      <w:start w:val="1"/>
      <w:numFmt w:val="lowerRoman"/>
      <w:lvlText w:val="%9."/>
      <w:lvlJc w:val="right"/>
      <w:pPr>
        <w:ind w:left="6480" w:hanging="180"/>
      </w:pPr>
    </w:lvl>
  </w:abstractNum>
  <w:abstractNum w:abstractNumId="50" w15:restartNumberingAfterBreak="0">
    <w:nsid w:val="400366C7"/>
    <w:multiLevelType w:val="hybridMultilevel"/>
    <w:tmpl w:val="6FAA35CA"/>
    <w:lvl w:ilvl="0" w:tplc="BFD60706">
      <w:start w:val="1"/>
      <w:numFmt w:val="bullet"/>
      <w:lvlText w:val=""/>
      <w:lvlJc w:val="left"/>
      <w:pPr>
        <w:ind w:left="720" w:hanging="360"/>
      </w:pPr>
      <w:rPr>
        <w:rFonts w:ascii="Symbol" w:hAnsi="Symbol" w:hint="default"/>
      </w:rPr>
    </w:lvl>
    <w:lvl w:ilvl="1" w:tplc="B4360C1C" w:tentative="1">
      <w:start w:val="1"/>
      <w:numFmt w:val="bullet"/>
      <w:lvlText w:val="o"/>
      <w:lvlJc w:val="left"/>
      <w:pPr>
        <w:ind w:left="1440" w:hanging="360"/>
      </w:pPr>
      <w:rPr>
        <w:rFonts w:ascii="Courier New" w:hAnsi="Courier New" w:hint="default"/>
      </w:rPr>
    </w:lvl>
    <w:lvl w:ilvl="2" w:tplc="C8A8747E" w:tentative="1">
      <w:start w:val="1"/>
      <w:numFmt w:val="bullet"/>
      <w:lvlText w:val=""/>
      <w:lvlJc w:val="left"/>
      <w:pPr>
        <w:ind w:left="2160" w:hanging="360"/>
      </w:pPr>
      <w:rPr>
        <w:rFonts w:ascii="Wingdings" w:hAnsi="Wingdings" w:hint="default"/>
      </w:rPr>
    </w:lvl>
    <w:lvl w:ilvl="3" w:tplc="724A0300" w:tentative="1">
      <w:start w:val="1"/>
      <w:numFmt w:val="bullet"/>
      <w:lvlText w:val=""/>
      <w:lvlJc w:val="left"/>
      <w:pPr>
        <w:ind w:left="2880" w:hanging="360"/>
      </w:pPr>
      <w:rPr>
        <w:rFonts w:ascii="Symbol" w:hAnsi="Symbol" w:hint="default"/>
      </w:rPr>
    </w:lvl>
    <w:lvl w:ilvl="4" w:tplc="8DF466E2" w:tentative="1">
      <w:start w:val="1"/>
      <w:numFmt w:val="bullet"/>
      <w:lvlText w:val="o"/>
      <w:lvlJc w:val="left"/>
      <w:pPr>
        <w:ind w:left="3600" w:hanging="360"/>
      </w:pPr>
      <w:rPr>
        <w:rFonts w:ascii="Courier New" w:hAnsi="Courier New" w:hint="default"/>
      </w:rPr>
    </w:lvl>
    <w:lvl w:ilvl="5" w:tplc="732CEB14" w:tentative="1">
      <w:start w:val="1"/>
      <w:numFmt w:val="bullet"/>
      <w:lvlText w:val=""/>
      <w:lvlJc w:val="left"/>
      <w:pPr>
        <w:ind w:left="4320" w:hanging="360"/>
      </w:pPr>
      <w:rPr>
        <w:rFonts w:ascii="Wingdings" w:hAnsi="Wingdings" w:hint="default"/>
      </w:rPr>
    </w:lvl>
    <w:lvl w:ilvl="6" w:tplc="FB00C6CC" w:tentative="1">
      <w:start w:val="1"/>
      <w:numFmt w:val="bullet"/>
      <w:lvlText w:val=""/>
      <w:lvlJc w:val="left"/>
      <w:pPr>
        <w:ind w:left="5040" w:hanging="360"/>
      </w:pPr>
      <w:rPr>
        <w:rFonts w:ascii="Symbol" w:hAnsi="Symbol" w:hint="default"/>
      </w:rPr>
    </w:lvl>
    <w:lvl w:ilvl="7" w:tplc="340AD048" w:tentative="1">
      <w:start w:val="1"/>
      <w:numFmt w:val="bullet"/>
      <w:lvlText w:val="o"/>
      <w:lvlJc w:val="left"/>
      <w:pPr>
        <w:ind w:left="5760" w:hanging="360"/>
      </w:pPr>
      <w:rPr>
        <w:rFonts w:ascii="Courier New" w:hAnsi="Courier New" w:hint="default"/>
      </w:rPr>
    </w:lvl>
    <w:lvl w:ilvl="8" w:tplc="03BA6584" w:tentative="1">
      <w:start w:val="1"/>
      <w:numFmt w:val="bullet"/>
      <w:lvlText w:val=""/>
      <w:lvlJc w:val="left"/>
      <w:pPr>
        <w:ind w:left="6480" w:hanging="360"/>
      </w:pPr>
      <w:rPr>
        <w:rFonts w:ascii="Wingdings" w:hAnsi="Wingdings" w:hint="default"/>
      </w:rPr>
    </w:lvl>
  </w:abstractNum>
  <w:abstractNum w:abstractNumId="51" w15:restartNumberingAfterBreak="0">
    <w:nsid w:val="405F367D"/>
    <w:multiLevelType w:val="hybridMultilevel"/>
    <w:tmpl w:val="3F981D8A"/>
    <w:lvl w:ilvl="0" w:tplc="BC605062">
      <w:start w:val="1"/>
      <w:numFmt w:val="bullet"/>
      <w:lvlText w:val=""/>
      <w:lvlJc w:val="left"/>
      <w:pPr>
        <w:ind w:left="720" w:hanging="360"/>
      </w:pPr>
      <w:rPr>
        <w:rFonts w:ascii="Symbol" w:hAnsi="Symbol" w:hint="default"/>
      </w:rPr>
    </w:lvl>
    <w:lvl w:ilvl="1" w:tplc="50100D10" w:tentative="1">
      <w:start w:val="1"/>
      <w:numFmt w:val="bullet"/>
      <w:lvlText w:val="o"/>
      <w:lvlJc w:val="left"/>
      <w:pPr>
        <w:ind w:left="1440" w:hanging="360"/>
      </w:pPr>
      <w:rPr>
        <w:rFonts w:ascii="Courier New" w:hAnsi="Courier New" w:hint="default"/>
      </w:rPr>
    </w:lvl>
    <w:lvl w:ilvl="2" w:tplc="6388F0DE" w:tentative="1">
      <w:start w:val="1"/>
      <w:numFmt w:val="bullet"/>
      <w:lvlText w:val=""/>
      <w:lvlJc w:val="left"/>
      <w:pPr>
        <w:ind w:left="2160" w:hanging="360"/>
      </w:pPr>
      <w:rPr>
        <w:rFonts w:ascii="Wingdings" w:hAnsi="Wingdings" w:hint="default"/>
      </w:rPr>
    </w:lvl>
    <w:lvl w:ilvl="3" w:tplc="1910CBC8" w:tentative="1">
      <w:start w:val="1"/>
      <w:numFmt w:val="bullet"/>
      <w:lvlText w:val=""/>
      <w:lvlJc w:val="left"/>
      <w:pPr>
        <w:ind w:left="2880" w:hanging="360"/>
      </w:pPr>
      <w:rPr>
        <w:rFonts w:ascii="Symbol" w:hAnsi="Symbol" w:hint="default"/>
      </w:rPr>
    </w:lvl>
    <w:lvl w:ilvl="4" w:tplc="409E7420" w:tentative="1">
      <w:start w:val="1"/>
      <w:numFmt w:val="bullet"/>
      <w:lvlText w:val="o"/>
      <w:lvlJc w:val="left"/>
      <w:pPr>
        <w:ind w:left="3600" w:hanging="360"/>
      </w:pPr>
      <w:rPr>
        <w:rFonts w:ascii="Courier New" w:hAnsi="Courier New" w:hint="default"/>
      </w:rPr>
    </w:lvl>
    <w:lvl w:ilvl="5" w:tplc="4D72A064" w:tentative="1">
      <w:start w:val="1"/>
      <w:numFmt w:val="bullet"/>
      <w:lvlText w:val=""/>
      <w:lvlJc w:val="left"/>
      <w:pPr>
        <w:ind w:left="4320" w:hanging="360"/>
      </w:pPr>
      <w:rPr>
        <w:rFonts w:ascii="Wingdings" w:hAnsi="Wingdings" w:hint="default"/>
      </w:rPr>
    </w:lvl>
    <w:lvl w:ilvl="6" w:tplc="9C2480B2" w:tentative="1">
      <w:start w:val="1"/>
      <w:numFmt w:val="bullet"/>
      <w:lvlText w:val=""/>
      <w:lvlJc w:val="left"/>
      <w:pPr>
        <w:ind w:left="5040" w:hanging="360"/>
      </w:pPr>
      <w:rPr>
        <w:rFonts w:ascii="Symbol" w:hAnsi="Symbol" w:hint="default"/>
      </w:rPr>
    </w:lvl>
    <w:lvl w:ilvl="7" w:tplc="96CA3FAE" w:tentative="1">
      <w:start w:val="1"/>
      <w:numFmt w:val="bullet"/>
      <w:lvlText w:val="o"/>
      <w:lvlJc w:val="left"/>
      <w:pPr>
        <w:ind w:left="5760" w:hanging="360"/>
      </w:pPr>
      <w:rPr>
        <w:rFonts w:ascii="Courier New" w:hAnsi="Courier New" w:hint="default"/>
      </w:rPr>
    </w:lvl>
    <w:lvl w:ilvl="8" w:tplc="53205C42" w:tentative="1">
      <w:start w:val="1"/>
      <w:numFmt w:val="bullet"/>
      <w:lvlText w:val=""/>
      <w:lvlJc w:val="left"/>
      <w:pPr>
        <w:ind w:left="6480" w:hanging="360"/>
      </w:pPr>
      <w:rPr>
        <w:rFonts w:ascii="Wingdings" w:hAnsi="Wingdings" w:hint="default"/>
      </w:rPr>
    </w:lvl>
  </w:abstractNum>
  <w:abstractNum w:abstractNumId="52" w15:restartNumberingAfterBreak="0">
    <w:nsid w:val="408A3101"/>
    <w:multiLevelType w:val="hybridMultilevel"/>
    <w:tmpl w:val="8864FD1A"/>
    <w:lvl w:ilvl="0" w:tplc="3B242746">
      <w:numFmt w:val="bullet"/>
      <w:lvlText w:val="-"/>
      <w:lvlJc w:val="left"/>
      <w:pPr>
        <w:ind w:left="720" w:hanging="360"/>
      </w:pPr>
      <w:rPr>
        <w:rFonts w:ascii="Arial" w:hAnsi="Arial" w:hint="default"/>
      </w:rPr>
    </w:lvl>
    <w:lvl w:ilvl="1" w:tplc="1FD4841C" w:tentative="1">
      <w:start w:val="1"/>
      <w:numFmt w:val="bullet"/>
      <w:lvlText w:val="o"/>
      <w:lvlJc w:val="left"/>
      <w:pPr>
        <w:ind w:left="1440" w:hanging="360"/>
      </w:pPr>
      <w:rPr>
        <w:rFonts w:ascii="Courier New" w:hAnsi="Courier New" w:hint="default"/>
      </w:rPr>
    </w:lvl>
    <w:lvl w:ilvl="2" w:tplc="8FA08DE6" w:tentative="1">
      <w:start w:val="1"/>
      <w:numFmt w:val="bullet"/>
      <w:lvlText w:val=""/>
      <w:lvlJc w:val="left"/>
      <w:pPr>
        <w:ind w:left="2160" w:hanging="360"/>
      </w:pPr>
      <w:rPr>
        <w:rFonts w:ascii="Wingdings" w:hAnsi="Wingdings" w:hint="default"/>
      </w:rPr>
    </w:lvl>
    <w:lvl w:ilvl="3" w:tplc="596AC712" w:tentative="1">
      <w:start w:val="1"/>
      <w:numFmt w:val="bullet"/>
      <w:lvlText w:val=""/>
      <w:lvlJc w:val="left"/>
      <w:pPr>
        <w:ind w:left="2880" w:hanging="360"/>
      </w:pPr>
      <w:rPr>
        <w:rFonts w:ascii="Symbol" w:hAnsi="Symbol" w:hint="default"/>
      </w:rPr>
    </w:lvl>
    <w:lvl w:ilvl="4" w:tplc="A34405B4" w:tentative="1">
      <w:start w:val="1"/>
      <w:numFmt w:val="bullet"/>
      <w:lvlText w:val="o"/>
      <w:lvlJc w:val="left"/>
      <w:pPr>
        <w:ind w:left="3600" w:hanging="360"/>
      </w:pPr>
      <w:rPr>
        <w:rFonts w:ascii="Courier New" w:hAnsi="Courier New" w:hint="default"/>
      </w:rPr>
    </w:lvl>
    <w:lvl w:ilvl="5" w:tplc="4D8C894A" w:tentative="1">
      <w:start w:val="1"/>
      <w:numFmt w:val="bullet"/>
      <w:lvlText w:val=""/>
      <w:lvlJc w:val="left"/>
      <w:pPr>
        <w:ind w:left="4320" w:hanging="360"/>
      </w:pPr>
      <w:rPr>
        <w:rFonts w:ascii="Wingdings" w:hAnsi="Wingdings" w:hint="default"/>
      </w:rPr>
    </w:lvl>
    <w:lvl w:ilvl="6" w:tplc="8342E59A" w:tentative="1">
      <w:start w:val="1"/>
      <w:numFmt w:val="bullet"/>
      <w:lvlText w:val=""/>
      <w:lvlJc w:val="left"/>
      <w:pPr>
        <w:ind w:left="5040" w:hanging="360"/>
      </w:pPr>
      <w:rPr>
        <w:rFonts w:ascii="Symbol" w:hAnsi="Symbol" w:hint="default"/>
      </w:rPr>
    </w:lvl>
    <w:lvl w:ilvl="7" w:tplc="CF72BF8C" w:tentative="1">
      <w:start w:val="1"/>
      <w:numFmt w:val="bullet"/>
      <w:lvlText w:val="o"/>
      <w:lvlJc w:val="left"/>
      <w:pPr>
        <w:ind w:left="5760" w:hanging="360"/>
      </w:pPr>
      <w:rPr>
        <w:rFonts w:ascii="Courier New" w:hAnsi="Courier New" w:hint="default"/>
      </w:rPr>
    </w:lvl>
    <w:lvl w:ilvl="8" w:tplc="D504A0E4" w:tentative="1">
      <w:start w:val="1"/>
      <w:numFmt w:val="bullet"/>
      <w:lvlText w:val=""/>
      <w:lvlJc w:val="left"/>
      <w:pPr>
        <w:ind w:left="6480" w:hanging="360"/>
      </w:pPr>
      <w:rPr>
        <w:rFonts w:ascii="Wingdings" w:hAnsi="Wingdings" w:hint="default"/>
      </w:rPr>
    </w:lvl>
  </w:abstractNum>
  <w:abstractNum w:abstractNumId="53" w15:restartNumberingAfterBreak="0">
    <w:nsid w:val="41BC0E40"/>
    <w:multiLevelType w:val="multilevel"/>
    <w:tmpl w:val="CE52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6740142"/>
    <w:multiLevelType w:val="multilevel"/>
    <w:tmpl w:val="27569C60"/>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71120AF"/>
    <w:multiLevelType w:val="hybridMultilevel"/>
    <w:tmpl w:val="5706E19A"/>
    <w:lvl w:ilvl="0" w:tplc="5678C650">
      <w:start w:val="1"/>
      <w:numFmt w:val="decimal"/>
      <w:lvlText w:val="%1."/>
      <w:lvlJc w:val="left"/>
      <w:pPr>
        <w:ind w:left="360" w:hanging="360"/>
      </w:pPr>
    </w:lvl>
    <w:lvl w:ilvl="1" w:tplc="A2C4DF7A">
      <w:start w:val="1"/>
      <w:numFmt w:val="lowerLetter"/>
      <w:lvlText w:val="%2."/>
      <w:lvlJc w:val="left"/>
      <w:pPr>
        <w:ind w:left="1080" w:hanging="360"/>
      </w:pPr>
    </w:lvl>
    <w:lvl w:ilvl="2" w:tplc="F8906620" w:tentative="1">
      <w:start w:val="1"/>
      <w:numFmt w:val="lowerRoman"/>
      <w:lvlText w:val="%3."/>
      <w:lvlJc w:val="right"/>
      <w:pPr>
        <w:ind w:left="1800" w:hanging="180"/>
      </w:pPr>
    </w:lvl>
    <w:lvl w:ilvl="3" w:tplc="5A44493C" w:tentative="1">
      <w:start w:val="1"/>
      <w:numFmt w:val="decimal"/>
      <w:lvlText w:val="%4."/>
      <w:lvlJc w:val="left"/>
      <w:pPr>
        <w:ind w:left="2520" w:hanging="360"/>
      </w:pPr>
    </w:lvl>
    <w:lvl w:ilvl="4" w:tplc="E33E71A0" w:tentative="1">
      <w:start w:val="1"/>
      <w:numFmt w:val="lowerLetter"/>
      <w:lvlText w:val="%5."/>
      <w:lvlJc w:val="left"/>
      <w:pPr>
        <w:ind w:left="3240" w:hanging="360"/>
      </w:pPr>
    </w:lvl>
    <w:lvl w:ilvl="5" w:tplc="61928FD2" w:tentative="1">
      <w:start w:val="1"/>
      <w:numFmt w:val="lowerRoman"/>
      <w:lvlText w:val="%6."/>
      <w:lvlJc w:val="right"/>
      <w:pPr>
        <w:ind w:left="3960" w:hanging="180"/>
      </w:pPr>
    </w:lvl>
    <w:lvl w:ilvl="6" w:tplc="E9808EE2" w:tentative="1">
      <w:start w:val="1"/>
      <w:numFmt w:val="decimal"/>
      <w:lvlText w:val="%7."/>
      <w:lvlJc w:val="left"/>
      <w:pPr>
        <w:ind w:left="4680" w:hanging="360"/>
      </w:pPr>
    </w:lvl>
    <w:lvl w:ilvl="7" w:tplc="17BC0D78" w:tentative="1">
      <w:start w:val="1"/>
      <w:numFmt w:val="lowerLetter"/>
      <w:lvlText w:val="%8."/>
      <w:lvlJc w:val="left"/>
      <w:pPr>
        <w:ind w:left="5400" w:hanging="360"/>
      </w:pPr>
    </w:lvl>
    <w:lvl w:ilvl="8" w:tplc="2C7609D0" w:tentative="1">
      <w:start w:val="1"/>
      <w:numFmt w:val="lowerRoman"/>
      <w:lvlText w:val="%9."/>
      <w:lvlJc w:val="right"/>
      <w:pPr>
        <w:ind w:left="6120" w:hanging="180"/>
      </w:pPr>
    </w:lvl>
  </w:abstractNum>
  <w:abstractNum w:abstractNumId="56" w15:restartNumberingAfterBreak="0">
    <w:nsid w:val="494E0382"/>
    <w:multiLevelType w:val="hybridMultilevel"/>
    <w:tmpl w:val="5AFE4DBA"/>
    <w:lvl w:ilvl="0" w:tplc="FDAEB8F6">
      <w:start w:val="1"/>
      <w:numFmt w:val="decimal"/>
      <w:lvlText w:val="%1."/>
      <w:lvlJc w:val="left"/>
      <w:pPr>
        <w:ind w:left="720" w:hanging="360"/>
      </w:pPr>
    </w:lvl>
    <w:lvl w:ilvl="1" w:tplc="406A6F7C" w:tentative="1">
      <w:start w:val="1"/>
      <w:numFmt w:val="lowerLetter"/>
      <w:lvlText w:val="%2."/>
      <w:lvlJc w:val="left"/>
      <w:pPr>
        <w:ind w:left="1440" w:hanging="360"/>
      </w:pPr>
    </w:lvl>
    <w:lvl w:ilvl="2" w:tplc="85CC74A6" w:tentative="1">
      <w:start w:val="1"/>
      <w:numFmt w:val="lowerRoman"/>
      <w:lvlText w:val="%3."/>
      <w:lvlJc w:val="right"/>
      <w:pPr>
        <w:ind w:left="2160" w:hanging="180"/>
      </w:pPr>
    </w:lvl>
    <w:lvl w:ilvl="3" w:tplc="62C231AA" w:tentative="1">
      <w:start w:val="1"/>
      <w:numFmt w:val="decimal"/>
      <w:lvlText w:val="%4."/>
      <w:lvlJc w:val="left"/>
      <w:pPr>
        <w:ind w:left="2880" w:hanging="360"/>
      </w:pPr>
    </w:lvl>
    <w:lvl w:ilvl="4" w:tplc="A86CE0F6" w:tentative="1">
      <w:start w:val="1"/>
      <w:numFmt w:val="lowerLetter"/>
      <w:lvlText w:val="%5."/>
      <w:lvlJc w:val="left"/>
      <w:pPr>
        <w:ind w:left="3600" w:hanging="360"/>
      </w:pPr>
    </w:lvl>
    <w:lvl w:ilvl="5" w:tplc="C8C47D9E" w:tentative="1">
      <w:start w:val="1"/>
      <w:numFmt w:val="lowerRoman"/>
      <w:lvlText w:val="%6."/>
      <w:lvlJc w:val="right"/>
      <w:pPr>
        <w:ind w:left="4320" w:hanging="180"/>
      </w:pPr>
    </w:lvl>
    <w:lvl w:ilvl="6" w:tplc="85FE04C6" w:tentative="1">
      <w:start w:val="1"/>
      <w:numFmt w:val="decimal"/>
      <w:lvlText w:val="%7."/>
      <w:lvlJc w:val="left"/>
      <w:pPr>
        <w:ind w:left="5040" w:hanging="360"/>
      </w:pPr>
    </w:lvl>
    <w:lvl w:ilvl="7" w:tplc="89FE37FC" w:tentative="1">
      <w:start w:val="1"/>
      <w:numFmt w:val="lowerLetter"/>
      <w:lvlText w:val="%8."/>
      <w:lvlJc w:val="left"/>
      <w:pPr>
        <w:ind w:left="5760" w:hanging="360"/>
      </w:pPr>
    </w:lvl>
    <w:lvl w:ilvl="8" w:tplc="38E2A48C" w:tentative="1">
      <w:start w:val="1"/>
      <w:numFmt w:val="lowerRoman"/>
      <w:lvlText w:val="%9."/>
      <w:lvlJc w:val="right"/>
      <w:pPr>
        <w:ind w:left="6480" w:hanging="180"/>
      </w:pPr>
    </w:lvl>
  </w:abstractNum>
  <w:abstractNum w:abstractNumId="57" w15:restartNumberingAfterBreak="0">
    <w:nsid w:val="4AE03231"/>
    <w:multiLevelType w:val="hybridMultilevel"/>
    <w:tmpl w:val="5706E19A"/>
    <w:lvl w:ilvl="0" w:tplc="714C1230">
      <w:start w:val="1"/>
      <w:numFmt w:val="decimal"/>
      <w:lvlText w:val="%1."/>
      <w:lvlJc w:val="left"/>
      <w:pPr>
        <w:ind w:left="360" w:hanging="360"/>
      </w:pPr>
    </w:lvl>
    <w:lvl w:ilvl="1" w:tplc="412245F4" w:tentative="1">
      <w:start w:val="1"/>
      <w:numFmt w:val="lowerLetter"/>
      <w:lvlText w:val="%2."/>
      <w:lvlJc w:val="left"/>
      <w:pPr>
        <w:ind w:left="1080" w:hanging="360"/>
      </w:pPr>
    </w:lvl>
    <w:lvl w:ilvl="2" w:tplc="2EF24A96" w:tentative="1">
      <w:start w:val="1"/>
      <w:numFmt w:val="lowerRoman"/>
      <w:lvlText w:val="%3."/>
      <w:lvlJc w:val="right"/>
      <w:pPr>
        <w:ind w:left="1800" w:hanging="180"/>
      </w:pPr>
    </w:lvl>
    <w:lvl w:ilvl="3" w:tplc="EF0EAC1A" w:tentative="1">
      <w:start w:val="1"/>
      <w:numFmt w:val="decimal"/>
      <w:lvlText w:val="%4."/>
      <w:lvlJc w:val="left"/>
      <w:pPr>
        <w:ind w:left="2520" w:hanging="360"/>
      </w:pPr>
    </w:lvl>
    <w:lvl w:ilvl="4" w:tplc="D932EA66" w:tentative="1">
      <w:start w:val="1"/>
      <w:numFmt w:val="lowerLetter"/>
      <w:lvlText w:val="%5."/>
      <w:lvlJc w:val="left"/>
      <w:pPr>
        <w:ind w:left="3240" w:hanging="360"/>
      </w:pPr>
    </w:lvl>
    <w:lvl w:ilvl="5" w:tplc="1214F36A" w:tentative="1">
      <w:start w:val="1"/>
      <w:numFmt w:val="lowerRoman"/>
      <w:lvlText w:val="%6."/>
      <w:lvlJc w:val="right"/>
      <w:pPr>
        <w:ind w:left="3960" w:hanging="180"/>
      </w:pPr>
    </w:lvl>
    <w:lvl w:ilvl="6" w:tplc="E4423E7A" w:tentative="1">
      <w:start w:val="1"/>
      <w:numFmt w:val="decimal"/>
      <w:lvlText w:val="%7."/>
      <w:lvlJc w:val="left"/>
      <w:pPr>
        <w:ind w:left="4680" w:hanging="360"/>
      </w:pPr>
    </w:lvl>
    <w:lvl w:ilvl="7" w:tplc="3E5EFFA4" w:tentative="1">
      <w:start w:val="1"/>
      <w:numFmt w:val="lowerLetter"/>
      <w:lvlText w:val="%8."/>
      <w:lvlJc w:val="left"/>
      <w:pPr>
        <w:ind w:left="5400" w:hanging="360"/>
      </w:pPr>
    </w:lvl>
    <w:lvl w:ilvl="8" w:tplc="FD3CB2BC" w:tentative="1">
      <w:start w:val="1"/>
      <w:numFmt w:val="lowerRoman"/>
      <w:lvlText w:val="%9."/>
      <w:lvlJc w:val="right"/>
      <w:pPr>
        <w:ind w:left="6120" w:hanging="180"/>
      </w:pPr>
    </w:lvl>
  </w:abstractNum>
  <w:abstractNum w:abstractNumId="58" w15:restartNumberingAfterBreak="0">
    <w:nsid w:val="4EA42E2B"/>
    <w:multiLevelType w:val="multilevel"/>
    <w:tmpl w:val="25AA7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EB37A8E"/>
    <w:multiLevelType w:val="hybridMultilevel"/>
    <w:tmpl w:val="5706E19A"/>
    <w:lvl w:ilvl="0" w:tplc="6C74227C">
      <w:start w:val="1"/>
      <w:numFmt w:val="decimal"/>
      <w:lvlText w:val="%1."/>
      <w:lvlJc w:val="left"/>
      <w:pPr>
        <w:ind w:left="360" w:hanging="360"/>
      </w:pPr>
    </w:lvl>
    <w:lvl w:ilvl="1" w:tplc="4E6CFBDE">
      <w:start w:val="1"/>
      <w:numFmt w:val="lowerLetter"/>
      <w:lvlText w:val="%2."/>
      <w:lvlJc w:val="left"/>
      <w:pPr>
        <w:ind w:left="1080" w:hanging="360"/>
      </w:pPr>
    </w:lvl>
    <w:lvl w:ilvl="2" w:tplc="118A28C4" w:tentative="1">
      <w:start w:val="1"/>
      <w:numFmt w:val="lowerRoman"/>
      <w:lvlText w:val="%3."/>
      <w:lvlJc w:val="right"/>
      <w:pPr>
        <w:ind w:left="1800" w:hanging="180"/>
      </w:pPr>
    </w:lvl>
    <w:lvl w:ilvl="3" w:tplc="4C28EC52" w:tentative="1">
      <w:start w:val="1"/>
      <w:numFmt w:val="decimal"/>
      <w:lvlText w:val="%4."/>
      <w:lvlJc w:val="left"/>
      <w:pPr>
        <w:ind w:left="2520" w:hanging="360"/>
      </w:pPr>
    </w:lvl>
    <w:lvl w:ilvl="4" w:tplc="A13CE330" w:tentative="1">
      <w:start w:val="1"/>
      <w:numFmt w:val="lowerLetter"/>
      <w:lvlText w:val="%5."/>
      <w:lvlJc w:val="left"/>
      <w:pPr>
        <w:ind w:left="3240" w:hanging="360"/>
      </w:pPr>
    </w:lvl>
    <w:lvl w:ilvl="5" w:tplc="646C2260" w:tentative="1">
      <w:start w:val="1"/>
      <w:numFmt w:val="lowerRoman"/>
      <w:lvlText w:val="%6."/>
      <w:lvlJc w:val="right"/>
      <w:pPr>
        <w:ind w:left="3960" w:hanging="180"/>
      </w:pPr>
    </w:lvl>
    <w:lvl w:ilvl="6" w:tplc="18DCF978" w:tentative="1">
      <w:start w:val="1"/>
      <w:numFmt w:val="decimal"/>
      <w:lvlText w:val="%7."/>
      <w:lvlJc w:val="left"/>
      <w:pPr>
        <w:ind w:left="4680" w:hanging="360"/>
      </w:pPr>
    </w:lvl>
    <w:lvl w:ilvl="7" w:tplc="3C388C90" w:tentative="1">
      <w:start w:val="1"/>
      <w:numFmt w:val="lowerLetter"/>
      <w:lvlText w:val="%8."/>
      <w:lvlJc w:val="left"/>
      <w:pPr>
        <w:ind w:left="5400" w:hanging="360"/>
      </w:pPr>
    </w:lvl>
    <w:lvl w:ilvl="8" w:tplc="E43EA84E" w:tentative="1">
      <w:start w:val="1"/>
      <w:numFmt w:val="lowerRoman"/>
      <w:lvlText w:val="%9."/>
      <w:lvlJc w:val="right"/>
      <w:pPr>
        <w:ind w:left="6120" w:hanging="180"/>
      </w:pPr>
    </w:lvl>
  </w:abstractNum>
  <w:abstractNum w:abstractNumId="60" w15:restartNumberingAfterBreak="0">
    <w:nsid w:val="4FBC35B1"/>
    <w:multiLevelType w:val="hybridMultilevel"/>
    <w:tmpl w:val="B2F6259C"/>
    <w:lvl w:ilvl="0" w:tplc="70226BEE">
      <w:start w:val="1"/>
      <w:numFmt w:val="lowerLetter"/>
      <w:lvlText w:val="%1."/>
      <w:lvlJc w:val="left"/>
      <w:pPr>
        <w:ind w:left="751" w:hanging="360"/>
      </w:pPr>
    </w:lvl>
    <w:lvl w:ilvl="1" w:tplc="F578B17C">
      <w:start w:val="1"/>
      <w:numFmt w:val="lowerLetter"/>
      <w:lvlText w:val="%2."/>
      <w:lvlJc w:val="left"/>
      <w:pPr>
        <w:ind w:left="1471" w:hanging="360"/>
      </w:pPr>
    </w:lvl>
    <w:lvl w:ilvl="2" w:tplc="6FD48E5C">
      <w:start w:val="1"/>
      <w:numFmt w:val="lowerRoman"/>
      <w:lvlText w:val="%3."/>
      <w:lvlJc w:val="right"/>
      <w:pPr>
        <w:ind w:left="2191" w:hanging="180"/>
      </w:pPr>
    </w:lvl>
    <w:lvl w:ilvl="3" w:tplc="D4987148">
      <w:start w:val="1"/>
      <w:numFmt w:val="decimal"/>
      <w:lvlText w:val="%4."/>
      <w:lvlJc w:val="left"/>
      <w:pPr>
        <w:ind w:left="2911" w:hanging="360"/>
      </w:pPr>
    </w:lvl>
    <w:lvl w:ilvl="4" w:tplc="776E2F14">
      <w:start w:val="1"/>
      <w:numFmt w:val="lowerLetter"/>
      <w:lvlText w:val="%5."/>
      <w:lvlJc w:val="left"/>
      <w:pPr>
        <w:ind w:left="3631" w:hanging="360"/>
      </w:pPr>
    </w:lvl>
    <w:lvl w:ilvl="5" w:tplc="89AE6352">
      <w:start w:val="1"/>
      <w:numFmt w:val="lowerRoman"/>
      <w:lvlText w:val="%6."/>
      <w:lvlJc w:val="right"/>
      <w:pPr>
        <w:ind w:left="4351" w:hanging="180"/>
      </w:pPr>
    </w:lvl>
    <w:lvl w:ilvl="6" w:tplc="CD8C1BC2">
      <w:start w:val="1"/>
      <w:numFmt w:val="decimal"/>
      <w:lvlText w:val="%7."/>
      <w:lvlJc w:val="left"/>
      <w:pPr>
        <w:ind w:left="5071" w:hanging="360"/>
      </w:pPr>
    </w:lvl>
    <w:lvl w:ilvl="7" w:tplc="55F033AA">
      <w:start w:val="1"/>
      <w:numFmt w:val="lowerLetter"/>
      <w:lvlText w:val="%8."/>
      <w:lvlJc w:val="left"/>
      <w:pPr>
        <w:ind w:left="5791" w:hanging="360"/>
      </w:pPr>
    </w:lvl>
    <w:lvl w:ilvl="8" w:tplc="8D5808FE">
      <w:start w:val="1"/>
      <w:numFmt w:val="lowerRoman"/>
      <w:lvlText w:val="%9."/>
      <w:lvlJc w:val="right"/>
      <w:pPr>
        <w:ind w:left="6511" w:hanging="180"/>
      </w:pPr>
    </w:lvl>
  </w:abstractNum>
  <w:abstractNum w:abstractNumId="61" w15:restartNumberingAfterBreak="0">
    <w:nsid w:val="4FE0040C"/>
    <w:multiLevelType w:val="multilevel"/>
    <w:tmpl w:val="67E2B14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2414757"/>
    <w:multiLevelType w:val="hybridMultilevel"/>
    <w:tmpl w:val="274C10E0"/>
    <w:lvl w:ilvl="0" w:tplc="2ED04B60">
      <w:start w:val="1"/>
      <w:numFmt w:val="decimal"/>
      <w:lvlText w:val="%1."/>
      <w:lvlJc w:val="left"/>
      <w:pPr>
        <w:ind w:left="720" w:hanging="360"/>
      </w:pPr>
      <w:rPr>
        <w:b w:val="0"/>
        <w:color w:val="000000"/>
      </w:rPr>
    </w:lvl>
    <w:lvl w:ilvl="1" w:tplc="F4F4F880" w:tentative="1">
      <w:start w:val="1"/>
      <w:numFmt w:val="lowerLetter"/>
      <w:lvlText w:val="%2."/>
      <w:lvlJc w:val="left"/>
      <w:pPr>
        <w:ind w:left="1440" w:hanging="360"/>
      </w:pPr>
    </w:lvl>
    <w:lvl w:ilvl="2" w:tplc="F5FA3028" w:tentative="1">
      <w:start w:val="1"/>
      <w:numFmt w:val="lowerRoman"/>
      <w:lvlText w:val="%3."/>
      <w:lvlJc w:val="right"/>
      <w:pPr>
        <w:ind w:left="2160" w:hanging="180"/>
      </w:pPr>
    </w:lvl>
    <w:lvl w:ilvl="3" w:tplc="FA900312" w:tentative="1">
      <w:start w:val="1"/>
      <w:numFmt w:val="decimal"/>
      <w:lvlText w:val="%4."/>
      <w:lvlJc w:val="left"/>
      <w:pPr>
        <w:ind w:left="2880" w:hanging="360"/>
      </w:pPr>
    </w:lvl>
    <w:lvl w:ilvl="4" w:tplc="2C36A280" w:tentative="1">
      <w:start w:val="1"/>
      <w:numFmt w:val="lowerLetter"/>
      <w:lvlText w:val="%5."/>
      <w:lvlJc w:val="left"/>
      <w:pPr>
        <w:ind w:left="3600" w:hanging="360"/>
      </w:pPr>
    </w:lvl>
    <w:lvl w:ilvl="5" w:tplc="7CECD33C" w:tentative="1">
      <w:start w:val="1"/>
      <w:numFmt w:val="lowerRoman"/>
      <w:lvlText w:val="%6."/>
      <w:lvlJc w:val="right"/>
      <w:pPr>
        <w:ind w:left="4320" w:hanging="180"/>
      </w:pPr>
    </w:lvl>
    <w:lvl w:ilvl="6" w:tplc="3B2456DE" w:tentative="1">
      <w:start w:val="1"/>
      <w:numFmt w:val="decimal"/>
      <w:lvlText w:val="%7."/>
      <w:lvlJc w:val="left"/>
      <w:pPr>
        <w:ind w:left="5040" w:hanging="360"/>
      </w:pPr>
    </w:lvl>
    <w:lvl w:ilvl="7" w:tplc="D3B43744" w:tentative="1">
      <w:start w:val="1"/>
      <w:numFmt w:val="lowerLetter"/>
      <w:lvlText w:val="%8."/>
      <w:lvlJc w:val="left"/>
      <w:pPr>
        <w:ind w:left="5760" w:hanging="360"/>
      </w:pPr>
    </w:lvl>
    <w:lvl w:ilvl="8" w:tplc="8850F890" w:tentative="1">
      <w:start w:val="1"/>
      <w:numFmt w:val="lowerRoman"/>
      <w:lvlText w:val="%9."/>
      <w:lvlJc w:val="right"/>
      <w:pPr>
        <w:ind w:left="6480" w:hanging="180"/>
      </w:pPr>
    </w:lvl>
  </w:abstractNum>
  <w:abstractNum w:abstractNumId="63" w15:restartNumberingAfterBreak="0">
    <w:nsid w:val="56716B00"/>
    <w:multiLevelType w:val="hybridMultilevel"/>
    <w:tmpl w:val="52C23470"/>
    <w:lvl w:ilvl="0" w:tplc="F1725F7E">
      <w:start w:val="1"/>
      <w:numFmt w:val="bullet"/>
      <w:lvlText w:val=""/>
      <w:lvlJc w:val="left"/>
      <w:pPr>
        <w:ind w:left="720" w:hanging="360"/>
      </w:pPr>
      <w:rPr>
        <w:rFonts w:ascii="Symbol" w:hAnsi="Symbol" w:hint="default"/>
      </w:rPr>
    </w:lvl>
    <w:lvl w:ilvl="1" w:tplc="CEB48612" w:tentative="1">
      <w:start w:val="1"/>
      <w:numFmt w:val="bullet"/>
      <w:lvlText w:val="o"/>
      <w:lvlJc w:val="left"/>
      <w:pPr>
        <w:ind w:left="1440" w:hanging="360"/>
      </w:pPr>
      <w:rPr>
        <w:rFonts w:ascii="Courier New" w:hAnsi="Courier New" w:hint="default"/>
      </w:rPr>
    </w:lvl>
    <w:lvl w:ilvl="2" w:tplc="F4087CB4" w:tentative="1">
      <w:start w:val="1"/>
      <w:numFmt w:val="bullet"/>
      <w:lvlText w:val=""/>
      <w:lvlJc w:val="left"/>
      <w:pPr>
        <w:ind w:left="2160" w:hanging="360"/>
      </w:pPr>
      <w:rPr>
        <w:rFonts w:ascii="Wingdings" w:hAnsi="Wingdings" w:hint="default"/>
      </w:rPr>
    </w:lvl>
    <w:lvl w:ilvl="3" w:tplc="8C3445EA" w:tentative="1">
      <w:start w:val="1"/>
      <w:numFmt w:val="bullet"/>
      <w:lvlText w:val=""/>
      <w:lvlJc w:val="left"/>
      <w:pPr>
        <w:ind w:left="2880" w:hanging="360"/>
      </w:pPr>
      <w:rPr>
        <w:rFonts w:ascii="Symbol" w:hAnsi="Symbol" w:hint="default"/>
      </w:rPr>
    </w:lvl>
    <w:lvl w:ilvl="4" w:tplc="A46EB1C0" w:tentative="1">
      <w:start w:val="1"/>
      <w:numFmt w:val="bullet"/>
      <w:lvlText w:val="o"/>
      <w:lvlJc w:val="left"/>
      <w:pPr>
        <w:ind w:left="3600" w:hanging="360"/>
      </w:pPr>
      <w:rPr>
        <w:rFonts w:ascii="Courier New" w:hAnsi="Courier New" w:hint="default"/>
      </w:rPr>
    </w:lvl>
    <w:lvl w:ilvl="5" w:tplc="CAA80DE4" w:tentative="1">
      <w:start w:val="1"/>
      <w:numFmt w:val="bullet"/>
      <w:lvlText w:val=""/>
      <w:lvlJc w:val="left"/>
      <w:pPr>
        <w:ind w:left="4320" w:hanging="360"/>
      </w:pPr>
      <w:rPr>
        <w:rFonts w:ascii="Wingdings" w:hAnsi="Wingdings" w:hint="default"/>
      </w:rPr>
    </w:lvl>
    <w:lvl w:ilvl="6" w:tplc="1ED64F10" w:tentative="1">
      <w:start w:val="1"/>
      <w:numFmt w:val="bullet"/>
      <w:lvlText w:val=""/>
      <w:lvlJc w:val="left"/>
      <w:pPr>
        <w:ind w:left="5040" w:hanging="360"/>
      </w:pPr>
      <w:rPr>
        <w:rFonts w:ascii="Symbol" w:hAnsi="Symbol" w:hint="default"/>
      </w:rPr>
    </w:lvl>
    <w:lvl w:ilvl="7" w:tplc="AA3C6914" w:tentative="1">
      <w:start w:val="1"/>
      <w:numFmt w:val="bullet"/>
      <w:lvlText w:val="o"/>
      <w:lvlJc w:val="left"/>
      <w:pPr>
        <w:ind w:left="5760" w:hanging="360"/>
      </w:pPr>
      <w:rPr>
        <w:rFonts w:ascii="Courier New" w:hAnsi="Courier New" w:hint="default"/>
      </w:rPr>
    </w:lvl>
    <w:lvl w:ilvl="8" w:tplc="9C88AEF0" w:tentative="1">
      <w:start w:val="1"/>
      <w:numFmt w:val="bullet"/>
      <w:lvlText w:val=""/>
      <w:lvlJc w:val="left"/>
      <w:pPr>
        <w:ind w:left="6480" w:hanging="360"/>
      </w:pPr>
      <w:rPr>
        <w:rFonts w:ascii="Wingdings" w:hAnsi="Wingdings" w:hint="default"/>
      </w:rPr>
    </w:lvl>
  </w:abstractNum>
  <w:abstractNum w:abstractNumId="64" w15:restartNumberingAfterBreak="0">
    <w:nsid w:val="588C4BA5"/>
    <w:multiLevelType w:val="hybridMultilevel"/>
    <w:tmpl w:val="9EF25B2A"/>
    <w:lvl w:ilvl="0" w:tplc="3F2CCE06">
      <w:start w:val="1"/>
      <w:numFmt w:val="decimal"/>
      <w:lvlText w:val="%1."/>
      <w:lvlJc w:val="left"/>
      <w:pPr>
        <w:ind w:left="720" w:hanging="360"/>
      </w:pPr>
      <w:rPr>
        <w:sz w:val="24"/>
      </w:rPr>
    </w:lvl>
    <w:lvl w:ilvl="1" w:tplc="62945DC2" w:tentative="1">
      <w:start w:val="1"/>
      <w:numFmt w:val="lowerLetter"/>
      <w:lvlText w:val="%2."/>
      <w:lvlJc w:val="left"/>
      <w:pPr>
        <w:ind w:left="1440" w:hanging="360"/>
      </w:pPr>
    </w:lvl>
    <w:lvl w:ilvl="2" w:tplc="54A01334" w:tentative="1">
      <w:start w:val="1"/>
      <w:numFmt w:val="lowerRoman"/>
      <w:lvlText w:val="%3."/>
      <w:lvlJc w:val="right"/>
      <w:pPr>
        <w:ind w:left="2160" w:hanging="180"/>
      </w:pPr>
    </w:lvl>
    <w:lvl w:ilvl="3" w:tplc="16C01776" w:tentative="1">
      <w:start w:val="1"/>
      <w:numFmt w:val="decimal"/>
      <w:lvlText w:val="%4."/>
      <w:lvlJc w:val="left"/>
      <w:pPr>
        <w:ind w:left="2880" w:hanging="360"/>
      </w:pPr>
    </w:lvl>
    <w:lvl w:ilvl="4" w:tplc="525C23CE" w:tentative="1">
      <w:start w:val="1"/>
      <w:numFmt w:val="lowerLetter"/>
      <w:lvlText w:val="%5."/>
      <w:lvlJc w:val="left"/>
      <w:pPr>
        <w:ind w:left="3600" w:hanging="360"/>
      </w:pPr>
    </w:lvl>
    <w:lvl w:ilvl="5" w:tplc="02B6386E" w:tentative="1">
      <w:start w:val="1"/>
      <w:numFmt w:val="lowerRoman"/>
      <w:lvlText w:val="%6."/>
      <w:lvlJc w:val="right"/>
      <w:pPr>
        <w:ind w:left="4320" w:hanging="180"/>
      </w:pPr>
    </w:lvl>
    <w:lvl w:ilvl="6" w:tplc="2F44924A" w:tentative="1">
      <w:start w:val="1"/>
      <w:numFmt w:val="decimal"/>
      <w:lvlText w:val="%7."/>
      <w:lvlJc w:val="left"/>
      <w:pPr>
        <w:ind w:left="5040" w:hanging="360"/>
      </w:pPr>
    </w:lvl>
    <w:lvl w:ilvl="7" w:tplc="CD4A4BD2" w:tentative="1">
      <w:start w:val="1"/>
      <w:numFmt w:val="lowerLetter"/>
      <w:lvlText w:val="%8."/>
      <w:lvlJc w:val="left"/>
      <w:pPr>
        <w:ind w:left="5760" w:hanging="360"/>
      </w:pPr>
    </w:lvl>
    <w:lvl w:ilvl="8" w:tplc="50880602" w:tentative="1">
      <w:start w:val="1"/>
      <w:numFmt w:val="lowerRoman"/>
      <w:lvlText w:val="%9."/>
      <w:lvlJc w:val="right"/>
      <w:pPr>
        <w:ind w:left="6480" w:hanging="180"/>
      </w:pPr>
    </w:lvl>
  </w:abstractNum>
  <w:abstractNum w:abstractNumId="65" w15:restartNumberingAfterBreak="0">
    <w:nsid w:val="58F44043"/>
    <w:multiLevelType w:val="hybridMultilevel"/>
    <w:tmpl w:val="7930B488"/>
    <w:lvl w:ilvl="0" w:tplc="152ED054">
      <w:start w:val="1"/>
      <w:numFmt w:val="bullet"/>
      <w:lvlText w:val=""/>
      <w:lvlJc w:val="left"/>
      <w:pPr>
        <w:ind w:left="720" w:hanging="360"/>
      </w:pPr>
      <w:rPr>
        <w:rFonts w:ascii="Symbol" w:hAnsi="Symbol" w:hint="default"/>
      </w:rPr>
    </w:lvl>
    <w:lvl w:ilvl="1" w:tplc="CE3EBDA8">
      <w:start w:val="1"/>
      <w:numFmt w:val="bullet"/>
      <w:lvlText w:val="o"/>
      <w:lvlJc w:val="left"/>
      <w:pPr>
        <w:ind w:left="1440" w:hanging="360"/>
      </w:pPr>
      <w:rPr>
        <w:rFonts w:ascii="Courier New" w:hAnsi="Courier New" w:hint="default"/>
      </w:rPr>
    </w:lvl>
    <w:lvl w:ilvl="2" w:tplc="49103926" w:tentative="1">
      <w:start w:val="1"/>
      <w:numFmt w:val="bullet"/>
      <w:lvlText w:val=""/>
      <w:lvlJc w:val="left"/>
      <w:pPr>
        <w:ind w:left="2160" w:hanging="360"/>
      </w:pPr>
      <w:rPr>
        <w:rFonts w:ascii="Wingdings" w:hAnsi="Wingdings" w:hint="default"/>
      </w:rPr>
    </w:lvl>
    <w:lvl w:ilvl="3" w:tplc="F5848B98" w:tentative="1">
      <w:start w:val="1"/>
      <w:numFmt w:val="bullet"/>
      <w:lvlText w:val=""/>
      <w:lvlJc w:val="left"/>
      <w:pPr>
        <w:ind w:left="2880" w:hanging="360"/>
      </w:pPr>
      <w:rPr>
        <w:rFonts w:ascii="Symbol" w:hAnsi="Symbol" w:hint="default"/>
      </w:rPr>
    </w:lvl>
    <w:lvl w:ilvl="4" w:tplc="CFBC2004" w:tentative="1">
      <w:start w:val="1"/>
      <w:numFmt w:val="bullet"/>
      <w:lvlText w:val="o"/>
      <w:lvlJc w:val="left"/>
      <w:pPr>
        <w:ind w:left="3600" w:hanging="360"/>
      </w:pPr>
      <w:rPr>
        <w:rFonts w:ascii="Courier New" w:hAnsi="Courier New" w:hint="default"/>
      </w:rPr>
    </w:lvl>
    <w:lvl w:ilvl="5" w:tplc="992CD39A" w:tentative="1">
      <w:start w:val="1"/>
      <w:numFmt w:val="bullet"/>
      <w:lvlText w:val=""/>
      <w:lvlJc w:val="left"/>
      <w:pPr>
        <w:ind w:left="4320" w:hanging="360"/>
      </w:pPr>
      <w:rPr>
        <w:rFonts w:ascii="Wingdings" w:hAnsi="Wingdings" w:hint="default"/>
      </w:rPr>
    </w:lvl>
    <w:lvl w:ilvl="6" w:tplc="3A486340" w:tentative="1">
      <w:start w:val="1"/>
      <w:numFmt w:val="bullet"/>
      <w:lvlText w:val=""/>
      <w:lvlJc w:val="left"/>
      <w:pPr>
        <w:ind w:left="5040" w:hanging="360"/>
      </w:pPr>
      <w:rPr>
        <w:rFonts w:ascii="Symbol" w:hAnsi="Symbol" w:hint="default"/>
      </w:rPr>
    </w:lvl>
    <w:lvl w:ilvl="7" w:tplc="28E8AF0E" w:tentative="1">
      <w:start w:val="1"/>
      <w:numFmt w:val="bullet"/>
      <w:lvlText w:val="o"/>
      <w:lvlJc w:val="left"/>
      <w:pPr>
        <w:ind w:left="5760" w:hanging="360"/>
      </w:pPr>
      <w:rPr>
        <w:rFonts w:ascii="Courier New" w:hAnsi="Courier New" w:hint="default"/>
      </w:rPr>
    </w:lvl>
    <w:lvl w:ilvl="8" w:tplc="3470278E" w:tentative="1">
      <w:start w:val="1"/>
      <w:numFmt w:val="bullet"/>
      <w:lvlText w:val=""/>
      <w:lvlJc w:val="left"/>
      <w:pPr>
        <w:ind w:left="6480" w:hanging="360"/>
      </w:pPr>
      <w:rPr>
        <w:rFonts w:ascii="Wingdings" w:hAnsi="Wingdings" w:hint="default"/>
      </w:rPr>
    </w:lvl>
  </w:abstractNum>
  <w:abstractNum w:abstractNumId="66" w15:restartNumberingAfterBreak="0">
    <w:nsid w:val="59943FAD"/>
    <w:multiLevelType w:val="hybridMultilevel"/>
    <w:tmpl w:val="18700836"/>
    <w:lvl w:ilvl="0" w:tplc="5358B7CE">
      <w:start w:val="1"/>
      <w:numFmt w:val="bullet"/>
      <w:lvlText w:val=""/>
      <w:lvlJc w:val="left"/>
      <w:pPr>
        <w:ind w:left="360" w:hanging="360"/>
      </w:pPr>
      <w:rPr>
        <w:rFonts w:ascii="Symbol" w:hAnsi="Symbol" w:hint="default"/>
      </w:rPr>
    </w:lvl>
    <w:lvl w:ilvl="1" w:tplc="08EECE0E">
      <w:start w:val="1"/>
      <w:numFmt w:val="bullet"/>
      <w:lvlText w:val="o"/>
      <w:lvlJc w:val="left"/>
      <w:pPr>
        <w:ind w:left="1080" w:hanging="360"/>
      </w:pPr>
      <w:rPr>
        <w:rFonts w:ascii="Courier New" w:hAnsi="Courier New" w:hint="default"/>
      </w:rPr>
    </w:lvl>
    <w:lvl w:ilvl="2" w:tplc="983EF410" w:tentative="1">
      <w:start w:val="1"/>
      <w:numFmt w:val="bullet"/>
      <w:lvlText w:val=""/>
      <w:lvlJc w:val="left"/>
      <w:pPr>
        <w:ind w:left="1800" w:hanging="360"/>
      </w:pPr>
      <w:rPr>
        <w:rFonts w:ascii="Wingdings" w:hAnsi="Wingdings" w:hint="default"/>
      </w:rPr>
    </w:lvl>
    <w:lvl w:ilvl="3" w:tplc="C970522C" w:tentative="1">
      <w:start w:val="1"/>
      <w:numFmt w:val="bullet"/>
      <w:lvlText w:val=""/>
      <w:lvlJc w:val="left"/>
      <w:pPr>
        <w:ind w:left="2520" w:hanging="360"/>
      </w:pPr>
      <w:rPr>
        <w:rFonts w:ascii="Symbol" w:hAnsi="Symbol" w:hint="default"/>
      </w:rPr>
    </w:lvl>
    <w:lvl w:ilvl="4" w:tplc="F0A209C6" w:tentative="1">
      <w:start w:val="1"/>
      <w:numFmt w:val="bullet"/>
      <w:lvlText w:val="o"/>
      <w:lvlJc w:val="left"/>
      <w:pPr>
        <w:ind w:left="3240" w:hanging="360"/>
      </w:pPr>
      <w:rPr>
        <w:rFonts w:ascii="Courier New" w:hAnsi="Courier New" w:hint="default"/>
      </w:rPr>
    </w:lvl>
    <w:lvl w:ilvl="5" w:tplc="37D2F11E" w:tentative="1">
      <w:start w:val="1"/>
      <w:numFmt w:val="bullet"/>
      <w:lvlText w:val=""/>
      <w:lvlJc w:val="left"/>
      <w:pPr>
        <w:ind w:left="3960" w:hanging="360"/>
      </w:pPr>
      <w:rPr>
        <w:rFonts w:ascii="Wingdings" w:hAnsi="Wingdings" w:hint="default"/>
      </w:rPr>
    </w:lvl>
    <w:lvl w:ilvl="6" w:tplc="BB9E16B2" w:tentative="1">
      <w:start w:val="1"/>
      <w:numFmt w:val="bullet"/>
      <w:lvlText w:val=""/>
      <w:lvlJc w:val="left"/>
      <w:pPr>
        <w:ind w:left="4680" w:hanging="360"/>
      </w:pPr>
      <w:rPr>
        <w:rFonts w:ascii="Symbol" w:hAnsi="Symbol" w:hint="default"/>
      </w:rPr>
    </w:lvl>
    <w:lvl w:ilvl="7" w:tplc="2E3E6902" w:tentative="1">
      <w:start w:val="1"/>
      <w:numFmt w:val="bullet"/>
      <w:lvlText w:val="o"/>
      <w:lvlJc w:val="left"/>
      <w:pPr>
        <w:ind w:left="5400" w:hanging="360"/>
      </w:pPr>
      <w:rPr>
        <w:rFonts w:ascii="Courier New" w:hAnsi="Courier New" w:hint="default"/>
      </w:rPr>
    </w:lvl>
    <w:lvl w:ilvl="8" w:tplc="13E82D28" w:tentative="1">
      <w:start w:val="1"/>
      <w:numFmt w:val="bullet"/>
      <w:lvlText w:val=""/>
      <w:lvlJc w:val="left"/>
      <w:pPr>
        <w:ind w:left="6120" w:hanging="360"/>
      </w:pPr>
      <w:rPr>
        <w:rFonts w:ascii="Wingdings" w:hAnsi="Wingdings" w:hint="default"/>
      </w:rPr>
    </w:lvl>
  </w:abstractNum>
  <w:abstractNum w:abstractNumId="67" w15:restartNumberingAfterBreak="0">
    <w:nsid w:val="59DD2C4D"/>
    <w:multiLevelType w:val="hybridMultilevel"/>
    <w:tmpl w:val="5706E19A"/>
    <w:lvl w:ilvl="0" w:tplc="CD1E9F9A">
      <w:start w:val="1"/>
      <w:numFmt w:val="decimal"/>
      <w:lvlText w:val="%1."/>
      <w:lvlJc w:val="left"/>
      <w:pPr>
        <w:ind w:left="360" w:hanging="360"/>
      </w:pPr>
    </w:lvl>
    <w:lvl w:ilvl="1" w:tplc="8718205A">
      <w:start w:val="1"/>
      <w:numFmt w:val="lowerLetter"/>
      <w:lvlText w:val="%2."/>
      <w:lvlJc w:val="left"/>
      <w:pPr>
        <w:ind w:left="1080" w:hanging="360"/>
      </w:pPr>
    </w:lvl>
    <w:lvl w:ilvl="2" w:tplc="980468FA" w:tentative="1">
      <w:start w:val="1"/>
      <w:numFmt w:val="lowerRoman"/>
      <w:lvlText w:val="%3."/>
      <w:lvlJc w:val="right"/>
      <w:pPr>
        <w:ind w:left="1800" w:hanging="180"/>
      </w:pPr>
    </w:lvl>
    <w:lvl w:ilvl="3" w:tplc="D31A3BF4" w:tentative="1">
      <w:start w:val="1"/>
      <w:numFmt w:val="decimal"/>
      <w:lvlText w:val="%4."/>
      <w:lvlJc w:val="left"/>
      <w:pPr>
        <w:ind w:left="2520" w:hanging="360"/>
      </w:pPr>
    </w:lvl>
    <w:lvl w:ilvl="4" w:tplc="797E62EA" w:tentative="1">
      <w:start w:val="1"/>
      <w:numFmt w:val="lowerLetter"/>
      <w:lvlText w:val="%5."/>
      <w:lvlJc w:val="left"/>
      <w:pPr>
        <w:ind w:left="3240" w:hanging="360"/>
      </w:pPr>
    </w:lvl>
    <w:lvl w:ilvl="5" w:tplc="053E5E2C" w:tentative="1">
      <w:start w:val="1"/>
      <w:numFmt w:val="lowerRoman"/>
      <w:lvlText w:val="%6."/>
      <w:lvlJc w:val="right"/>
      <w:pPr>
        <w:ind w:left="3960" w:hanging="180"/>
      </w:pPr>
    </w:lvl>
    <w:lvl w:ilvl="6" w:tplc="3F0E56DA" w:tentative="1">
      <w:start w:val="1"/>
      <w:numFmt w:val="decimal"/>
      <w:lvlText w:val="%7."/>
      <w:lvlJc w:val="left"/>
      <w:pPr>
        <w:ind w:left="4680" w:hanging="360"/>
      </w:pPr>
    </w:lvl>
    <w:lvl w:ilvl="7" w:tplc="3A4A9B2C" w:tentative="1">
      <w:start w:val="1"/>
      <w:numFmt w:val="lowerLetter"/>
      <w:lvlText w:val="%8."/>
      <w:lvlJc w:val="left"/>
      <w:pPr>
        <w:ind w:left="5400" w:hanging="360"/>
      </w:pPr>
    </w:lvl>
    <w:lvl w:ilvl="8" w:tplc="65968AF0" w:tentative="1">
      <w:start w:val="1"/>
      <w:numFmt w:val="lowerRoman"/>
      <w:lvlText w:val="%9."/>
      <w:lvlJc w:val="right"/>
      <w:pPr>
        <w:ind w:left="6120" w:hanging="180"/>
      </w:pPr>
    </w:lvl>
  </w:abstractNum>
  <w:abstractNum w:abstractNumId="68" w15:restartNumberingAfterBreak="0">
    <w:nsid w:val="5BC133CE"/>
    <w:multiLevelType w:val="hybridMultilevel"/>
    <w:tmpl w:val="450A219A"/>
    <w:lvl w:ilvl="0" w:tplc="F8D6E1DA">
      <w:start w:val="1"/>
      <w:numFmt w:val="bullet"/>
      <w:lvlText w:val=""/>
      <w:lvlJc w:val="left"/>
      <w:pPr>
        <w:ind w:left="720" w:hanging="360"/>
      </w:pPr>
      <w:rPr>
        <w:rFonts w:ascii="Symbol" w:hAnsi="Symbol" w:hint="default"/>
      </w:rPr>
    </w:lvl>
    <w:lvl w:ilvl="1" w:tplc="0CC41500">
      <w:start w:val="1"/>
      <w:numFmt w:val="bullet"/>
      <w:lvlText w:val="o"/>
      <w:lvlJc w:val="left"/>
      <w:pPr>
        <w:ind w:left="1440" w:hanging="360"/>
      </w:pPr>
      <w:rPr>
        <w:rFonts w:ascii="Courier New" w:hAnsi="Courier New" w:hint="default"/>
      </w:rPr>
    </w:lvl>
    <w:lvl w:ilvl="2" w:tplc="0F9884FC" w:tentative="1">
      <w:start w:val="1"/>
      <w:numFmt w:val="bullet"/>
      <w:lvlText w:val=""/>
      <w:lvlJc w:val="left"/>
      <w:pPr>
        <w:ind w:left="2160" w:hanging="360"/>
      </w:pPr>
      <w:rPr>
        <w:rFonts w:ascii="Wingdings" w:hAnsi="Wingdings" w:hint="default"/>
      </w:rPr>
    </w:lvl>
    <w:lvl w:ilvl="3" w:tplc="4218254E" w:tentative="1">
      <w:start w:val="1"/>
      <w:numFmt w:val="bullet"/>
      <w:lvlText w:val=""/>
      <w:lvlJc w:val="left"/>
      <w:pPr>
        <w:ind w:left="2880" w:hanging="360"/>
      </w:pPr>
      <w:rPr>
        <w:rFonts w:ascii="Symbol" w:hAnsi="Symbol" w:hint="default"/>
      </w:rPr>
    </w:lvl>
    <w:lvl w:ilvl="4" w:tplc="874E2768" w:tentative="1">
      <w:start w:val="1"/>
      <w:numFmt w:val="bullet"/>
      <w:lvlText w:val="o"/>
      <w:lvlJc w:val="left"/>
      <w:pPr>
        <w:ind w:left="3600" w:hanging="360"/>
      </w:pPr>
      <w:rPr>
        <w:rFonts w:ascii="Courier New" w:hAnsi="Courier New" w:hint="default"/>
      </w:rPr>
    </w:lvl>
    <w:lvl w:ilvl="5" w:tplc="11C61558" w:tentative="1">
      <w:start w:val="1"/>
      <w:numFmt w:val="bullet"/>
      <w:lvlText w:val=""/>
      <w:lvlJc w:val="left"/>
      <w:pPr>
        <w:ind w:left="4320" w:hanging="360"/>
      </w:pPr>
      <w:rPr>
        <w:rFonts w:ascii="Wingdings" w:hAnsi="Wingdings" w:hint="default"/>
      </w:rPr>
    </w:lvl>
    <w:lvl w:ilvl="6" w:tplc="2B20AFE0" w:tentative="1">
      <w:start w:val="1"/>
      <w:numFmt w:val="bullet"/>
      <w:lvlText w:val=""/>
      <w:lvlJc w:val="left"/>
      <w:pPr>
        <w:ind w:left="5040" w:hanging="360"/>
      </w:pPr>
      <w:rPr>
        <w:rFonts w:ascii="Symbol" w:hAnsi="Symbol" w:hint="default"/>
      </w:rPr>
    </w:lvl>
    <w:lvl w:ilvl="7" w:tplc="C812EC1E" w:tentative="1">
      <w:start w:val="1"/>
      <w:numFmt w:val="bullet"/>
      <w:lvlText w:val="o"/>
      <w:lvlJc w:val="left"/>
      <w:pPr>
        <w:ind w:left="5760" w:hanging="360"/>
      </w:pPr>
      <w:rPr>
        <w:rFonts w:ascii="Courier New" w:hAnsi="Courier New" w:hint="default"/>
      </w:rPr>
    </w:lvl>
    <w:lvl w:ilvl="8" w:tplc="F0EE87EA" w:tentative="1">
      <w:start w:val="1"/>
      <w:numFmt w:val="bullet"/>
      <w:lvlText w:val=""/>
      <w:lvlJc w:val="left"/>
      <w:pPr>
        <w:ind w:left="6480" w:hanging="360"/>
      </w:pPr>
      <w:rPr>
        <w:rFonts w:ascii="Wingdings" w:hAnsi="Wingdings" w:hint="default"/>
      </w:rPr>
    </w:lvl>
  </w:abstractNum>
  <w:abstractNum w:abstractNumId="69" w15:restartNumberingAfterBreak="0">
    <w:nsid w:val="5C015C60"/>
    <w:multiLevelType w:val="hybridMultilevel"/>
    <w:tmpl w:val="52C24004"/>
    <w:lvl w:ilvl="0" w:tplc="368E3AC2">
      <w:start w:val="1"/>
      <w:numFmt w:val="decimal"/>
      <w:lvlText w:val="%1."/>
      <w:lvlJc w:val="left"/>
      <w:pPr>
        <w:ind w:left="1020" w:hanging="360"/>
      </w:pPr>
    </w:lvl>
    <w:lvl w:ilvl="1" w:tplc="96A4B916">
      <w:start w:val="1"/>
      <w:numFmt w:val="decimal"/>
      <w:lvlText w:val="%2."/>
      <w:lvlJc w:val="left"/>
      <w:pPr>
        <w:ind w:left="1020" w:hanging="360"/>
      </w:pPr>
    </w:lvl>
    <w:lvl w:ilvl="2" w:tplc="EF74BB8E">
      <w:start w:val="1"/>
      <w:numFmt w:val="decimal"/>
      <w:lvlText w:val="%3."/>
      <w:lvlJc w:val="left"/>
      <w:pPr>
        <w:ind w:left="1020" w:hanging="360"/>
      </w:pPr>
    </w:lvl>
    <w:lvl w:ilvl="3" w:tplc="D452D470">
      <w:start w:val="1"/>
      <w:numFmt w:val="decimal"/>
      <w:lvlText w:val="%4."/>
      <w:lvlJc w:val="left"/>
      <w:pPr>
        <w:ind w:left="1020" w:hanging="360"/>
      </w:pPr>
    </w:lvl>
    <w:lvl w:ilvl="4" w:tplc="4D6EFB60">
      <w:start w:val="1"/>
      <w:numFmt w:val="decimal"/>
      <w:lvlText w:val="%5."/>
      <w:lvlJc w:val="left"/>
      <w:pPr>
        <w:ind w:left="1020" w:hanging="360"/>
      </w:pPr>
    </w:lvl>
    <w:lvl w:ilvl="5" w:tplc="597EB83E">
      <w:start w:val="1"/>
      <w:numFmt w:val="decimal"/>
      <w:lvlText w:val="%6."/>
      <w:lvlJc w:val="left"/>
      <w:pPr>
        <w:ind w:left="1020" w:hanging="360"/>
      </w:pPr>
    </w:lvl>
    <w:lvl w:ilvl="6" w:tplc="CDE8FD4A">
      <w:start w:val="1"/>
      <w:numFmt w:val="decimal"/>
      <w:lvlText w:val="%7."/>
      <w:lvlJc w:val="left"/>
      <w:pPr>
        <w:ind w:left="1020" w:hanging="360"/>
      </w:pPr>
    </w:lvl>
    <w:lvl w:ilvl="7" w:tplc="823A648E">
      <w:start w:val="1"/>
      <w:numFmt w:val="decimal"/>
      <w:lvlText w:val="%8."/>
      <w:lvlJc w:val="left"/>
      <w:pPr>
        <w:ind w:left="1020" w:hanging="360"/>
      </w:pPr>
    </w:lvl>
    <w:lvl w:ilvl="8" w:tplc="1D28CD64">
      <w:start w:val="1"/>
      <w:numFmt w:val="decimal"/>
      <w:lvlText w:val="%9."/>
      <w:lvlJc w:val="left"/>
      <w:pPr>
        <w:ind w:left="1020" w:hanging="360"/>
      </w:pPr>
    </w:lvl>
  </w:abstractNum>
  <w:abstractNum w:abstractNumId="70" w15:restartNumberingAfterBreak="0">
    <w:nsid w:val="5C131E69"/>
    <w:multiLevelType w:val="hybridMultilevel"/>
    <w:tmpl w:val="ED72B244"/>
    <w:lvl w:ilvl="0" w:tplc="834C70FE">
      <w:start w:val="1"/>
      <w:numFmt w:val="decimal"/>
      <w:lvlText w:val="%1."/>
      <w:lvlJc w:val="left"/>
      <w:pPr>
        <w:ind w:left="360" w:hanging="360"/>
      </w:pPr>
    </w:lvl>
    <w:lvl w:ilvl="1" w:tplc="4BE88234" w:tentative="1">
      <w:start w:val="1"/>
      <w:numFmt w:val="lowerLetter"/>
      <w:lvlText w:val="%2."/>
      <w:lvlJc w:val="left"/>
      <w:pPr>
        <w:ind w:left="1080" w:hanging="360"/>
      </w:pPr>
    </w:lvl>
    <w:lvl w:ilvl="2" w:tplc="9370BBC6" w:tentative="1">
      <w:start w:val="1"/>
      <w:numFmt w:val="lowerRoman"/>
      <w:lvlText w:val="%3."/>
      <w:lvlJc w:val="right"/>
      <w:pPr>
        <w:ind w:left="1800" w:hanging="180"/>
      </w:pPr>
    </w:lvl>
    <w:lvl w:ilvl="3" w:tplc="0F3819AE" w:tentative="1">
      <w:start w:val="1"/>
      <w:numFmt w:val="decimal"/>
      <w:lvlText w:val="%4."/>
      <w:lvlJc w:val="left"/>
      <w:pPr>
        <w:ind w:left="2520" w:hanging="360"/>
      </w:pPr>
    </w:lvl>
    <w:lvl w:ilvl="4" w:tplc="748CB152" w:tentative="1">
      <w:start w:val="1"/>
      <w:numFmt w:val="lowerLetter"/>
      <w:lvlText w:val="%5."/>
      <w:lvlJc w:val="left"/>
      <w:pPr>
        <w:ind w:left="3240" w:hanging="360"/>
      </w:pPr>
    </w:lvl>
    <w:lvl w:ilvl="5" w:tplc="17E06C12" w:tentative="1">
      <w:start w:val="1"/>
      <w:numFmt w:val="lowerRoman"/>
      <w:lvlText w:val="%6."/>
      <w:lvlJc w:val="right"/>
      <w:pPr>
        <w:ind w:left="3960" w:hanging="180"/>
      </w:pPr>
    </w:lvl>
    <w:lvl w:ilvl="6" w:tplc="82F0BCE0" w:tentative="1">
      <w:start w:val="1"/>
      <w:numFmt w:val="decimal"/>
      <w:lvlText w:val="%7."/>
      <w:lvlJc w:val="left"/>
      <w:pPr>
        <w:ind w:left="4680" w:hanging="360"/>
      </w:pPr>
    </w:lvl>
    <w:lvl w:ilvl="7" w:tplc="63F4F918" w:tentative="1">
      <w:start w:val="1"/>
      <w:numFmt w:val="lowerLetter"/>
      <w:lvlText w:val="%8."/>
      <w:lvlJc w:val="left"/>
      <w:pPr>
        <w:ind w:left="5400" w:hanging="360"/>
      </w:pPr>
    </w:lvl>
    <w:lvl w:ilvl="8" w:tplc="C44E80EE" w:tentative="1">
      <w:start w:val="1"/>
      <w:numFmt w:val="lowerRoman"/>
      <w:lvlText w:val="%9."/>
      <w:lvlJc w:val="right"/>
      <w:pPr>
        <w:ind w:left="6120" w:hanging="180"/>
      </w:pPr>
    </w:lvl>
  </w:abstractNum>
  <w:abstractNum w:abstractNumId="71" w15:restartNumberingAfterBreak="0">
    <w:nsid w:val="5D5010D7"/>
    <w:multiLevelType w:val="multilevel"/>
    <w:tmpl w:val="25AA7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F1574A4"/>
    <w:multiLevelType w:val="multilevel"/>
    <w:tmpl w:val="27569C60"/>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4F4C0F"/>
    <w:multiLevelType w:val="hybridMultilevel"/>
    <w:tmpl w:val="5AFE4DBA"/>
    <w:lvl w:ilvl="0" w:tplc="07F8EF2A">
      <w:start w:val="1"/>
      <w:numFmt w:val="decimal"/>
      <w:lvlText w:val="%1."/>
      <w:lvlJc w:val="left"/>
      <w:pPr>
        <w:ind w:left="720" w:hanging="360"/>
      </w:pPr>
    </w:lvl>
    <w:lvl w:ilvl="1" w:tplc="B81EFB50" w:tentative="1">
      <w:start w:val="1"/>
      <w:numFmt w:val="lowerLetter"/>
      <w:lvlText w:val="%2."/>
      <w:lvlJc w:val="left"/>
      <w:pPr>
        <w:ind w:left="1440" w:hanging="360"/>
      </w:pPr>
    </w:lvl>
    <w:lvl w:ilvl="2" w:tplc="F3B64C24" w:tentative="1">
      <w:start w:val="1"/>
      <w:numFmt w:val="lowerRoman"/>
      <w:lvlText w:val="%3."/>
      <w:lvlJc w:val="right"/>
      <w:pPr>
        <w:ind w:left="2160" w:hanging="180"/>
      </w:pPr>
    </w:lvl>
    <w:lvl w:ilvl="3" w:tplc="53381C9E" w:tentative="1">
      <w:start w:val="1"/>
      <w:numFmt w:val="decimal"/>
      <w:lvlText w:val="%4."/>
      <w:lvlJc w:val="left"/>
      <w:pPr>
        <w:ind w:left="2880" w:hanging="360"/>
      </w:pPr>
    </w:lvl>
    <w:lvl w:ilvl="4" w:tplc="33269AAC" w:tentative="1">
      <w:start w:val="1"/>
      <w:numFmt w:val="lowerLetter"/>
      <w:lvlText w:val="%5."/>
      <w:lvlJc w:val="left"/>
      <w:pPr>
        <w:ind w:left="3600" w:hanging="360"/>
      </w:pPr>
    </w:lvl>
    <w:lvl w:ilvl="5" w:tplc="47B41D94" w:tentative="1">
      <w:start w:val="1"/>
      <w:numFmt w:val="lowerRoman"/>
      <w:lvlText w:val="%6."/>
      <w:lvlJc w:val="right"/>
      <w:pPr>
        <w:ind w:left="4320" w:hanging="180"/>
      </w:pPr>
    </w:lvl>
    <w:lvl w:ilvl="6" w:tplc="0B2CD59C" w:tentative="1">
      <w:start w:val="1"/>
      <w:numFmt w:val="decimal"/>
      <w:lvlText w:val="%7."/>
      <w:lvlJc w:val="left"/>
      <w:pPr>
        <w:ind w:left="5040" w:hanging="360"/>
      </w:pPr>
    </w:lvl>
    <w:lvl w:ilvl="7" w:tplc="47308A06" w:tentative="1">
      <w:start w:val="1"/>
      <w:numFmt w:val="lowerLetter"/>
      <w:lvlText w:val="%8."/>
      <w:lvlJc w:val="left"/>
      <w:pPr>
        <w:ind w:left="5760" w:hanging="360"/>
      </w:pPr>
    </w:lvl>
    <w:lvl w:ilvl="8" w:tplc="A9E2EC04" w:tentative="1">
      <w:start w:val="1"/>
      <w:numFmt w:val="lowerRoman"/>
      <w:lvlText w:val="%9."/>
      <w:lvlJc w:val="right"/>
      <w:pPr>
        <w:ind w:left="6480" w:hanging="180"/>
      </w:pPr>
    </w:lvl>
  </w:abstractNum>
  <w:abstractNum w:abstractNumId="74" w15:restartNumberingAfterBreak="0">
    <w:nsid w:val="63476238"/>
    <w:multiLevelType w:val="hybridMultilevel"/>
    <w:tmpl w:val="69DA3B2E"/>
    <w:lvl w:ilvl="0" w:tplc="15FE0B58">
      <w:start w:val="1"/>
      <w:numFmt w:val="decimal"/>
      <w:lvlText w:val="%1."/>
      <w:lvlJc w:val="left"/>
      <w:pPr>
        <w:ind w:left="-708" w:hanging="360"/>
      </w:pPr>
    </w:lvl>
    <w:lvl w:ilvl="1" w:tplc="A1B06AA0" w:tentative="1">
      <w:start w:val="1"/>
      <w:numFmt w:val="lowerLetter"/>
      <w:lvlText w:val="%2."/>
      <w:lvlJc w:val="left"/>
      <w:pPr>
        <w:ind w:left="12" w:hanging="360"/>
      </w:pPr>
    </w:lvl>
    <w:lvl w:ilvl="2" w:tplc="0A0E216A" w:tentative="1">
      <w:start w:val="1"/>
      <w:numFmt w:val="lowerRoman"/>
      <w:lvlText w:val="%3."/>
      <w:lvlJc w:val="right"/>
      <w:pPr>
        <w:ind w:left="732" w:hanging="180"/>
      </w:pPr>
    </w:lvl>
    <w:lvl w:ilvl="3" w:tplc="203E54C2" w:tentative="1">
      <w:start w:val="1"/>
      <w:numFmt w:val="decimal"/>
      <w:lvlText w:val="%4."/>
      <w:lvlJc w:val="left"/>
      <w:pPr>
        <w:ind w:left="1452" w:hanging="360"/>
      </w:pPr>
    </w:lvl>
    <w:lvl w:ilvl="4" w:tplc="E83A7FA6" w:tentative="1">
      <w:start w:val="1"/>
      <w:numFmt w:val="lowerLetter"/>
      <w:lvlText w:val="%5."/>
      <w:lvlJc w:val="left"/>
      <w:pPr>
        <w:ind w:left="2172" w:hanging="360"/>
      </w:pPr>
    </w:lvl>
    <w:lvl w:ilvl="5" w:tplc="99AE4572" w:tentative="1">
      <w:start w:val="1"/>
      <w:numFmt w:val="lowerRoman"/>
      <w:lvlText w:val="%6."/>
      <w:lvlJc w:val="right"/>
      <w:pPr>
        <w:ind w:left="2892" w:hanging="180"/>
      </w:pPr>
    </w:lvl>
    <w:lvl w:ilvl="6" w:tplc="778E19C2" w:tentative="1">
      <w:start w:val="1"/>
      <w:numFmt w:val="decimal"/>
      <w:lvlText w:val="%7."/>
      <w:lvlJc w:val="left"/>
      <w:pPr>
        <w:ind w:left="3612" w:hanging="360"/>
      </w:pPr>
    </w:lvl>
    <w:lvl w:ilvl="7" w:tplc="AB02020C" w:tentative="1">
      <w:start w:val="1"/>
      <w:numFmt w:val="lowerLetter"/>
      <w:lvlText w:val="%8."/>
      <w:lvlJc w:val="left"/>
      <w:pPr>
        <w:ind w:left="4332" w:hanging="360"/>
      </w:pPr>
    </w:lvl>
    <w:lvl w:ilvl="8" w:tplc="C4CC7E02" w:tentative="1">
      <w:start w:val="1"/>
      <w:numFmt w:val="lowerRoman"/>
      <w:lvlText w:val="%9."/>
      <w:lvlJc w:val="right"/>
      <w:pPr>
        <w:ind w:left="5052" w:hanging="180"/>
      </w:pPr>
    </w:lvl>
  </w:abstractNum>
  <w:abstractNum w:abstractNumId="75" w15:restartNumberingAfterBreak="0">
    <w:nsid w:val="679502F9"/>
    <w:multiLevelType w:val="multilevel"/>
    <w:tmpl w:val="8F08C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F967F9"/>
    <w:multiLevelType w:val="hybridMultilevel"/>
    <w:tmpl w:val="5706E19A"/>
    <w:lvl w:ilvl="0" w:tplc="D5607602">
      <w:start w:val="1"/>
      <w:numFmt w:val="decimal"/>
      <w:lvlText w:val="%1."/>
      <w:lvlJc w:val="left"/>
      <w:pPr>
        <w:ind w:left="360" w:hanging="360"/>
      </w:pPr>
    </w:lvl>
    <w:lvl w:ilvl="1" w:tplc="C2B8B6B6" w:tentative="1">
      <w:start w:val="1"/>
      <w:numFmt w:val="lowerLetter"/>
      <w:lvlText w:val="%2."/>
      <w:lvlJc w:val="left"/>
      <w:pPr>
        <w:ind w:left="1080" w:hanging="360"/>
      </w:pPr>
    </w:lvl>
    <w:lvl w:ilvl="2" w:tplc="E034ACEE" w:tentative="1">
      <w:start w:val="1"/>
      <w:numFmt w:val="lowerRoman"/>
      <w:lvlText w:val="%3."/>
      <w:lvlJc w:val="right"/>
      <w:pPr>
        <w:ind w:left="1800" w:hanging="180"/>
      </w:pPr>
    </w:lvl>
    <w:lvl w:ilvl="3" w:tplc="9AF8A192" w:tentative="1">
      <w:start w:val="1"/>
      <w:numFmt w:val="decimal"/>
      <w:lvlText w:val="%4."/>
      <w:lvlJc w:val="left"/>
      <w:pPr>
        <w:ind w:left="2520" w:hanging="360"/>
      </w:pPr>
    </w:lvl>
    <w:lvl w:ilvl="4" w:tplc="0D18A6DA" w:tentative="1">
      <w:start w:val="1"/>
      <w:numFmt w:val="lowerLetter"/>
      <w:lvlText w:val="%5."/>
      <w:lvlJc w:val="left"/>
      <w:pPr>
        <w:ind w:left="3240" w:hanging="360"/>
      </w:pPr>
    </w:lvl>
    <w:lvl w:ilvl="5" w:tplc="6D12CA1E" w:tentative="1">
      <w:start w:val="1"/>
      <w:numFmt w:val="lowerRoman"/>
      <w:lvlText w:val="%6."/>
      <w:lvlJc w:val="right"/>
      <w:pPr>
        <w:ind w:left="3960" w:hanging="180"/>
      </w:pPr>
    </w:lvl>
    <w:lvl w:ilvl="6" w:tplc="669602CA" w:tentative="1">
      <w:start w:val="1"/>
      <w:numFmt w:val="decimal"/>
      <w:lvlText w:val="%7."/>
      <w:lvlJc w:val="left"/>
      <w:pPr>
        <w:ind w:left="4680" w:hanging="360"/>
      </w:pPr>
    </w:lvl>
    <w:lvl w:ilvl="7" w:tplc="649E94AA" w:tentative="1">
      <w:start w:val="1"/>
      <w:numFmt w:val="lowerLetter"/>
      <w:lvlText w:val="%8."/>
      <w:lvlJc w:val="left"/>
      <w:pPr>
        <w:ind w:left="5400" w:hanging="360"/>
      </w:pPr>
    </w:lvl>
    <w:lvl w:ilvl="8" w:tplc="A0EAA290" w:tentative="1">
      <w:start w:val="1"/>
      <w:numFmt w:val="lowerRoman"/>
      <w:lvlText w:val="%9."/>
      <w:lvlJc w:val="right"/>
      <w:pPr>
        <w:ind w:left="6120" w:hanging="180"/>
      </w:pPr>
    </w:lvl>
  </w:abstractNum>
  <w:abstractNum w:abstractNumId="77" w15:restartNumberingAfterBreak="0">
    <w:nsid w:val="69F10ED8"/>
    <w:multiLevelType w:val="hybridMultilevel"/>
    <w:tmpl w:val="650611AC"/>
    <w:lvl w:ilvl="0" w:tplc="BD387C5E">
      <w:start w:val="1"/>
      <w:numFmt w:val="bullet"/>
      <w:lvlText w:val=""/>
      <w:lvlJc w:val="left"/>
      <w:pPr>
        <w:ind w:left="720" w:hanging="360"/>
      </w:pPr>
      <w:rPr>
        <w:rFonts w:ascii="Symbol" w:hAnsi="Symbol" w:hint="default"/>
      </w:rPr>
    </w:lvl>
    <w:lvl w:ilvl="1" w:tplc="C672B8A2" w:tentative="1">
      <w:start w:val="1"/>
      <w:numFmt w:val="bullet"/>
      <w:lvlText w:val="o"/>
      <w:lvlJc w:val="left"/>
      <w:pPr>
        <w:ind w:left="1440" w:hanging="360"/>
      </w:pPr>
      <w:rPr>
        <w:rFonts w:ascii="Courier New" w:hAnsi="Courier New" w:hint="default"/>
      </w:rPr>
    </w:lvl>
    <w:lvl w:ilvl="2" w:tplc="9556A36A" w:tentative="1">
      <w:start w:val="1"/>
      <w:numFmt w:val="bullet"/>
      <w:lvlText w:val=""/>
      <w:lvlJc w:val="left"/>
      <w:pPr>
        <w:ind w:left="2160" w:hanging="360"/>
      </w:pPr>
      <w:rPr>
        <w:rFonts w:ascii="Wingdings" w:hAnsi="Wingdings" w:hint="default"/>
      </w:rPr>
    </w:lvl>
    <w:lvl w:ilvl="3" w:tplc="B502940E" w:tentative="1">
      <w:start w:val="1"/>
      <w:numFmt w:val="bullet"/>
      <w:lvlText w:val=""/>
      <w:lvlJc w:val="left"/>
      <w:pPr>
        <w:ind w:left="2880" w:hanging="360"/>
      </w:pPr>
      <w:rPr>
        <w:rFonts w:ascii="Symbol" w:hAnsi="Symbol" w:hint="default"/>
      </w:rPr>
    </w:lvl>
    <w:lvl w:ilvl="4" w:tplc="5588D85A" w:tentative="1">
      <w:start w:val="1"/>
      <w:numFmt w:val="bullet"/>
      <w:lvlText w:val="o"/>
      <w:lvlJc w:val="left"/>
      <w:pPr>
        <w:ind w:left="3600" w:hanging="360"/>
      </w:pPr>
      <w:rPr>
        <w:rFonts w:ascii="Courier New" w:hAnsi="Courier New" w:hint="default"/>
      </w:rPr>
    </w:lvl>
    <w:lvl w:ilvl="5" w:tplc="B53AFD92" w:tentative="1">
      <w:start w:val="1"/>
      <w:numFmt w:val="bullet"/>
      <w:lvlText w:val=""/>
      <w:lvlJc w:val="left"/>
      <w:pPr>
        <w:ind w:left="4320" w:hanging="360"/>
      </w:pPr>
      <w:rPr>
        <w:rFonts w:ascii="Wingdings" w:hAnsi="Wingdings" w:hint="default"/>
      </w:rPr>
    </w:lvl>
    <w:lvl w:ilvl="6" w:tplc="4F3C1ECE" w:tentative="1">
      <w:start w:val="1"/>
      <w:numFmt w:val="bullet"/>
      <w:lvlText w:val=""/>
      <w:lvlJc w:val="left"/>
      <w:pPr>
        <w:ind w:left="5040" w:hanging="360"/>
      </w:pPr>
      <w:rPr>
        <w:rFonts w:ascii="Symbol" w:hAnsi="Symbol" w:hint="default"/>
      </w:rPr>
    </w:lvl>
    <w:lvl w:ilvl="7" w:tplc="34C00D1A" w:tentative="1">
      <w:start w:val="1"/>
      <w:numFmt w:val="bullet"/>
      <w:lvlText w:val="o"/>
      <w:lvlJc w:val="left"/>
      <w:pPr>
        <w:ind w:left="5760" w:hanging="360"/>
      </w:pPr>
      <w:rPr>
        <w:rFonts w:ascii="Courier New" w:hAnsi="Courier New" w:hint="default"/>
      </w:rPr>
    </w:lvl>
    <w:lvl w:ilvl="8" w:tplc="EFBEE4CA" w:tentative="1">
      <w:start w:val="1"/>
      <w:numFmt w:val="bullet"/>
      <w:lvlText w:val=""/>
      <w:lvlJc w:val="left"/>
      <w:pPr>
        <w:ind w:left="6480" w:hanging="360"/>
      </w:pPr>
      <w:rPr>
        <w:rFonts w:ascii="Wingdings" w:hAnsi="Wingdings" w:hint="default"/>
      </w:rPr>
    </w:lvl>
  </w:abstractNum>
  <w:abstractNum w:abstractNumId="78" w15:restartNumberingAfterBreak="0">
    <w:nsid w:val="6D482132"/>
    <w:multiLevelType w:val="hybridMultilevel"/>
    <w:tmpl w:val="5B58B3CC"/>
    <w:lvl w:ilvl="0" w:tplc="2662E0B0">
      <w:start w:val="1"/>
      <w:numFmt w:val="lowerLetter"/>
      <w:lvlText w:val="%1)"/>
      <w:lvlJc w:val="left"/>
      <w:pPr>
        <w:ind w:left="720" w:hanging="360"/>
      </w:pPr>
    </w:lvl>
    <w:lvl w:ilvl="1" w:tplc="3BCEB4D4" w:tentative="1">
      <w:start w:val="1"/>
      <w:numFmt w:val="lowerLetter"/>
      <w:lvlText w:val="%2."/>
      <w:lvlJc w:val="left"/>
      <w:pPr>
        <w:ind w:left="1440" w:hanging="360"/>
      </w:pPr>
    </w:lvl>
    <w:lvl w:ilvl="2" w:tplc="C89A6224" w:tentative="1">
      <w:start w:val="1"/>
      <w:numFmt w:val="lowerRoman"/>
      <w:lvlText w:val="%3."/>
      <w:lvlJc w:val="right"/>
      <w:pPr>
        <w:ind w:left="2160" w:hanging="180"/>
      </w:pPr>
    </w:lvl>
    <w:lvl w:ilvl="3" w:tplc="74A8C8A6" w:tentative="1">
      <w:start w:val="1"/>
      <w:numFmt w:val="decimal"/>
      <w:lvlText w:val="%4."/>
      <w:lvlJc w:val="left"/>
      <w:pPr>
        <w:ind w:left="2880" w:hanging="360"/>
      </w:pPr>
    </w:lvl>
    <w:lvl w:ilvl="4" w:tplc="224C00AE" w:tentative="1">
      <w:start w:val="1"/>
      <w:numFmt w:val="lowerLetter"/>
      <w:lvlText w:val="%5."/>
      <w:lvlJc w:val="left"/>
      <w:pPr>
        <w:ind w:left="3600" w:hanging="360"/>
      </w:pPr>
    </w:lvl>
    <w:lvl w:ilvl="5" w:tplc="65B2BFA6" w:tentative="1">
      <w:start w:val="1"/>
      <w:numFmt w:val="lowerRoman"/>
      <w:lvlText w:val="%6."/>
      <w:lvlJc w:val="right"/>
      <w:pPr>
        <w:ind w:left="4320" w:hanging="180"/>
      </w:pPr>
    </w:lvl>
    <w:lvl w:ilvl="6" w:tplc="E960C30A" w:tentative="1">
      <w:start w:val="1"/>
      <w:numFmt w:val="decimal"/>
      <w:lvlText w:val="%7."/>
      <w:lvlJc w:val="left"/>
      <w:pPr>
        <w:ind w:left="5040" w:hanging="360"/>
      </w:pPr>
    </w:lvl>
    <w:lvl w:ilvl="7" w:tplc="C88AF4FC" w:tentative="1">
      <w:start w:val="1"/>
      <w:numFmt w:val="lowerLetter"/>
      <w:lvlText w:val="%8."/>
      <w:lvlJc w:val="left"/>
      <w:pPr>
        <w:ind w:left="5760" w:hanging="360"/>
      </w:pPr>
    </w:lvl>
    <w:lvl w:ilvl="8" w:tplc="11AAEEB6" w:tentative="1">
      <w:start w:val="1"/>
      <w:numFmt w:val="lowerRoman"/>
      <w:lvlText w:val="%9."/>
      <w:lvlJc w:val="right"/>
      <w:pPr>
        <w:ind w:left="6480" w:hanging="180"/>
      </w:pPr>
    </w:lvl>
  </w:abstractNum>
  <w:abstractNum w:abstractNumId="79" w15:restartNumberingAfterBreak="0">
    <w:nsid w:val="73CC2A93"/>
    <w:multiLevelType w:val="multilevel"/>
    <w:tmpl w:val="1C42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AE0C1E"/>
    <w:multiLevelType w:val="hybridMultilevel"/>
    <w:tmpl w:val="B1C204F0"/>
    <w:lvl w:ilvl="0" w:tplc="3BEC1DC8">
      <w:start w:val="1"/>
      <w:numFmt w:val="decimal"/>
      <w:lvlText w:val="%1."/>
      <w:lvlJc w:val="left"/>
      <w:pPr>
        <w:ind w:left="720" w:hanging="360"/>
      </w:pPr>
    </w:lvl>
    <w:lvl w:ilvl="1" w:tplc="C81AFFF0" w:tentative="1">
      <w:start w:val="1"/>
      <w:numFmt w:val="lowerLetter"/>
      <w:lvlText w:val="%2."/>
      <w:lvlJc w:val="left"/>
      <w:pPr>
        <w:ind w:left="1440" w:hanging="360"/>
      </w:pPr>
    </w:lvl>
    <w:lvl w:ilvl="2" w:tplc="4ACE5028" w:tentative="1">
      <w:start w:val="1"/>
      <w:numFmt w:val="lowerRoman"/>
      <w:lvlText w:val="%3."/>
      <w:lvlJc w:val="right"/>
      <w:pPr>
        <w:ind w:left="2160" w:hanging="180"/>
      </w:pPr>
    </w:lvl>
    <w:lvl w:ilvl="3" w:tplc="65061B5A" w:tentative="1">
      <w:start w:val="1"/>
      <w:numFmt w:val="decimal"/>
      <w:lvlText w:val="%4."/>
      <w:lvlJc w:val="left"/>
      <w:pPr>
        <w:ind w:left="2880" w:hanging="360"/>
      </w:pPr>
    </w:lvl>
    <w:lvl w:ilvl="4" w:tplc="A8881BCE" w:tentative="1">
      <w:start w:val="1"/>
      <w:numFmt w:val="lowerLetter"/>
      <w:lvlText w:val="%5."/>
      <w:lvlJc w:val="left"/>
      <w:pPr>
        <w:ind w:left="3600" w:hanging="360"/>
      </w:pPr>
    </w:lvl>
    <w:lvl w:ilvl="5" w:tplc="1A2C57AA" w:tentative="1">
      <w:start w:val="1"/>
      <w:numFmt w:val="lowerRoman"/>
      <w:lvlText w:val="%6."/>
      <w:lvlJc w:val="right"/>
      <w:pPr>
        <w:ind w:left="4320" w:hanging="180"/>
      </w:pPr>
    </w:lvl>
    <w:lvl w:ilvl="6" w:tplc="658C3EAE" w:tentative="1">
      <w:start w:val="1"/>
      <w:numFmt w:val="decimal"/>
      <w:lvlText w:val="%7."/>
      <w:lvlJc w:val="left"/>
      <w:pPr>
        <w:ind w:left="5040" w:hanging="360"/>
      </w:pPr>
    </w:lvl>
    <w:lvl w:ilvl="7" w:tplc="EE26E880" w:tentative="1">
      <w:start w:val="1"/>
      <w:numFmt w:val="lowerLetter"/>
      <w:lvlText w:val="%8."/>
      <w:lvlJc w:val="left"/>
      <w:pPr>
        <w:ind w:left="5760" w:hanging="360"/>
      </w:pPr>
    </w:lvl>
    <w:lvl w:ilvl="8" w:tplc="289E8B72" w:tentative="1">
      <w:start w:val="1"/>
      <w:numFmt w:val="lowerRoman"/>
      <w:lvlText w:val="%9."/>
      <w:lvlJc w:val="right"/>
      <w:pPr>
        <w:ind w:left="6480" w:hanging="180"/>
      </w:pPr>
    </w:lvl>
  </w:abstractNum>
  <w:abstractNum w:abstractNumId="81" w15:restartNumberingAfterBreak="0">
    <w:nsid w:val="750503AD"/>
    <w:multiLevelType w:val="multilevel"/>
    <w:tmpl w:val="63EE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6903DE7"/>
    <w:multiLevelType w:val="hybridMultilevel"/>
    <w:tmpl w:val="13D8BBFA"/>
    <w:lvl w:ilvl="0" w:tplc="5330D192">
      <w:start w:val="1"/>
      <w:numFmt w:val="bullet"/>
      <w:lvlText w:val=""/>
      <w:lvlJc w:val="left"/>
      <w:pPr>
        <w:ind w:left="720" w:hanging="360"/>
      </w:pPr>
      <w:rPr>
        <w:rFonts w:ascii="Symbol" w:hAnsi="Symbol" w:hint="default"/>
      </w:rPr>
    </w:lvl>
    <w:lvl w:ilvl="1" w:tplc="439872AA" w:tentative="1">
      <w:start w:val="1"/>
      <w:numFmt w:val="bullet"/>
      <w:lvlText w:val="o"/>
      <w:lvlJc w:val="left"/>
      <w:pPr>
        <w:ind w:left="1440" w:hanging="360"/>
      </w:pPr>
      <w:rPr>
        <w:rFonts w:ascii="Courier New" w:hAnsi="Courier New" w:hint="default"/>
      </w:rPr>
    </w:lvl>
    <w:lvl w:ilvl="2" w:tplc="7B62C6CE" w:tentative="1">
      <w:start w:val="1"/>
      <w:numFmt w:val="bullet"/>
      <w:lvlText w:val=""/>
      <w:lvlJc w:val="left"/>
      <w:pPr>
        <w:ind w:left="2160" w:hanging="360"/>
      </w:pPr>
      <w:rPr>
        <w:rFonts w:ascii="Wingdings" w:hAnsi="Wingdings" w:hint="default"/>
      </w:rPr>
    </w:lvl>
    <w:lvl w:ilvl="3" w:tplc="76DEA164" w:tentative="1">
      <w:start w:val="1"/>
      <w:numFmt w:val="bullet"/>
      <w:lvlText w:val=""/>
      <w:lvlJc w:val="left"/>
      <w:pPr>
        <w:ind w:left="2880" w:hanging="360"/>
      </w:pPr>
      <w:rPr>
        <w:rFonts w:ascii="Symbol" w:hAnsi="Symbol" w:hint="default"/>
      </w:rPr>
    </w:lvl>
    <w:lvl w:ilvl="4" w:tplc="13DE8BDC" w:tentative="1">
      <w:start w:val="1"/>
      <w:numFmt w:val="bullet"/>
      <w:lvlText w:val="o"/>
      <w:lvlJc w:val="left"/>
      <w:pPr>
        <w:ind w:left="3600" w:hanging="360"/>
      </w:pPr>
      <w:rPr>
        <w:rFonts w:ascii="Courier New" w:hAnsi="Courier New" w:hint="default"/>
      </w:rPr>
    </w:lvl>
    <w:lvl w:ilvl="5" w:tplc="1806EE70" w:tentative="1">
      <w:start w:val="1"/>
      <w:numFmt w:val="bullet"/>
      <w:lvlText w:val=""/>
      <w:lvlJc w:val="left"/>
      <w:pPr>
        <w:ind w:left="4320" w:hanging="360"/>
      </w:pPr>
      <w:rPr>
        <w:rFonts w:ascii="Wingdings" w:hAnsi="Wingdings" w:hint="default"/>
      </w:rPr>
    </w:lvl>
    <w:lvl w:ilvl="6" w:tplc="F4B674D2" w:tentative="1">
      <w:start w:val="1"/>
      <w:numFmt w:val="bullet"/>
      <w:lvlText w:val=""/>
      <w:lvlJc w:val="left"/>
      <w:pPr>
        <w:ind w:left="5040" w:hanging="360"/>
      </w:pPr>
      <w:rPr>
        <w:rFonts w:ascii="Symbol" w:hAnsi="Symbol" w:hint="default"/>
      </w:rPr>
    </w:lvl>
    <w:lvl w:ilvl="7" w:tplc="1682EAF8" w:tentative="1">
      <w:start w:val="1"/>
      <w:numFmt w:val="bullet"/>
      <w:lvlText w:val="o"/>
      <w:lvlJc w:val="left"/>
      <w:pPr>
        <w:ind w:left="5760" w:hanging="360"/>
      </w:pPr>
      <w:rPr>
        <w:rFonts w:ascii="Courier New" w:hAnsi="Courier New" w:hint="default"/>
      </w:rPr>
    </w:lvl>
    <w:lvl w:ilvl="8" w:tplc="C74C684A" w:tentative="1">
      <w:start w:val="1"/>
      <w:numFmt w:val="bullet"/>
      <w:lvlText w:val=""/>
      <w:lvlJc w:val="left"/>
      <w:pPr>
        <w:ind w:left="6480" w:hanging="360"/>
      </w:pPr>
      <w:rPr>
        <w:rFonts w:ascii="Wingdings" w:hAnsi="Wingdings" w:hint="default"/>
      </w:rPr>
    </w:lvl>
  </w:abstractNum>
  <w:abstractNum w:abstractNumId="83" w15:restartNumberingAfterBreak="0">
    <w:nsid w:val="796D28CC"/>
    <w:multiLevelType w:val="multilevel"/>
    <w:tmpl w:val="237C9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989580C"/>
    <w:multiLevelType w:val="multilevel"/>
    <w:tmpl w:val="67E2B14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799B7E71"/>
    <w:multiLevelType w:val="hybridMultilevel"/>
    <w:tmpl w:val="21C275CA"/>
    <w:lvl w:ilvl="0" w:tplc="A2181C76">
      <w:start w:val="1"/>
      <w:numFmt w:val="bullet"/>
      <w:lvlText w:val=""/>
      <w:lvlJc w:val="left"/>
      <w:pPr>
        <w:ind w:left="720" w:hanging="360"/>
      </w:pPr>
      <w:rPr>
        <w:rFonts w:ascii="Symbol" w:hAnsi="Symbol" w:hint="default"/>
      </w:rPr>
    </w:lvl>
    <w:lvl w:ilvl="1" w:tplc="2C76F8E0">
      <w:start w:val="1"/>
      <w:numFmt w:val="bullet"/>
      <w:lvlText w:val="o"/>
      <w:lvlJc w:val="left"/>
      <w:pPr>
        <w:ind w:left="1440" w:hanging="360"/>
      </w:pPr>
      <w:rPr>
        <w:rFonts w:ascii="Courier New" w:hAnsi="Courier New" w:hint="default"/>
      </w:rPr>
    </w:lvl>
    <w:lvl w:ilvl="2" w:tplc="4C9A2834" w:tentative="1">
      <w:start w:val="1"/>
      <w:numFmt w:val="bullet"/>
      <w:lvlText w:val=""/>
      <w:lvlJc w:val="left"/>
      <w:pPr>
        <w:ind w:left="2160" w:hanging="360"/>
      </w:pPr>
      <w:rPr>
        <w:rFonts w:ascii="Wingdings" w:hAnsi="Wingdings" w:hint="default"/>
      </w:rPr>
    </w:lvl>
    <w:lvl w:ilvl="3" w:tplc="9FC60E48" w:tentative="1">
      <w:start w:val="1"/>
      <w:numFmt w:val="bullet"/>
      <w:lvlText w:val=""/>
      <w:lvlJc w:val="left"/>
      <w:pPr>
        <w:ind w:left="2880" w:hanging="360"/>
      </w:pPr>
      <w:rPr>
        <w:rFonts w:ascii="Symbol" w:hAnsi="Symbol" w:hint="default"/>
      </w:rPr>
    </w:lvl>
    <w:lvl w:ilvl="4" w:tplc="58D45380" w:tentative="1">
      <w:start w:val="1"/>
      <w:numFmt w:val="bullet"/>
      <w:lvlText w:val="o"/>
      <w:lvlJc w:val="left"/>
      <w:pPr>
        <w:ind w:left="3600" w:hanging="360"/>
      </w:pPr>
      <w:rPr>
        <w:rFonts w:ascii="Courier New" w:hAnsi="Courier New" w:hint="default"/>
      </w:rPr>
    </w:lvl>
    <w:lvl w:ilvl="5" w:tplc="BAAAB116" w:tentative="1">
      <w:start w:val="1"/>
      <w:numFmt w:val="bullet"/>
      <w:lvlText w:val=""/>
      <w:lvlJc w:val="left"/>
      <w:pPr>
        <w:ind w:left="4320" w:hanging="360"/>
      </w:pPr>
      <w:rPr>
        <w:rFonts w:ascii="Wingdings" w:hAnsi="Wingdings" w:hint="default"/>
      </w:rPr>
    </w:lvl>
    <w:lvl w:ilvl="6" w:tplc="0F882A92" w:tentative="1">
      <w:start w:val="1"/>
      <w:numFmt w:val="bullet"/>
      <w:lvlText w:val=""/>
      <w:lvlJc w:val="left"/>
      <w:pPr>
        <w:ind w:left="5040" w:hanging="360"/>
      </w:pPr>
      <w:rPr>
        <w:rFonts w:ascii="Symbol" w:hAnsi="Symbol" w:hint="default"/>
      </w:rPr>
    </w:lvl>
    <w:lvl w:ilvl="7" w:tplc="933A8D2E" w:tentative="1">
      <w:start w:val="1"/>
      <w:numFmt w:val="bullet"/>
      <w:lvlText w:val="o"/>
      <w:lvlJc w:val="left"/>
      <w:pPr>
        <w:ind w:left="5760" w:hanging="360"/>
      </w:pPr>
      <w:rPr>
        <w:rFonts w:ascii="Courier New" w:hAnsi="Courier New" w:hint="default"/>
      </w:rPr>
    </w:lvl>
    <w:lvl w:ilvl="8" w:tplc="A3FEE94C" w:tentative="1">
      <w:start w:val="1"/>
      <w:numFmt w:val="bullet"/>
      <w:lvlText w:val=""/>
      <w:lvlJc w:val="left"/>
      <w:pPr>
        <w:ind w:left="6480" w:hanging="360"/>
      </w:pPr>
      <w:rPr>
        <w:rFonts w:ascii="Wingdings" w:hAnsi="Wingdings" w:hint="default"/>
      </w:rPr>
    </w:lvl>
  </w:abstractNum>
  <w:num w:numId="1" w16cid:durableId="1659115828">
    <w:abstractNumId w:val="22"/>
  </w:num>
  <w:num w:numId="2" w16cid:durableId="749429126">
    <w:abstractNumId w:val="60"/>
  </w:num>
  <w:num w:numId="3" w16cid:durableId="67652917">
    <w:abstractNumId w:val="51"/>
  </w:num>
  <w:num w:numId="4" w16cid:durableId="1842548929">
    <w:abstractNumId w:val="14"/>
  </w:num>
  <w:num w:numId="5" w16cid:durableId="2057970980">
    <w:abstractNumId w:val="68"/>
  </w:num>
  <w:num w:numId="6" w16cid:durableId="223104507">
    <w:abstractNumId w:val="82"/>
  </w:num>
  <w:num w:numId="7" w16cid:durableId="902374062">
    <w:abstractNumId w:val="19"/>
  </w:num>
  <w:num w:numId="8" w16cid:durableId="758018801">
    <w:abstractNumId w:val="63"/>
  </w:num>
  <w:num w:numId="9" w16cid:durableId="194078000">
    <w:abstractNumId w:val="69"/>
  </w:num>
  <w:num w:numId="10" w16cid:durableId="72287020">
    <w:abstractNumId w:val="65"/>
  </w:num>
  <w:num w:numId="11" w16cid:durableId="1846675879">
    <w:abstractNumId w:val="1"/>
  </w:num>
  <w:num w:numId="12" w16cid:durableId="1424837757">
    <w:abstractNumId w:val="37"/>
  </w:num>
  <w:num w:numId="13" w16cid:durableId="1597709507">
    <w:abstractNumId w:val="23"/>
  </w:num>
  <w:num w:numId="14" w16cid:durableId="755368166">
    <w:abstractNumId w:val="41"/>
  </w:num>
  <w:num w:numId="15" w16cid:durableId="923952638">
    <w:abstractNumId w:val="20"/>
  </w:num>
  <w:num w:numId="16" w16cid:durableId="1258515640">
    <w:abstractNumId w:val="10"/>
  </w:num>
  <w:num w:numId="17" w16cid:durableId="1954750972">
    <w:abstractNumId w:val="3"/>
  </w:num>
  <w:num w:numId="18" w16cid:durableId="1729571435">
    <w:abstractNumId w:val="4"/>
  </w:num>
  <w:num w:numId="19" w16cid:durableId="773137827">
    <w:abstractNumId w:val="25"/>
  </w:num>
  <w:num w:numId="20" w16cid:durableId="392312775">
    <w:abstractNumId w:val="5"/>
  </w:num>
  <w:num w:numId="21" w16cid:durableId="1939485572">
    <w:abstractNumId w:val="16"/>
  </w:num>
  <w:num w:numId="22" w16cid:durableId="783234845">
    <w:abstractNumId w:val="18"/>
  </w:num>
  <w:num w:numId="23" w16cid:durableId="1404598504">
    <w:abstractNumId w:val="45"/>
  </w:num>
  <w:num w:numId="24" w16cid:durableId="289360493">
    <w:abstractNumId w:val="77"/>
  </w:num>
  <w:num w:numId="25" w16cid:durableId="2065059342">
    <w:abstractNumId w:val="50"/>
  </w:num>
  <w:num w:numId="26" w16cid:durableId="1191726636">
    <w:abstractNumId w:val="26"/>
  </w:num>
  <w:num w:numId="27" w16cid:durableId="1055618136">
    <w:abstractNumId w:val="43"/>
  </w:num>
  <w:num w:numId="28" w16cid:durableId="377316891">
    <w:abstractNumId w:val="62"/>
  </w:num>
  <w:num w:numId="29" w16cid:durableId="2128236263">
    <w:abstractNumId w:val="32"/>
  </w:num>
  <w:num w:numId="30" w16cid:durableId="184296667">
    <w:abstractNumId w:val="34"/>
  </w:num>
  <w:num w:numId="31" w16cid:durableId="966741016">
    <w:abstractNumId w:val="38"/>
  </w:num>
  <w:num w:numId="32" w16cid:durableId="1637492789">
    <w:abstractNumId w:val="56"/>
  </w:num>
  <w:num w:numId="33" w16cid:durableId="1440416469">
    <w:abstractNumId w:val="80"/>
  </w:num>
  <w:num w:numId="34" w16cid:durableId="367268723">
    <w:abstractNumId w:val="66"/>
  </w:num>
  <w:num w:numId="35" w16cid:durableId="1099646491">
    <w:abstractNumId w:val="42"/>
  </w:num>
  <w:num w:numId="36" w16cid:durableId="1197504919">
    <w:abstractNumId w:val="9"/>
  </w:num>
  <w:num w:numId="37" w16cid:durableId="1622106260">
    <w:abstractNumId w:val="29"/>
  </w:num>
  <w:num w:numId="38" w16cid:durableId="1778019169">
    <w:abstractNumId w:val="47"/>
  </w:num>
  <w:num w:numId="39" w16cid:durableId="926574462">
    <w:abstractNumId w:val="52"/>
  </w:num>
  <w:num w:numId="40" w16cid:durableId="474686028">
    <w:abstractNumId w:val="36"/>
  </w:num>
  <w:num w:numId="41" w16cid:durableId="806244712">
    <w:abstractNumId w:val="48"/>
  </w:num>
  <w:num w:numId="42" w16cid:durableId="224949250">
    <w:abstractNumId w:val="81"/>
  </w:num>
  <w:num w:numId="43" w16cid:durableId="1648625977">
    <w:abstractNumId w:val="53"/>
  </w:num>
  <w:num w:numId="44" w16cid:durableId="644286495">
    <w:abstractNumId w:val="79"/>
  </w:num>
  <w:num w:numId="45" w16cid:durableId="807625300">
    <w:abstractNumId w:val="85"/>
  </w:num>
  <w:num w:numId="46" w16cid:durableId="321543574">
    <w:abstractNumId w:val="17"/>
  </w:num>
  <w:num w:numId="47" w16cid:durableId="453253224">
    <w:abstractNumId w:val="13"/>
  </w:num>
  <w:num w:numId="48" w16cid:durableId="2136212758">
    <w:abstractNumId w:val="40"/>
  </w:num>
  <w:num w:numId="49" w16cid:durableId="291909319">
    <w:abstractNumId w:val="21"/>
  </w:num>
  <w:num w:numId="50" w16cid:durableId="732043446">
    <w:abstractNumId w:val="33"/>
  </w:num>
  <w:num w:numId="51" w16cid:durableId="384716165">
    <w:abstractNumId w:val="73"/>
  </w:num>
  <w:num w:numId="52" w16cid:durableId="167063945">
    <w:abstractNumId w:val="30"/>
  </w:num>
  <w:num w:numId="53" w16cid:durableId="239751821">
    <w:abstractNumId w:val="39"/>
  </w:num>
  <w:num w:numId="54" w16cid:durableId="1918322774">
    <w:abstractNumId w:val="11"/>
  </w:num>
  <w:num w:numId="55" w16cid:durableId="746071226">
    <w:abstractNumId w:val="8"/>
  </w:num>
  <w:num w:numId="56" w16cid:durableId="524053387">
    <w:abstractNumId w:val="0"/>
  </w:num>
  <w:num w:numId="57" w16cid:durableId="281956273">
    <w:abstractNumId w:val="78"/>
  </w:num>
  <w:num w:numId="58" w16cid:durableId="642613022">
    <w:abstractNumId w:val="24"/>
  </w:num>
  <w:num w:numId="59" w16cid:durableId="1787697828">
    <w:abstractNumId w:val="74"/>
  </w:num>
  <w:num w:numId="60" w16cid:durableId="727529856">
    <w:abstractNumId w:val="44"/>
  </w:num>
  <w:num w:numId="61" w16cid:durableId="272397854">
    <w:abstractNumId w:val="57"/>
  </w:num>
  <w:num w:numId="62" w16cid:durableId="1693384724">
    <w:abstractNumId w:val="64"/>
  </w:num>
  <w:num w:numId="63" w16cid:durableId="1021976349">
    <w:abstractNumId w:val="7"/>
  </w:num>
  <w:num w:numId="64" w16cid:durableId="930309178">
    <w:abstractNumId w:val="71"/>
  </w:num>
  <w:num w:numId="65" w16cid:durableId="814031134">
    <w:abstractNumId w:val="54"/>
  </w:num>
  <w:num w:numId="66" w16cid:durableId="819928156">
    <w:abstractNumId w:val="35"/>
  </w:num>
  <w:num w:numId="67" w16cid:durableId="1202867319">
    <w:abstractNumId w:val="75"/>
  </w:num>
  <w:num w:numId="68" w16cid:durableId="99300064">
    <w:abstractNumId w:val="83"/>
  </w:num>
  <w:num w:numId="69" w16cid:durableId="170797970">
    <w:abstractNumId w:val="55"/>
  </w:num>
  <w:num w:numId="70" w16cid:durableId="560557458">
    <w:abstractNumId w:val="12"/>
  </w:num>
  <w:num w:numId="71" w16cid:durableId="1701053560">
    <w:abstractNumId w:val="58"/>
  </w:num>
  <w:num w:numId="72" w16cid:durableId="844827162">
    <w:abstractNumId w:val="28"/>
  </w:num>
  <w:num w:numId="73" w16cid:durableId="791872321">
    <w:abstractNumId w:val="46"/>
  </w:num>
  <w:num w:numId="74" w16cid:durableId="1739015877">
    <w:abstractNumId w:val="70"/>
  </w:num>
  <w:num w:numId="75" w16cid:durableId="231894808">
    <w:abstractNumId w:val="76"/>
  </w:num>
  <w:num w:numId="76" w16cid:durableId="687684064">
    <w:abstractNumId w:val="2"/>
  </w:num>
  <w:num w:numId="77" w16cid:durableId="1302953660">
    <w:abstractNumId w:val="31"/>
  </w:num>
  <w:num w:numId="78" w16cid:durableId="699551678">
    <w:abstractNumId w:val="49"/>
  </w:num>
  <w:num w:numId="79" w16cid:durableId="1978609678">
    <w:abstractNumId w:val="15"/>
  </w:num>
  <w:num w:numId="80" w16cid:durableId="2092115406">
    <w:abstractNumId w:val="59"/>
  </w:num>
  <w:num w:numId="81" w16cid:durableId="1885872090">
    <w:abstractNumId w:val="6"/>
  </w:num>
  <w:num w:numId="82" w16cid:durableId="1108501751">
    <w:abstractNumId w:val="67"/>
  </w:num>
  <w:num w:numId="83" w16cid:durableId="240600628">
    <w:abstractNumId w:val="72"/>
  </w:num>
  <w:num w:numId="84" w16cid:durableId="897665962">
    <w:abstractNumId w:val="84"/>
  </w:num>
  <w:num w:numId="85" w16cid:durableId="619535241">
    <w:abstractNumId w:val="27"/>
  </w:num>
  <w:num w:numId="86" w16cid:durableId="1785687701">
    <w:abstractNumId w:val="6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3D"/>
    <w:rsid w:val="00000399"/>
    <w:rsid w:val="00000CE8"/>
    <w:rsid w:val="00002C32"/>
    <w:rsid w:val="00003635"/>
    <w:rsid w:val="0000382C"/>
    <w:rsid w:val="00003A94"/>
    <w:rsid w:val="00004535"/>
    <w:rsid w:val="000050FA"/>
    <w:rsid w:val="000052D8"/>
    <w:rsid w:val="00005E66"/>
    <w:rsid w:val="000068BC"/>
    <w:rsid w:val="000076EC"/>
    <w:rsid w:val="000100ED"/>
    <w:rsid w:val="00010D5B"/>
    <w:rsid w:val="000112B2"/>
    <w:rsid w:val="00011A02"/>
    <w:rsid w:val="0001200E"/>
    <w:rsid w:val="0001228B"/>
    <w:rsid w:val="0001309B"/>
    <w:rsid w:val="00014131"/>
    <w:rsid w:val="000161A1"/>
    <w:rsid w:val="00016F1E"/>
    <w:rsid w:val="000170E6"/>
    <w:rsid w:val="0001764E"/>
    <w:rsid w:val="00022569"/>
    <w:rsid w:val="00022F5A"/>
    <w:rsid w:val="00024C7F"/>
    <w:rsid w:val="00026193"/>
    <w:rsid w:val="0002667D"/>
    <w:rsid w:val="000271B1"/>
    <w:rsid w:val="000313CA"/>
    <w:rsid w:val="00031463"/>
    <w:rsid w:val="000314D2"/>
    <w:rsid w:val="00031614"/>
    <w:rsid w:val="00031769"/>
    <w:rsid w:val="00035014"/>
    <w:rsid w:val="00035B93"/>
    <w:rsid w:val="00036DB0"/>
    <w:rsid w:val="00041316"/>
    <w:rsid w:val="00041530"/>
    <w:rsid w:val="000416CE"/>
    <w:rsid w:val="00041713"/>
    <w:rsid w:val="000417A8"/>
    <w:rsid w:val="00041DB8"/>
    <w:rsid w:val="0004201E"/>
    <w:rsid w:val="00043169"/>
    <w:rsid w:val="0004448C"/>
    <w:rsid w:val="00044642"/>
    <w:rsid w:val="000446EF"/>
    <w:rsid w:val="00044CB2"/>
    <w:rsid w:val="00046856"/>
    <w:rsid w:val="00046EB7"/>
    <w:rsid w:val="00046F2F"/>
    <w:rsid w:val="0004792C"/>
    <w:rsid w:val="000517AD"/>
    <w:rsid w:val="00051950"/>
    <w:rsid w:val="00051A70"/>
    <w:rsid w:val="00051CD1"/>
    <w:rsid w:val="00051D6C"/>
    <w:rsid w:val="00052EBE"/>
    <w:rsid w:val="00052F6E"/>
    <w:rsid w:val="0005337B"/>
    <w:rsid w:val="000536FE"/>
    <w:rsid w:val="00053CA6"/>
    <w:rsid w:val="00053CDB"/>
    <w:rsid w:val="00053DAA"/>
    <w:rsid w:val="0005445D"/>
    <w:rsid w:val="00054D06"/>
    <w:rsid w:val="00054F9B"/>
    <w:rsid w:val="00055208"/>
    <w:rsid w:val="0005564D"/>
    <w:rsid w:val="00055D60"/>
    <w:rsid w:val="00056744"/>
    <w:rsid w:val="00057134"/>
    <w:rsid w:val="00057B33"/>
    <w:rsid w:val="00060171"/>
    <w:rsid w:val="00060C1C"/>
    <w:rsid w:val="000618CF"/>
    <w:rsid w:val="00061D79"/>
    <w:rsid w:val="0006345A"/>
    <w:rsid w:val="00064BB3"/>
    <w:rsid w:val="00064D62"/>
    <w:rsid w:val="00065087"/>
    <w:rsid w:val="00065431"/>
    <w:rsid w:val="00065445"/>
    <w:rsid w:val="00065B60"/>
    <w:rsid w:val="00067176"/>
    <w:rsid w:val="000677D5"/>
    <w:rsid w:val="00067974"/>
    <w:rsid w:val="0007316A"/>
    <w:rsid w:val="00073526"/>
    <w:rsid w:val="0007361D"/>
    <w:rsid w:val="00073C28"/>
    <w:rsid w:val="00074095"/>
    <w:rsid w:val="00074862"/>
    <w:rsid w:val="00074C93"/>
    <w:rsid w:val="00075409"/>
    <w:rsid w:val="00076E94"/>
    <w:rsid w:val="00077D3C"/>
    <w:rsid w:val="000803C6"/>
    <w:rsid w:val="0008059D"/>
    <w:rsid w:val="0008090D"/>
    <w:rsid w:val="00081571"/>
    <w:rsid w:val="00081667"/>
    <w:rsid w:val="00082416"/>
    <w:rsid w:val="0008265A"/>
    <w:rsid w:val="000827F0"/>
    <w:rsid w:val="00083674"/>
    <w:rsid w:val="00083FA4"/>
    <w:rsid w:val="00084078"/>
    <w:rsid w:val="00084200"/>
    <w:rsid w:val="00084285"/>
    <w:rsid w:val="000853CB"/>
    <w:rsid w:val="00085CD8"/>
    <w:rsid w:val="00087076"/>
    <w:rsid w:val="0008726A"/>
    <w:rsid w:val="00087A88"/>
    <w:rsid w:val="00087F3C"/>
    <w:rsid w:val="000900C3"/>
    <w:rsid w:val="0009035C"/>
    <w:rsid w:val="00090834"/>
    <w:rsid w:val="00091012"/>
    <w:rsid w:val="00091216"/>
    <w:rsid w:val="000931C0"/>
    <w:rsid w:val="00094FD0"/>
    <w:rsid w:val="00095D94"/>
    <w:rsid w:val="00096D59"/>
    <w:rsid w:val="00097275"/>
    <w:rsid w:val="000974E6"/>
    <w:rsid w:val="00097BDF"/>
    <w:rsid w:val="000A0850"/>
    <w:rsid w:val="000A089F"/>
    <w:rsid w:val="000A179C"/>
    <w:rsid w:val="000A20BD"/>
    <w:rsid w:val="000A2486"/>
    <w:rsid w:val="000A24D9"/>
    <w:rsid w:val="000A2B88"/>
    <w:rsid w:val="000A3402"/>
    <w:rsid w:val="000A35E8"/>
    <w:rsid w:val="000A4081"/>
    <w:rsid w:val="000A489E"/>
    <w:rsid w:val="000A4936"/>
    <w:rsid w:val="000A4C95"/>
    <w:rsid w:val="000A5C9B"/>
    <w:rsid w:val="000A648A"/>
    <w:rsid w:val="000A6546"/>
    <w:rsid w:val="000A6D2C"/>
    <w:rsid w:val="000A7009"/>
    <w:rsid w:val="000A74CD"/>
    <w:rsid w:val="000A7894"/>
    <w:rsid w:val="000B0BB0"/>
    <w:rsid w:val="000B18A5"/>
    <w:rsid w:val="000B29F9"/>
    <w:rsid w:val="000B398B"/>
    <w:rsid w:val="000B40EC"/>
    <w:rsid w:val="000B41DF"/>
    <w:rsid w:val="000B452D"/>
    <w:rsid w:val="000B4800"/>
    <w:rsid w:val="000B52B3"/>
    <w:rsid w:val="000B53EE"/>
    <w:rsid w:val="000B5D35"/>
    <w:rsid w:val="000B5E5F"/>
    <w:rsid w:val="000B68B8"/>
    <w:rsid w:val="000B6C46"/>
    <w:rsid w:val="000B6C77"/>
    <w:rsid w:val="000B722F"/>
    <w:rsid w:val="000B723E"/>
    <w:rsid w:val="000B7A9D"/>
    <w:rsid w:val="000C0101"/>
    <w:rsid w:val="000C05AA"/>
    <w:rsid w:val="000C0E0C"/>
    <w:rsid w:val="000C1E8C"/>
    <w:rsid w:val="000C1F41"/>
    <w:rsid w:val="000C2D96"/>
    <w:rsid w:val="000C38D7"/>
    <w:rsid w:val="000C3BE5"/>
    <w:rsid w:val="000C48FF"/>
    <w:rsid w:val="000C573B"/>
    <w:rsid w:val="000C5A65"/>
    <w:rsid w:val="000C6F58"/>
    <w:rsid w:val="000C74C7"/>
    <w:rsid w:val="000C760B"/>
    <w:rsid w:val="000D1B36"/>
    <w:rsid w:val="000D2363"/>
    <w:rsid w:val="000D2B0C"/>
    <w:rsid w:val="000D3014"/>
    <w:rsid w:val="000D439E"/>
    <w:rsid w:val="000D4562"/>
    <w:rsid w:val="000D4586"/>
    <w:rsid w:val="000D4E0D"/>
    <w:rsid w:val="000D53D9"/>
    <w:rsid w:val="000D5B3A"/>
    <w:rsid w:val="000D5DE6"/>
    <w:rsid w:val="000D5FA8"/>
    <w:rsid w:val="000D6616"/>
    <w:rsid w:val="000D773D"/>
    <w:rsid w:val="000D7912"/>
    <w:rsid w:val="000E0672"/>
    <w:rsid w:val="000E06A9"/>
    <w:rsid w:val="000E0BAF"/>
    <w:rsid w:val="000E0C1B"/>
    <w:rsid w:val="000E0DDB"/>
    <w:rsid w:val="000E1235"/>
    <w:rsid w:val="000E2170"/>
    <w:rsid w:val="000E2242"/>
    <w:rsid w:val="000E231B"/>
    <w:rsid w:val="000E2B15"/>
    <w:rsid w:val="000E35C5"/>
    <w:rsid w:val="000E3BD0"/>
    <w:rsid w:val="000E45AD"/>
    <w:rsid w:val="000E4623"/>
    <w:rsid w:val="000E600C"/>
    <w:rsid w:val="000E6A14"/>
    <w:rsid w:val="000E77A1"/>
    <w:rsid w:val="000F0602"/>
    <w:rsid w:val="000F15A1"/>
    <w:rsid w:val="000F2821"/>
    <w:rsid w:val="000F34DE"/>
    <w:rsid w:val="000F3EFE"/>
    <w:rsid w:val="000F4205"/>
    <w:rsid w:val="000F4DF9"/>
    <w:rsid w:val="000F4F43"/>
    <w:rsid w:val="000F51F7"/>
    <w:rsid w:val="000F5A4D"/>
    <w:rsid w:val="000F5B43"/>
    <w:rsid w:val="000F6A71"/>
    <w:rsid w:val="000F7130"/>
    <w:rsid w:val="000F7476"/>
    <w:rsid w:val="000F7670"/>
    <w:rsid w:val="001009B5"/>
    <w:rsid w:val="001010FF"/>
    <w:rsid w:val="001017E1"/>
    <w:rsid w:val="0010378C"/>
    <w:rsid w:val="00103A62"/>
    <w:rsid w:val="001044B1"/>
    <w:rsid w:val="00105F37"/>
    <w:rsid w:val="00106236"/>
    <w:rsid w:val="00106549"/>
    <w:rsid w:val="00106E78"/>
    <w:rsid w:val="00106FBC"/>
    <w:rsid w:val="001079C2"/>
    <w:rsid w:val="00110AD5"/>
    <w:rsid w:val="00110CEA"/>
    <w:rsid w:val="001112BC"/>
    <w:rsid w:val="001113B4"/>
    <w:rsid w:val="0011191E"/>
    <w:rsid w:val="00111A38"/>
    <w:rsid w:val="00111C5D"/>
    <w:rsid w:val="001122B4"/>
    <w:rsid w:val="0011272D"/>
    <w:rsid w:val="00112E90"/>
    <w:rsid w:val="001133FE"/>
    <w:rsid w:val="00113AD6"/>
    <w:rsid w:val="0011442D"/>
    <w:rsid w:val="001149E0"/>
    <w:rsid w:val="00114D60"/>
    <w:rsid w:val="00114EE6"/>
    <w:rsid w:val="00115875"/>
    <w:rsid w:val="00115C02"/>
    <w:rsid w:val="00116F60"/>
    <w:rsid w:val="00117A62"/>
    <w:rsid w:val="00120495"/>
    <w:rsid w:val="00120D18"/>
    <w:rsid w:val="00121469"/>
    <w:rsid w:val="00123471"/>
    <w:rsid w:val="001237F0"/>
    <w:rsid w:val="00123956"/>
    <w:rsid w:val="00123CD7"/>
    <w:rsid w:val="001253F4"/>
    <w:rsid w:val="00125F35"/>
    <w:rsid w:val="00126234"/>
    <w:rsid w:val="001262D6"/>
    <w:rsid w:val="00126C51"/>
    <w:rsid w:val="00126DEC"/>
    <w:rsid w:val="0012713E"/>
    <w:rsid w:val="00127F2F"/>
    <w:rsid w:val="00130183"/>
    <w:rsid w:val="00130310"/>
    <w:rsid w:val="00130EF8"/>
    <w:rsid w:val="001317BB"/>
    <w:rsid w:val="00131E23"/>
    <w:rsid w:val="00131F15"/>
    <w:rsid w:val="00132736"/>
    <w:rsid w:val="00134601"/>
    <w:rsid w:val="0013504C"/>
    <w:rsid w:val="001357FD"/>
    <w:rsid w:val="001360F6"/>
    <w:rsid w:val="0013633F"/>
    <w:rsid w:val="00136632"/>
    <w:rsid w:val="00137A42"/>
    <w:rsid w:val="00137C09"/>
    <w:rsid w:val="00137E4B"/>
    <w:rsid w:val="00141F8E"/>
    <w:rsid w:val="00142415"/>
    <w:rsid w:val="00144176"/>
    <w:rsid w:val="0014445A"/>
    <w:rsid w:val="00144B11"/>
    <w:rsid w:val="00145127"/>
    <w:rsid w:val="00145CB7"/>
    <w:rsid w:val="001461E0"/>
    <w:rsid w:val="00146311"/>
    <w:rsid w:val="0014699F"/>
    <w:rsid w:val="001471E2"/>
    <w:rsid w:val="00150076"/>
    <w:rsid w:val="0015041D"/>
    <w:rsid w:val="001508DF"/>
    <w:rsid w:val="00150BD1"/>
    <w:rsid w:val="00151019"/>
    <w:rsid w:val="0015145B"/>
    <w:rsid w:val="00152F52"/>
    <w:rsid w:val="00153771"/>
    <w:rsid w:val="00153D9D"/>
    <w:rsid w:val="001542A9"/>
    <w:rsid w:val="001545F8"/>
    <w:rsid w:val="00154ADA"/>
    <w:rsid w:val="00154C01"/>
    <w:rsid w:val="001561C2"/>
    <w:rsid w:val="00156B07"/>
    <w:rsid w:val="001572AD"/>
    <w:rsid w:val="00157353"/>
    <w:rsid w:val="00157355"/>
    <w:rsid w:val="00157C28"/>
    <w:rsid w:val="00160000"/>
    <w:rsid w:val="00160361"/>
    <w:rsid w:val="001604BD"/>
    <w:rsid w:val="00160B47"/>
    <w:rsid w:val="00160CCF"/>
    <w:rsid w:val="001611A1"/>
    <w:rsid w:val="00161474"/>
    <w:rsid w:val="0016166F"/>
    <w:rsid w:val="0016169E"/>
    <w:rsid w:val="00161CF3"/>
    <w:rsid w:val="0016203B"/>
    <w:rsid w:val="001622F1"/>
    <w:rsid w:val="001627C2"/>
    <w:rsid w:val="001632F1"/>
    <w:rsid w:val="00163D4C"/>
    <w:rsid w:val="0016424F"/>
    <w:rsid w:val="001646DE"/>
    <w:rsid w:val="0016562C"/>
    <w:rsid w:val="001658CF"/>
    <w:rsid w:val="0016687C"/>
    <w:rsid w:val="00166A60"/>
    <w:rsid w:val="0016784C"/>
    <w:rsid w:val="00170030"/>
    <w:rsid w:val="00170477"/>
    <w:rsid w:val="0017066D"/>
    <w:rsid w:val="0017147B"/>
    <w:rsid w:val="00171586"/>
    <w:rsid w:val="001720F4"/>
    <w:rsid w:val="0017211E"/>
    <w:rsid w:val="001723B8"/>
    <w:rsid w:val="00172C48"/>
    <w:rsid w:val="001731ED"/>
    <w:rsid w:val="00173744"/>
    <w:rsid w:val="00173D8C"/>
    <w:rsid w:val="0017507D"/>
    <w:rsid w:val="0017552F"/>
    <w:rsid w:val="00175DD6"/>
    <w:rsid w:val="00176104"/>
    <w:rsid w:val="001762F3"/>
    <w:rsid w:val="00176461"/>
    <w:rsid w:val="0017693C"/>
    <w:rsid w:val="00177ED3"/>
    <w:rsid w:val="001807D5"/>
    <w:rsid w:val="00180AA1"/>
    <w:rsid w:val="00181486"/>
    <w:rsid w:val="001819C8"/>
    <w:rsid w:val="0018242F"/>
    <w:rsid w:val="00182EE1"/>
    <w:rsid w:val="001835B2"/>
    <w:rsid w:val="00183CF4"/>
    <w:rsid w:val="001844A6"/>
    <w:rsid w:val="001847EA"/>
    <w:rsid w:val="00184825"/>
    <w:rsid w:val="00184CB3"/>
    <w:rsid w:val="001856F9"/>
    <w:rsid w:val="001868CE"/>
    <w:rsid w:val="00187149"/>
    <w:rsid w:val="00190489"/>
    <w:rsid w:val="00190ABC"/>
    <w:rsid w:val="00190B74"/>
    <w:rsid w:val="00191A51"/>
    <w:rsid w:val="00192E93"/>
    <w:rsid w:val="00193680"/>
    <w:rsid w:val="001937BB"/>
    <w:rsid w:val="0019425F"/>
    <w:rsid w:val="00194351"/>
    <w:rsid w:val="0019450F"/>
    <w:rsid w:val="001955A8"/>
    <w:rsid w:val="00195B4E"/>
    <w:rsid w:val="0019601E"/>
    <w:rsid w:val="001962E5"/>
    <w:rsid w:val="00196462"/>
    <w:rsid w:val="00196C69"/>
    <w:rsid w:val="001A0307"/>
    <w:rsid w:val="001A0D35"/>
    <w:rsid w:val="001A0DDB"/>
    <w:rsid w:val="001A1ADB"/>
    <w:rsid w:val="001A1E52"/>
    <w:rsid w:val="001A1E54"/>
    <w:rsid w:val="001A22B7"/>
    <w:rsid w:val="001A27D3"/>
    <w:rsid w:val="001A28D5"/>
    <w:rsid w:val="001A43B8"/>
    <w:rsid w:val="001A4E15"/>
    <w:rsid w:val="001A50D0"/>
    <w:rsid w:val="001A5ACD"/>
    <w:rsid w:val="001A5CEA"/>
    <w:rsid w:val="001A6BAD"/>
    <w:rsid w:val="001A7DCA"/>
    <w:rsid w:val="001A7EA5"/>
    <w:rsid w:val="001B0823"/>
    <w:rsid w:val="001B11BE"/>
    <w:rsid w:val="001B1325"/>
    <w:rsid w:val="001B16BB"/>
    <w:rsid w:val="001B1D1B"/>
    <w:rsid w:val="001B319F"/>
    <w:rsid w:val="001B3EF2"/>
    <w:rsid w:val="001B3FC7"/>
    <w:rsid w:val="001B400D"/>
    <w:rsid w:val="001B4EEF"/>
    <w:rsid w:val="001B6AA8"/>
    <w:rsid w:val="001B6B10"/>
    <w:rsid w:val="001B6BA5"/>
    <w:rsid w:val="001B72FB"/>
    <w:rsid w:val="001C0886"/>
    <w:rsid w:val="001C0E1E"/>
    <w:rsid w:val="001C0FDB"/>
    <w:rsid w:val="001C1DD0"/>
    <w:rsid w:val="001C2CFC"/>
    <w:rsid w:val="001C2D49"/>
    <w:rsid w:val="001C510F"/>
    <w:rsid w:val="001C512C"/>
    <w:rsid w:val="001C57B5"/>
    <w:rsid w:val="001C6189"/>
    <w:rsid w:val="001C6EC3"/>
    <w:rsid w:val="001C7FC5"/>
    <w:rsid w:val="001D08BE"/>
    <w:rsid w:val="001D1BE1"/>
    <w:rsid w:val="001D1E06"/>
    <w:rsid w:val="001D2095"/>
    <w:rsid w:val="001D20BE"/>
    <w:rsid w:val="001D2BA8"/>
    <w:rsid w:val="001D327C"/>
    <w:rsid w:val="001D4858"/>
    <w:rsid w:val="001D5439"/>
    <w:rsid w:val="001D54B5"/>
    <w:rsid w:val="001D6172"/>
    <w:rsid w:val="001E01F4"/>
    <w:rsid w:val="001E031D"/>
    <w:rsid w:val="001E037F"/>
    <w:rsid w:val="001E06E4"/>
    <w:rsid w:val="001E15CF"/>
    <w:rsid w:val="001E1D61"/>
    <w:rsid w:val="001E2215"/>
    <w:rsid w:val="001E27D3"/>
    <w:rsid w:val="001E2C3D"/>
    <w:rsid w:val="001E5402"/>
    <w:rsid w:val="001E5A83"/>
    <w:rsid w:val="001E69D1"/>
    <w:rsid w:val="001E6C4C"/>
    <w:rsid w:val="001E7126"/>
    <w:rsid w:val="001F01A8"/>
    <w:rsid w:val="001F0A64"/>
    <w:rsid w:val="001F1D5C"/>
    <w:rsid w:val="001F20DA"/>
    <w:rsid w:val="001F213C"/>
    <w:rsid w:val="001F250A"/>
    <w:rsid w:val="001F4772"/>
    <w:rsid w:val="001F5704"/>
    <w:rsid w:val="001F5F34"/>
    <w:rsid w:val="001F6530"/>
    <w:rsid w:val="001F7CD2"/>
    <w:rsid w:val="001F7F66"/>
    <w:rsid w:val="00200E51"/>
    <w:rsid w:val="00201736"/>
    <w:rsid w:val="0020373B"/>
    <w:rsid w:val="00203B85"/>
    <w:rsid w:val="00203D39"/>
    <w:rsid w:val="002047C6"/>
    <w:rsid w:val="00204EBD"/>
    <w:rsid w:val="0020531F"/>
    <w:rsid w:val="00205982"/>
    <w:rsid w:val="00205CF4"/>
    <w:rsid w:val="002070BF"/>
    <w:rsid w:val="002071AA"/>
    <w:rsid w:val="00207A36"/>
    <w:rsid w:val="002107CA"/>
    <w:rsid w:val="002110B8"/>
    <w:rsid w:val="00211C4F"/>
    <w:rsid w:val="002123F0"/>
    <w:rsid w:val="00212C1D"/>
    <w:rsid w:val="0021524D"/>
    <w:rsid w:val="002160D7"/>
    <w:rsid w:val="00216AAF"/>
    <w:rsid w:val="00216EBD"/>
    <w:rsid w:val="00216F6D"/>
    <w:rsid w:val="00217EFB"/>
    <w:rsid w:val="00220999"/>
    <w:rsid w:val="00221163"/>
    <w:rsid w:val="00221176"/>
    <w:rsid w:val="002211BC"/>
    <w:rsid w:val="00221880"/>
    <w:rsid w:val="00221E45"/>
    <w:rsid w:val="00221FFA"/>
    <w:rsid w:val="002237F6"/>
    <w:rsid w:val="00223A19"/>
    <w:rsid w:val="00223E83"/>
    <w:rsid w:val="00225988"/>
    <w:rsid w:val="00226203"/>
    <w:rsid w:val="002311CC"/>
    <w:rsid w:val="002319C4"/>
    <w:rsid w:val="00231E44"/>
    <w:rsid w:val="00232EF8"/>
    <w:rsid w:val="00234B71"/>
    <w:rsid w:val="002355B0"/>
    <w:rsid w:val="0023632A"/>
    <w:rsid w:val="00237247"/>
    <w:rsid w:val="00240A73"/>
    <w:rsid w:val="00241B54"/>
    <w:rsid w:val="00241C37"/>
    <w:rsid w:val="00241E00"/>
    <w:rsid w:val="00241E08"/>
    <w:rsid w:val="00242401"/>
    <w:rsid w:val="002428C3"/>
    <w:rsid w:val="00243147"/>
    <w:rsid w:val="0024346B"/>
    <w:rsid w:val="002434BA"/>
    <w:rsid w:val="00245331"/>
    <w:rsid w:val="002459BB"/>
    <w:rsid w:val="00246FA1"/>
    <w:rsid w:val="002473CD"/>
    <w:rsid w:val="00247E80"/>
    <w:rsid w:val="0025021B"/>
    <w:rsid w:val="00250220"/>
    <w:rsid w:val="0025149B"/>
    <w:rsid w:val="0025153D"/>
    <w:rsid w:val="00253183"/>
    <w:rsid w:val="0025339D"/>
    <w:rsid w:val="002541CC"/>
    <w:rsid w:val="00255491"/>
    <w:rsid w:val="00255629"/>
    <w:rsid w:val="002564B0"/>
    <w:rsid w:val="00256CB4"/>
    <w:rsid w:val="00257228"/>
    <w:rsid w:val="002576CA"/>
    <w:rsid w:val="00260089"/>
    <w:rsid w:val="00260C03"/>
    <w:rsid w:val="00260F7A"/>
    <w:rsid w:val="0026151C"/>
    <w:rsid w:val="002628F9"/>
    <w:rsid w:val="00262A05"/>
    <w:rsid w:val="00262DD6"/>
    <w:rsid w:val="00263A03"/>
    <w:rsid w:val="00263E82"/>
    <w:rsid w:val="00264420"/>
    <w:rsid w:val="00265574"/>
    <w:rsid w:val="00265A2D"/>
    <w:rsid w:val="00266188"/>
    <w:rsid w:val="00266612"/>
    <w:rsid w:val="0026685B"/>
    <w:rsid w:val="002670B5"/>
    <w:rsid w:val="00267606"/>
    <w:rsid w:val="00267EB8"/>
    <w:rsid w:val="002708CB"/>
    <w:rsid w:val="00271205"/>
    <w:rsid w:val="00271293"/>
    <w:rsid w:val="00271AD0"/>
    <w:rsid w:val="00272A2F"/>
    <w:rsid w:val="002732AA"/>
    <w:rsid w:val="00274CD6"/>
    <w:rsid w:val="002758FC"/>
    <w:rsid w:val="0027590D"/>
    <w:rsid w:val="00275FB1"/>
    <w:rsid w:val="002763BD"/>
    <w:rsid w:val="00276410"/>
    <w:rsid w:val="002771A8"/>
    <w:rsid w:val="002806BC"/>
    <w:rsid w:val="00280C55"/>
    <w:rsid w:val="00281470"/>
    <w:rsid w:val="00282DB4"/>
    <w:rsid w:val="00282DE0"/>
    <w:rsid w:val="0028321A"/>
    <w:rsid w:val="00283745"/>
    <w:rsid w:val="00283A6B"/>
    <w:rsid w:val="00284212"/>
    <w:rsid w:val="00284904"/>
    <w:rsid w:val="0028568D"/>
    <w:rsid w:val="002869A6"/>
    <w:rsid w:val="00286EFF"/>
    <w:rsid w:val="00287C05"/>
    <w:rsid w:val="00287EBB"/>
    <w:rsid w:val="0029014E"/>
    <w:rsid w:val="00290487"/>
    <w:rsid w:val="002905E6"/>
    <w:rsid w:val="002910D4"/>
    <w:rsid w:val="00291A31"/>
    <w:rsid w:val="00293B7E"/>
    <w:rsid w:val="00294C2E"/>
    <w:rsid w:val="00294EEB"/>
    <w:rsid w:val="0029534E"/>
    <w:rsid w:val="002959FF"/>
    <w:rsid w:val="00295C2E"/>
    <w:rsid w:val="00296709"/>
    <w:rsid w:val="00296FD7"/>
    <w:rsid w:val="00297F5E"/>
    <w:rsid w:val="002A0888"/>
    <w:rsid w:val="002A1117"/>
    <w:rsid w:val="002A1261"/>
    <w:rsid w:val="002A1B14"/>
    <w:rsid w:val="002A29CA"/>
    <w:rsid w:val="002A2F13"/>
    <w:rsid w:val="002A3346"/>
    <w:rsid w:val="002A47A2"/>
    <w:rsid w:val="002A4CBE"/>
    <w:rsid w:val="002A4CD8"/>
    <w:rsid w:val="002A4E6D"/>
    <w:rsid w:val="002A5A92"/>
    <w:rsid w:val="002A67B9"/>
    <w:rsid w:val="002A794D"/>
    <w:rsid w:val="002B0575"/>
    <w:rsid w:val="002B1829"/>
    <w:rsid w:val="002B2101"/>
    <w:rsid w:val="002B299F"/>
    <w:rsid w:val="002B32DA"/>
    <w:rsid w:val="002B40D9"/>
    <w:rsid w:val="002B42F9"/>
    <w:rsid w:val="002B4CCC"/>
    <w:rsid w:val="002B50D9"/>
    <w:rsid w:val="002B5182"/>
    <w:rsid w:val="002B57B2"/>
    <w:rsid w:val="002B754A"/>
    <w:rsid w:val="002B77AB"/>
    <w:rsid w:val="002C0183"/>
    <w:rsid w:val="002C0503"/>
    <w:rsid w:val="002C091C"/>
    <w:rsid w:val="002C127C"/>
    <w:rsid w:val="002C1B44"/>
    <w:rsid w:val="002C34F1"/>
    <w:rsid w:val="002C35F9"/>
    <w:rsid w:val="002C3B8C"/>
    <w:rsid w:val="002C4A56"/>
    <w:rsid w:val="002C6526"/>
    <w:rsid w:val="002C6675"/>
    <w:rsid w:val="002C7506"/>
    <w:rsid w:val="002D1847"/>
    <w:rsid w:val="002D1D41"/>
    <w:rsid w:val="002D309B"/>
    <w:rsid w:val="002D4179"/>
    <w:rsid w:val="002D5320"/>
    <w:rsid w:val="002D59CE"/>
    <w:rsid w:val="002E0541"/>
    <w:rsid w:val="002E0CC5"/>
    <w:rsid w:val="002E0CFD"/>
    <w:rsid w:val="002E0EB1"/>
    <w:rsid w:val="002E12A6"/>
    <w:rsid w:val="002E15D3"/>
    <w:rsid w:val="002E19CE"/>
    <w:rsid w:val="002E1C00"/>
    <w:rsid w:val="002E2139"/>
    <w:rsid w:val="002E2938"/>
    <w:rsid w:val="002E3918"/>
    <w:rsid w:val="002E416A"/>
    <w:rsid w:val="002E484D"/>
    <w:rsid w:val="002E747E"/>
    <w:rsid w:val="002E7C7D"/>
    <w:rsid w:val="002F016E"/>
    <w:rsid w:val="002F019F"/>
    <w:rsid w:val="002F154C"/>
    <w:rsid w:val="002F251E"/>
    <w:rsid w:val="002F2A7A"/>
    <w:rsid w:val="002F4474"/>
    <w:rsid w:val="002F46CF"/>
    <w:rsid w:val="002F5599"/>
    <w:rsid w:val="002F601D"/>
    <w:rsid w:val="002F62A5"/>
    <w:rsid w:val="002F62F4"/>
    <w:rsid w:val="002F6523"/>
    <w:rsid w:val="002F668A"/>
    <w:rsid w:val="002F6907"/>
    <w:rsid w:val="0030084F"/>
    <w:rsid w:val="003021A6"/>
    <w:rsid w:val="00302440"/>
    <w:rsid w:val="00302D96"/>
    <w:rsid w:val="0030314F"/>
    <w:rsid w:val="00303D27"/>
    <w:rsid w:val="00304593"/>
    <w:rsid w:val="0030477B"/>
    <w:rsid w:val="0030497B"/>
    <w:rsid w:val="0030530B"/>
    <w:rsid w:val="003059E6"/>
    <w:rsid w:val="00305B0E"/>
    <w:rsid w:val="00307281"/>
    <w:rsid w:val="00307A84"/>
    <w:rsid w:val="00310418"/>
    <w:rsid w:val="00313986"/>
    <w:rsid w:val="00313C0A"/>
    <w:rsid w:val="00313EE9"/>
    <w:rsid w:val="00314EE9"/>
    <w:rsid w:val="00315FA6"/>
    <w:rsid w:val="0031615E"/>
    <w:rsid w:val="0031618C"/>
    <w:rsid w:val="00316988"/>
    <w:rsid w:val="003175D6"/>
    <w:rsid w:val="00317A4B"/>
    <w:rsid w:val="0032025D"/>
    <w:rsid w:val="0032139B"/>
    <w:rsid w:val="00322B5C"/>
    <w:rsid w:val="00322DEF"/>
    <w:rsid w:val="00324EE4"/>
    <w:rsid w:val="0032591A"/>
    <w:rsid w:val="00326C7E"/>
    <w:rsid w:val="003274D9"/>
    <w:rsid w:val="00327CAC"/>
    <w:rsid w:val="00330235"/>
    <w:rsid w:val="0033084D"/>
    <w:rsid w:val="003316D2"/>
    <w:rsid w:val="00331D92"/>
    <w:rsid w:val="003322AF"/>
    <w:rsid w:val="003326E4"/>
    <w:rsid w:val="00332E75"/>
    <w:rsid w:val="00333873"/>
    <w:rsid w:val="00333B4D"/>
    <w:rsid w:val="003341E3"/>
    <w:rsid w:val="00334630"/>
    <w:rsid w:val="00335C84"/>
    <w:rsid w:val="00335FBB"/>
    <w:rsid w:val="00336490"/>
    <w:rsid w:val="00337B8E"/>
    <w:rsid w:val="00342CF1"/>
    <w:rsid w:val="00343047"/>
    <w:rsid w:val="00343935"/>
    <w:rsid w:val="00343C43"/>
    <w:rsid w:val="003445F4"/>
    <w:rsid w:val="00344C11"/>
    <w:rsid w:val="00344C12"/>
    <w:rsid w:val="00344E74"/>
    <w:rsid w:val="003451C3"/>
    <w:rsid w:val="00345273"/>
    <w:rsid w:val="003452FA"/>
    <w:rsid w:val="0034666C"/>
    <w:rsid w:val="00350397"/>
    <w:rsid w:val="00352451"/>
    <w:rsid w:val="0035309F"/>
    <w:rsid w:val="00353328"/>
    <w:rsid w:val="0035372B"/>
    <w:rsid w:val="00353A70"/>
    <w:rsid w:val="00353B95"/>
    <w:rsid w:val="00354484"/>
    <w:rsid w:val="00354C9B"/>
    <w:rsid w:val="00354FE8"/>
    <w:rsid w:val="003557E6"/>
    <w:rsid w:val="0035587E"/>
    <w:rsid w:val="0035685F"/>
    <w:rsid w:val="00356A49"/>
    <w:rsid w:val="00356D96"/>
    <w:rsid w:val="00357903"/>
    <w:rsid w:val="00357DC7"/>
    <w:rsid w:val="00357DDD"/>
    <w:rsid w:val="00360435"/>
    <w:rsid w:val="00360717"/>
    <w:rsid w:val="003608E2"/>
    <w:rsid w:val="00361930"/>
    <w:rsid w:val="003624D1"/>
    <w:rsid w:val="00362F5F"/>
    <w:rsid w:val="003632E1"/>
    <w:rsid w:val="0036337A"/>
    <w:rsid w:val="00364FB0"/>
    <w:rsid w:val="0036696C"/>
    <w:rsid w:val="00367504"/>
    <w:rsid w:val="00367629"/>
    <w:rsid w:val="003679F5"/>
    <w:rsid w:val="00370185"/>
    <w:rsid w:val="003705D0"/>
    <w:rsid w:val="00370EC4"/>
    <w:rsid w:val="00371C5C"/>
    <w:rsid w:val="0037200F"/>
    <w:rsid w:val="00374D2B"/>
    <w:rsid w:val="00375A47"/>
    <w:rsid w:val="00376A22"/>
    <w:rsid w:val="00377337"/>
    <w:rsid w:val="00377B14"/>
    <w:rsid w:val="00377DDF"/>
    <w:rsid w:val="00377FC2"/>
    <w:rsid w:val="003800BB"/>
    <w:rsid w:val="00380FB5"/>
    <w:rsid w:val="0038122E"/>
    <w:rsid w:val="00381929"/>
    <w:rsid w:val="00382AE9"/>
    <w:rsid w:val="00382FCF"/>
    <w:rsid w:val="00383445"/>
    <w:rsid w:val="003834A0"/>
    <w:rsid w:val="00383D47"/>
    <w:rsid w:val="00385281"/>
    <w:rsid w:val="003855B5"/>
    <w:rsid w:val="00386A91"/>
    <w:rsid w:val="003871CD"/>
    <w:rsid w:val="003871F2"/>
    <w:rsid w:val="00390292"/>
    <w:rsid w:val="00390A88"/>
    <w:rsid w:val="00390DA4"/>
    <w:rsid w:val="00392CDD"/>
    <w:rsid w:val="0039328B"/>
    <w:rsid w:val="003939C4"/>
    <w:rsid w:val="00393F0D"/>
    <w:rsid w:val="0039453A"/>
    <w:rsid w:val="00394CE2"/>
    <w:rsid w:val="00396211"/>
    <w:rsid w:val="00397C25"/>
    <w:rsid w:val="003A0366"/>
    <w:rsid w:val="003A0CE9"/>
    <w:rsid w:val="003A135E"/>
    <w:rsid w:val="003A1E20"/>
    <w:rsid w:val="003A20EA"/>
    <w:rsid w:val="003A26D1"/>
    <w:rsid w:val="003A2A7B"/>
    <w:rsid w:val="003A37CE"/>
    <w:rsid w:val="003A3952"/>
    <w:rsid w:val="003A39FA"/>
    <w:rsid w:val="003A3C33"/>
    <w:rsid w:val="003A4170"/>
    <w:rsid w:val="003A4DAC"/>
    <w:rsid w:val="003A5D6D"/>
    <w:rsid w:val="003A6094"/>
    <w:rsid w:val="003A66AB"/>
    <w:rsid w:val="003A6713"/>
    <w:rsid w:val="003A73CF"/>
    <w:rsid w:val="003A755E"/>
    <w:rsid w:val="003A79A3"/>
    <w:rsid w:val="003A79D9"/>
    <w:rsid w:val="003B0161"/>
    <w:rsid w:val="003B09A7"/>
    <w:rsid w:val="003B0EEC"/>
    <w:rsid w:val="003B1322"/>
    <w:rsid w:val="003B1CFE"/>
    <w:rsid w:val="003B26C3"/>
    <w:rsid w:val="003B32B6"/>
    <w:rsid w:val="003B576C"/>
    <w:rsid w:val="003B5B86"/>
    <w:rsid w:val="003B5C30"/>
    <w:rsid w:val="003B5E43"/>
    <w:rsid w:val="003B6462"/>
    <w:rsid w:val="003B7D93"/>
    <w:rsid w:val="003C0125"/>
    <w:rsid w:val="003C08A9"/>
    <w:rsid w:val="003C11B4"/>
    <w:rsid w:val="003C1A13"/>
    <w:rsid w:val="003C1FB1"/>
    <w:rsid w:val="003C30D6"/>
    <w:rsid w:val="003C3913"/>
    <w:rsid w:val="003C3A8B"/>
    <w:rsid w:val="003C4048"/>
    <w:rsid w:val="003C416F"/>
    <w:rsid w:val="003C4BE0"/>
    <w:rsid w:val="003C4D29"/>
    <w:rsid w:val="003C4F8F"/>
    <w:rsid w:val="003C557D"/>
    <w:rsid w:val="003C702F"/>
    <w:rsid w:val="003C710C"/>
    <w:rsid w:val="003C71B8"/>
    <w:rsid w:val="003C72E5"/>
    <w:rsid w:val="003C7792"/>
    <w:rsid w:val="003C7C09"/>
    <w:rsid w:val="003D0119"/>
    <w:rsid w:val="003D04FD"/>
    <w:rsid w:val="003D0E38"/>
    <w:rsid w:val="003D1859"/>
    <w:rsid w:val="003D3AC1"/>
    <w:rsid w:val="003D449F"/>
    <w:rsid w:val="003D4659"/>
    <w:rsid w:val="003D46F0"/>
    <w:rsid w:val="003D48B7"/>
    <w:rsid w:val="003D52C3"/>
    <w:rsid w:val="003D665F"/>
    <w:rsid w:val="003D70AA"/>
    <w:rsid w:val="003E01A5"/>
    <w:rsid w:val="003E08E4"/>
    <w:rsid w:val="003E0A1D"/>
    <w:rsid w:val="003E0CCC"/>
    <w:rsid w:val="003E19CA"/>
    <w:rsid w:val="003E202B"/>
    <w:rsid w:val="003E2B33"/>
    <w:rsid w:val="003E408E"/>
    <w:rsid w:val="003E4142"/>
    <w:rsid w:val="003E4F10"/>
    <w:rsid w:val="003E55B2"/>
    <w:rsid w:val="003E57C4"/>
    <w:rsid w:val="003E6029"/>
    <w:rsid w:val="003E6298"/>
    <w:rsid w:val="003E7994"/>
    <w:rsid w:val="003E7F60"/>
    <w:rsid w:val="003F12A3"/>
    <w:rsid w:val="003F27AD"/>
    <w:rsid w:val="003F30B3"/>
    <w:rsid w:val="003F480D"/>
    <w:rsid w:val="003F4E0D"/>
    <w:rsid w:val="003F59B0"/>
    <w:rsid w:val="003F5D43"/>
    <w:rsid w:val="003F7343"/>
    <w:rsid w:val="003F7C07"/>
    <w:rsid w:val="003F7E2C"/>
    <w:rsid w:val="00401485"/>
    <w:rsid w:val="00401CF6"/>
    <w:rsid w:val="00402EE2"/>
    <w:rsid w:val="004033A0"/>
    <w:rsid w:val="00403611"/>
    <w:rsid w:val="00403A5C"/>
    <w:rsid w:val="00404874"/>
    <w:rsid w:val="0040503C"/>
    <w:rsid w:val="00405C87"/>
    <w:rsid w:val="00405FFD"/>
    <w:rsid w:val="00406423"/>
    <w:rsid w:val="00407105"/>
    <w:rsid w:val="0040730D"/>
    <w:rsid w:val="0040781E"/>
    <w:rsid w:val="0041013B"/>
    <w:rsid w:val="00410693"/>
    <w:rsid w:val="00410864"/>
    <w:rsid w:val="00411A1B"/>
    <w:rsid w:val="00411D59"/>
    <w:rsid w:val="004121BD"/>
    <w:rsid w:val="004139B2"/>
    <w:rsid w:val="00414254"/>
    <w:rsid w:val="0041450E"/>
    <w:rsid w:val="004147D4"/>
    <w:rsid w:val="0041484C"/>
    <w:rsid w:val="00414A30"/>
    <w:rsid w:val="004159D2"/>
    <w:rsid w:val="0041600F"/>
    <w:rsid w:val="004168EB"/>
    <w:rsid w:val="00416D61"/>
    <w:rsid w:val="004177B0"/>
    <w:rsid w:val="00420A0F"/>
    <w:rsid w:val="00420C94"/>
    <w:rsid w:val="00422343"/>
    <w:rsid w:val="00423053"/>
    <w:rsid w:val="00423126"/>
    <w:rsid w:val="00424A0F"/>
    <w:rsid w:val="00424A4B"/>
    <w:rsid w:val="00424E6F"/>
    <w:rsid w:val="00425708"/>
    <w:rsid w:val="00425A9E"/>
    <w:rsid w:val="00425C4E"/>
    <w:rsid w:val="00430332"/>
    <w:rsid w:val="00430C1F"/>
    <w:rsid w:val="00432474"/>
    <w:rsid w:val="00432CDB"/>
    <w:rsid w:val="00432F48"/>
    <w:rsid w:val="0043487F"/>
    <w:rsid w:val="00434B72"/>
    <w:rsid w:val="00435839"/>
    <w:rsid w:val="0043609B"/>
    <w:rsid w:val="004369A6"/>
    <w:rsid w:val="00440256"/>
    <w:rsid w:val="00440683"/>
    <w:rsid w:val="004417DC"/>
    <w:rsid w:val="00441C3F"/>
    <w:rsid w:val="004425BD"/>
    <w:rsid w:val="00442A3C"/>
    <w:rsid w:val="0044312A"/>
    <w:rsid w:val="00443468"/>
    <w:rsid w:val="00443B2C"/>
    <w:rsid w:val="00444C51"/>
    <w:rsid w:val="00444E77"/>
    <w:rsid w:val="00447B5D"/>
    <w:rsid w:val="00450168"/>
    <w:rsid w:val="0045027E"/>
    <w:rsid w:val="004507CF"/>
    <w:rsid w:val="00451505"/>
    <w:rsid w:val="00451607"/>
    <w:rsid w:val="00452194"/>
    <w:rsid w:val="00452752"/>
    <w:rsid w:val="00452DA9"/>
    <w:rsid w:val="00452E6D"/>
    <w:rsid w:val="00453970"/>
    <w:rsid w:val="00453B0B"/>
    <w:rsid w:val="00453D46"/>
    <w:rsid w:val="00453E57"/>
    <w:rsid w:val="004546A8"/>
    <w:rsid w:val="004550F3"/>
    <w:rsid w:val="00455C63"/>
    <w:rsid w:val="0045703C"/>
    <w:rsid w:val="00457430"/>
    <w:rsid w:val="004600DC"/>
    <w:rsid w:val="0046078C"/>
    <w:rsid w:val="00460A5C"/>
    <w:rsid w:val="00460C11"/>
    <w:rsid w:val="00460F52"/>
    <w:rsid w:val="00461155"/>
    <w:rsid w:val="00461BE2"/>
    <w:rsid w:val="004632F6"/>
    <w:rsid w:val="0046389F"/>
    <w:rsid w:val="0046421E"/>
    <w:rsid w:val="0046470B"/>
    <w:rsid w:val="00464C1E"/>
    <w:rsid w:val="004656AE"/>
    <w:rsid w:val="004659EE"/>
    <w:rsid w:val="00465A6C"/>
    <w:rsid w:val="00465BBF"/>
    <w:rsid w:val="00467DBB"/>
    <w:rsid w:val="00470575"/>
    <w:rsid w:val="00470BAD"/>
    <w:rsid w:val="0047109E"/>
    <w:rsid w:val="00471AFE"/>
    <w:rsid w:val="00471DD9"/>
    <w:rsid w:val="0047253F"/>
    <w:rsid w:val="0047258A"/>
    <w:rsid w:val="004730FA"/>
    <w:rsid w:val="00473942"/>
    <w:rsid w:val="00475729"/>
    <w:rsid w:val="0047631D"/>
    <w:rsid w:val="00476639"/>
    <w:rsid w:val="00476CEF"/>
    <w:rsid w:val="00476D10"/>
    <w:rsid w:val="00476EDA"/>
    <w:rsid w:val="004772B7"/>
    <w:rsid w:val="00477855"/>
    <w:rsid w:val="00477B86"/>
    <w:rsid w:val="004818AC"/>
    <w:rsid w:val="004819F6"/>
    <w:rsid w:val="004821AE"/>
    <w:rsid w:val="00482CC6"/>
    <w:rsid w:val="00483404"/>
    <w:rsid w:val="0048362A"/>
    <w:rsid w:val="00483887"/>
    <w:rsid w:val="00484023"/>
    <w:rsid w:val="00484481"/>
    <w:rsid w:val="004860C7"/>
    <w:rsid w:val="004862CC"/>
    <w:rsid w:val="00487527"/>
    <w:rsid w:val="0048798E"/>
    <w:rsid w:val="004901C7"/>
    <w:rsid w:val="0049108C"/>
    <w:rsid w:val="004911AC"/>
    <w:rsid w:val="004911E9"/>
    <w:rsid w:val="00491AB9"/>
    <w:rsid w:val="00491ACF"/>
    <w:rsid w:val="00491B68"/>
    <w:rsid w:val="00491BA3"/>
    <w:rsid w:val="0049282B"/>
    <w:rsid w:val="00492F46"/>
    <w:rsid w:val="00493653"/>
    <w:rsid w:val="00493BD2"/>
    <w:rsid w:val="00493FB8"/>
    <w:rsid w:val="0049460D"/>
    <w:rsid w:val="00494D0A"/>
    <w:rsid w:val="00494D56"/>
    <w:rsid w:val="004957B0"/>
    <w:rsid w:val="0049656A"/>
    <w:rsid w:val="00496AD9"/>
    <w:rsid w:val="00496E1D"/>
    <w:rsid w:val="00497DDD"/>
    <w:rsid w:val="004A0510"/>
    <w:rsid w:val="004A0E20"/>
    <w:rsid w:val="004A0E78"/>
    <w:rsid w:val="004A1D32"/>
    <w:rsid w:val="004A2825"/>
    <w:rsid w:val="004A2F3F"/>
    <w:rsid w:val="004A32B4"/>
    <w:rsid w:val="004A4CC9"/>
    <w:rsid w:val="004A5ADA"/>
    <w:rsid w:val="004A62E6"/>
    <w:rsid w:val="004A67E1"/>
    <w:rsid w:val="004A6C38"/>
    <w:rsid w:val="004A6D2B"/>
    <w:rsid w:val="004A76B7"/>
    <w:rsid w:val="004A7B3C"/>
    <w:rsid w:val="004B0111"/>
    <w:rsid w:val="004B0374"/>
    <w:rsid w:val="004B09F6"/>
    <w:rsid w:val="004B1BD6"/>
    <w:rsid w:val="004B1CF4"/>
    <w:rsid w:val="004B1E6B"/>
    <w:rsid w:val="004B2C7D"/>
    <w:rsid w:val="004B2E88"/>
    <w:rsid w:val="004B343F"/>
    <w:rsid w:val="004B38E0"/>
    <w:rsid w:val="004B3973"/>
    <w:rsid w:val="004B3EB4"/>
    <w:rsid w:val="004B52C6"/>
    <w:rsid w:val="004B5AA8"/>
    <w:rsid w:val="004B5B75"/>
    <w:rsid w:val="004B6668"/>
    <w:rsid w:val="004B6B59"/>
    <w:rsid w:val="004B6BA7"/>
    <w:rsid w:val="004B6F1A"/>
    <w:rsid w:val="004C07A8"/>
    <w:rsid w:val="004C1695"/>
    <w:rsid w:val="004C1E67"/>
    <w:rsid w:val="004C3803"/>
    <w:rsid w:val="004C413E"/>
    <w:rsid w:val="004C460F"/>
    <w:rsid w:val="004C46BB"/>
    <w:rsid w:val="004C4E0A"/>
    <w:rsid w:val="004C503E"/>
    <w:rsid w:val="004C5CA2"/>
    <w:rsid w:val="004C65AA"/>
    <w:rsid w:val="004C7442"/>
    <w:rsid w:val="004C7D98"/>
    <w:rsid w:val="004D0A3E"/>
    <w:rsid w:val="004D135F"/>
    <w:rsid w:val="004D1CE5"/>
    <w:rsid w:val="004D1F03"/>
    <w:rsid w:val="004D3A9F"/>
    <w:rsid w:val="004D40E0"/>
    <w:rsid w:val="004D4328"/>
    <w:rsid w:val="004D4336"/>
    <w:rsid w:val="004D4956"/>
    <w:rsid w:val="004D5262"/>
    <w:rsid w:val="004D5323"/>
    <w:rsid w:val="004D55DD"/>
    <w:rsid w:val="004D5B24"/>
    <w:rsid w:val="004D68CC"/>
    <w:rsid w:val="004D714B"/>
    <w:rsid w:val="004E05D6"/>
    <w:rsid w:val="004E0833"/>
    <w:rsid w:val="004E0F9A"/>
    <w:rsid w:val="004E16E5"/>
    <w:rsid w:val="004E1FB5"/>
    <w:rsid w:val="004E24FD"/>
    <w:rsid w:val="004E2651"/>
    <w:rsid w:val="004E2B1F"/>
    <w:rsid w:val="004E5AFD"/>
    <w:rsid w:val="004E6157"/>
    <w:rsid w:val="004E6839"/>
    <w:rsid w:val="004E7043"/>
    <w:rsid w:val="004E76F5"/>
    <w:rsid w:val="004E785A"/>
    <w:rsid w:val="004E7CA8"/>
    <w:rsid w:val="004E7DAF"/>
    <w:rsid w:val="004F0AE5"/>
    <w:rsid w:val="004F2454"/>
    <w:rsid w:val="004F3DBB"/>
    <w:rsid w:val="004F4FE8"/>
    <w:rsid w:val="004F500E"/>
    <w:rsid w:val="004F58A5"/>
    <w:rsid w:val="004F707F"/>
    <w:rsid w:val="00500E99"/>
    <w:rsid w:val="005018DC"/>
    <w:rsid w:val="00501D4C"/>
    <w:rsid w:val="005021EF"/>
    <w:rsid w:val="00504F8F"/>
    <w:rsid w:val="00505D32"/>
    <w:rsid w:val="00506D9C"/>
    <w:rsid w:val="00507956"/>
    <w:rsid w:val="005114C6"/>
    <w:rsid w:val="0051166C"/>
    <w:rsid w:val="00512298"/>
    <w:rsid w:val="00512BFF"/>
    <w:rsid w:val="005133F8"/>
    <w:rsid w:val="00513797"/>
    <w:rsid w:val="00513B4B"/>
    <w:rsid w:val="00513CF5"/>
    <w:rsid w:val="0051568C"/>
    <w:rsid w:val="00515C7A"/>
    <w:rsid w:val="00516B34"/>
    <w:rsid w:val="00516B3D"/>
    <w:rsid w:val="00517086"/>
    <w:rsid w:val="00517299"/>
    <w:rsid w:val="00517937"/>
    <w:rsid w:val="0052133A"/>
    <w:rsid w:val="00521971"/>
    <w:rsid w:val="00521AE3"/>
    <w:rsid w:val="00521EDC"/>
    <w:rsid w:val="0052205E"/>
    <w:rsid w:val="005243C6"/>
    <w:rsid w:val="00524AAA"/>
    <w:rsid w:val="00524C2D"/>
    <w:rsid w:val="00525C20"/>
    <w:rsid w:val="0052670A"/>
    <w:rsid w:val="00527992"/>
    <w:rsid w:val="00530934"/>
    <w:rsid w:val="00530BAC"/>
    <w:rsid w:val="00531BC3"/>
    <w:rsid w:val="00531DE2"/>
    <w:rsid w:val="00531F79"/>
    <w:rsid w:val="005321B7"/>
    <w:rsid w:val="00534311"/>
    <w:rsid w:val="005349C7"/>
    <w:rsid w:val="00535A06"/>
    <w:rsid w:val="00536174"/>
    <w:rsid w:val="00537EB1"/>
    <w:rsid w:val="00540491"/>
    <w:rsid w:val="0054071D"/>
    <w:rsid w:val="00540E82"/>
    <w:rsid w:val="005412B0"/>
    <w:rsid w:val="0054215E"/>
    <w:rsid w:val="0054243E"/>
    <w:rsid w:val="00543454"/>
    <w:rsid w:val="00543AFB"/>
    <w:rsid w:val="005449F9"/>
    <w:rsid w:val="005455EE"/>
    <w:rsid w:val="00546090"/>
    <w:rsid w:val="00546126"/>
    <w:rsid w:val="00546BE6"/>
    <w:rsid w:val="0055128E"/>
    <w:rsid w:val="00551554"/>
    <w:rsid w:val="005525BD"/>
    <w:rsid w:val="00552C2D"/>
    <w:rsid w:val="00553413"/>
    <w:rsid w:val="005536E9"/>
    <w:rsid w:val="005537D6"/>
    <w:rsid w:val="00553C9D"/>
    <w:rsid w:val="00553FCF"/>
    <w:rsid w:val="005541D3"/>
    <w:rsid w:val="00554D61"/>
    <w:rsid w:val="005550B9"/>
    <w:rsid w:val="005553FB"/>
    <w:rsid w:val="00555903"/>
    <w:rsid w:val="005561CD"/>
    <w:rsid w:val="0055659F"/>
    <w:rsid w:val="0055760D"/>
    <w:rsid w:val="00560C6F"/>
    <w:rsid w:val="005610CF"/>
    <w:rsid w:val="005617F1"/>
    <w:rsid w:val="005621AE"/>
    <w:rsid w:val="00562E56"/>
    <w:rsid w:val="0056368D"/>
    <w:rsid w:val="00564D70"/>
    <w:rsid w:val="00564F0A"/>
    <w:rsid w:val="00564F7C"/>
    <w:rsid w:val="00565EDC"/>
    <w:rsid w:val="00567114"/>
    <w:rsid w:val="00567F23"/>
    <w:rsid w:val="0057028A"/>
    <w:rsid w:val="00570563"/>
    <w:rsid w:val="005708B3"/>
    <w:rsid w:val="005719C9"/>
    <w:rsid w:val="00572227"/>
    <w:rsid w:val="00573080"/>
    <w:rsid w:val="00573776"/>
    <w:rsid w:val="00574574"/>
    <w:rsid w:val="0057483C"/>
    <w:rsid w:val="00574949"/>
    <w:rsid w:val="00574A6C"/>
    <w:rsid w:val="00575A3C"/>
    <w:rsid w:val="00575E52"/>
    <w:rsid w:val="005765B0"/>
    <w:rsid w:val="00576921"/>
    <w:rsid w:val="00576D46"/>
    <w:rsid w:val="0057743A"/>
    <w:rsid w:val="005775D6"/>
    <w:rsid w:val="005805D4"/>
    <w:rsid w:val="00580A9E"/>
    <w:rsid w:val="00581110"/>
    <w:rsid w:val="00581155"/>
    <w:rsid w:val="00582750"/>
    <w:rsid w:val="00582C43"/>
    <w:rsid w:val="00582F54"/>
    <w:rsid w:val="00583084"/>
    <w:rsid w:val="005845DF"/>
    <w:rsid w:val="00584E15"/>
    <w:rsid w:val="00584FF7"/>
    <w:rsid w:val="00585A4A"/>
    <w:rsid w:val="005862EB"/>
    <w:rsid w:val="005879F4"/>
    <w:rsid w:val="005900CA"/>
    <w:rsid w:val="005900FB"/>
    <w:rsid w:val="00590268"/>
    <w:rsid w:val="00591410"/>
    <w:rsid w:val="00591749"/>
    <w:rsid w:val="0059196B"/>
    <w:rsid w:val="00591C0F"/>
    <w:rsid w:val="0059218E"/>
    <w:rsid w:val="00592960"/>
    <w:rsid w:val="0059381D"/>
    <w:rsid w:val="0059399C"/>
    <w:rsid w:val="00593C16"/>
    <w:rsid w:val="00594360"/>
    <w:rsid w:val="005945CC"/>
    <w:rsid w:val="00594D08"/>
    <w:rsid w:val="00594D98"/>
    <w:rsid w:val="00595124"/>
    <w:rsid w:val="0059675A"/>
    <w:rsid w:val="005967F8"/>
    <w:rsid w:val="0059768C"/>
    <w:rsid w:val="00597849"/>
    <w:rsid w:val="00597CA8"/>
    <w:rsid w:val="005A06AD"/>
    <w:rsid w:val="005A0B96"/>
    <w:rsid w:val="005A13CA"/>
    <w:rsid w:val="005A1613"/>
    <w:rsid w:val="005A18BB"/>
    <w:rsid w:val="005A1C5D"/>
    <w:rsid w:val="005A36F1"/>
    <w:rsid w:val="005A3FB9"/>
    <w:rsid w:val="005A592E"/>
    <w:rsid w:val="005A6997"/>
    <w:rsid w:val="005A7067"/>
    <w:rsid w:val="005A734B"/>
    <w:rsid w:val="005B0DA9"/>
    <w:rsid w:val="005B0EA1"/>
    <w:rsid w:val="005B165D"/>
    <w:rsid w:val="005B17DD"/>
    <w:rsid w:val="005B2492"/>
    <w:rsid w:val="005B302C"/>
    <w:rsid w:val="005B35B6"/>
    <w:rsid w:val="005B42AE"/>
    <w:rsid w:val="005B52C4"/>
    <w:rsid w:val="005B52D0"/>
    <w:rsid w:val="005B5756"/>
    <w:rsid w:val="005B689F"/>
    <w:rsid w:val="005B6D00"/>
    <w:rsid w:val="005B7ABE"/>
    <w:rsid w:val="005B7E57"/>
    <w:rsid w:val="005C0ABA"/>
    <w:rsid w:val="005C1857"/>
    <w:rsid w:val="005C1B8C"/>
    <w:rsid w:val="005C1BD1"/>
    <w:rsid w:val="005C1DBA"/>
    <w:rsid w:val="005C3313"/>
    <w:rsid w:val="005C3EED"/>
    <w:rsid w:val="005C4253"/>
    <w:rsid w:val="005C4A10"/>
    <w:rsid w:val="005C4C54"/>
    <w:rsid w:val="005C6B54"/>
    <w:rsid w:val="005C76A9"/>
    <w:rsid w:val="005C7D3E"/>
    <w:rsid w:val="005C7F47"/>
    <w:rsid w:val="005D0984"/>
    <w:rsid w:val="005D0C3B"/>
    <w:rsid w:val="005D0D70"/>
    <w:rsid w:val="005D11B3"/>
    <w:rsid w:val="005D1E9D"/>
    <w:rsid w:val="005D1F9F"/>
    <w:rsid w:val="005D24D1"/>
    <w:rsid w:val="005D34BD"/>
    <w:rsid w:val="005D40C3"/>
    <w:rsid w:val="005D4A83"/>
    <w:rsid w:val="005D4B6C"/>
    <w:rsid w:val="005D56BC"/>
    <w:rsid w:val="005D5E2B"/>
    <w:rsid w:val="005D67E5"/>
    <w:rsid w:val="005D6DA3"/>
    <w:rsid w:val="005D768A"/>
    <w:rsid w:val="005D7C5F"/>
    <w:rsid w:val="005E1189"/>
    <w:rsid w:val="005E158E"/>
    <w:rsid w:val="005E1D8E"/>
    <w:rsid w:val="005E1D97"/>
    <w:rsid w:val="005E207C"/>
    <w:rsid w:val="005E2534"/>
    <w:rsid w:val="005E34C8"/>
    <w:rsid w:val="005E432B"/>
    <w:rsid w:val="005E4905"/>
    <w:rsid w:val="005E561D"/>
    <w:rsid w:val="005E56D1"/>
    <w:rsid w:val="005E5756"/>
    <w:rsid w:val="005E5FE8"/>
    <w:rsid w:val="005E6ED6"/>
    <w:rsid w:val="005E6F57"/>
    <w:rsid w:val="005F1A32"/>
    <w:rsid w:val="005F203A"/>
    <w:rsid w:val="005F24DD"/>
    <w:rsid w:val="005F2C37"/>
    <w:rsid w:val="005F2C94"/>
    <w:rsid w:val="005F31E9"/>
    <w:rsid w:val="005F375B"/>
    <w:rsid w:val="005F473B"/>
    <w:rsid w:val="005F5276"/>
    <w:rsid w:val="005F5472"/>
    <w:rsid w:val="005F59F5"/>
    <w:rsid w:val="005F5C14"/>
    <w:rsid w:val="005F5FE1"/>
    <w:rsid w:val="005F6052"/>
    <w:rsid w:val="005F6C98"/>
    <w:rsid w:val="005F6D85"/>
    <w:rsid w:val="00600215"/>
    <w:rsid w:val="00600F77"/>
    <w:rsid w:val="006011FB"/>
    <w:rsid w:val="00601228"/>
    <w:rsid w:val="00601338"/>
    <w:rsid w:val="00601FAB"/>
    <w:rsid w:val="0060204E"/>
    <w:rsid w:val="00602090"/>
    <w:rsid w:val="00602299"/>
    <w:rsid w:val="0060273D"/>
    <w:rsid w:val="00603281"/>
    <w:rsid w:val="006041C4"/>
    <w:rsid w:val="006043F8"/>
    <w:rsid w:val="0060462E"/>
    <w:rsid w:val="00604DD0"/>
    <w:rsid w:val="00604F91"/>
    <w:rsid w:val="00605032"/>
    <w:rsid w:val="00605484"/>
    <w:rsid w:val="006064FA"/>
    <w:rsid w:val="00606BEB"/>
    <w:rsid w:val="006071DD"/>
    <w:rsid w:val="0060733C"/>
    <w:rsid w:val="00611E96"/>
    <w:rsid w:val="006122CB"/>
    <w:rsid w:val="0061255A"/>
    <w:rsid w:val="00612800"/>
    <w:rsid w:val="00613A21"/>
    <w:rsid w:val="00613E45"/>
    <w:rsid w:val="0061458B"/>
    <w:rsid w:val="006145E4"/>
    <w:rsid w:val="006153CA"/>
    <w:rsid w:val="00615C05"/>
    <w:rsid w:val="00616A4D"/>
    <w:rsid w:val="00616BDA"/>
    <w:rsid w:val="0061747A"/>
    <w:rsid w:val="006175B7"/>
    <w:rsid w:val="00617FFE"/>
    <w:rsid w:val="00620D67"/>
    <w:rsid w:val="00622244"/>
    <w:rsid w:val="006228C7"/>
    <w:rsid w:val="00622B1F"/>
    <w:rsid w:val="006234DF"/>
    <w:rsid w:val="00623A14"/>
    <w:rsid w:val="006241B2"/>
    <w:rsid w:val="00624328"/>
    <w:rsid w:val="00624FAC"/>
    <w:rsid w:val="00625683"/>
    <w:rsid w:val="00627AE6"/>
    <w:rsid w:val="006305EE"/>
    <w:rsid w:val="00631204"/>
    <w:rsid w:val="00631DC5"/>
    <w:rsid w:val="006320AD"/>
    <w:rsid w:val="00633474"/>
    <w:rsid w:val="00633D83"/>
    <w:rsid w:val="00633E54"/>
    <w:rsid w:val="00634885"/>
    <w:rsid w:val="0063528C"/>
    <w:rsid w:val="00635608"/>
    <w:rsid w:val="006356EC"/>
    <w:rsid w:val="00635EE5"/>
    <w:rsid w:val="00636081"/>
    <w:rsid w:val="00636160"/>
    <w:rsid w:val="006367B4"/>
    <w:rsid w:val="006376EF"/>
    <w:rsid w:val="006408B1"/>
    <w:rsid w:val="00640DB5"/>
    <w:rsid w:val="00640DC9"/>
    <w:rsid w:val="006410B9"/>
    <w:rsid w:val="00642287"/>
    <w:rsid w:val="0064268A"/>
    <w:rsid w:val="006429C9"/>
    <w:rsid w:val="00642E79"/>
    <w:rsid w:val="00642F7F"/>
    <w:rsid w:val="006430DD"/>
    <w:rsid w:val="00643B0C"/>
    <w:rsid w:val="006445EF"/>
    <w:rsid w:val="00644D6A"/>
    <w:rsid w:val="00645933"/>
    <w:rsid w:val="0064629B"/>
    <w:rsid w:val="006466A9"/>
    <w:rsid w:val="00646850"/>
    <w:rsid w:val="006470ED"/>
    <w:rsid w:val="00647107"/>
    <w:rsid w:val="0064714A"/>
    <w:rsid w:val="006472A2"/>
    <w:rsid w:val="006478C1"/>
    <w:rsid w:val="006503FB"/>
    <w:rsid w:val="00651A32"/>
    <w:rsid w:val="00651B66"/>
    <w:rsid w:val="00652615"/>
    <w:rsid w:val="006528BA"/>
    <w:rsid w:val="006538FE"/>
    <w:rsid w:val="00653ED4"/>
    <w:rsid w:val="0065693D"/>
    <w:rsid w:val="00656FBF"/>
    <w:rsid w:val="00657117"/>
    <w:rsid w:val="0065779B"/>
    <w:rsid w:val="00660277"/>
    <w:rsid w:val="00660DD4"/>
    <w:rsid w:val="00661476"/>
    <w:rsid w:val="0066257A"/>
    <w:rsid w:val="0066284B"/>
    <w:rsid w:val="00662B03"/>
    <w:rsid w:val="00662EEE"/>
    <w:rsid w:val="00663F3D"/>
    <w:rsid w:val="00664BA1"/>
    <w:rsid w:val="00664D4D"/>
    <w:rsid w:val="0066569D"/>
    <w:rsid w:val="00666E38"/>
    <w:rsid w:val="00667301"/>
    <w:rsid w:val="00667626"/>
    <w:rsid w:val="006708F8"/>
    <w:rsid w:val="00670922"/>
    <w:rsid w:val="00671241"/>
    <w:rsid w:val="00671902"/>
    <w:rsid w:val="00671AA8"/>
    <w:rsid w:val="00671D20"/>
    <w:rsid w:val="00672152"/>
    <w:rsid w:val="006722B0"/>
    <w:rsid w:val="006722F6"/>
    <w:rsid w:val="0067249B"/>
    <w:rsid w:val="00672825"/>
    <w:rsid w:val="00672D5F"/>
    <w:rsid w:val="0067345A"/>
    <w:rsid w:val="00673656"/>
    <w:rsid w:val="006737FF"/>
    <w:rsid w:val="00675635"/>
    <w:rsid w:val="0067648C"/>
    <w:rsid w:val="00676B38"/>
    <w:rsid w:val="00677185"/>
    <w:rsid w:val="006771C4"/>
    <w:rsid w:val="006774D8"/>
    <w:rsid w:val="00677816"/>
    <w:rsid w:val="00677941"/>
    <w:rsid w:val="00677CE5"/>
    <w:rsid w:val="00680ACD"/>
    <w:rsid w:val="0068186D"/>
    <w:rsid w:val="00682426"/>
    <w:rsid w:val="00683244"/>
    <w:rsid w:val="0068387D"/>
    <w:rsid w:val="00683988"/>
    <w:rsid w:val="00684D58"/>
    <w:rsid w:val="00685728"/>
    <w:rsid w:val="00685A36"/>
    <w:rsid w:val="00685EFC"/>
    <w:rsid w:val="00687511"/>
    <w:rsid w:val="00690311"/>
    <w:rsid w:val="00693A7E"/>
    <w:rsid w:val="00695590"/>
    <w:rsid w:val="006956D6"/>
    <w:rsid w:val="00695B56"/>
    <w:rsid w:val="00695B65"/>
    <w:rsid w:val="006961C3"/>
    <w:rsid w:val="00696D3A"/>
    <w:rsid w:val="0069713F"/>
    <w:rsid w:val="006973BF"/>
    <w:rsid w:val="006A028A"/>
    <w:rsid w:val="006A123D"/>
    <w:rsid w:val="006A1FA1"/>
    <w:rsid w:val="006A2328"/>
    <w:rsid w:val="006A27A3"/>
    <w:rsid w:val="006A28BC"/>
    <w:rsid w:val="006A3038"/>
    <w:rsid w:val="006A31DA"/>
    <w:rsid w:val="006A3924"/>
    <w:rsid w:val="006A407D"/>
    <w:rsid w:val="006A48B0"/>
    <w:rsid w:val="006A4E1F"/>
    <w:rsid w:val="006A7A33"/>
    <w:rsid w:val="006B08C3"/>
    <w:rsid w:val="006B12A4"/>
    <w:rsid w:val="006B16E4"/>
    <w:rsid w:val="006B16E9"/>
    <w:rsid w:val="006B1711"/>
    <w:rsid w:val="006B2D29"/>
    <w:rsid w:val="006B3DA5"/>
    <w:rsid w:val="006B3DB2"/>
    <w:rsid w:val="006B41BE"/>
    <w:rsid w:val="006B45A1"/>
    <w:rsid w:val="006B4AB0"/>
    <w:rsid w:val="006B4DCA"/>
    <w:rsid w:val="006B4E4B"/>
    <w:rsid w:val="006B5703"/>
    <w:rsid w:val="006B5C0F"/>
    <w:rsid w:val="006B60E7"/>
    <w:rsid w:val="006B6F6D"/>
    <w:rsid w:val="006B7CFF"/>
    <w:rsid w:val="006C0FCF"/>
    <w:rsid w:val="006C1308"/>
    <w:rsid w:val="006C149B"/>
    <w:rsid w:val="006C2107"/>
    <w:rsid w:val="006C2126"/>
    <w:rsid w:val="006C2397"/>
    <w:rsid w:val="006C29BE"/>
    <w:rsid w:val="006C54AD"/>
    <w:rsid w:val="006C57E0"/>
    <w:rsid w:val="006C6B58"/>
    <w:rsid w:val="006C7245"/>
    <w:rsid w:val="006C7486"/>
    <w:rsid w:val="006C75D6"/>
    <w:rsid w:val="006D085F"/>
    <w:rsid w:val="006D0875"/>
    <w:rsid w:val="006D1A61"/>
    <w:rsid w:val="006D225F"/>
    <w:rsid w:val="006D31D3"/>
    <w:rsid w:val="006D367E"/>
    <w:rsid w:val="006D443F"/>
    <w:rsid w:val="006D4DF3"/>
    <w:rsid w:val="006D4E3A"/>
    <w:rsid w:val="006D548B"/>
    <w:rsid w:val="006D5C29"/>
    <w:rsid w:val="006D63D8"/>
    <w:rsid w:val="006D6438"/>
    <w:rsid w:val="006D67CE"/>
    <w:rsid w:val="006D7403"/>
    <w:rsid w:val="006D797F"/>
    <w:rsid w:val="006D7A58"/>
    <w:rsid w:val="006D7D02"/>
    <w:rsid w:val="006E06B0"/>
    <w:rsid w:val="006E0DE4"/>
    <w:rsid w:val="006E1876"/>
    <w:rsid w:val="006E1F8B"/>
    <w:rsid w:val="006E2060"/>
    <w:rsid w:val="006E308A"/>
    <w:rsid w:val="006E4192"/>
    <w:rsid w:val="006E5CF7"/>
    <w:rsid w:val="006E66A7"/>
    <w:rsid w:val="006E674D"/>
    <w:rsid w:val="006E678A"/>
    <w:rsid w:val="006E6D1D"/>
    <w:rsid w:val="006F0F8E"/>
    <w:rsid w:val="006F118D"/>
    <w:rsid w:val="006F140B"/>
    <w:rsid w:val="006F18A0"/>
    <w:rsid w:val="006F1AC1"/>
    <w:rsid w:val="006F1D6D"/>
    <w:rsid w:val="006F3669"/>
    <w:rsid w:val="006F3766"/>
    <w:rsid w:val="006F406B"/>
    <w:rsid w:val="006F49F3"/>
    <w:rsid w:val="006F4CF7"/>
    <w:rsid w:val="006F59C9"/>
    <w:rsid w:val="006F5B30"/>
    <w:rsid w:val="006F6388"/>
    <w:rsid w:val="006F6971"/>
    <w:rsid w:val="006F6B01"/>
    <w:rsid w:val="007007E5"/>
    <w:rsid w:val="007016CA"/>
    <w:rsid w:val="00701B41"/>
    <w:rsid w:val="00701D17"/>
    <w:rsid w:val="00701F68"/>
    <w:rsid w:val="00701F71"/>
    <w:rsid w:val="007021B1"/>
    <w:rsid w:val="00702215"/>
    <w:rsid w:val="0070233B"/>
    <w:rsid w:val="007029AD"/>
    <w:rsid w:val="00703796"/>
    <w:rsid w:val="00704F2E"/>
    <w:rsid w:val="00704F96"/>
    <w:rsid w:val="0070551E"/>
    <w:rsid w:val="00705678"/>
    <w:rsid w:val="007056EE"/>
    <w:rsid w:val="00705A7B"/>
    <w:rsid w:val="00706235"/>
    <w:rsid w:val="007066F5"/>
    <w:rsid w:val="00707357"/>
    <w:rsid w:val="00707CB6"/>
    <w:rsid w:val="00707E0D"/>
    <w:rsid w:val="007116E5"/>
    <w:rsid w:val="007118FB"/>
    <w:rsid w:val="00712031"/>
    <w:rsid w:val="00712F3B"/>
    <w:rsid w:val="00713FF6"/>
    <w:rsid w:val="0071600B"/>
    <w:rsid w:val="007161E3"/>
    <w:rsid w:val="0071666A"/>
    <w:rsid w:val="0071671A"/>
    <w:rsid w:val="00716D2B"/>
    <w:rsid w:val="00720EA2"/>
    <w:rsid w:val="00723A97"/>
    <w:rsid w:val="00723D20"/>
    <w:rsid w:val="007241D9"/>
    <w:rsid w:val="00724567"/>
    <w:rsid w:val="00724DB9"/>
    <w:rsid w:val="00725352"/>
    <w:rsid w:val="007274DE"/>
    <w:rsid w:val="00727C40"/>
    <w:rsid w:val="00727D38"/>
    <w:rsid w:val="0073010E"/>
    <w:rsid w:val="007303C2"/>
    <w:rsid w:val="0073062F"/>
    <w:rsid w:val="0073095E"/>
    <w:rsid w:val="00730CB5"/>
    <w:rsid w:val="0073140E"/>
    <w:rsid w:val="00731B3B"/>
    <w:rsid w:val="0073223E"/>
    <w:rsid w:val="007343F0"/>
    <w:rsid w:val="00734806"/>
    <w:rsid w:val="007351B7"/>
    <w:rsid w:val="007360DE"/>
    <w:rsid w:val="0073694E"/>
    <w:rsid w:val="00736AB0"/>
    <w:rsid w:val="00736EF6"/>
    <w:rsid w:val="00737007"/>
    <w:rsid w:val="00737AF5"/>
    <w:rsid w:val="00737CA8"/>
    <w:rsid w:val="0074008D"/>
    <w:rsid w:val="0074042C"/>
    <w:rsid w:val="00741472"/>
    <w:rsid w:val="0074166F"/>
    <w:rsid w:val="00743993"/>
    <w:rsid w:val="00743F18"/>
    <w:rsid w:val="0074437B"/>
    <w:rsid w:val="00744599"/>
    <w:rsid w:val="00746DE7"/>
    <w:rsid w:val="00747494"/>
    <w:rsid w:val="00747945"/>
    <w:rsid w:val="00747B49"/>
    <w:rsid w:val="00751368"/>
    <w:rsid w:val="00751935"/>
    <w:rsid w:val="00752028"/>
    <w:rsid w:val="0075482A"/>
    <w:rsid w:val="00755D2E"/>
    <w:rsid w:val="00755DE5"/>
    <w:rsid w:val="007561D0"/>
    <w:rsid w:val="007568B9"/>
    <w:rsid w:val="0075793A"/>
    <w:rsid w:val="00757CB2"/>
    <w:rsid w:val="007606A5"/>
    <w:rsid w:val="007608B6"/>
    <w:rsid w:val="0076092E"/>
    <w:rsid w:val="00760C19"/>
    <w:rsid w:val="0076111C"/>
    <w:rsid w:val="0076169A"/>
    <w:rsid w:val="00761E39"/>
    <w:rsid w:val="00762C62"/>
    <w:rsid w:val="0076377B"/>
    <w:rsid w:val="007638C2"/>
    <w:rsid w:val="00763F2A"/>
    <w:rsid w:val="00765B11"/>
    <w:rsid w:val="007661D3"/>
    <w:rsid w:val="007672F4"/>
    <w:rsid w:val="00770C2F"/>
    <w:rsid w:val="00771E5A"/>
    <w:rsid w:val="0077388C"/>
    <w:rsid w:val="00773959"/>
    <w:rsid w:val="00775208"/>
    <w:rsid w:val="00775B87"/>
    <w:rsid w:val="00776EAD"/>
    <w:rsid w:val="007772C8"/>
    <w:rsid w:val="00777FCB"/>
    <w:rsid w:val="00780006"/>
    <w:rsid w:val="007807EA"/>
    <w:rsid w:val="007813C6"/>
    <w:rsid w:val="00781D32"/>
    <w:rsid w:val="00782699"/>
    <w:rsid w:val="007828B3"/>
    <w:rsid w:val="00783299"/>
    <w:rsid w:val="007833C7"/>
    <w:rsid w:val="0078352E"/>
    <w:rsid w:val="00783D3B"/>
    <w:rsid w:val="00784319"/>
    <w:rsid w:val="007858CE"/>
    <w:rsid w:val="00786243"/>
    <w:rsid w:val="007862CD"/>
    <w:rsid w:val="007873C2"/>
    <w:rsid w:val="00787F92"/>
    <w:rsid w:val="0079201A"/>
    <w:rsid w:val="00792494"/>
    <w:rsid w:val="007926F1"/>
    <w:rsid w:val="00792B0D"/>
    <w:rsid w:val="007934DD"/>
    <w:rsid w:val="007946E8"/>
    <w:rsid w:val="00794B4C"/>
    <w:rsid w:val="0079559E"/>
    <w:rsid w:val="0079585C"/>
    <w:rsid w:val="00796293"/>
    <w:rsid w:val="00796934"/>
    <w:rsid w:val="00797F5A"/>
    <w:rsid w:val="007A067E"/>
    <w:rsid w:val="007A451E"/>
    <w:rsid w:val="007A4B2B"/>
    <w:rsid w:val="007A51B7"/>
    <w:rsid w:val="007A5944"/>
    <w:rsid w:val="007A607B"/>
    <w:rsid w:val="007A63F6"/>
    <w:rsid w:val="007A6A79"/>
    <w:rsid w:val="007A6E06"/>
    <w:rsid w:val="007A74D4"/>
    <w:rsid w:val="007B0DE5"/>
    <w:rsid w:val="007B11A5"/>
    <w:rsid w:val="007B2DA0"/>
    <w:rsid w:val="007B3005"/>
    <w:rsid w:val="007B3371"/>
    <w:rsid w:val="007B33DE"/>
    <w:rsid w:val="007B33E7"/>
    <w:rsid w:val="007B4840"/>
    <w:rsid w:val="007B5551"/>
    <w:rsid w:val="007B5946"/>
    <w:rsid w:val="007B603B"/>
    <w:rsid w:val="007B6557"/>
    <w:rsid w:val="007B6A94"/>
    <w:rsid w:val="007B74DB"/>
    <w:rsid w:val="007C0172"/>
    <w:rsid w:val="007C087C"/>
    <w:rsid w:val="007C13A9"/>
    <w:rsid w:val="007C2BA4"/>
    <w:rsid w:val="007C2C14"/>
    <w:rsid w:val="007C4322"/>
    <w:rsid w:val="007C479C"/>
    <w:rsid w:val="007C4EE3"/>
    <w:rsid w:val="007C67CA"/>
    <w:rsid w:val="007C68A5"/>
    <w:rsid w:val="007C701F"/>
    <w:rsid w:val="007C7CB8"/>
    <w:rsid w:val="007C7E92"/>
    <w:rsid w:val="007D0525"/>
    <w:rsid w:val="007D0943"/>
    <w:rsid w:val="007D11F3"/>
    <w:rsid w:val="007D205C"/>
    <w:rsid w:val="007D37D1"/>
    <w:rsid w:val="007D4172"/>
    <w:rsid w:val="007D63D2"/>
    <w:rsid w:val="007D686F"/>
    <w:rsid w:val="007D7405"/>
    <w:rsid w:val="007D7AAC"/>
    <w:rsid w:val="007D7F55"/>
    <w:rsid w:val="007E0BF4"/>
    <w:rsid w:val="007E0CF0"/>
    <w:rsid w:val="007E1794"/>
    <w:rsid w:val="007E2025"/>
    <w:rsid w:val="007E26B7"/>
    <w:rsid w:val="007E2AF0"/>
    <w:rsid w:val="007E30B7"/>
    <w:rsid w:val="007E3368"/>
    <w:rsid w:val="007E3757"/>
    <w:rsid w:val="007E41EE"/>
    <w:rsid w:val="007E4247"/>
    <w:rsid w:val="007E4546"/>
    <w:rsid w:val="007E5F6E"/>
    <w:rsid w:val="007E6851"/>
    <w:rsid w:val="007E6F89"/>
    <w:rsid w:val="007E71A9"/>
    <w:rsid w:val="007E77BE"/>
    <w:rsid w:val="007E7846"/>
    <w:rsid w:val="007E7A00"/>
    <w:rsid w:val="007E7B7F"/>
    <w:rsid w:val="007F01B9"/>
    <w:rsid w:val="007F2183"/>
    <w:rsid w:val="007F29F3"/>
    <w:rsid w:val="007F3A0E"/>
    <w:rsid w:val="007F40E0"/>
    <w:rsid w:val="007F46DC"/>
    <w:rsid w:val="007F58CF"/>
    <w:rsid w:val="007F5968"/>
    <w:rsid w:val="007F5C3F"/>
    <w:rsid w:val="007F5F45"/>
    <w:rsid w:val="007F5F7C"/>
    <w:rsid w:val="007F6588"/>
    <w:rsid w:val="007F7545"/>
    <w:rsid w:val="007F7B1D"/>
    <w:rsid w:val="007F7D7D"/>
    <w:rsid w:val="008007D2"/>
    <w:rsid w:val="0080392B"/>
    <w:rsid w:val="00803C5A"/>
    <w:rsid w:val="00803FDA"/>
    <w:rsid w:val="00804E84"/>
    <w:rsid w:val="00804EDE"/>
    <w:rsid w:val="00806535"/>
    <w:rsid w:val="00807783"/>
    <w:rsid w:val="0081016F"/>
    <w:rsid w:val="0081032A"/>
    <w:rsid w:val="0081083C"/>
    <w:rsid w:val="008108C8"/>
    <w:rsid w:val="00811235"/>
    <w:rsid w:val="00812553"/>
    <w:rsid w:val="008127FA"/>
    <w:rsid w:val="008137B6"/>
    <w:rsid w:val="00813EF7"/>
    <w:rsid w:val="00815AA2"/>
    <w:rsid w:val="00815E36"/>
    <w:rsid w:val="008201A3"/>
    <w:rsid w:val="00820D0B"/>
    <w:rsid w:val="00820DC0"/>
    <w:rsid w:val="00820FEE"/>
    <w:rsid w:val="0082200E"/>
    <w:rsid w:val="00822035"/>
    <w:rsid w:val="00822ED1"/>
    <w:rsid w:val="008240D7"/>
    <w:rsid w:val="0082436E"/>
    <w:rsid w:val="00824441"/>
    <w:rsid w:val="00824B5B"/>
    <w:rsid w:val="00824F9C"/>
    <w:rsid w:val="0082508F"/>
    <w:rsid w:val="00825419"/>
    <w:rsid w:val="00825755"/>
    <w:rsid w:val="00825778"/>
    <w:rsid w:val="0082581C"/>
    <w:rsid w:val="008264AC"/>
    <w:rsid w:val="00827917"/>
    <w:rsid w:val="00830019"/>
    <w:rsid w:val="00830844"/>
    <w:rsid w:val="008312C9"/>
    <w:rsid w:val="008319D8"/>
    <w:rsid w:val="00831EBD"/>
    <w:rsid w:val="00832228"/>
    <w:rsid w:val="00832446"/>
    <w:rsid w:val="00832AA6"/>
    <w:rsid w:val="00833AD5"/>
    <w:rsid w:val="00833B4A"/>
    <w:rsid w:val="00833ED1"/>
    <w:rsid w:val="00834BCD"/>
    <w:rsid w:val="00835F1D"/>
    <w:rsid w:val="00836695"/>
    <w:rsid w:val="0083690A"/>
    <w:rsid w:val="00837865"/>
    <w:rsid w:val="00837C30"/>
    <w:rsid w:val="00837E63"/>
    <w:rsid w:val="008401D3"/>
    <w:rsid w:val="00840DEE"/>
    <w:rsid w:val="00841433"/>
    <w:rsid w:val="00841B8E"/>
    <w:rsid w:val="0084308C"/>
    <w:rsid w:val="00843968"/>
    <w:rsid w:val="00843C24"/>
    <w:rsid w:val="00844241"/>
    <w:rsid w:val="00844903"/>
    <w:rsid w:val="00844E7B"/>
    <w:rsid w:val="00844F76"/>
    <w:rsid w:val="008452DD"/>
    <w:rsid w:val="00845302"/>
    <w:rsid w:val="00845677"/>
    <w:rsid w:val="00845B7F"/>
    <w:rsid w:val="00846963"/>
    <w:rsid w:val="00846FE7"/>
    <w:rsid w:val="0084785F"/>
    <w:rsid w:val="00847F7B"/>
    <w:rsid w:val="0085022F"/>
    <w:rsid w:val="00850B0E"/>
    <w:rsid w:val="00850D64"/>
    <w:rsid w:val="00850DD4"/>
    <w:rsid w:val="008520C9"/>
    <w:rsid w:val="00852534"/>
    <w:rsid w:val="0085477D"/>
    <w:rsid w:val="008553E6"/>
    <w:rsid w:val="008554FD"/>
    <w:rsid w:val="00855629"/>
    <w:rsid w:val="0085579C"/>
    <w:rsid w:val="00855800"/>
    <w:rsid w:val="008566E3"/>
    <w:rsid w:val="00856B89"/>
    <w:rsid w:val="0085750D"/>
    <w:rsid w:val="0086025F"/>
    <w:rsid w:val="00860FAD"/>
    <w:rsid w:val="00862796"/>
    <w:rsid w:val="00862B9A"/>
    <w:rsid w:val="00863242"/>
    <w:rsid w:val="0086333C"/>
    <w:rsid w:val="00863B11"/>
    <w:rsid w:val="00863E6C"/>
    <w:rsid w:val="0086474D"/>
    <w:rsid w:val="00864820"/>
    <w:rsid w:val="00864DD2"/>
    <w:rsid w:val="00865613"/>
    <w:rsid w:val="00865AE1"/>
    <w:rsid w:val="00865C87"/>
    <w:rsid w:val="008665EE"/>
    <w:rsid w:val="008674AD"/>
    <w:rsid w:val="00870E24"/>
    <w:rsid w:val="00874B16"/>
    <w:rsid w:val="0087502D"/>
    <w:rsid w:val="0087533C"/>
    <w:rsid w:val="008757B8"/>
    <w:rsid w:val="008765F4"/>
    <w:rsid w:val="008768CF"/>
    <w:rsid w:val="008768E2"/>
    <w:rsid w:val="00876CCC"/>
    <w:rsid w:val="00876D93"/>
    <w:rsid w:val="008776AD"/>
    <w:rsid w:val="00877BF1"/>
    <w:rsid w:val="008802C6"/>
    <w:rsid w:val="00882297"/>
    <w:rsid w:val="008825A0"/>
    <w:rsid w:val="00882BBC"/>
    <w:rsid w:val="00884369"/>
    <w:rsid w:val="00884B67"/>
    <w:rsid w:val="008879DB"/>
    <w:rsid w:val="00887CCC"/>
    <w:rsid w:val="00887D31"/>
    <w:rsid w:val="00887F7B"/>
    <w:rsid w:val="0089157D"/>
    <w:rsid w:val="008934B2"/>
    <w:rsid w:val="00894E17"/>
    <w:rsid w:val="00896117"/>
    <w:rsid w:val="0089760E"/>
    <w:rsid w:val="0089775D"/>
    <w:rsid w:val="008A027A"/>
    <w:rsid w:val="008A0281"/>
    <w:rsid w:val="008A072E"/>
    <w:rsid w:val="008A0E4E"/>
    <w:rsid w:val="008A17A2"/>
    <w:rsid w:val="008A1920"/>
    <w:rsid w:val="008A3E60"/>
    <w:rsid w:val="008A44BE"/>
    <w:rsid w:val="008A4972"/>
    <w:rsid w:val="008A5218"/>
    <w:rsid w:val="008A56C0"/>
    <w:rsid w:val="008A6F17"/>
    <w:rsid w:val="008B1986"/>
    <w:rsid w:val="008B2C2E"/>
    <w:rsid w:val="008B451C"/>
    <w:rsid w:val="008B5372"/>
    <w:rsid w:val="008B5B52"/>
    <w:rsid w:val="008B5E8E"/>
    <w:rsid w:val="008B6CD4"/>
    <w:rsid w:val="008B737B"/>
    <w:rsid w:val="008C1234"/>
    <w:rsid w:val="008C1BA6"/>
    <w:rsid w:val="008C1F2D"/>
    <w:rsid w:val="008C21B9"/>
    <w:rsid w:val="008C2673"/>
    <w:rsid w:val="008C3C12"/>
    <w:rsid w:val="008C4E05"/>
    <w:rsid w:val="008C502A"/>
    <w:rsid w:val="008C52E5"/>
    <w:rsid w:val="008C6648"/>
    <w:rsid w:val="008C7050"/>
    <w:rsid w:val="008C7716"/>
    <w:rsid w:val="008C7884"/>
    <w:rsid w:val="008C7B98"/>
    <w:rsid w:val="008D0010"/>
    <w:rsid w:val="008D0248"/>
    <w:rsid w:val="008D032F"/>
    <w:rsid w:val="008D0BFB"/>
    <w:rsid w:val="008D1785"/>
    <w:rsid w:val="008D1BFA"/>
    <w:rsid w:val="008D2611"/>
    <w:rsid w:val="008D28FC"/>
    <w:rsid w:val="008D3C66"/>
    <w:rsid w:val="008D5003"/>
    <w:rsid w:val="008D63D9"/>
    <w:rsid w:val="008D69CA"/>
    <w:rsid w:val="008D6A0B"/>
    <w:rsid w:val="008D6ACB"/>
    <w:rsid w:val="008D6B36"/>
    <w:rsid w:val="008E0B09"/>
    <w:rsid w:val="008E0B56"/>
    <w:rsid w:val="008E0C48"/>
    <w:rsid w:val="008E1504"/>
    <w:rsid w:val="008E2080"/>
    <w:rsid w:val="008E2338"/>
    <w:rsid w:val="008E271B"/>
    <w:rsid w:val="008E3583"/>
    <w:rsid w:val="008E474D"/>
    <w:rsid w:val="008E4A97"/>
    <w:rsid w:val="008E5FC7"/>
    <w:rsid w:val="008F01FD"/>
    <w:rsid w:val="008F0B8C"/>
    <w:rsid w:val="008F1383"/>
    <w:rsid w:val="008F2727"/>
    <w:rsid w:val="008F3354"/>
    <w:rsid w:val="008F34D5"/>
    <w:rsid w:val="008F3541"/>
    <w:rsid w:val="008F3659"/>
    <w:rsid w:val="008F3F04"/>
    <w:rsid w:val="008F46BC"/>
    <w:rsid w:val="008F5D5C"/>
    <w:rsid w:val="008F6228"/>
    <w:rsid w:val="008F6A47"/>
    <w:rsid w:val="008F6E31"/>
    <w:rsid w:val="008F6F87"/>
    <w:rsid w:val="008F70EF"/>
    <w:rsid w:val="008F7A4C"/>
    <w:rsid w:val="008F7FE5"/>
    <w:rsid w:val="009001B7"/>
    <w:rsid w:val="0090083F"/>
    <w:rsid w:val="00901361"/>
    <w:rsid w:val="009036EA"/>
    <w:rsid w:val="00903B98"/>
    <w:rsid w:val="00904004"/>
    <w:rsid w:val="009043B7"/>
    <w:rsid w:val="009044AA"/>
    <w:rsid w:val="00904A4D"/>
    <w:rsid w:val="00904DB5"/>
    <w:rsid w:val="00904F2D"/>
    <w:rsid w:val="009055AE"/>
    <w:rsid w:val="00905E28"/>
    <w:rsid w:val="00906CA3"/>
    <w:rsid w:val="00906F22"/>
    <w:rsid w:val="00907E6A"/>
    <w:rsid w:val="00907EE7"/>
    <w:rsid w:val="009102FC"/>
    <w:rsid w:val="009103E5"/>
    <w:rsid w:val="009109CF"/>
    <w:rsid w:val="00911CA9"/>
    <w:rsid w:val="00912188"/>
    <w:rsid w:val="00912F1A"/>
    <w:rsid w:val="00913AF5"/>
    <w:rsid w:val="00913F11"/>
    <w:rsid w:val="00915314"/>
    <w:rsid w:val="00915E37"/>
    <w:rsid w:val="009160E0"/>
    <w:rsid w:val="009163F8"/>
    <w:rsid w:val="009202D3"/>
    <w:rsid w:val="00920441"/>
    <w:rsid w:val="009207BF"/>
    <w:rsid w:val="00920B4D"/>
    <w:rsid w:val="009214E3"/>
    <w:rsid w:val="0092190E"/>
    <w:rsid w:val="00921B31"/>
    <w:rsid w:val="00921D28"/>
    <w:rsid w:val="0092201A"/>
    <w:rsid w:val="00923815"/>
    <w:rsid w:val="00926A17"/>
    <w:rsid w:val="00927D9F"/>
    <w:rsid w:val="0093030E"/>
    <w:rsid w:val="009308DA"/>
    <w:rsid w:val="009312FF"/>
    <w:rsid w:val="00931E38"/>
    <w:rsid w:val="00932841"/>
    <w:rsid w:val="0093286E"/>
    <w:rsid w:val="0093387F"/>
    <w:rsid w:val="00933E51"/>
    <w:rsid w:val="00934895"/>
    <w:rsid w:val="009356B9"/>
    <w:rsid w:val="00935BAB"/>
    <w:rsid w:val="009365D2"/>
    <w:rsid w:val="00936743"/>
    <w:rsid w:val="009368D8"/>
    <w:rsid w:val="0093750C"/>
    <w:rsid w:val="0094062B"/>
    <w:rsid w:val="009408AF"/>
    <w:rsid w:val="00940D95"/>
    <w:rsid w:val="00940E11"/>
    <w:rsid w:val="009415DB"/>
    <w:rsid w:val="00941B86"/>
    <w:rsid w:val="00942369"/>
    <w:rsid w:val="00944BBA"/>
    <w:rsid w:val="009458B2"/>
    <w:rsid w:val="0094592A"/>
    <w:rsid w:val="00947925"/>
    <w:rsid w:val="00947A57"/>
    <w:rsid w:val="00947F5C"/>
    <w:rsid w:val="00950849"/>
    <w:rsid w:val="009510DE"/>
    <w:rsid w:val="00951D40"/>
    <w:rsid w:val="009525C7"/>
    <w:rsid w:val="00952A0A"/>
    <w:rsid w:val="00952FB2"/>
    <w:rsid w:val="0095305F"/>
    <w:rsid w:val="009533DA"/>
    <w:rsid w:val="00953EE7"/>
    <w:rsid w:val="0095485B"/>
    <w:rsid w:val="009565D5"/>
    <w:rsid w:val="00956965"/>
    <w:rsid w:val="00956A65"/>
    <w:rsid w:val="00957B53"/>
    <w:rsid w:val="00957EEB"/>
    <w:rsid w:val="009615DD"/>
    <w:rsid w:val="0096211A"/>
    <w:rsid w:val="0096283E"/>
    <w:rsid w:val="009631F7"/>
    <w:rsid w:val="0096380E"/>
    <w:rsid w:val="00963915"/>
    <w:rsid w:val="00963AEC"/>
    <w:rsid w:val="00964F9D"/>
    <w:rsid w:val="00967C4F"/>
    <w:rsid w:val="0097038C"/>
    <w:rsid w:val="009705A1"/>
    <w:rsid w:val="00971F82"/>
    <w:rsid w:val="00972495"/>
    <w:rsid w:val="00972AA9"/>
    <w:rsid w:val="00972B04"/>
    <w:rsid w:val="009731CA"/>
    <w:rsid w:val="00975304"/>
    <w:rsid w:val="009757ED"/>
    <w:rsid w:val="009777F5"/>
    <w:rsid w:val="009801D1"/>
    <w:rsid w:val="009808D4"/>
    <w:rsid w:val="00980999"/>
    <w:rsid w:val="00980D12"/>
    <w:rsid w:val="00982583"/>
    <w:rsid w:val="00982AF4"/>
    <w:rsid w:val="00982B78"/>
    <w:rsid w:val="00983BDA"/>
    <w:rsid w:val="00984588"/>
    <w:rsid w:val="00984F35"/>
    <w:rsid w:val="009855CC"/>
    <w:rsid w:val="00985A60"/>
    <w:rsid w:val="009868C2"/>
    <w:rsid w:val="00987577"/>
    <w:rsid w:val="00987BA4"/>
    <w:rsid w:val="009921B5"/>
    <w:rsid w:val="0099236D"/>
    <w:rsid w:val="00992B2D"/>
    <w:rsid w:val="00993488"/>
    <w:rsid w:val="009942D9"/>
    <w:rsid w:val="009943F6"/>
    <w:rsid w:val="00995557"/>
    <w:rsid w:val="00997212"/>
    <w:rsid w:val="009975F4"/>
    <w:rsid w:val="00997F19"/>
    <w:rsid w:val="009A0D35"/>
    <w:rsid w:val="009A0F10"/>
    <w:rsid w:val="009A283A"/>
    <w:rsid w:val="009A344B"/>
    <w:rsid w:val="009A3FCB"/>
    <w:rsid w:val="009A4E4F"/>
    <w:rsid w:val="009A50A5"/>
    <w:rsid w:val="009A53AE"/>
    <w:rsid w:val="009A599D"/>
    <w:rsid w:val="009A6481"/>
    <w:rsid w:val="009A66B8"/>
    <w:rsid w:val="009A7331"/>
    <w:rsid w:val="009A777D"/>
    <w:rsid w:val="009B0451"/>
    <w:rsid w:val="009B0585"/>
    <w:rsid w:val="009B0F98"/>
    <w:rsid w:val="009B24AA"/>
    <w:rsid w:val="009B27E2"/>
    <w:rsid w:val="009B338D"/>
    <w:rsid w:val="009B452F"/>
    <w:rsid w:val="009B552F"/>
    <w:rsid w:val="009B654E"/>
    <w:rsid w:val="009B7197"/>
    <w:rsid w:val="009B77E7"/>
    <w:rsid w:val="009C0281"/>
    <w:rsid w:val="009C179D"/>
    <w:rsid w:val="009C192A"/>
    <w:rsid w:val="009C1EA7"/>
    <w:rsid w:val="009C25C3"/>
    <w:rsid w:val="009C3CDB"/>
    <w:rsid w:val="009C3D32"/>
    <w:rsid w:val="009C466D"/>
    <w:rsid w:val="009C47AD"/>
    <w:rsid w:val="009C4813"/>
    <w:rsid w:val="009C5EBD"/>
    <w:rsid w:val="009C757C"/>
    <w:rsid w:val="009D151A"/>
    <w:rsid w:val="009D1E8E"/>
    <w:rsid w:val="009D35E4"/>
    <w:rsid w:val="009D3A6B"/>
    <w:rsid w:val="009D48CE"/>
    <w:rsid w:val="009D5CAD"/>
    <w:rsid w:val="009D684E"/>
    <w:rsid w:val="009D6AE4"/>
    <w:rsid w:val="009D6B25"/>
    <w:rsid w:val="009D6C26"/>
    <w:rsid w:val="009D7A84"/>
    <w:rsid w:val="009D7AA2"/>
    <w:rsid w:val="009D7AC6"/>
    <w:rsid w:val="009E0090"/>
    <w:rsid w:val="009E03F4"/>
    <w:rsid w:val="009E35B5"/>
    <w:rsid w:val="009E451B"/>
    <w:rsid w:val="009E5463"/>
    <w:rsid w:val="009E5873"/>
    <w:rsid w:val="009F07EE"/>
    <w:rsid w:val="009F0D8B"/>
    <w:rsid w:val="009F11E3"/>
    <w:rsid w:val="009F16F9"/>
    <w:rsid w:val="009F1F33"/>
    <w:rsid w:val="009F237E"/>
    <w:rsid w:val="009F7003"/>
    <w:rsid w:val="009F79C8"/>
    <w:rsid w:val="00A00175"/>
    <w:rsid w:val="00A007EA"/>
    <w:rsid w:val="00A0328E"/>
    <w:rsid w:val="00A0359D"/>
    <w:rsid w:val="00A03EC5"/>
    <w:rsid w:val="00A03F54"/>
    <w:rsid w:val="00A0441F"/>
    <w:rsid w:val="00A04ED8"/>
    <w:rsid w:val="00A104BB"/>
    <w:rsid w:val="00A10C55"/>
    <w:rsid w:val="00A11586"/>
    <w:rsid w:val="00A12DA8"/>
    <w:rsid w:val="00A12E2A"/>
    <w:rsid w:val="00A1334D"/>
    <w:rsid w:val="00A13B49"/>
    <w:rsid w:val="00A13C8D"/>
    <w:rsid w:val="00A13D94"/>
    <w:rsid w:val="00A151D2"/>
    <w:rsid w:val="00A16EFC"/>
    <w:rsid w:val="00A2019D"/>
    <w:rsid w:val="00A21704"/>
    <w:rsid w:val="00A234E0"/>
    <w:rsid w:val="00A23B61"/>
    <w:rsid w:val="00A254A2"/>
    <w:rsid w:val="00A25505"/>
    <w:rsid w:val="00A2619B"/>
    <w:rsid w:val="00A261C2"/>
    <w:rsid w:val="00A26437"/>
    <w:rsid w:val="00A2651A"/>
    <w:rsid w:val="00A268C7"/>
    <w:rsid w:val="00A26D41"/>
    <w:rsid w:val="00A27372"/>
    <w:rsid w:val="00A2744A"/>
    <w:rsid w:val="00A27B51"/>
    <w:rsid w:val="00A30ADE"/>
    <w:rsid w:val="00A3138E"/>
    <w:rsid w:val="00A31845"/>
    <w:rsid w:val="00A31CA0"/>
    <w:rsid w:val="00A31EF4"/>
    <w:rsid w:val="00A3205E"/>
    <w:rsid w:val="00A32E62"/>
    <w:rsid w:val="00A33417"/>
    <w:rsid w:val="00A33918"/>
    <w:rsid w:val="00A346B9"/>
    <w:rsid w:val="00A34B32"/>
    <w:rsid w:val="00A351FC"/>
    <w:rsid w:val="00A35E0A"/>
    <w:rsid w:val="00A35E1D"/>
    <w:rsid w:val="00A36664"/>
    <w:rsid w:val="00A376A2"/>
    <w:rsid w:val="00A40307"/>
    <w:rsid w:val="00A40AF4"/>
    <w:rsid w:val="00A4141E"/>
    <w:rsid w:val="00A414D7"/>
    <w:rsid w:val="00A4197B"/>
    <w:rsid w:val="00A41E58"/>
    <w:rsid w:val="00A43D00"/>
    <w:rsid w:val="00A441E7"/>
    <w:rsid w:val="00A4424E"/>
    <w:rsid w:val="00A4451F"/>
    <w:rsid w:val="00A44AAE"/>
    <w:rsid w:val="00A4508C"/>
    <w:rsid w:val="00A4582C"/>
    <w:rsid w:val="00A45AFC"/>
    <w:rsid w:val="00A462C8"/>
    <w:rsid w:val="00A47002"/>
    <w:rsid w:val="00A47121"/>
    <w:rsid w:val="00A47681"/>
    <w:rsid w:val="00A50093"/>
    <w:rsid w:val="00A5119E"/>
    <w:rsid w:val="00A51B84"/>
    <w:rsid w:val="00A5296C"/>
    <w:rsid w:val="00A536DF"/>
    <w:rsid w:val="00A53EA7"/>
    <w:rsid w:val="00A53FDF"/>
    <w:rsid w:val="00A540A3"/>
    <w:rsid w:val="00A54B67"/>
    <w:rsid w:val="00A54FC4"/>
    <w:rsid w:val="00A55AE8"/>
    <w:rsid w:val="00A56774"/>
    <w:rsid w:val="00A601CF"/>
    <w:rsid w:val="00A60EE7"/>
    <w:rsid w:val="00A61048"/>
    <w:rsid w:val="00A61083"/>
    <w:rsid w:val="00A62832"/>
    <w:rsid w:val="00A62B70"/>
    <w:rsid w:val="00A637A5"/>
    <w:rsid w:val="00A643D7"/>
    <w:rsid w:val="00A701A9"/>
    <w:rsid w:val="00A70673"/>
    <w:rsid w:val="00A706C8"/>
    <w:rsid w:val="00A713AA"/>
    <w:rsid w:val="00A718FB"/>
    <w:rsid w:val="00A71A13"/>
    <w:rsid w:val="00A71E37"/>
    <w:rsid w:val="00A7264A"/>
    <w:rsid w:val="00A73971"/>
    <w:rsid w:val="00A73F9A"/>
    <w:rsid w:val="00A7439B"/>
    <w:rsid w:val="00A74965"/>
    <w:rsid w:val="00A74975"/>
    <w:rsid w:val="00A75457"/>
    <w:rsid w:val="00A754EB"/>
    <w:rsid w:val="00A767C6"/>
    <w:rsid w:val="00A76955"/>
    <w:rsid w:val="00A77B2D"/>
    <w:rsid w:val="00A809D1"/>
    <w:rsid w:val="00A819FD"/>
    <w:rsid w:val="00A81B6B"/>
    <w:rsid w:val="00A8218C"/>
    <w:rsid w:val="00A8402D"/>
    <w:rsid w:val="00A846C5"/>
    <w:rsid w:val="00A84B07"/>
    <w:rsid w:val="00A84EA3"/>
    <w:rsid w:val="00A857A0"/>
    <w:rsid w:val="00A85865"/>
    <w:rsid w:val="00A8586D"/>
    <w:rsid w:val="00A86B7B"/>
    <w:rsid w:val="00A875FA"/>
    <w:rsid w:val="00A90306"/>
    <w:rsid w:val="00A903B8"/>
    <w:rsid w:val="00A91DBA"/>
    <w:rsid w:val="00A92181"/>
    <w:rsid w:val="00A946CF"/>
    <w:rsid w:val="00A94C07"/>
    <w:rsid w:val="00A959B2"/>
    <w:rsid w:val="00A963C8"/>
    <w:rsid w:val="00A96A8D"/>
    <w:rsid w:val="00A96B8F"/>
    <w:rsid w:val="00A96C42"/>
    <w:rsid w:val="00A9736F"/>
    <w:rsid w:val="00A97E64"/>
    <w:rsid w:val="00AA2715"/>
    <w:rsid w:val="00AA2B40"/>
    <w:rsid w:val="00AA2BEC"/>
    <w:rsid w:val="00AA32AA"/>
    <w:rsid w:val="00AA349D"/>
    <w:rsid w:val="00AA3907"/>
    <w:rsid w:val="00AA400B"/>
    <w:rsid w:val="00AA520F"/>
    <w:rsid w:val="00AA57D5"/>
    <w:rsid w:val="00AA5D96"/>
    <w:rsid w:val="00AA5E20"/>
    <w:rsid w:val="00AA671D"/>
    <w:rsid w:val="00AA7685"/>
    <w:rsid w:val="00AA7DAA"/>
    <w:rsid w:val="00AB1829"/>
    <w:rsid w:val="00AB1F16"/>
    <w:rsid w:val="00AB2C62"/>
    <w:rsid w:val="00AB2D49"/>
    <w:rsid w:val="00AB3BBB"/>
    <w:rsid w:val="00AB4068"/>
    <w:rsid w:val="00AB436B"/>
    <w:rsid w:val="00AB44AA"/>
    <w:rsid w:val="00AB44C7"/>
    <w:rsid w:val="00AB45DB"/>
    <w:rsid w:val="00AB4C39"/>
    <w:rsid w:val="00AB67E6"/>
    <w:rsid w:val="00AC057D"/>
    <w:rsid w:val="00AC0E5C"/>
    <w:rsid w:val="00AC0FE9"/>
    <w:rsid w:val="00AC171E"/>
    <w:rsid w:val="00AC2F52"/>
    <w:rsid w:val="00AC2FDC"/>
    <w:rsid w:val="00AC4010"/>
    <w:rsid w:val="00AC4244"/>
    <w:rsid w:val="00AC45BB"/>
    <w:rsid w:val="00AC5612"/>
    <w:rsid w:val="00AC5EC2"/>
    <w:rsid w:val="00AC6C8F"/>
    <w:rsid w:val="00AC7439"/>
    <w:rsid w:val="00AC75AE"/>
    <w:rsid w:val="00AD1B19"/>
    <w:rsid w:val="00AD1D4D"/>
    <w:rsid w:val="00AD272A"/>
    <w:rsid w:val="00AD43E6"/>
    <w:rsid w:val="00AD4600"/>
    <w:rsid w:val="00AD4C35"/>
    <w:rsid w:val="00AD4F84"/>
    <w:rsid w:val="00AD74B8"/>
    <w:rsid w:val="00AD77CE"/>
    <w:rsid w:val="00AE0576"/>
    <w:rsid w:val="00AE05A3"/>
    <w:rsid w:val="00AE09C2"/>
    <w:rsid w:val="00AE0B8F"/>
    <w:rsid w:val="00AE0F38"/>
    <w:rsid w:val="00AE1048"/>
    <w:rsid w:val="00AE13E4"/>
    <w:rsid w:val="00AE15FB"/>
    <w:rsid w:val="00AE1802"/>
    <w:rsid w:val="00AE1870"/>
    <w:rsid w:val="00AE2032"/>
    <w:rsid w:val="00AE21B8"/>
    <w:rsid w:val="00AE3B5E"/>
    <w:rsid w:val="00AE3C00"/>
    <w:rsid w:val="00AE4142"/>
    <w:rsid w:val="00AE4E37"/>
    <w:rsid w:val="00AE5008"/>
    <w:rsid w:val="00AE5772"/>
    <w:rsid w:val="00AE58C6"/>
    <w:rsid w:val="00AE5A5C"/>
    <w:rsid w:val="00AE642E"/>
    <w:rsid w:val="00AE69A5"/>
    <w:rsid w:val="00AE74E5"/>
    <w:rsid w:val="00AE75F6"/>
    <w:rsid w:val="00AE7600"/>
    <w:rsid w:val="00AF2368"/>
    <w:rsid w:val="00AF25E7"/>
    <w:rsid w:val="00AF2F9F"/>
    <w:rsid w:val="00AF386A"/>
    <w:rsid w:val="00AF40DB"/>
    <w:rsid w:val="00AF4AA3"/>
    <w:rsid w:val="00AF4CCB"/>
    <w:rsid w:val="00AF4CD7"/>
    <w:rsid w:val="00AF5FF1"/>
    <w:rsid w:val="00AF7980"/>
    <w:rsid w:val="00AF7F75"/>
    <w:rsid w:val="00B00B96"/>
    <w:rsid w:val="00B023E2"/>
    <w:rsid w:val="00B029DB"/>
    <w:rsid w:val="00B033CB"/>
    <w:rsid w:val="00B03479"/>
    <w:rsid w:val="00B03CFB"/>
    <w:rsid w:val="00B03E15"/>
    <w:rsid w:val="00B0554A"/>
    <w:rsid w:val="00B05EE6"/>
    <w:rsid w:val="00B064A5"/>
    <w:rsid w:val="00B07259"/>
    <w:rsid w:val="00B076B8"/>
    <w:rsid w:val="00B07ED4"/>
    <w:rsid w:val="00B07F22"/>
    <w:rsid w:val="00B106B7"/>
    <w:rsid w:val="00B109EF"/>
    <w:rsid w:val="00B11D24"/>
    <w:rsid w:val="00B11E9D"/>
    <w:rsid w:val="00B13AB5"/>
    <w:rsid w:val="00B142DA"/>
    <w:rsid w:val="00B14A04"/>
    <w:rsid w:val="00B165F2"/>
    <w:rsid w:val="00B16A4A"/>
    <w:rsid w:val="00B16E98"/>
    <w:rsid w:val="00B179C3"/>
    <w:rsid w:val="00B17C43"/>
    <w:rsid w:val="00B2037D"/>
    <w:rsid w:val="00B21B9D"/>
    <w:rsid w:val="00B221A2"/>
    <w:rsid w:val="00B23703"/>
    <w:rsid w:val="00B245D9"/>
    <w:rsid w:val="00B24AD3"/>
    <w:rsid w:val="00B24C75"/>
    <w:rsid w:val="00B24CE2"/>
    <w:rsid w:val="00B25716"/>
    <w:rsid w:val="00B2593A"/>
    <w:rsid w:val="00B25D57"/>
    <w:rsid w:val="00B25DAC"/>
    <w:rsid w:val="00B260FD"/>
    <w:rsid w:val="00B26684"/>
    <w:rsid w:val="00B27305"/>
    <w:rsid w:val="00B27473"/>
    <w:rsid w:val="00B27DA7"/>
    <w:rsid w:val="00B300D1"/>
    <w:rsid w:val="00B3095F"/>
    <w:rsid w:val="00B30CCF"/>
    <w:rsid w:val="00B30FCD"/>
    <w:rsid w:val="00B320C3"/>
    <w:rsid w:val="00B32BD2"/>
    <w:rsid w:val="00B334C2"/>
    <w:rsid w:val="00B357F5"/>
    <w:rsid w:val="00B35B48"/>
    <w:rsid w:val="00B35B71"/>
    <w:rsid w:val="00B35BBA"/>
    <w:rsid w:val="00B35F27"/>
    <w:rsid w:val="00B3712B"/>
    <w:rsid w:val="00B37786"/>
    <w:rsid w:val="00B37A28"/>
    <w:rsid w:val="00B40134"/>
    <w:rsid w:val="00B40A45"/>
    <w:rsid w:val="00B41486"/>
    <w:rsid w:val="00B41DC9"/>
    <w:rsid w:val="00B427F9"/>
    <w:rsid w:val="00B42F7D"/>
    <w:rsid w:val="00B431C2"/>
    <w:rsid w:val="00B43EFD"/>
    <w:rsid w:val="00B44ABB"/>
    <w:rsid w:val="00B456CF"/>
    <w:rsid w:val="00B46971"/>
    <w:rsid w:val="00B46ADF"/>
    <w:rsid w:val="00B46CC4"/>
    <w:rsid w:val="00B5029C"/>
    <w:rsid w:val="00B50CA8"/>
    <w:rsid w:val="00B50E04"/>
    <w:rsid w:val="00B51C2E"/>
    <w:rsid w:val="00B52A0E"/>
    <w:rsid w:val="00B5456E"/>
    <w:rsid w:val="00B547CE"/>
    <w:rsid w:val="00B54CC4"/>
    <w:rsid w:val="00B55684"/>
    <w:rsid w:val="00B55AAD"/>
    <w:rsid w:val="00B56222"/>
    <w:rsid w:val="00B5750B"/>
    <w:rsid w:val="00B62162"/>
    <w:rsid w:val="00B62396"/>
    <w:rsid w:val="00B62AC9"/>
    <w:rsid w:val="00B62BCB"/>
    <w:rsid w:val="00B63299"/>
    <w:rsid w:val="00B63FE1"/>
    <w:rsid w:val="00B65426"/>
    <w:rsid w:val="00B65D83"/>
    <w:rsid w:val="00B661CE"/>
    <w:rsid w:val="00B66A3F"/>
    <w:rsid w:val="00B66B2F"/>
    <w:rsid w:val="00B67A93"/>
    <w:rsid w:val="00B7042F"/>
    <w:rsid w:val="00B71EB8"/>
    <w:rsid w:val="00B72280"/>
    <w:rsid w:val="00B7236A"/>
    <w:rsid w:val="00B723B5"/>
    <w:rsid w:val="00B7269F"/>
    <w:rsid w:val="00B73498"/>
    <w:rsid w:val="00B736DA"/>
    <w:rsid w:val="00B746C6"/>
    <w:rsid w:val="00B74951"/>
    <w:rsid w:val="00B74F00"/>
    <w:rsid w:val="00B75C7B"/>
    <w:rsid w:val="00B75FF2"/>
    <w:rsid w:val="00B7717C"/>
    <w:rsid w:val="00B77A62"/>
    <w:rsid w:val="00B77B41"/>
    <w:rsid w:val="00B81484"/>
    <w:rsid w:val="00B8252D"/>
    <w:rsid w:val="00B83F96"/>
    <w:rsid w:val="00B841CE"/>
    <w:rsid w:val="00B84323"/>
    <w:rsid w:val="00B846BF"/>
    <w:rsid w:val="00B8483D"/>
    <w:rsid w:val="00B84FC7"/>
    <w:rsid w:val="00B85706"/>
    <w:rsid w:val="00B87D63"/>
    <w:rsid w:val="00B9022C"/>
    <w:rsid w:val="00B907C4"/>
    <w:rsid w:val="00B90980"/>
    <w:rsid w:val="00B91375"/>
    <w:rsid w:val="00B93DC5"/>
    <w:rsid w:val="00B94A56"/>
    <w:rsid w:val="00B94B5A"/>
    <w:rsid w:val="00B94BB1"/>
    <w:rsid w:val="00B96A27"/>
    <w:rsid w:val="00B96BB9"/>
    <w:rsid w:val="00B9711C"/>
    <w:rsid w:val="00B976D4"/>
    <w:rsid w:val="00B9781F"/>
    <w:rsid w:val="00BA0029"/>
    <w:rsid w:val="00BA0431"/>
    <w:rsid w:val="00BA1518"/>
    <w:rsid w:val="00BA1DAE"/>
    <w:rsid w:val="00BA2061"/>
    <w:rsid w:val="00BA23B7"/>
    <w:rsid w:val="00BA2932"/>
    <w:rsid w:val="00BA367A"/>
    <w:rsid w:val="00BA369A"/>
    <w:rsid w:val="00BA3B50"/>
    <w:rsid w:val="00BA3B58"/>
    <w:rsid w:val="00BA5978"/>
    <w:rsid w:val="00BA5F75"/>
    <w:rsid w:val="00BA618B"/>
    <w:rsid w:val="00BA6BF1"/>
    <w:rsid w:val="00BA6F39"/>
    <w:rsid w:val="00BA7E27"/>
    <w:rsid w:val="00BB0D40"/>
    <w:rsid w:val="00BB26F3"/>
    <w:rsid w:val="00BB2DE7"/>
    <w:rsid w:val="00BB37F9"/>
    <w:rsid w:val="00BB4F66"/>
    <w:rsid w:val="00BB5075"/>
    <w:rsid w:val="00BB685F"/>
    <w:rsid w:val="00BB6D8B"/>
    <w:rsid w:val="00BB73B4"/>
    <w:rsid w:val="00BB77AE"/>
    <w:rsid w:val="00BB7A62"/>
    <w:rsid w:val="00BC0102"/>
    <w:rsid w:val="00BC0408"/>
    <w:rsid w:val="00BC0EB2"/>
    <w:rsid w:val="00BC215E"/>
    <w:rsid w:val="00BC2ED4"/>
    <w:rsid w:val="00BC4E44"/>
    <w:rsid w:val="00BC5112"/>
    <w:rsid w:val="00BC533D"/>
    <w:rsid w:val="00BC5B2E"/>
    <w:rsid w:val="00BC640E"/>
    <w:rsid w:val="00BC6949"/>
    <w:rsid w:val="00BC6ECA"/>
    <w:rsid w:val="00BC7422"/>
    <w:rsid w:val="00BC775E"/>
    <w:rsid w:val="00BC79E3"/>
    <w:rsid w:val="00BC7A28"/>
    <w:rsid w:val="00BD06AD"/>
    <w:rsid w:val="00BD10B4"/>
    <w:rsid w:val="00BD153F"/>
    <w:rsid w:val="00BD171A"/>
    <w:rsid w:val="00BD2403"/>
    <w:rsid w:val="00BD3313"/>
    <w:rsid w:val="00BD360E"/>
    <w:rsid w:val="00BD37B8"/>
    <w:rsid w:val="00BD41C7"/>
    <w:rsid w:val="00BD49AA"/>
    <w:rsid w:val="00BD5AA0"/>
    <w:rsid w:val="00BD62E6"/>
    <w:rsid w:val="00BD64D2"/>
    <w:rsid w:val="00BD698D"/>
    <w:rsid w:val="00BD711B"/>
    <w:rsid w:val="00BE044A"/>
    <w:rsid w:val="00BE09D7"/>
    <w:rsid w:val="00BE0F0E"/>
    <w:rsid w:val="00BE134D"/>
    <w:rsid w:val="00BE13F7"/>
    <w:rsid w:val="00BE1B41"/>
    <w:rsid w:val="00BE29C3"/>
    <w:rsid w:val="00BE381E"/>
    <w:rsid w:val="00BE3D7B"/>
    <w:rsid w:val="00BE3F9E"/>
    <w:rsid w:val="00BE4F5B"/>
    <w:rsid w:val="00BE5712"/>
    <w:rsid w:val="00BE5D38"/>
    <w:rsid w:val="00BE7566"/>
    <w:rsid w:val="00BF08CD"/>
    <w:rsid w:val="00BF0E92"/>
    <w:rsid w:val="00BF3D45"/>
    <w:rsid w:val="00BF3E13"/>
    <w:rsid w:val="00BF4283"/>
    <w:rsid w:val="00BF4498"/>
    <w:rsid w:val="00BF4CCB"/>
    <w:rsid w:val="00BF74CC"/>
    <w:rsid w:val="00BF76CA"/>
    <w:rsid w:val="00BF781D"/>
    <w:rsid w:val="00BF7DAD"/>
    <w:rsid w:val="00BF7E39"/>
    <w:rsid w:val="00C00348"/>
    <w:rsid w:val="00C00DAD"/>
    <w:rsid w:val="00C00E45"/>
    <w:rsid w:val="00C012D2"/>
    <w:rsid w:val="00C0228D"/>
    <w:rsid w:val="00C022B9"/>
    <w:rsid w:val="00C02B9C"/>
    <w:rsid w:val="00C05DB5"/>
    <w:rsid w:val="00C06E8F"/>
    <w:rsid w:val="00C0769E"/>
    <w:rsid w:val="00C07ECC"/>
    <w:rsid w:val="00C1069B"/>
    <w:rsid w:val="00C11C93"/>
    <w:rsid w:val="00C1272C"/>
    <w:rsid w:val="00C153A9"/>
    <w:rsid w:val="00C15DF4"/>
    <w:rsid w:val="00C15EA0"/>
    <w:rsid w:val="00C1690A"/>
    <w:rsid w:val="00C16D4A"/>
    <w:rsid w:val="00C17708"/>
    <w:rsid w:val="00C2055B"/>
    <w:rsid w:val="00C2085F"/>
    <w:rsid w:val="00C20C6A"/>
    <w:rsid w:val="00C215BD"/>
    <w:rsid w:val="00C217FC"/>
    <w:rsid w:val="00C21BA7"/>
    <w:rsid w:val="00C21D9E"/>
    <w:rsid w:val="00C2207A"/>
    <w:rsid w:val="00C223DA"/>
    <w:rsid w:val="00C23819"/>
    <w:rsid w:val="00C24854"/>
    <w:rsid w:val="00C24A49"/>
    <w:rsid w:val="00C251DA"/>
    <w:rsid w:val="00C252E7"/>
    <w:rsid w:val="00C25540"/>
    <w:rsid w:val="00C2646E"/>
    <w:rsid w:val="00C266B4"/>
    <w:rsid w:val="00C26E40"/>
    <w:rsid w:val="00C27BCE"/>
    <w:rsid w:val="00C27EF5"/>
    <w:rsid w:val="00C27EF6"/>
    <w:rsid w:val="00C27F0F"/>
    <w:rsid w:val="00C27FFD"/>
    <w:rsid w:val="00C317CC"/>
    <w:rsid w:val="00C31BD8"/>
    <w:rsid w:val="00C3276E"/>
    <w:rsid w:val="00C32AF5"/>
    <w:rsid w:val="00C32E26"/>
    <w:rsid w:val="00C32FC9"/>
    <w:rsid w:val="00C32FFE"/>
    <w:rsid w:val="00C33BE1"/>
    <w:rsid w:val="00C34A93"/>
    <w:rsid w:val="00C35679"/>
    <w:rsid w:val="00C3642B"/>
    <w:rsid w:val="00C364EB"/>
    <w:rsid w:val="00C3777B"/>
    <w:rsid w:val="00C37D3F"/>
    <w:rsid w:val="00C4090B"/>
    <w:rsid w:val="00C40D64"/>
    <w:rsid w:val="00C40E2C"/>
    <w:rsid w:val="00C41CBE"/>
    <w:rsid w:val="00C420AE"/>
    <w:rsid w:val="00C423D0"/>
    <w:rsid w:val="00C44301"/>
    <w:rsid w:val="00C44EB5"/>
    <w:rsid w:val="00C450EC"/>
    <w:rsid w:val="00C47C39"/>
    <w:rsid w:val="00C47CDD"/>
    <w:rsid w:val="00C50187"/>
    <w:rsid w:val="00C50C0D"/>
    <w:rsid w:val="00C51874"/>
    <w:rsid w:val="00C51DAB"/>
    <w:rsid w:val="00C523D4"/>
    <w:rsid w:val="00C529E6"/>
    <w:rsid w:val="00C52DD7"/>
    <w:rsid w:val="00C543C0"/>
    <w:rsid w:val="00C54BFE"/>
    <w:rsid w:val="00C5549F"/>
    <w:rsid w:val="00C55D8B"/>
    <w:rsid w:val="00C5654E"/>
    <w:rsid w:val="00C565C7"/>
    <w:rsid w:val="00C56CCC"/>
    <w:rsid w:val="00C56F60"/>
    <w:rsid w:val="00C578B6"/>
    <w:rsid w:val="00C57A96"/>
    <w:rsid w:val="00C60584"/>
    <w:rsid w:val="00C60B75"/>
    <w:rsid w:val="00C620EE"/>
    <w:rsid w:val="00C62BCF"/>
    <w:rsid w:val="00C62D21"/>
    <w:rsid w:val="00C63536"/>
    <w:rsid w:val="00C64280"/>
    <w:rsid w:val="00C647DF"/>
    <w:rsid w:val="00C65105"/>
    <w:rsid w:val="00C65A1B"/>
    <w:rsid w:val="00C65BD1"/>
    <w:rsid w:val="00C65EDB"/>
    <w:rsid w:val="00C6657C"/>
    <w:rsid w:val="00C67417"/>
    <w:rsid w:val="00C67E85"/>
    <w:rsid w:val="00C7092D"/>
    <w:rsid w:val="00C712B5"/>
    <w:rsid w:val="00C712E8"/>
    <w:rsid w:val="00C720F5"/>
    <w:rsid w:val="00C73D11"/>
    <w:rsid w:val="00C73DE8"/>
    <w:rsid w:val="00C73ECC"/>
    <w:rsid w:val="00C741F9"/>
    <w:rsid w:val="00C74E66"/>
    <w:rsid w:val="00C7589A"/>
    <w:rsid w:val="00C77563"/>
    <w:rsid w:val="00C800D0"/>
    <w:rsid w:val="00C81D4C"/>
    <w:rsid w:val="00C82B4B"/>
    <w:rsid w:val="00C82E28"/>
    <w:rsid w:val="00C82E92"/>
    <w:rsid w:val="00C82F52"/>
    <w:rsid w:val="00C8340A"/>
    <w:rsid w:val="00C855AE"/>
    <w:rsid w:val="00C85A91"/>
    <w:rsid w:val="00C85E47"/>
    <w:rsid w:val="00C870B3"/>
    <w:rsid w:val="00C87988"/>
    <w:rsid w:val="00C90BF5"/>
    <w:rsid w:val="00C90FA1"/>
    <w:rsid w:val="00C91B41"/>
    <w:rsid w:val="00C9247F"/>
    <w:rsid w:val="00C925DB"/>
    <w:rsid w:val="00C92C05"/>
    <w:rsid w:val="00C930FF"/>
    <w:rsid w:val="00C9388B"/>
    <w:rsid w:val="00C94377"/>
    <w:rsid w:val="00C95F33"/>
    <w:rsid w:val="00CA0340"/>
    <w:rsid w:val="00CA04CB"/>
    <w:rsid w:val="00CA0B69"/>
    <w:rsid w:val="00CA1019"/>
    <w:rsid w:val="00CA187D"/>
    <w:rsid w:val="00CA1D70"/>
    <w:rsid w:val="00CA233F"/>
    <w:rsid w:val="00CA357B"/>
    <w:rsid w:val="00CA3C4B"/>
    <w:rsid w:val="00CA4211"/>
    <w:rsid w:val="00CA4703"/>
    <w:rsid w:val="00CA52D9"/>
    <w:rsid w:val="00CA61D9"/>
    <w:rsid w:val="00CA645F"/>
    <w:rsid w:val="00CA688E"/>
    <w:rsid w:val="00CB1B96"/>
    <w:rsid w:val="00CB1EE9"/>
    <w:rsid w:val="00CB2088"/>
    <w:rsid w:val="00CB2908"/>
    <w:rsid w:val="00CB3EAE"/>
    <w:rsid w:val="00CB3FEE"/>
    <w:rsid w:val="00CB42AB"/>
    <w:rsid w:val="00CB4D4E"/>
    <w:rsid w:val="00CB5B13"/>
    <w:rsid w:val="00CB5D5C"/>
    <w:rsid w:val="00CB5FAF"/>
    <w:rsid w:val="00CB6696"/>
    <w:rsid w:val="00CB7DFC"/>
    <w:rsid w:val="00CC0E52"/>
    <w:rsid w:val="00CC1266"/>
    <w:rsid w:val="00CC28A9"/>
    <w:rsid w:val="00CC28F1"/>
    <w:rsid w:val="00CC3306"/>
    <w:rsid w:val="00CC339E"/>
    <w:rsid w:val="00CC34EE"/>
    <w:rsid w:val="00CC35DC"/>
    <w:rsid w:val="00CC40AF"/>
    <w:rsid w:val="00CC43A8"/>
    <w:rsid w:val="00CC4E41"/>
    <w:rsid w:val="00CC5319"/>
    <w:rsid w:val="00CC5819"/>
    <w:rsid w:val="00CC602C"/>
    <w:rsid w:val="00CC62CB"/>
    <w:rsid w:val="00CD0045"/>
    <w:rsid w:val="00CD040D"/>
    <w:rsid w:val="00CD0860"/>
    <w:rsid w:val="00CD0DE9"/>
    <w:rsid w:val="00CD1607"/>
    <w:rsid w:val="00CD1A1A"/>
    <w:rsid w:val="00CD22DB"/>
    <w:rsid w:val="00CD25D6"/>
    <w:rsid w:val="00CD2CA6"/>
    <w:rsid w:val="00CD37E8"/>
    <w:rsid w:val="00CD4B12"/>
    <w:rsid w:val="00CD5218"/>
    <w:rsid w:val="00CD6DA2"/>
    <w:rsid w:val="00CD7584"/>
    <w:rsid w:val="00CE023F"/>
    <w:rsid w:val="00CE06BD"/>
    <w:rsid w:val="00CE0A0A"/>
    <w:rsid w:val="00CE0D2F"/>
    <w:rsid w:val="00CE15EA"/>
    <w:rsid w:val="00CE1CF3"/>
    <w:rsid w:val="00CE259B"/>
    <w:rsid w:val="00CE2A30"/>
    <w:rsid w:val="00CE2CCB"/>
    <w:rsid w:val="00CE2F55"/>
    <w:rsid w:val="00CE3487"/>
    <w:rsid w:val="00CE3C27"/>
    <w:rsid w:val="00CE4A8B"/>
    <w:rsid w:val="00CE50BF"/>
    <w:rsid w:val="00CE59E5"/>
    <w:rsid w:val="00CE61F1"/>
    <w:rsid w:val="00CE63D9"/>
    <w:rsid w:val="00CE6FF9"/>
    <w:rsid w:val="00CE71EE"/>
    <w:rsid w:val="00CF00C7"/>
    <w:rsid w:val="00CF0196"/>
    <w:rsid w:val="00CF180E"/>
    <w:rsid w:val="00CF1B22"/>
    <w:rsid w:val="00CF2522"/>
    <w:rsid w:val="00CF26DB"/>
    <w:rsid w:val="00CF2C16"/>
    <w:rsid w:val="00CF2F97"/>
    <w:rsid w:val="00CF329C"/>
    <w:rsid w:val="00CF3461"/>
    <w:rsid w:val="00CF3E4D"/>
    <w:rsid w:val="00CF4536"/>
    <w:rsid w:val="00CF642A"/>
    <w:rsid w:val="00CF64A6"/>
    <w:rsid w:val="00CF6955"/>
    <w:rsid w:val="00CF6D65"/>
    <w:rsid w:val="00CF72DD"/>
    <w:rsid w:val="00CF7698"/>
    <w:rsid w:val="00CF784C"/>
    <w:rsid w:val="00CF7C3C"/>
    <w:rsid w:val="00D002C5"/>
    <w:rsid w:val="00D003F9"/>
    <w:rsid w:val="00D01683"/>
    <w:rsid w:val="00D019EE"/>
    <w:rsid w:val="00D01C26"/>
    <w:rsid w:val="00D029ED"/>
    <w:rsid w:val="00D0394C"/>
    <w:rsid w:val="00D03C28"/>
    <w:rsid w:val="00D048C8"/>
    <w:rsid w:val="00D05B1E"/>
    <w:rsid w:val="00D06C27"/>
    <w:rsid w:val="00D101B7"/>
    <w:rsid w:val="00D110B0"/>
    <w:rsid w:val="00D113AE"/>
    <w:rsid w:val="00D114D0"/>
    <w:rsid w:val="00D122A9"/>
    <w:rsid w:val="00D122E0"/>
    <w:rsid w:val="00D125BC"/>
    <w:rsid w:val="00D12A83"/>
    <w:rsid w:val="00D12AF4"/>
    <w:rsid w:val="00D1375C"/>
    <w:rsid w:val="00D160B4"/>
    <w:rsid w:val="00D16E61"/>
    <w:rsid w:val="00D17DF9"/>
    <w:rsid w:val="00D20DDA"/>
    <w:rsid w:val="00D21629"/>
    <w:rsid w:val="00D2163F"/>
    <w:rsid w:val="00D22E12"/>
    <w:rsid w:val="00D2303B"/>
    <w:rsid w:val="00D2308F"/>
    <w:rsid w:val="00D2391A"/>
    <w:rsid w:val="00D23F36"/>
    <w:rsid w:val="00D24809"/>
    <w:rsid w:val="00D24DF2"/>
    <w:rsid w:val="00D25339"/>
    <w:rsid w:val="00D257CA"/>
    <w:rsid w:val="00D262BE"/>
    <w:rsid w:val="00D30644"/>
    <w:rsid w:val="00D3137E"/>
    <w:rsid w:val="00D317D9"/>
    <w:rsid w:val="00D3285C"/>
    <w:rsid w:val="00D32D52"/>
    <w:rsid w:val="00D33634"/>
    <w:rsid w:val="00D33861"/>
    <w:rsid w:val="00D343C6"/>
    <w:rsid w:val="00D34A39"/>
    <w:rsid w:val="00D34B5D"/>
    <w:rsid w:val="00D36289"/>
    <w:rsid w:val="00D3637E"/>
    <w:rsid w:val="00D37AC3"/>
    <w:rsid w:val="00D40BA8"/>
    <w:rsid w:val="00D41189"/>
    <w:rsid w:val="00D42625"/>
    <w:rsid w:val="00D42902"/>
    <w:rsid w:val="00D429DE"/>
    <w:rsid w:val="00D43D96"/>
    <w:rsid w:val="00D43F47"/>
    <w:rsid w:val="00D4462C"/>
    <w:rsid w:val="00D448FD"/>
    <w:rsid w:val="00D4494A"/>
    <w:rsid w:val="00D44DB9"/>
    <w:rsid w:val="00D4587B"/>
    <w:rsid w:val="00D46577"/>
    <w:rsid w:val="00D50D0F"/>
    <w:rsid w:val="00D51179"/>
    <w:rsid w:val="00D5117F"/>
    <w:rsid w:val="00D51C8E"/>
    <w:rsid w:val="00D51E27"/>
    <w:rsid w:val="00D51F87"/>
    <w:rsid w:val="00D5240B"/>
    <w:rsid w:val="00D52729"/>
    <w:rsid w:val="00D529C2"/>
    <w:rsid w:val="00D53296"/>
    <w:rsid w:val="00D53D10"/>
    <w:rsid w:val="00D5409E"/>
    <w:rsid w:val="00D54542"/>
    <w:rsid w:val="00D55ABA"/>
    <w:rsid w:val="00D56B60"/>
    <w:rsid w:val="00D57347"/>
    <w:rsid w:val="00D60067"/>
    <w:rsid w:val="00D62534"/>
    <w:rsid w:val="00D63B20"/>
    <w:rsid w:val="00D63E88"/>
    <w:rsid w:val="00D64244"/>
    <w:rsid w:val="00D64694"/>
    <w:rsid w:val="00D646BF"/>
    <w:rsid w:val="00D658B0"/>
    <w:rsid w:val="00D65F91"/>
    <w:rsid w:val="00D6621F"/>
    <w:rsid w:val="00D66CD6"/>
    <w:rsid w:val="00D6711C"/>
    <w:rsid w:val="00D67A47"/>
    <w:rsid w:val="00D701E4"/>
    <w:rsid w:val="00D709F5"/>
    <w:rsid w:val="00D70DD8"/>
    <w:rsid w:val="00D71B75"/>
    <w:rsid w:val="00D71DA9"/>
    <w:rsid w:val="00D7219F"/>
    <w:rsid w:val="00D7288D"/>
    <w:rsid w:val="00D73121"/>
    <w:rsid w:val="00D7363C"/>
    <w:rsid w:val="00D73734"/>
    <w:rsid w:val="00D737AF"/>
    <w:rsid w:val="00D74AAF"/>
    <w:rsid w:val="00D7506D"/>
    <w:rsid w:val="00D75230"/>
    <w:rsid w:val="00D756B6"/>
    <w:rsid w:val="00D77A88"/>
    <w:rsid w:val="00D80E6B"/>
    <w:rsid w:val="00D80E95"/>
    <w:rsid w:val="00D82CDD"/>
    <w:rsid w:val="00D83C28"/>
    <w:rsid w:val="00D83D53"/>
    <w:rsid w:val="00D83E90"/>
    <w:rsid w:val="00D8401B"/>
    <w:rsid w:val="00D84795"/>
    <w:rsid w:val="00D85659"/>
    <w:rsid w:val="00D85A36"/>
    <w:rsid w:val="00D85B63"/>
    <w:rsid w:val="00D85FCC"/>
    <w:rsid w:val="00D86839"/>
    <w:rsid w:val="00D902CB"/>
    <w:rsid w:val="00D9039D"/>
    <w:rsid w:val="00D909F0"/>
    <w:rsid w:val="00D91412"/>
    <w:rsid w:val="00D915EC"/>
    <w:rsid w:val="00D921C1"/>
    <w:rsid w:val="00D92D06"/>
    <w:rsid w:val="00D938EC"/>
    <w:rsid w:val="00D93FE2"/>
    <w:rsid w:val="00D94D2E"/>
    <w:rsid w:val="00D95D15"/>
    <w:rsid w:val="00D96091"/>
    <w:rsid w:val="00D96777"/>
    <w:rsid w:val="00D96928"/>
    <w:rsid w:val="00D97B8F"/>
    <w:rsid w:val="00D97BE7"/>
    <w:rsid w:val="00D97F78"/>
    <w:rsid w:val="00DA00AB"/>
    <w:rsid w:val="00DA1939"/>
    <w:rsid w:val="00DA2EA9"/>
    <w:rsid w:val="00DA4489"/>
    <w:rsid w:val="00DA465A"/>
    <w:rsid w:val="00DA48AF"/>
    <w:rsid w:val="00DA4DAB"/>
    <w:rsid w:val="00DA5106"/>
    <w:rsid w:val="00DA6119"/>
    <w:rsid w:val="00DA78C6"/>
    <w:rsid w:val="00DA7E31"/>
    <w:rsid w:val="00DB13D2"/>
    <w:rsid w:val="00DB172C"/>
    <w:rsid w:val="00DB1C68"/>
    <w:rsid w:val="00DB1E3F"/>
    <w:rsid w:val="00DB35B8"/>
    <w:rsid w:val="00DB3A78"/>
    <w:rsid w:val="00DB4213"/>
    <w:rsid w:val="00DB4424"/>
    <w:rsid w:val="00DB495B"/>
    <w:rsid w:val="00DB4A32"/>
    <w:rsid w:val="00DB4C0C"/>
    <w:rsid w:val="00DB5C73"/>
    <w:rsid w:val="00DB6F30"/>
    <w:rsid w:val="00DB78AD"/>
    <w:rsid w:val="00DB7DD2"/>
    <w:rsid w:val="00DB7FE0"/>
    <w:rsid w:val="00DC0935"/>
    <w:rsid w:val="00DC0CB0"/>
    <w:rsid w:val="00DC1189"/>
    <w:rsid w:val="00DC14FF"/>
    <w:rsid w:val="00DC2C1E"/>
    <w:rsid w:val="00DC2C52"/>
    <w:rsid w:val="00DC5136"/>
    <w:rsid w:val="00DC54C2"/>
    <w:rsid w:val="00DC5634"/>
    <w:rsid w:val="00DC5EDC"/>
    <w:rsid w:val="00DC5F3C"/>
    <w:rsid w:val="00DC60F0"/>
    <w:rsid w:val="00DC7291"/>
    <w:rsid w:val="00DD09C5"/>
    <w:rsid w:val="00DD15D2"/>
    <w:rsid w:val="00DD19C8"/>
    <w:rsid w:val="00DD2159"/>
    <w:rsid w:val="00DD2E88"/>
    <w:rsid w:val="00DD3450"/>
    <w:rsid w:val="00DD3E69"/>
    <w:rsid w:val="00DD483C"/>
    <w:rsid w:val="00DD4ECF"/>
    <w:rsid w:val="00DD5067"/>
    <w:rsid w:val="00DD5465"/>
    <w:rsid w:val="00DD575A"/>
    <w:rsid w:val="00DD5A18"/>
    <w:rsid w:val="00DD6671"/>
    <w:rsid w:val="00DD704D"/>
    <w:rsid w:val="00DD7797"/>
    <w:rsid w:val="00DD7981"/>
    <w:rsid w:val="00DE1918"/>
    <w:rsid w:val="00DE1A25"/>
    <w:rsid w:val="00DE2C31"/>
    <w:rsid w:val="00DE2E12"/>
    <w:rsid w:val="00DE37CB"/>
    <w:rsid w:val="00DE3972"/>
    <w:rsid w:val="00DE49B0"/>
    <w:rsid w:val="00DE4FCE"/>
    <w:rsid w:val="00DE6177"/>
    <w:rsid w:val="00DE6486"/>
    <w:rsid w:val="00DE6536"/>
    <w:rsid w:val="00DE7E1A"/>
    <w:rsid w:val="00DF1E26"/>
    <w:rsid w:val="00DF2941"/>
    <w:rsid w:val="00DF3525"/>
    <w:rsid w:val="00DF3763"/>
    <w:rsid w:val="00DF3B8B"/>
    <w:rsid w:val="00DF3BEC"/>
    <w:rsid w:val="00DF3CB5"/>
    <w:rsid w:val="00DF465A"/>
    <w:rsid w:val="00DF4833"/>
    <w:rsid w:val="00DF50AA"/>
    <w:rsid w:val="00DF5F6F"/>
    <w:rsid w:val="00DF73B8"/>
    <w:rsid w:val="00E004F3"/>
    <w:rsid w:val="00E00570"/>
    <w:rsid w:val="00E00949"/>
    <w:rsid w:val="00E00C95"/>
    <w:rsid w:val="00E01A45"/>
    <w:rsid w:val="00E02311"/>
    <w:rsid w:val="00E02FE3"/>
    <w:rsid w:val="00E0408B"/>
    <w:rsid w:val="00E05338"/>
    <w:rsid w:val="00E066CD"/>
    <w:rsid w:val="00E070BA"/>
    <w:rsid w:val="00E101F5"/>
    <w:rsid w:val="00E10413"/>
    <w:rsid w:val="00E11210"/>
    <w:rsid w:val="00E11252"/>
    <w:rsid w:val="00E1303B"/>
    <w:rsid w:val="00E13A75"/>
    <w:rsid w:val="00E1486D"/>
    <w:rsid w:val="00E14D17"/>
    <w:rsid w:val="00E15B24"/>
    <w:rsid w:val="00E16837"/>
    <w:rsid w:val="00E16AEA"/>
    <w:rsid w:val="00E1724C"/>
    <w:rsid w:val="00E177FA"/>
    <w:rsid w:val="00E1784E"/>
    <w:rsid w:val="00E178FC"/>
    <w:rsid w:val="00E20E61"/>
    <w:rsid w:val="00E225CC"/>
    <w:rsid w:val="00E22BD1"/>
    <w:rsid w:val="00E23012"/>
    <w:rsid w:val="00E23797"/>
    <w:rsid w:val="00E2417F"/>
    <w:rsid w:val="00E24AB7"/>
    <w:rsid w:val="00E24FAF"/>
    <w:rsid w:val="00E25C9A"/>
    <w:rsid w:val="00E264C5"/>
    <w:rsid w:val="00E26806"/>
    <w:rsid w:val="00E3164B"/>
    <w:rsid w:val="00E31E69"/>
    <w:rsid w:val="00E32478"/>
    <w:rsid w:val="00E32A00"/>
    <w:rsid w:val="00E333D9"/>
    <w:rsid w:val="00E33CB9"/>
    <w:rsid w:val="00E34F9E"/>
    <w:rsid w:val="00E35B92"/>
    <w:rsid w:val="00E35DA4"/>
    <w:rsid w:val="00E366D3"/>
    <w:rsid w:val="00E36F0A"/>
    <w:rsid w:val="00E37707"/>
    <w:rsid w:val="00E378C4"/>
    <w:rsid w:val="00E41C76"/>
    <w:rsid w:val="00E421CA"/>
    <w:rsid w:val="00E42444"/>
    <w:rsid w:val="00E43EAB"/>
    <w:rsid w:val="00E4416E"/>
    <w:rsid w:val="00E443A5"/>
    <w:rsid w:val="00E444C4"/>
    <w:rsid w:val="00E44910"/>
    <w:rsid w:val="00E44B9B"/>
    <w:rsid w:val="00E44C3E"/>
    <w:rsid w:val="00E45AA8"/>
    <w:rsid w:val="00E45DBA"/>
    <w:rsid w:val="00E47589"/>
    <w:rsid w:val="00E5067A"/>
    <w:rsid w:val="00E510FA"/>
    <w:rsid w:val="00E517CC"/>
    <w:rsid w:val="00E51FDA"/>
    <w:rsid w:val="00E534DB"/>
    <w:rsid w:val="00E542C1"/>
    <w:rsid w:val="00E5469D"/>
    <w:rsid w:val="00E54A5F"/>
    <w:rsid w:val="00E54DE1"/>
    <w:rsid w:val="00E56850"/>
    <w:rsid w:val="00E573F1"/>
    <w:rsid w:val="00E57E8D"/>
    <w:rsid w:val="00E61054"/>
    <w:rsid w:val="00E6110C"/>
    <w:rsid w:val="00E61A1A"/>
    <w:rsid w:val="00E620FF"/>
    <w:rsid w:val="00E621EE"/>
    <w:rsid w:val="00E62499"/>
    <w:rsid w:val="00E6288C"/>
    <w:rsid w:val="00E62B40"/>
    <w:rsid w:val="00E6340F"/>
    <w:rsid w:val="00E63661"/>
    <w:rsid w:val="00E643E3"/>
    <w:rsid w:val="00E644DA"/>
    <w:rsid w:val="00E649B8"/>
    <w:rsid w:val="00E64EC9"/>
    <w:rsid w:val="00E65535"/>
    <w:rsid w:val="00E65A9E"/>
    <w:rsid w:val="00E662EC"/>
    <w:rsid w:val="00E6748A"/>
    <w:rsid w:val="00E7157E"/>
    <w:rsid w:val="00E726D6"/>
    <w:rsid w:val="00E7485F"/>
    <w:rsid w:val="00E74893"/>
    <w:rsid w:val="00E75443"/>
    <w:rsid w:val="00E76F17"/>
    <w:rsid w:val="00E772BB"/>
    <w:rsid w:val="00E77424"/>
    <w:rsid w:val="00E808C5"/>
    <w:rsid w:val="00E80F30"/>
    <w:rsid w:val="00E81220"/>
    <w:rsid w:val="00E81268"/>
    <w:rsid w:val="00E81EFE"/>
    <w:rsid w:val="00E82825"/>
    <w:rsid w:val="00E83150"/>
    <w:rsid w:val="00E83CDE"/>
    <w:rsid w:val="00E84078"/>
    <w:rsid w:val="00E85472"/>
    <w:rsid w:val="00E85AAD"/>
    <w:rsid w:val="00E868C2"/>
    <w:rsid w:val="00E872E6"/>
    <w:rsid w:val="00E87E56"/>
    <w:rsid w:val="00E87FAB"/>
    <w:rsid w:val="00E90B8F"/>
    <w:rsid w:val="00E91A03"/>
    <w:rsid w:val="00E9276B"/>
    <w:rsid w:val="00E92DDA"/>
    <w:rsid w:val="00E9313F"/>
    <w:rsid w:val="00E94E0B"/>
    <w:rsid w:val="00E94E7D"/>
    <w:rsid w:val="00E957DA"/>
    <w:rsid w:val="00E9676A"/>
    <w:rsid w:val="00E96E58"/>
    <w:rsid w:val="00E9709C"/>
    <w:rsid w:val="00E973D8"/>
    <w:rsid w:val="00E975B9"/>
    <w:rsid w:val="00EA0722"/>
    <w:rsid w:val="00EA0BA2"/>
    <w:rsid w:val="00EA11AF"/>
    <w:rsid w:val="00EA1540"/>
    <w:rsid w:val="00EA1A17"/>
    <w:rsid w:val="00EA1BC8"/>
    <w:rsid w:val="00EA22AA"/>
    <w:rsid w:val="00EA22EA"/>
    <w:rsid w:val="00EA38CA"/>
    <w:rsid w:val="00EA39AD"/>
    <w:rsid w:val="00EA45A7"/>
    <w:rsid w:val="00EA68CB"/>
    <w:rsid w:val="00EB0FF0"/>
    <w:rsid w:val="00EB13EA"/>
    <w:rsid w:val="00EB161F"/>
    <w:rsid w:val="00EB1F05"/>
    <w:rsid w:val="00EB219B"/>
    <w:rsid w:val="00EB3303"/>
    <w:rsid w:val="00EB4173"/>
    <w:rsid w:val="00EB5149"/>
    <w:rsid w:val="00EB5E3F"/>
    <w:rsid w:val="00EB74B7"/>
    <w:rsid w:val="00EB7973"/>
    <w:rsid w:val="00EB7FD3"/>
    <w:rsid w:val="00EC033F"/>
    <w:rsid w:val="00EC0D11"/>
    <w:rsid w:val="00EC0F1D"/>
    <w:rsid w:val="00EC12E1"/>
    <w:rsid w:val="00EC132D"/>
    <w:rsid w:val="00EC16C3"/>
    <w:rsid w:val="00EC352A"/>
    <w:rsid w:val="00EC3618"/>
    <w:rsid w:val="00EC374E"/>
    <w:rsid w:val="00EC3C87"/>
    <w:rsid w:val="00EC3D68"/>
    <w:rsid w:val="00EC6219"/>
    <w:rsid w:val="00EC633C"/>
    <w:rsid w:val="00EC68BA"/>
    <w:rsid w:val="00EC72A7"/>
    <w:rsid w:val="00EC7F47"/>
    <w:rsid w:val="00ED0678"/>
    <w:rsid w:val="00ED097D"/>
    <w:rsid w:val="00ED10CF"/>
    <w:rsid w:val="00ED1ABC"/>
    <w:rsid w:val="00ED1C7A"/>
    <w:rsid w:val="00ED1DBE"/>
    <w:rsid w:val="00ED2432"/>
    <w:rsid w:val="00ED2589"/>
    <w:rsid w:val="00ED25D8"/>
    <w:rsid w:val="00ED3577"/>
    <w:rsid w:val="00ED41A7"/>
    <w:rsid w:val="00ED44AC"/>
    <w:rsid w:val="00ED4683"/>
    <w:rsid w:val="00ED4BE9"/>
    <w:rsid w:val="00ED513E"/>
    <w:rsid w:val="00ED5D18"/>
    <w:rsid w:val="00ED66E4"/>
    <w:rsid w:val="00ED70A7"/>
    <w:rsid w:val="00ED76DD"/>
    <w:rsid w:val="00ED7D82"/>
    <w:rsid w:val="00EE0822"/>
    <w:rsid w:val="00EE0A84"/>
    <w:rsid w:val="00EE0E0D"/>
    <w:rsid w:val="00EE17D5"/>
    <w:rsid w:val="00EE2EA7"/>
    <w:rsid w:val="00EE317B"/>
    <w:rsid w:val="00EE3A8F"/>
    <w:rsid w:val="00EE426D"/>
    <w:rsid w:val="00EE47F3"/>
    <w:rsid w:val="00EE4A4C"/>
    <w:rsid w:val="00EE4AC4"/>
    <w:rsid w:val="00EE4E6A"/>
    <w:rsid w:val="00EE523C"/>
    <w:rsid w:val="00EE5EFE"/>
    <w:rsid w:val="00EE6476"/>
    <w:rsid w:val="00EF1229"/>
    <w:rsid w:val="00EF19D5"/>
    <w:rsid w:val="00EF200E"/>
    <w:rsid w:val="00EF28CD"/>
    <w:rsid w:val="00EF424C"/>
    <w:rsid w:val="00EF49BB"/>
    <w:rsid w:val="00EF54B3"/>
    <w:rsid w:val="00EF5E6F"/>
    <w:rsid w:val="00EF707A"/>
    <w:rsid w:val="00F0017F"/>
    <w:rsid w:val="00F00D13"/>
    <w:rsid w:val="00F00D68"/>
    <w:rsid w:val="00F01DB3"/>
    <w:rsid w:val="00F02981"/>
    <w:rsid w:val="00F0397D"/>
    <w:rsid w:val="00F04BFA"/>
    <w:rsid w:val="00F054E0"/>
    <w:rsid w:val="00F06BBF"/>
    <w:rsid w:val="00F07312"/>
    <w:rsid w:val="00F105B8"/>
    <w:rsid w:val="00F1071B"/>
    <w:rsid w:val="00F10806"/>
    <w:rsid w:val="00F119CA"/>
    <w:rsid w:val="00F12FF5"/>
    <w:rsid w:val="00F13396"/>
    <w:rsid w:val="00F14E3F"/>
    <w:rsid w:val="00F15650"/>
    <w:rsid w:val="00F176E9"/>
    <w:rsid w:val="00F17C1E"/>
    <w:rsid w:val="00F2126A"/>
    <w:rsid w:val="00F2209D"/>
    <w:rsid w:val="00F23B6B"/>
    <w:rsid w:val="00F23F71"/>
    <w:rsid w:val="00F23FA4"/>
    <w:rsid w:val="00F243F2"/>
    <w:rsid w:val="00F24934"/>
    <w:rsid w:val="00F2595C"/>
    <w:rsid w:val="00F262CB"/>
    <w:rsid w:val="00F2681F"/>
    <w:rsid w:val="00F27E30"/>
    <w:rsid w:val="00F30850"/>
    <w:rsid w:val="00F30999"/>
    <w:rsid w:val="00F32176"/>
    <w:rsid w:val="00F32B3C"/>
    <w:rsid w:val="00F32BF5"/>
    <w:rsid w:val="00F3388F"/>
    <w:rsid w:val="00F33AA1"/>
    <w:rsid w:val="00F33C9C"/>
    <w:rsid w:val="00F34429"/>
    <w:rsid w:val="00F35D9E"/>
    <w:rsid w:val="00F360E6"/>
    <w:rsid w:val="00F37738"/>
    <w:rsid w:val="00F3788D"/>
    <w:rsid w:val="00F42A49"/>
    <w:rsid w:val="00F438CF"/>
    <w:rsid w:val="00F445B0"/>
    <w:rsid w:val="00F446C6"/>
    <w:rsid w:val="00F44A16"/>
    <w:rsid w:val="00F44E90"/>
    <w:rsid w:val="00F44F00"/>
    <w:rsid w:val="00F452D8"/>
    <w:rsid w:val="00F4550B"/>
    <w:rsid w:val="00F459C3"/>
    <w:rsid w:val="00F45BFD"/>
    <w:rsid w:val="00F4647D"/>
    <w:rsid w:val="00F500DF"/>
    <w:rsid w:val="00F50ACD"/>
    <w:rsid w:val="00F50C63"/>
    <w:rsid w:val="00F51A88"/>
    <w:rsid w:val="00F51B49"/>
    <w:rsid w:val="00F521F0"/>
    <w:rsid w:val="00F52F18"/>
    <w:rsid w:val="00F5549B"/>
    <w:rsid w:val="00F55DE4"/>
    <w:rsid w:val="00F5772B"/>
    <w:rsid w:val="00F5776F"/>
    <w:rsid w:val="00F60B75"/>
    <w:rsid w:val="00F6179C"/>
    <w:rsid w:val="00F61AEF"/>
    <w:rsid w:val="00F6253B"/>
    <w:rsid w:val="00F62DE7"/>
    <w:rsid w:val="00F62E5B"/>
    <w:rsid w:val="00F64921"/>
    <w:rsid w:val="00F64DA2"/>
    <w:rsid w:val="00F66276"/>
    <w:rsid w:val="00F66501"/>
    <w:rsid w:val="00F666B2"/>
    <w:rsid w:val="00F67408"/>
    <w:rsid w:val="00F677A5"/>
    <w:rsid w:val="00F70326"/>
    <w:rsid w:val="00F71BAA"/>
    <w:rsid w:val="00F71DB9"/>
    <w:rsid w:val="00F72217"/>
    <w:rsid w:val="00F72837"/>
    <w:rsid w:val="00F72DBF"/>
    <w:rsid w:val="00F74295"/>
    <w:rsid w:val="00F74595"/>
    <w:rsid w:val="00F74632"/>
    <w:rsid w:val="00F75478"/>
    <w:rsid w:val="00F76504"/>
    <w:rsid w:val="00F76BF3"/>
    <w:rsid w:val="00F8053D"/>
    <w:rsid w:val="00F82057"/>
    <w:rsid w:val="00F824BB"/>
    <w:rsid w:val="00F8260C"/>
    <w:rsid w:val="00F82B26"/>
    <w:rsid w:val="00F83FA0"/>
    <w:rsid w:val="00F84062"/>
    <w:rsid w:val="00F84877"/>
    <w:rsid w:val="00F869C7"/>
    <w:rsid w:val="00F86EB1"/>
    <w:rsid w:val="00F86F17"/>
    <w:rsid w:val="00F86F65"/>
    <w:rsid w:val="00F904F6"/>
    <w:rsid w:val="00F908E1"/>
    <w:rsid w:val="00F90928"/>
    <w:rsid w:val="00F90FBF"/>
    <w:rsid w:val="00F91960"/>
    <w:rsid w:val="00F91AC7"/>
    <w:rsid w:val="00F92371"/>
    <w:rsid w:val="00F92521"/>
    <w:rsid w:val="00F93C15"/>
    <w:rsid w:val="00F93C72"/>
    <w:rsid w:val="00F93F1A"/>
    <w:rsid w:val="00F946C0"/>
    <w:rsid w:val="00F95559"/>
    <w:rsid w:val="00F96421"/>
    <w:rsid w:val="00F96FC5"/>
    <w:rsid w:val="00F9753B"/>
    <w:rsid w:val="00F97744"/>
    <w:rsid w:val="00FA0007"/>
    <w:rsid w:val="00FA03F6"/>
    <w:rsid w:val="00FA07F0"/>
    <w:rsid w:val="00FA0CBB"/>
    <w:rsid w:val="00FA1606"/>
    <w:rsid w:val="00FA175C"/>
    <w:rsid w:val="00FA1A75"/>
    <w:rsid w:val="00FA1BB2"/>
    <w:rsid w:val="00FA1F0E"/>
    <w:rsid w:val="00FA1F57"/>
    <w:rsid w:val="00FA2DC9"/>
    <w:rsid w:val="00FA3049"/>
    <w:rsid w:val="00FA31A4"/>
    <w:rsid w:val="00FA4484"/>
    <w:rsid w:val="00FA4C15"/>
    <w:rsid w:val="00FA4C70"/>
    <w:rsid w:val="00FA4FC2"/>
    <w:rsid w:val="00FA6245"/>
    <w:rsid w:val="00FB0169"/>
    <w:rsid w:val="00FB05D2"/>
    <w:rsid w:val="00FB080A"/>
    <w:rsid w:val="00FB10D7"/>
    <w:rsid w:val="00FB170E"/>
    <w:rsid w:val="00FB1A6C"/>
    <w:rsid w:val="00FB1B26"/>
    <w:rsid w:val="00FB1BB9"/>
    <w:rsid w:val="00FB3795"/>
    <w:rsid w:val="00FB3BBB"/>
    <w:rsid w:val="00FB4D40"/>
    <w:rsid w:val="00FB56B2"/>
    <w:rsid w:val="00FB5792"/>
    <w:rsid w:val="00FB5889"/>
    <w:rsid w:val="00FB658F"/>
    <w:rsid w:val="00FB752F"/>
    <w:rsid w:val="00FB7620"/>
    <w:rsid w:val="00FB7720"/>
    <w:rsid w:val="00FB7E18"/>
    <w:rsid w:val="00FC0731"/>
    <w:rsid w:val="00FC0F2F"/>
    <w:rsid w:val="00FC262C"/>
    <w:rsid w:val="00FC2AD5"/>
    <w:rsid w:val="00FC341C"/>
    <w:rsid w:val="00FC3F40"/>
    <w:rsid w:val="00FC57A4"/>
    <w:rsid w:val="00FC614F"/>
    <w:rsid w:val="00FC65BC"/>
    <w:rsid w:val="00FC67A4"/>
    <w:rsid w:val="00FD0656"/>
    <w:rsid w:val="00FD0677"/>
    <w:rsid w:val="00FD08C5"/>
    <w:rsid w:val="00FD0BC7"/>
    <w:rsid w:val="00FD1278"/>
    <w:rsid w:val="00FD1465"/>
    <w:rsid w:val="00FD1860"/>
    <w:rsid w:val="00FD24B7"/>
    <w:rsid w:val="00FD35FC"/>
    <w:rsid w:val="00FD39D0"/>
    <w:rsid w:val="00FD3D18"/>
    <w:rsid w:val="00FD3E35"/>
    <w:rsid w:val="00FD40EB"/>
    <w:rsid w:val="00FD4D17"/>
    <w:rsid w:val="00FD53C5"/>
    <w:rsid w:val="00FD70B6"/>
    <w:rsid w:val="00FD75C8"/>
    <w:rsid w:val="00FD7668"/>
    <w:rsid w:val="00FD79A5"/>
    <w:rsid w:val="00FD7BC5"/>
    <w:rsid w:val="00FE027E"/>
    <w:rsid w:val="00FE03A7"/>
    <w:rsid w:val="00FE16D9"/>
    <w:rsid w:val="00FE277D"/>
    <w:rsid w:val="00FE413A"/>
    <w:rsid w:val="00FE466C"/>
    <w:rsid w:val="00FE4830"/>
    <w:rsid w:val="00FE5AF7"/>
    <w:rsid w:val="00FE64BA"/>
    <w:rsid w:val="00FF0773"/>
    <w:rsid w:val="00FF0ABC"/>
    <w:rsid w:val="00FF0AE9"/>
    <w:rsid w:val="00FF0B2C"/>
    <w:rsid w:val="00FF0B48"/>
    <w:rsid w:val="00FF161B"/>
    <w:rsid w:val="00FF2EE3"/>
    <w:rsid w:val="00FF3DB5"/>
    <w:rsid w:val="00FF3E81"/>
    <w:rsid w:val="00FF3E8B"/>
    <w:rsid w:val="00FF40C4"/>
    <w:rsid w:val="00FF75F5"/>
    <w:rsid w:val="01EE8335"/>
    <w:rsid w:val="01F13CF8"/>
    <w:rsid w:val="02144C9E"/>
    <w:rsid w:val="0250A141"/>
    <w:rsid w:val="027658D4"/>
    <w:rsid w:val="027DFC6C"/>
    <w:rsid w:val="036261E3"/>
    <w:rsid w:val="03F57783"/>
    <w:rsid w:val="042707FE"/>
    <w:rsid w:val="043AF2F6"/>
    <w:rsid w:val="04405917"/>
    <w:rsid w:val="04A1F0B0"/>
    <w:rsid w:val="05570C4D"/>
    <w:rsid w:val="05600A1C"/>
    <w:rsid w:val="05B0D3E1"/>
    <w:rsid w:val="05BBFE67"/>
    <w:rsid w:val="0643DFFA"/>
    <w:rsid w:val="0675B1C3"/>
    <w:rsid w:val="067725FD"/>
    <w:rsid w:val="06A59EAD"/>
    <w:rsid w:val="07245A8A"/>
    <w:rsid w:val="07586375"/>
    <w:rsid w:val="07B6A259"/>
    <w:rsid w:val="07BA40F1"/>
    <w:rsid w:val="07CF1CAD"/>
    <w:rsid w:val="07E3E8BD"/>
    <w:rsid w:val="0804D08F"/>
    <w:rsid w:val="083DF96F"/>
    <w:rsid w:val="0850DC55"/>
    <w:rsid w:val="086A63AA"/>
    <w:rsid w:val="08A9D2FF"/>
    <w:rsid w:val="08B1B992"/>
    <w:rsid w:val="08D7F225"/>
    <w:rsid w:val="09169B72"/>
    <w:rsid w:val="09A91064"/>
    <w:rsid w:val="09FE6A6E"/>
    <w:rsid w:val="0AA4D11C"/>
    <w:rsid w:val="0B11D1B2"/>
    <w:rsid w:val="0B1675B7"/>
    <w:rsid w:val="0B603D66"/>
    <w:rsid w:val="0BC3CE3C"/>
    <w:rsid w:val="0C5E225C"/>
    <w:rsid w:val="0C62ECDD"/>
    <w:rsid w:val="0D0DAD93"/>
    <w:rsid w:val="0E4B4052"/>
    <w:rsid w:val="0E77958D"/>
    <w:rsid w:val="0E8CF8FA"/>
    <w:rsid w:val="0EF4DFB6"/>
    <w:rsid w:val="0F978FBB"/>
    <w:rsid w:val="0FBF391B"/>
    <w:rsid w:val="0FD3AE76"/>
    <w:rsid w:val="10376C47"/>
    <w:rsid w:val="10A7B1D2"/>
    <w:rsid w:val="11162717"/>
    <w:rsid w:val="111B5B68"/>
    <w:rsid w:val="1152218B"/>
    <w:rsid w:val="116412BE"/>
    <w:rsid w:val="118EF3EA"/>
    <w:rsid w:val="11A12234"/>
    <w:rsid w:val="11ED2354"/>
    <w:rsid w:val="11F34AF2"/>
    <w:rsid w:val="11F55921"/>
    <w:rsid w:val="1213261B"/>
    <w:rsid w:val="123A8BF1"/>
    <w:rsid w:val="123AE696"/>
    <w:rsid w:val="1241F816"/>
    <w:rsid w:val="1289A7ED"/>
    <w:rsid w:val="12D38EEB"/>
    <w:rsid w:val="131662EF"/>
    <w:rsid w:val="1335BB32"/>
    <w:rsid w:val="133C80A8"/>
    <w:rsid w:val="136CEDAF"/>
    <w:rsid w:val="13DCA55D"/>
    <w:rsid w:val="1405629A"/>
    <w:rsid w:val="140E0C55"/>
    <w:rsid w:val="148731E6"/>
    <w:rsid w:val="14D6E1C4"/>
    <w:rsid w:val="14FA3AAC"/>
    <w:rsid w:val="154464D5"/>
    <w:rsid w:val="15508473"/>
    <w:rsid w:val="1558E782"/>
    <w:rsid w:val="1579BF5F"/>
    <w:rsid w:val="159A428F"/>
    <w:rsid w:val="159AD0A9"/>
    <w:rsid w:val="163948DA"/>
    <w:rsid w:val="166CED0B"/>
    <w:rsid w:val="16B2D04E"/>
    <w:rsid w:val="17345996"/>
    <w:rsid w:val="177387C9"/>
    <w:rsid w:val="17D1ED01"/>
    <w:rsid w:val="17F72E60"/>
    <w:rsid w:val="18745784"/>
    <w:rsid w:val="194205FA"/>
    <w:rsid w:val="1973EA8A"/>
    <w:rsid w:val="1975203D"/>
    <w:rsid w:val="19988261"/>
    <w:rsid w:val="19DF05D3"/>
    <w:rsid w:val="1A4C0186"/>
    <w:rsid w:val="1A4F30DF"/>
    <w:rsid w:val="1AD4C42B"/>
    <w:rsid w:val="1BAA1483"/>
    <w:rsid w:val="1C4F3707"/>
    <w:rsid w:val="1C77ABB2"/>
    <w:rsid w:val="1D11D0A7"/>
    <w:rsid w:val="1D463529"/>
    <w:rsid w:val="1D89D6AB"/>
    <w:rsid w:val="1DFC580B"/>
    <w:rsid w:val="1E191C4F"/>
    <w:rsid w:val="1E9DB8F8"/>
    <w:rsid w:val="1E9FB25A"/>
    <w:rsid w:val="1F4160B0"/>
    <w:rsid w:val="1F485D53"/>
    <w:rsid w:val="1F5DD5DF"/>
    <w:rsid w:val="1F624DE7"/>
    <w:rsid w:val="1F918FF1"/>
    <w:rsid w:val="1FA8C4A3"/>
    <w:rsid w:val="1FC08FAE"/>
    <w:rsid w:val="1FD89032"/>
    <w:rsid w:val="1FF24294"/>
    <w:rsid w:val="204B4058"/>
    <w:rsid w:val="2056F462"/>
    <w:rsid w:val="207146D3"/>
    <w:rsid w:val="2094FD9E"/>
    <w:rsid w:val="20A8E215"/>
    <w:rsid w:val="21163D44"/>
    <w:rsid w:val="211E4F38"/>
    <w:rsid w:val="213D5716"/>
    <w:rsid w:val="216AFCFC"/>
    <w:rsid w:val="21D95E41"/>
    <w:rsid w:val="21F46185"/>
    <w:rsid w:val="221D98CE"/>
    <w:rsid w:val="2228B16B"/>
    <w:rsid w:val="2231B8E9"/>
    <w:rsid w:val="226DE840"/>
    <w:rsid w:val="22FB2407"/>
    <w:rsid w:val="23584A44"/>
    <w:rsid w:val="237C27C5"/>
    <w:rsid w:val="23972144"/>
    <w:rsid w:val="2417B800"/>
    <w:rsid w:val="24B6A590"/>
    <w:rsid w:val="24DCBA76"/>
    <w:rsid w:val="24E14591"/>
    <w:rsid w:val="24FA51D8"/>
    <w:rsid w:val="24FAAC40"/>
    <w:rsid w:val="251C95D8"/>
    <w:rsid w:val="253FA3BB"/>
    <w:rsid w:val="25BAB186"/>
    <w:rsid w:val="25DED2DA"/>
    <w:rsid w:val="25F37208"/>
    <w:rsid w:val="2621DD2D"/>
    <w:rsid w:val="263EAD8C"/>
    <w:rsid w:val="26864FCE"/>
    <w:rsid w:val="26AF4692"/>
    <w:rsid w:val="26E17491"/>
    <w:rsid w:val="26F3BACD"/>
    <w:rsid w:val="26FF3A18"/>
    <w:rsid w:val="27136ED6"/>
    <w:rsid w:val="27319916"/>
    <w:rsid w:val="2733992E"/>
    <w:rsid w:val="275F3E3B"/>
    <w:rsid w:val="2766A81D"/>
    <w:rsid w:val="277DE0ED"/>
    <w:rsid w:val="27A539E4"/>
    <w:rsid w:val="27BC9AC4"/>
    <w:rsid w:val="27E1E14C"/>
    <w:rsid w:val="27EF6520"/>
    <w:rsid w:val="27F13244"/>
    <w:rsid w:val="28D52C13"/>
    <w:rsid w:val="2918E7BD"/>
    <w:rsid w:val="295530E4"/>
    <w:rsid w:val="29CA07FD"/>
    <w:rsid w:val="29DFF875"/>
    <w:rsid w:val="2A71C9E3"/>
    <w:rsid w:val="2A736812"/>
    <w:rsid w:val="2ADA323E"/>
    <w:rsid w:val="2B07CB30"/>
    <w:rsid w:val="2B0FCE7A"/>
    <w:rsid w:val="2B3BA56B"/>
    <w:rsid w:val="2BC08C72"/>
    <w:rsid w:val="2BDC8CED"/>
    <w:rsid w:val="2C2AAB1E"/>
    <w:rsid w:val="2C311950"/>
    <w:rsid w:val="2C884E02"/>
    <w:rsid w:val="2CE7D3DF"/>
    <w:rsid w:val="2CE8BD3C"/>
    <w:rsid w:val="2D76D01D"/>
    <w:rsid w:val="2D8CC9ED"/>
    <w:rsid w:val="2DE7778C"/>
    <w:rsid w:val="2DEF8BFC"/>
    <w:rsid w:val="2E76B293"/>
    <w:rsid w:val="2F20C67E"/>
    <w:rsid w:val="2F76EAD1"/>
    <w:rsid w:val="2F8D22E3"/>
    <w:rsid w:val="2FB52C2E"/>
    <w:rsid w:val="2FC50275"/>
    <w:rsid w:val="2FFA87C7"/>
    <w:rsid w:val="3051D41D"/>
    <w:rsid w:val="30DC4ED3"/>
    <w:rsid w:val="30DFF69C"/>
    <w:rsid w:val="31520A1D"/>
    <w:rsid w:val="3158A6C6"/>
    <w:rsid w:val="316E9573"/>
    <w:rsid w:val="31804732"/>
    <w:rsid w:val="32115CAF"/>
    <w:rsid w:val="32BE3FE6"/>
    <w:rsid w:val="32BF7ED5"/>
    <w:rsid w:val="32EA1397"/>
    <w:rsid w:val="32EF92F2"/>
    <w:rsid w:val="32F61636"/>
    <w:rsid w:val="338AEF3B"/>
    <w:rsid w:val="3397AB81"/>
    <w:rsid w:val="3399AA08"/>
    <w:rsid w:val="33B20844"/>
    <w:rsid w:val="33F28CB4"/>
    <w:rsid w:val="3480EE0E"/>
    <w:rsid w:val="3632B1F3"/>
    <w:rsid w:val="36ECE722"/>
    <w:rsid w:val="36F397D9"/>
    <w:rsid w:val="371E0523"/>
    <w:rsid w:val="3748F299"/>
    <w:rsid w:val="3789D609"/>
    <w:rsid w:val="38021248"/>
    <w:rsid w:val="380AB222"/>
    <w:rsid w:val="3816835D"/>
    <w:rsid w:val="381F3DA1"/>
    <w:rsid w:val="396CBC07"/>
    <w:rsid w:val="3A10AEBD"/>
    <w:rsid w:val="3A323C76"/>
    <w:rsid w:val="3A5BFDB9"/>
    <w:rsid w:val="3A71D8F6"/>
    <w:rsid w:val="3AB44820"/>
    <w:rsid w:val="3AB7BDAE"/>
    <w:rsid w:val="3AE12C15"/>
    <w:rsid w:val="3C384FF6"/>
    <w:rsid w:val="3C3FCBBA"/>
    <w:rsid w:val="3C4754A7"/>
    <w:rsid w:val="3C4ED175"/>
    <w:rsid w:val="3CC63278"/>
    <w:rsid w:val="3D03AEAD"/>
    <w:rsid w:val="3D163498"/>
    <w:rsid w:val="3D29F237"/>
    <w:rsid w:val="3D3FDCD8"/>
    <w:rsid w:val="3E3A44DC"/>
    <w:rsid w:val="3E616FE0"/>
    <w:rsid w:val="3EAD9953"/>
    <w:rsid w:val="3FB2AD31"/>
    <w:rsid w:val="3FEEE68F"/>
    <w:rsid w:val="400675DE"/>
    <w:rsid w:val="40BBAADB"/>
    <w:rsid w:val="40C105D7"/>
    <w:rsid w:val="40FB9763"/>
    <w:rsid w:val="4111FABD"/>
    <w:rsid w:val="4168C774"/>
    <w:rsid w:val="418D93A9"/>
    <w:rsid w:val="41E5AB86"/>
    <w:rsid w:val="41FA9AF0"/>
    <w:rsid w:val="4246650D"/>
    <w:rsid w:val="425CCD74"/>
    <w:rsid w:val="43131025"/>
    <w:rsid w:val="432B5505"/>
    <w:rsid w:val="43B0A19A"/>
    <w:rsid w:val="446B5DCA"/>
    <w:rsid w:val="44809A1D"/>
    <w:rsid w:val="452A81A3"/>
    <w:rsid w:val="452BEADE"/>
    <w:rsid w:val="45527360"/>
    <w:rsid w:val="4585376C"/>
    <w:rsid w:val="4588D6C7"/>
    <w:rsid w:val="458CDCF7"/>
    <w:rsid w:val="469571A2"/>
    <w:rsid w:val="46C97929"/>
    <w:rsid w:val="470A24B8"/>
    <w:rsid w:val="47B0DD0C"/>
    <w:rsid w:val="47B83FD4"/>
    <w:rsid w:val="4872967C"/>
    <w:rsid w:val="4875DA2B"/>
    <w:rsid w:val="48DB3021"/>
    <w:rsid w:val="48DC87FC"/>
    <w:rsid w:val="495FC5CD"/>
    <w:rsid w:val="49696C9A"/>
    <w:rsid w:val="498852A7"/>
    <w:rsid w:val="49A99E2A"/>
    <w:rsid w:val="49E7E4C2"/>
    <w:rsid w:val="4AC13AC9"/>
    <w:rsid w:val="4C87DE5C"/>
    <w:rsid w:val="4D48EF37"/>
    <w:rsid w:val="4DA1E78D"/>
    <w:rsid w:val="4E21449A"/>
    <w:rsid w:val="4E4DAD9D"/>
    <w:rsid w:val="4E77CC4A"/>
    <w:rsid w:val="4E81DDD7"/>
    <w:rsid w:val="4F4DB382"/>
    <w:rsid w:val="4F84D0DC"/>
    <w:rsid w:val="4FBE6525"/>
    <w:rsid w:val="4FFC40E1"/>
    <w:rsid w:val="4FFD3ED5"/>
    <w:rsid w:val="50323D7A"/>
    <w:rsid w:val="507E5864"/>
    <w:rsid w:val="508E0F30"/>
    <w:rsid w:val="50B16463"/>
    <w:rsid w:val="516A8692"/>
    <w:rsid w:val="517026EA"/>
    <w:rsid w:val="51C669B2"/>
    <w:rsid w:val="520624DD"/>
    <w:rsid w:val="5296E6F1"/>
    <w:rsid w:val="52B70F54"/>
    <w:rsid w:val="52CD66CA"/>
    <w:rsid w:val="52E8AC44"/>
    <w:rsid w:val="536DF8B1"/>
    <w:rsid w:val="53AFBF9B"/>
    <w:rsid w:val="53E93DCC"/>
    <w:rsid w:val="5458496C"/>
    <w:rsid w:val="54844E53"/>
    <w:rsid w:val="549C8BA8"/>
    <w:rsid w:val="55479D4F"/>
    <w:rsid w:val="554B03D0"/>
    <w:rsid w:val="55886B0B"/>
    <w:rsid w:val="55B5BF1F"/>
    <w:rsid w:val="560BBB9A"/>
    <w:rsid w:val="563FB6DB"/>
    <w:rsid w:val="56437150"/>
    <w:rsid w:val="56980E8E"/>
    <w:rsid w:val="56E63317"/>
    <w:rsid w:val="56EB202F"/>
    <w:rsid w:val="57EC2726"/>
    <w:rsid w:val="5818C795"/>
    <w:rsid w:val="58240EA1"/>
    <w:rsid w:val="58491CF8"/>
    <w:rsid w:val="58DCEC6C"/>
    <w:rsid w:val="59173993"/>
    <w:rsid w:val="595AEE41"/>
    <w:rsid w:val="598F9DB5"/>
    <w:rsid w:val="599DC21F"/>
    <w:rsid w:val="5A118743"/>
    <w:rsid w:val="5A47F93A"/>
    <w:rsid w:val="5B42AB98"/>
    <w:rsid w:val="5B9712AF"/>
    <w:rsid w:val="5C0BE425"/>
    <w:rsid w:val="5C923B96"/>
    <w:rsid w:val="5D18F44B"/>
    <w:rsid w:val="5DC3A632"/>
    <w:rsid w:val="5DF5F263"/>
    <w:rsid w:val="5DFFE30F"/>
    <w:rsid w:val="5E77DB5E"/>
    <w:rsid w:val="5EE9B5EC"/>
    <w:rsid w:val="5F1F21DE"/>
    <w:rsid w:val="5F20F359"/>
    <w:rsid w:val="5FC2FB4B"/>
    <w:rsid w:val="601389BF"/>
    <w:rsid w:val="60561D0A"/>
    <w:rsid w:val="606188DA"/>
    <w:rsid w:val="60862AFF"/>
    <w:rsid w:val="6091BFED"/>
    <w:rsid w:val="61264A48"/>
    <w:rsid w:val="6158E759"/>
    <w:rsid w:val="61A1EFCD"/>
    <w:rsid w:val="62532953"/>
    <w:rsid w:val="626E85E4"/>
    <w:rsid w:val="62AD4A2A"/>
    <w:rsid w:val="62D56F1D"/>
    <w:rsid w:val="62EA1F10"/>
    <w:rsid w:val="631B859A"/>
    <w:rsid w:val="63BDE89A"/>
    <w:rsid w:val="63F68C32"/>
    <w:rsid w:val="6424D700"/>
    <w:rsid w:val="642E63DB"/>
    <w:rsid w:val="64C5B06C"/>
    <w:rsid w:val="6527B49D"/>
    <w:rsid w:val="656F19DE"/>
    <w:rsid w:val="65CAC2AD"/>
    <w:rsid w:val="65DC3D40"/>
    <w:rsid w:val="65FB8D89"/>
    <w:rsid w:val="661978C6"/>
    <w:rsid w:val="661AF9F0"/>
    <w:rsid w:val="661BF0D3"/>
    <w:rsid w:val="66275548"/>
    <w:rsid w:val="6667E991"/>
    <w:rsid w:val="667AC6BF"/>
    <w:rsid w:val="669108A0"/>
    <w:rsid w:val="670F0A63"/>
    <w:rsid w:val="67581EAC"/>
    <w:rsid w:val="67DC1B00"/>
    <w:rsid w:val="68212E82"/>
    <w:rsid w:val="68759A09"/>
    <w:rsid w:val="68F9DFB8"/>
    <w:rsid w:val="6916E6DB"/>
    <w:rsid w:val="693C9E89"/>
    <w:rsid w:val="69B3A55F"/>
    <w:rsid w:val="69B845AC"/>
    <w:rsid w:val="69EA68FC"/>
    <w:rsid w:val="69ED11B3"/>
    <w:rsid w:val="6AE49098"/>
    <w:rsid w:val="6B37FC7B"/>
    <w:rsid w:val="6B3F1E43"/>
    <w:rsid w:val="6B423FE0"/>
    <w:rsid w:val="6B7D364D"/>
    <w:rsid w:val="6BE12C82"/>
    <w:rsid w:val="6C1BCFF4"/>
    <w:rsid w:val="6C1EB6C3"/>
    <w:rsid w:val="6C3AD292"/>
    <w:rsid w:val="6C85E356"/>
    <w:rsid w:val="6D492590"/>
    <w:rsid w:val="6D7EE274"/>
    <w:rsid w:val="6DF9384C"/>
    <w:rsid w:val="6E4C0EAB"/>
    <w:rsid w:val="6E94DE9D"/>
    <w:rsid w:val="6EFA03F8"/>
    <w:rsid w:val="6F51F001"/>
    <w:rsid w:val="6F5FDB2C"/>
    <w:rsid w:val="6F7722AE"/>
    <w:rsid w:val="6F7D7AE2"/>
    <w:rsid w:val="6FC30516"/>
    <w:rsid w:val="70152485"/>
    <w:rsid w:val="701A782B"/>
    <w:rsid w:val="702BFAA1"/>
    <w:rsid w:val="7038F430"/>
    <w:rsid w:val="704A96AB"/>
    <w:rsid w:val="70543866"/>
    <w:rsid w:val="70BE4AE3"/>
    <w:rsid w:val="71765955"/>
    <w:rsid w:val="72808100"/>
    <w:rsid w:val="72858D65"/>
    <w:rsid w:val="729F1C53"/>
    <w:rsid w:val="7333848A"/>
    <w:rsid w:val="73602BDD"/>
    <w:rsid w:val="73BD41DA"/>
    <w:rsid w:val="73E3C5A0"/>
    <w:rsid w:val="7430632D"/>
    <w:rsid w:val="74539164"/>
    <w:rsid w:val="7459FE90"/>
    <w:rsid w:val="7460D849"/>
    <w:rsid w:val="7463EDB7"/>
    <w:rsid w:val="74A7E01C"/>
    <w:rsid w:val="74B26C0D"/>
    <w:rsid w:val="74C5EC91"/>
    <w:rsid w:val="752E50E9"/>
    <w:rsid w:val="75619CF2"/>
    <w:rsid w:val="756CB330"/>
    <w:rsid w:val="7570D2F8"/>
    <w:rsid w:val="75801B79"/>
    <w:rsid w:val="769168EE"/>
    <w:rsid w:val="76A5DA6C"/>
    <w:rsid w:val="77104ADB"/>
    <w:rsid w:val="772FF565"/>
    <w:rsid w:val="7762C4A1"/>
    <w:rsid w:val="7770D948"/>
    <w:rsid w:val="779DC234"/>
    <w:rsid w:val="78195265"/>
    <w:rsid w:val="781B87B9"/>
    <w:rsid w:val="78838D03"/>
    <w:rsid w:val="789C6A0B"/>
    <w:rsid w:val="78DE40E1"/>
    <w:rsid w:val="7934F405"/>
    <w:rsid w:val="7943BAA6"/>
    <w:rsid w:val="797617D0"/>
    <w:rsid w:val="79B9C300"/>
    <w:rsid w:val="79D0A378"/>
    <w:rsid w:val="7A204B4E"/>
    <w:rsid w:val="7A92A497"/>
    <w:rsid w:val="7ADE011C"/>
    <w:rsid w:val="7B68E309"/>
    <w:rsid w:val="7B855F65"/>
    <w:rsid w:val="7CC0B746"/>
    <w:rsid w:val="7CC4810B"/>
    <w:rsid w:val="7CEA0A0F"/>
    <w:rsid w:val="7DC1CB3F"/>
    <w:rsid w:val="7DC3AAF3"/>
    <w:rsid w:val="7E7D57E5"/>
    <w:rsid w:val="7EC7FF45"/>
    <w:rsid w:val="7EF665E6"/>
    <w:rsid w:val="7FB7D662"/>
    <w:rsid w:val="7FF215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D6678"/>
  <w15:chartTrackingRefBased/>
  <w15:docId w15:val="{71CA3C1B-FFDC-4E6D-AB64-A0D80DBF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2F6E"/>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6A1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A1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2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A1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23D"/>
    <w:rPr>
      <w:rFonts w:eastAsiaTheme="majorEastAsia" w:cstheme="majorBidi"/>
      <w:color w:val="272727" w:themeColor="text1" w:themeTint="D8"/>
    </w:rPr>
  </w:style>
  <w:style w:type="paragraph" w:styleId="Title">
    <w:name w:val="Title"/>
    <w:basedOn w:val="Normal"/>
    <w:next w:val="Normal"/>
    <w:link w:val="TitleChar"/>
    <w:uiPriority w:val="10"/>
    <w:qFormat/>
    <w:rsid w:val="006A1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23D"/>
    <w:pPr>
      <w:spacing w:before="160"/>
      <w:jc w:val="center"/>
    </w:pPr>
    <w:rPr>
      <w:i/>
      <w:iCs/>
      <w:color w:val="404040" w:themeColor="text1" w:themeTint="BF"/>
    </w:rPr>
  </w:style>
  <w:style w:type="character" w:customStyle="1" w:styleId="QuoteChar">
    <w:name w:val="Quote Char"/>
    <w:basedOn w:val="DefaultParagraphFont"/>
    <w:link w:val="Quote"/>
    <w:uiPriority w:val="29"/>
    <w:rsid w:val="006A123D"/>
    <w:rPr>
      <w:i/>
      <w:iCs/>
      <w:color w:val="404040" w:themeColor="text1" w:themeTint="BF"/>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6A123D"/>
    <w:pPr>
      <w:ind w:left="720"/>
      <w:contextualSpacing/>
    </w:pPr>
  </w:style>
  <w:style w:type="character" w:styleId="IntenseEmphasis">
    <w:name w:val="Intense Emphasis"/>
    <w:basedOn w:val="DefaultParagraphFont"/>
    <w:uiPriority w:val="21"/>
    <w:qFormat/>
    <w:rsid w:val="006A123D"/>
    <w:rPr>
      <w:i/>
      <w:iCs/>
      <w:color w:val="0F4761" w:themeColor="accent1" w:themeShade="BF"/>
    </w:rPr>
  </w:style>
  <w:style w:type="paragraph" w:styleId="IntenseQuote">
    <w:name w:val="Intense Quote"/>
    <w:basedOn w:val="Normal"/>
    <w:next w:val="Normal"/>
    <w:link w:val="IntenseQuoteChar"/>
    <w:uiPriority w:val="30"/>
    <w:qFormat/>
    <w:rsid w:val="006A1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23D"/>
    <w:rPr>
      <w:i/>
      <w:iCs/>
      <w:color w:val="0F4761" w:themeColor="accent1" w:themeShade="BF"/>
    </w:rPr>
  </w:style>
  <w:style w:type="character" w:styleId="IntenseReference">
    <w:name w:val="Intense Reference"/>
    <w:basedOn w:val="DefaultParagraphFont"/>
    <w:uiPriority w:val="32"/>
    <w:qFormat/>
    <w:rsid w:val="006A123D"/>
    <w:rPr>
      <w:b/>
      <w:bCs/>
      <w:smallCaps/>
      <w:color w:val="0F4761" w:themeColor="accent1" w:themeShade="BF"/>
      <w:spacing w:val="5"/>
    </w:rPr>
  </w:style>
  <w:style w:type="paragraph" w:styleId="BalloonText">
    <w:name w:val="Balloon Text"/>
    <w:basedOn w:val="Normal"/>
    <w:link w:val="BalloonTextChar"/>
    <w:uiPriority w:val="99"/>
    <w:semiHidden/>
    <w:unhideWhenUsed/>
    <w:rsid w:val="006A1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23D"/>
    <w:rPr>
      <w:rFonts w:ascii="Segoe UI" w:eastAsia="Times New Roman" w:hAnsi="Segoe UI" w:cs="Segoe UI"/>
      <w:kern w:val="0"/>
      <w:sz w:val="18"/>
      <w:szCs w:val="18"/>
      <w14:ligatures w14:val="none"/>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6A123D"/>
  </w:style>
  <w:style w:type="table" w:styleId="TableGrid">
    <w:name w:val="Table Grid"/>
    <w:basedOn w:val="TableNormal"/>
    <w:rsid w:val="006A123D"/>
    <w:pPr>
      <w:spacing w:after="0" w:line="240" w:lineRule="auto"/>
    </w:pPr>
    <w:rPr>
      <w:rFonts w:ascii="Times New Roman" w:eastAsia="Times New Roman" w:hAnsi="Times New Roman" w:cs="Times New Roman"/>
      <w:kern w:val="0"/>
      <w:sz w:val="20"/>
      <w:szCs w:val="20"/>
      <w:lang w:eastAsia="en-GB"/>
      <w14:ligatures w14:val="none"/>
    </w:rPr>
    <w:tblPr/>
  </w:style>
  <w:style w:type="character" w:styleId="Hyperlink">
    <w:name w:val="Hyperlink"/>
    <w:basedOn w:val="DefaultParagraphFont"/>
    <w:uiPriority w:val="99"/>
    <w:unhideWhenUsed/>
    <w:rsid w:val="006A123D"/>
    <w:rPr>
      <w:color w:val="467886" w:themeColor="hyperlink"/>
      <w:u w:val="single"/>
    </w:rPr>
  </w:style>
  <w:style w:type="paragraph" w:styleId="Header">
    <w:name w:val="header"/>
    <w:basedOn w:val="Normal"/>
    <w:link w:val="HeaderChar"/>
    <w:uiPriority w:val="99"/>
    <w:unhideWhenUsed/>
    <w:rsid w:val="006A123D"/>
    <w:pPr>
      <w:tabs>
        <w:tab w:val="center" w:pos="4513"/>
        <w:tab w:val="right" w:pos="9026"/>
      </w:tabs>
    </w:pPr>
  </w:style>
  <w:style w:type="character" w:customStyle="1" w:styleId="HeaderChar">
    <w:name w:val="Header Char"/>
    <w:basedOn w:val="DefaultParagraphFont"/>
    <w:link w:val="Header"/>
    <w:uiPriority w:val="99"/>
    <w:rsid w:val="006A123D"/>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6A123D"/>
    <w:pPr>
      <w:tabs>
        <w:tab w:val="center" w:pos="4513"/>
        <w:tab w:val="right" w:pos="9026"/>
      </w:tabs>
    </w:pPr>
  </w:style>
  <w:style w:type="character" w:customStyle="1" w:styleId="FooterChar">
    <w:name w:val="Footer Char"/>
    <w:basedOn w:val="DefaultParagraphFont"/>
    <w:link w:val="Footer"/>
    <w:uiPriority w:val="99"/>
    <w:rsid w:val="006A123D"/>
    <w:rPr>
      <w:rFonts w:ascii="Arial" w:eastAsia="Times New Roman" w:hAnsi="Arial" w:cs="Times New Roman"/>
      <w:kern w:val="0"/>
      <w:sz w:val="24"/>
      <w:szCs w:val="24"/>
      <w14:ligatures w14:val="none"/>
    </w:rPr>
  </w:style>
  <w:style w:type="character" w:styleId="UnresolvedMention">
    <w:name w:val="Unresolved Mention"/>
    <w:basedOn w:val="DefaultParagraphFont"/>
    <w:uiPriority w:val="99"/>
    <w:unhideWhenUsed/>
    <w:rsid w:val="006A123D"/>
    <w:rPr>
      <w:color w:val="605E5C"/>
      <w:shd w:val="clear" w:color="auto" w:fill="E1DFDD"/>
    </w:rPr>
  </w:style>
  <w:style w:type="character" w:styleId="FollowedHyperlink">
    <w:name w:val="FollowedHyperlink"/>
    <w:basedOn w:val="DefaultParagraphFont"/>
    <w:uiPriority w:val="99"/>
    <w:semiHidden/>
    <w:unhideWhenUsed/>
    <w:rsid w:val="006A123D"/>
    <w:rPr>
      <w:color w:val="96607D" w:themeColor="followedHyperlink"/>
      <w:u w:val="single"/>
    </w:rPr>
  </w:style>
  <w:style w:type="paragraph" w:styleId="Revision">
    <w:name w:val="Revision"/>
    <w:hidden/>
    <w:uiPriority w:val="99"/>
    <w:semiHidden/>
    <w:rsid w:val="006A123D"/>
    <w:pPr>
      <w:spacing w:after="0" w:line="240" w:lineRule="auto"/>
    </w:pPr>
    <w:rPr>
      <w:rFonts w:ascii="Arial" w:eastAsia="Times New Roman" w:hAnsi="Arial" w:cs="Times New Roman"/>
      <w:kern w:val="0"/>
      <w:sz w:val="24"/>
      <w:szCs w:val="24"/>
      <w14:ligatures w14:val="none"/>
    </w:rPr>
  </w:style>
  <w:style w:type="character" w:customStyle="1" w:styleId="normaltextrun">
    <w:name w:val="normaltextrun"/>
    <w:basedOn w:val="DefaultParagraphFont"/>
    <w:rsid w:val="006A123D"/>
  </w:style>
  <w:style w:type="paragraph" w:styleId="FootnoteText">
    <w:name w:val="footnote text"/>
    <w:aliases w:val="Fußnote,-E Fußnotentext,Fußnotentext Ursprung,-E Fußnotentext1,-E Fußnotentext2,-E Fußnotentext3,Fußnotentextf,Footnote text,foot note text,Geneva 9,Font: Geneva 9,Boston 10,f,Fußnotentext Char,Fußnotentext Char1 Char1,Car,ft,fn,FOOTNOTES"/>
    <w:basedOn w:val="Normal"/>
    <w:link w:val="FootnoteTextChar"/>
    <w:uiPriority w:val="99"/>
    <w:semiHidden/>
    <w:unhideWhenUsed/>
    <w:qFormat/>
    <w:rsid w:val="006A123D"/>
    <w:rPr>
      <w:sz w:val="20"/>
      <w:szCs w:val="20"/>
    </w:rPr>
  </w:style>
  <w:style w:type="character" w:customStyle="1" w:styleId="FootnoteTextChar">
    <w:name w:val="Footnote Text Char"/>
    <w:aliases w:val="Fußnote Char,-E Fußnotentext Char,Fußnotentext Ursprung Char,-E Fußnotentext1 Char,-E Fußnotentext2 Char,-E Fußnotentext3 Char,Fußnotentextf Char,Footnote text Char,foot note text Char,Geneva 9 Char,Font: Geneva 9 Char,Boston 10 Char"/>
    <w:basedOn w:val="DefaultParagraphFont"/>
    <w:link w:val="FootnoteText"/>
    <w:uiPriority w:val="99"/>
    <w:semiHidden/>
    <w:rsid w:val="006A123D"/>
    <w:rPr>
      <w:rFonts w:ascii="Arial" w:eastAsia="Times New Roman" w:hAnsi="Arial" w:cs="Times New Roman"/>
      <w:kern w:val="0"/>
      <w:sz w:val="20"/>
      <w:szCs w:val="20"/>
      <w14:ligatures w14:val="none"/>
    </w:rPr>
  </w:style>
  <w:style w:type="character" w:styleId="FootnoteReference">
    <w:name w:val="footnote reference"/>
    <w:aliases w:val="EN Footnote Reference,number,SUPERS,-E Fußnotenzeichen,ftref,16 Point,Superscript 6 Point,Footnote Reference1,E FNZ,Footnote#,-E Fu§notenzeichen,Footnotes refss,Texto de nota al pie,Appel note de bas de page,fr,ASI Footer,BVI fnr,Ref"/>
    <w:basedOn w:val="DefaultParagraphFont"/>
    <w:uiPriority w:val="99"/>
    <w:semiHidden/>
    <w:unhideWhenUsed/>
    <w:qFormat/>
    <w:rsid w:val="006A123D"/>
    <w:rPr>
      <w:vertAlign w:val="superscript"/>
    </w:rPr>
  </w:style>
  <w:style w:type="paragraph" w:styleId="CommentText">
    <w:name w:val="annotation text"/>
    <w:basedOn w:val="Normal"/>
    <w:link w:val="CommentTextChar"/>
    <w:uiPriority w:val="99"/>
    <w:unhideWhenUsed/>
    <w:rsid w:val="006A123D"/>
    <w:rPr>
      <w:sz w:val="20"/>
      <w:szCs w:val="20"/>
    </w:rPr>
  </w:style>
  <w:style w:type="character" w:customStyle="1" w:styleId="CommentTextChar">
    <w:name w:val="Comment Text Char"/>
    <w:basedOn w:val="DefaultParagraphFont"/>
    <w:link w:val="CommentText"/>
    <w:uiPriority w:val="99"/>
    <w:rsid w:val="006A123D"/>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6A123D"/>
    <w:rPr>
      <w:sz w:val="16"/>
      <w:szCs w:val="16"/>
    </w:rPr>
  </w:style>
  <w:style w:type="character" w:customStyle="1" w:styleId="ParagraphChar">
    <w:name w:val="Paragraph Char"/>
    <w:basedOn w:val="DefaultParagraphFont"/>
    <w:link w:val="Paragraph"/>
    <w:locked/>
    <w:rsid w:val="006A123D"/>
    <w:rPr>
      <w:rFonts w:ascii="Arial" w:eastAsia="Times New Roman" w:hAnsi="Arial" w:cs="Arial"/>
      <w:color w:val="000000" w:themeColor="text1"/>
    </w:rPr>
  </w:style>
  <w:style w:type="paragraph" w:customStyle="1" w:styleId="Paragraph">
    <w:name w:val="Paragraph"/>
    <w:basedOn w:val="Normal"/>
    <w:link w:val="ParagraphChar"/>
    <w:qFormat/>
    <w:rsid w:val="006A123D"/>
    <w:pPr>
      <w:spacing w:before="120" w:after="120"/>
      <w:jc w:val="both"/>
    </w:pPr>
    <w:rPr>
      <w:rFonts w:cs="Arial"/>
      <w:color w:val="000000" w:themeColor="text1"/>
      <w:kern w:val="2"/>
      <w:sz w:val="22"/>
      <w:szCs w:val="22"/>
      <w14:ligatures w14:val="standardContextual"/>
    </w:rPr>
  </w:style>
  <w:style w:type="paragraph" w:styleId="CommentSubject">
    <w:name w:val="annotation subject"/>
    <w:basedOn w:val="CommentText"/>
    <w:next w:val="CommentText"/>
    <w:link w:val="CommentSubjectChar"/>
    <w:uiPriority w:val="99"/>
    <w:semiHidden/>
    <w:unhideWhenUsed/>
    <w:rsid w:val="006A123D"/>
    <w:rPr>
      <w:b/>
      <w:bCs/>
    </w:rPr>
  </w:style>
  <w:style w:type="character" w:customStyle="1" w:styleId="CommentSubjectChar">
    <w:name w:val="Comment Subject Char"/>
    <w:basedOn w:val="CommentTextChar"/>
    <w:link w:val="CommentSubject"/>
    <w:uiPriority w:val="99"/>
    <w:semiHidden/>
    <w:rsid w:val="006A123D"/>
    <w:rPr>
      <w:rFonts w:ascii="Arial" w:eastAsia="Times New Roman" w:hAnsi="Arial" w:cs="Times New Roman"/>
      <w:b/>
      <w:bCs/>
      <w:kern w:val="0"/>
      <w:sz w:val="20"/>
      <w:szCs w:val="20"/>
      <w14:ligatures w14:val="none"/>
    </w:rPr>
  </w:style>
  <w:style w:type="character" w:customStyle="1" w:styleId="eop">
    <w:name w:val="eop"/>
    <w:basedOn w:val="DefaultParagraphFont"/>
    <w:rsid w:val="006A123D"/>
  </w:style>
  <w:style w:type="paragraph" w:customStyle="1" w:styleId="paragraph0">
    <w:name w:val="paragraph"/>
    <w:basedOn w:val="Normal"/>
    <w:rsid w:val="006A123D"/>
    <w:pPr>
      <w:spacing w:before="100" w:beforeAutospacing="1" w:after="100" w:afterAutospacing="1"/>
    </w:pPr>
    <w:rPr>
      <w:rFonts w:ascii="Times New Roman" w:hAnsi="Times New Roman"/>
      <w:lang w:eastAsia="en-GB"/>
    </w:rPr>
  </w:style>
  <w:style w:type="character" w:styleId="Mention">
    <w:name w:val="Mention"/>
    <w:basedOn w:val="DefaultParagraphFont"/>
    <w:uiPriority w:val="99"/>
    <w:unhideWhenUsed/>
    <w:rsid w:val="006A123D"/>
    <w:rPr>
      <w:color w:val="2B579A"/>
      <w:shd w:val="clear" w:color="auto" w:fill="E1DFDD"/>
    </w:rPr>
  </w:style>
  <w:style w:type="paragraph" w:customStyle="1" w:styleId="Default">
    <w:name w:val="Default"/>
    <w:rsid w:val="006A123D"/>
    <w:pPr>
      <w:autoSpaceDE w:val="0"/>
      <w:autoSpaceDN w:val="0"/>
      <w:adjustRightInd w:val="0"/>
      <w:spacing w:after="0" w:line="240" w:lineRule="auto"/>
    </w:pPr>
    <w:rPr>
      <w:rFonts w:ascii="Cambria" w:hAnsi="Cambria" w:cs="Cambria"/>
      <w:color w:val="000000"/>
      <w:kern w:val="0"/>
      <w:sz w:val="24"/>
      <w:szCs w:val="24"/>
      <w:lang w:val="en-US"/>
      <w14:ligatures w14:val="none"/>
    </w:rPr>
  </w:style>
  <w:style w:type="paragraph" w:styleId="EndnoteText">
    <w:name w:val="endnote text"/>
    <w:basedOn w:val="Normal"/>
    <w:link w:val="EndnoteTextChar"/>
    <w:uiPriority w:val="99"/>
    <w:semiHidden/>
    <w:unhideWhenUsed/>
    <w:rsid w:val="006A123D"/>
    <w:rPr>
      <w:sz w:val="20"/>
      <w:szCs w:val="20"/>
    </w:rPr>
  </w:style>
  <w:style w:type="character" w:customStyle="1" w:styleId="EndnoteTextChar">
    <w:name w:val="Endnote Text Char"/>
    <w:basedOn w:val="DefaultParagraphFont"/>
    <w:link w:val="EndnoteText"/>
    <w:uiPriority w:val="99"/>
    <w:semiHidden/>
    <w:rsid w:val="006A123D"/>
    <w:rPr>
      <w:rFonts w:ascii="Arial" w:eastAsia="Times New Roman" w:hAnsi="Arial" w:cs="Times New Roman"/>
      <w:kern w:val="0"/>
      <w:sz w:val="20"/>
      <w:szCs w:val="20"/>
      <w14:ligatures w14:val="none"/>
    </w:rPr>
  </w:style>
  <w:style w:type="character" w:styleId="EndnoteReference">
    <w:name w:val="endnote reference"/>
    <w:basedOn w:val="DefaultParagraphFont"/>
    <w:uiPriority w:val="99"/>
    <w:semiHidden/>
    <w:unhideWhenUsed/>
    <w:rsid w:val="006A123D"/>
    <w:rPr>
      <w:vertAlign w:val="superscript"/>
    </w:rPr>
  </w:style>
  <w:style w:type="character" w:customStyle="1" w:styleId="cf01">
    <w:name w:val="cf01"/>
    <w:basedOn w:val="DefaultParagraphFont"/>
    <w:rsid w:val="006A123D"/>
    <w:rPr>
      <w:rFonts w:ascii="Segoe UI" w:hAnsi="Segoe UI" w:cs="Segoe UI" w:hint="default"/>
      <w:sz w:val="18"/>
      <w:szCs w:val="18"/>
    </w:rPr>
  </w:style>
  <w:style w:type="paragraph" w:customStyle="1" w:styleId="pf0">
    <w:name w:val="pf0"/>
    <w:basedOn w:val="Normal"/>
    <w:rsid w:val="006A123D"/>
    <w:pPr>
      <w:spacing w:before="100" w:beforeAutospacing="1" w:after="100" w:afterAutospacing="1"/>
    </w:pPr>
    <w:rPr>
      <w:rFonts w:ascii="Times New Roman" w:hAnsi="Times New Roman"/>
      <w:lang w:eastAsia="en-GB"/>
    </w:rPr>
  </w:style>
  <w:style w:type="character" w:customStyle="1" w:styleId="ui-provider">
    <w:name w:val="ui-provider"/>
    <w:basedOn w:val="DefaultParagraphFont"/>
    <w:rsid w:val="006A123D"/>
  </w:style>
  <w:style w:type="character" w:customStyle="1" w:styleId="cf11">
    <w:name w:val="cf11"/>
    <w:basedOn w:val="DefaultParagraphFont"/>
    <w:rsid w:val="006A123D"/>
    <w:rPr>
      <w:rFonts w:ascii="Segoe UI" w:hAnsi="Segoe UI" w:cs="Segoe UI" w:hint="default"/>
      <w:sz w:val="18"/>
      <w:szCs w:val="18"/>
    </w:rPr>
  </w:style>
  <w:style w:type="character" w:customStyle="1" w:styleId="cf21">
    <w:name w:val="cf21"/>
    <w:basedOn w:val="DefaultParagraphFont"/>
    <w:rsid w:val="006A123D"/>
    <w:rPr>
      <w:rFonts w:ascii="Segoe UI" w:hAnsi="Segoe UI" w:cs="Segoe UI" w:hint="default"/>
      <w:i/>
      <w:iCs/>
      <w:sz w:val="18"/>
      <w:szCs w:val="18"/>
    </w:rPr>
  </w:style>
  <w:style w:type="paragraph" w:styleId="NormalWeb">
    <w:name w:val="Normal (Web)"/>
    <w:basedOn w:val="Normal"/>
    <w:uiPriority w:val="99"/>
    <w:semiHidden/>
    <w:unhideWhenUsed/>
    <w:rsid w:val="006A123D"/>
    <w:pPr>
      <w:spacing w:before="100" w:beforeAutospacing="1" w:after="100" w:afterAutospacing="1"/>
    </w:pPr>
    <w:rPr>
      <w:rFonts w:ascii="Times New Roman" w:hAnsi="Times New Roman"/>
      <w:lang w:eastAsia="en-GB"/>
    </w:rPr>
  </w:style>
  <w:style w:type="paragraph" w:customStyle="1" w:styleId="BEISTitle">
    <w:name w:val="BEIS Title"/>
    <w:basedOn w:val="Normal"/>
    <w:next w:val="Normal"/>
    <w:rsid w:val="003557E6"/>
    <w:pPr>
      <w:spacing w:after="240" w:line="320" w:lineRule="atLeast"/>
    </w:pPr>
    <w:rPr>
      <w:rFonts w:eastAsiaTheme="minorHAnsi" w:cstheme="minorBidi"/>
      <w:color w:val="041E42"/>
      <w:sz w:val="76"/>
      <w:szCs w:val="22"/>
    </w:rPr>
  </w:style>
  <w:style w:type="paragraph" w:styleId="TOCHeading">
    <w:name w:val="TOC Heading"/>
    <w:basedOn w:val="Heading1"/>
    <w:next w:val="Normal"/>
    <w:uiPriority w:val="39"/>
    <w:unhideWhenUsed/>
    <w:qFormat/>
    <w:rsid w:val="003557E6"/>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3557E6"/>
    <w:pPr>
      <w:tabs>
        <w:tab w:val="right" w:leader="dot" w:pos="9016"/>
      </w:tabs>
      <w:spacing w:after="100"/>
      <w:ind w:left="240"/>
    </w:pPr>
  </w:style>
  <w:style w:type="paragraph" w:styleId="TOC1">
    <w:name w:val="toc 1"/>
    <w:basedOn w:val="Normal"/>
    <w:next w:val="Normal"/>
    <w:autoRedefine/>
    <w:uiPriority w:val="39"/>
    <w:unhideWhenUsed/>
    <w:rsid w:val="003557E6"/>
    <w:pPr>
      <w:spacing w:after="100"/>
    </w:pPr>
  </w:style>
  <w:style w:type="paragraph" w:styleId="NoSpacing">
    <w:name w:val="No Spacing"/>
    <w:uiPriority w:val="1"/>
    <w:qFormat/>
    <w:rsid w:val="7015248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2280">
      <w:bodyDiv w:val="1"/>
      <w:marLeft w:val="0"/>
      <w:marRight w:val="0"/>
      <w:marTop w:val="0"/>
      <w:marBottom w:val="0"/>
      <w:divBdr>
        <w:top w:val="none" w:sz="0" w:space="0" w:color="auto"/>
        <w:left w:val="none" w:sz="0" w:space="0" w:color="auto"/>
        <w:bottom w:val="none" w:sz="0" w:space="0" w:color="auto"/>
        <w:right w:val="none" w:sz="0" w:space="0" w:color="auto"/>
      </w:divBdr>
      <w:divsChild>
        <w:div w:id="1708097">
          <w:marLeft w:val="0"/>
          <w:marRight w:val="0"/>
          <w:marTop w:val="0"/>
          <w:marBottom w:val="0"/>
          <w:divBdr>
            <w:top w:val="none" w:sz="0" w:space="0" w:color="auto"/>
            <w:left w:val="none" w:sz="0" w:space="0" w:color="auto"/>
            <w:bottom w:val="none" w:sz="0" w:space="0" w:color="auto"/>
            <w:right w:val="none" w:sz="0" w:space="0" w:color="auto"/>
          </w:divBdr>
        </w:div>
        <w:div w:id="728499547">
          <w:marLeft w:val="0"/>
          <w:marRight w:val="0"/>
          <w:marTop w:val="0"/>
          <w:marBottom w:val="0"/>
          <w:divBdr>
            <w:top w:val="none" w:sz="0" w:space="0" w:color="auto"/>
            <w:left w:val="none" w:sz="0" w:space="0" w:color="auto"/>
            <w:bottom w:val="none" w:sz="0" w:space="0" w:color="auto"/>
            <w:right w:val="none" w:sz="0" w:space="0" w:color="auto"/>
          </w:divBdr>
        </w:div>
        <w:div w:id="1067534080">
          <w:marLeft w:val="0"/>
          <w:marRight w:val="0"/>
          <w:marTop w:val="0"/>
          <w:marBottom w:val="0"/>
          <w:divBdr>
            <w:top w:val="none" w:sz="0" w:space="0" w:color="auto"/>
            <w:left w:val="none" w:sz="0" w:space="0" w:color="auto"/>
            <w:bottom w:val="none" w:sz="0" w:space="0" w:color="auto"/>
            <w:right w:val="none" w:sz="0" w:space="0" w:color="auto"/>
          </w:divBdr>
        </w:div>
        <w:div w:id="1377581037">
          <w:marLeft w:val="0"/>
          <w:marRight w:val="0"/>
          <w:marTop w:val="0"/>
          <w:marBottom w:val="0"/>
          <w:divBdr>
            <w:top w:val="none" w:sz="0" w:space="0" w:color="auto"/>
            <w:left w:val="none" w:sz="0" w:space="0" w:color="auto"/>
            <w:bottom w:val="none" w:sz="0" w:space="0" w:color="auto"/>
            <w:right w:val="none" w:sz="0" w:space="0" w:color="auto"/>
          </w:divBdr>
        </w:div>
        <w:div w:id="1902865510">
          <w:marLeft w:val="0"/>
          <w:marRight w:val="0"/>
          <w:marTop w:val="0"/>
          <w:marBottom w:val="0"/>
          <w:divBdr>
            <w:top w:val="none" w:sz="0" w:space="0" w:color="auto"/>
            <w:left w:val="none" w:sz="0" w:space="0" w:color="auto"/>
            <w:bottom w:val="none" w:sz="0" w:space="0" w:color="auto"/>
            <w:right w:val="none" w:sz="0" w:space="0" w:color="auto"/>
          </w:divBdr>
        </w:div>
        <w:div w:id="1944026435">
          <w:marLeft w:val="0"/>
          <w:marRight w:val="0"/>
          <w:marTop w:val="0"/>
          <w:marBottom w:val="0"/>
          <w:divBdr>
            <w:top w:val="none" w:sz="0" w:space="0" w:color="auto"/>
            <w:left w:val="none" w:sz="0" w:space="0" w:color="auto"/>
            <w:bottom w:val="none" w:sz="0" w:space="0" w:color="auto"/>
            <w:right w:val="none" w:sz="0" w:space="0" w:color="auto"/>
          </w:divBdr>
        </w:div>
      </w:divsChild>
    </w:div>
    <w:div w:id="623542239">
      <w:bodyDiv w:val="1"/>
      <w:marLeft w:val="0"/>
      <w:marRight w:val="0"/>
      <w:marTop w:val="0"/>
      <w:marBottom w:val="0"/>
      <w:divBdr>
        <w:top w:val="none" w:sz="0" w:space="0" w:color="auto"/>
        <w:left w:val="none" w:sz="0" w:space="0" w:color="auto"/>
        <w:bottom w:val="none" w:sz="0" w:space="0" w:color="auto"/>
        <w:right w:val="none" w:sz="0" w:space="0" w:color="auto"/>
      </w:divBdr>
      <w:divsChild>
        <w:div w:id="555900549">
          <w:marLeft w:val="0"/>
          <w:marRight w:val="0"/>
          <w:marTop w:val="0"/>
          <w:marBottom w:val="0"/>
          <w:divBdr>
            <w:top w:val="none" w:sz="0" w:space="0" w:color="auto"/>
            <w:left w:val="none" w:sz="0" w:space="0" w:color="auto"/>
            <w:bottom w:val="none" w:sz="0" w:space="0" w:color="auto"/>
            <w:right w:val="none" w:sz="0" w:space="0" w:color="auto"/>
          </w:divBdr>
        </w:div>
        <w:div w:id="828399672">
          <w:marLeft w:val="0"/>
          <w:marRight w:val="0"/>
          <w:marTop w:val="0"/>
          <w:marBottom w:val="0"/>
          <w:divBdr>
            <w:top w:val="none" w:sz="0" w:space="0" w:color="auto"/>
            <w:left w:val="none" w:sz="0" w:space="0" w:color="auto"/>
            <w:bottom w:val="none" w:sz="0" w:space="0" w:color="auto"/>
            <w:right w:val="none" w:sz="0" w:space="0" w:color="auto"/>
          </w:divBdr>
        </w:div>
        <w:div w:id="918516165">
          <w:marLeft w:val="0"/>
          <w:marRight w:val="0"/>
          <w:marTop w:val="0"/>
          <w:marBottom w:val="0"/>
          <w:divBdr>
            <w:top w:val="none" w:sz="0" w:space="0" w:color="auto"/>
            <w:left w:val="none" w:sz="0" w:space="0" w:color="auto"/>
            <w:bottom w:val="none" w:sz="0" w:space="0" w:color="auto"/>
            <w:right w:val="none" w:sz="0" w:space="0" w:color="auto"/>
          </w:divBdr>
        </w:div>
        <w:div w:id="1301500671">
          <w:marLeft w:val="0"/>
          <w:marRight w:val="0"/>
          <w:marTop w:val="0"/>
          <w:marBottom w:val="0"/>
          <w:divBdr>
            <w:top w:val="none" w:sz="0" w:space="0" w:color="auto"/>
            <w:left w:val="none" w:sz="0" w:space="0" w:color="auto"/>
            <w:bottom w:val="none" w:sz="0" w:space="0" w:color="auto"/>
            <w:right w:val="none" w:sz="0" w:space="0" w:color="auto"/>
          </w:divBdr>
        </w:div>
        <w:div w:id="1963995477">
          <w:marLeft w:val="0"/>
          <w:marRight w:val="0"/>
          <w:marTop w:val="0"/>
          <w:marBottom w:val="0"/>
          <w:divBdr>
            <w:top w:val="none" w:sz="0" w:space="0" w:color="auto"/>
            <w:left w:val="none" w:sz="0" w:space="0" w:color="auto"/>
            <w:bottom w:val="none" w:sz="0" w:space="0" w:color="auto"/>
            <w:right w:val="none" w:sz="0" w:space="0" w:color="auto"/>
          </w:divBdr>
        </w:div>
        <w:div w:id="2102018398">
          <w:marLeft w:val="0"/>
          <w:marRight w:val="0"/>
          <w:marTop w:val="0"/>
          <w:marBottom w:val="0"/>
          <w:divBdr>
            <w:top w:val="none" w:sz="0" w:space="0" w:color="auto"/>
            <w:left w:val="none" w:sz="0" w:space="0" w:color="auto"/>
            <w:bottom w:val="none" w:sz="0" w:space="0" w:color="auto"/>
            <w:right w:val="none" w:sz="0" w:space="0" w:color="auto"/>
          </w:divBdr>
        </w:div>
      </w:divsChild>
    </w:div>
    <w:div w:id="676690393">
      <w:bodyDiv w:val="1"/>
      <w:marLeft w:val="0"/>
      <w:marRight w:val="0"/>
      <w:marTop w:val="0"/>
      <w:marBottom w:val="0"/>
      <w:divBdr>
        <w:top w:val="none" w:sz="0" w:space="0" w:color="auto"/>
        <w:left w:val="none" w:sz="0" w:space="0" w:color="auto"/>
        <w:bottom w:val="none" w:sz="0" w:space="0" w:color="auto"/>
        <w:right w:val="none" w:sz="0" w:space="0" w:color="auto"/>
      </w:divBdr>
    </w:div>
    <w:div w:id="742605736">
      <w:bodyDiv w:val="1"/>
      <w:marLeft w:val="0"/>
      <w:marRight w:val="0"/>
      <w:marTop w:val="0"/>
      <w:marBottom w:val="0"/>
      <w:divBdr>
        <w:top w:val="none" w:sz="0" w:space="0" w:color="auto"/>
        <w:left w:val="none" w:sz="0" w:space="0" w:color="auto"/>
        <w:bottom w:val="none" w:sz="0" w:space="0" w:color="auto"/>
        <w:right w:val="none" w:sz="0" w:space="0" w:color="auto"/>
      </w:divBdr>
    </w:div>
    <w:div w:id="861169205">
      <w:bodyDiv w:val="1"/>
      <w:marLeft w:val="0"/>
      <w:marRight w:val="0"/>
      <w:marTop w:val="0"/>
      <w:marBottom w:val="0"/>
      <w:divBdr>
        <w:top w:val="none" w:sz="0" w:space="0" w:color="auto"/>
        <w:left w:val="none" w:sz="0" w:space="0" w:color="auto"/>
        <w:bottom w:val="none" w:sz="0" w:space="0" w:color="auto"/>
        <w:right w:val="none" w:sz="0" w:space="0" w:color="auto"/>
      </w:divBdr>
      <w:divsChild>
        <w:div w:id="44449960">
          <w:marLeft w:val="0"/>
          <w:marRight w:val="0"/>
          <w:marTop w:val="0"/>
          <w:marBottom w:val="0"/>
          <w:divBdr>
            <w:top w:val="none" w:sz="0" w:space="0" w:color="auto"/>
            <w:left w:val="none" w:sz="0" w:space="0" w:color="auto"/>
            <w:bottom w:val="none" w:sz="0" w:space="0" w:color="auto"/>
            <w:right w:val="none" w:sz="0" w:space="0" w:color="auto"/>
          </w:divBdr>
        </w:div>
        <w:div w:id="81266824">
          <w:marLeft w:val="0"/>
          <w:marRight w:val="0"/>
          <w:marTop w:val="0"/>
          <w:marBottom w:val="0"/>
          <w:divBdr>
            <w:top w:val="none" w:sz="0" w:space="0" w:color="auto"/>
            <w:left w:val="none" w:sz="0" w:space="0" w:color="auto"/>
            <w:bottom w:val="none" w:sz="0" w:space="0" w:color="auto"/>
            <w:right w:val="none" w:sz="0" w:space="0" w:color="auto"/>
          </w:divBdr>
        </w:div>
        <w:div w:id="244455086">
          <w:marLeft w:val="0"/>
          <w:marRight w:val="0"/>
          <w:marTop w:val="0"/>
          <w:marBottom w:val="0"/>
          <w:divBdr>
            <w:top w:val="none" w:sz="0" w:space="0" w:color="auto"/>
            <w:left w:val="none" w:sz="0" w:space="0" w:color="auto"/>
            <w:bottom w:val="none" w:sz="0" w:space="0" w:color="auto"/>
            <w:right w:val="none" w:sz="0" w:space="0" w:color="auto"/>
          </w:divBdr>
        </w:div>
        <w:div w:id="249781362">
          <w:marLeft w:val="0"/>
          <w:marRight w:val="0"/>
          <w:marTop w:val="0"/>
          <w:marBottom w:val="0"/>
          <w:divBdr>
            <w:top w:val="none" w:sz="0" w:space="0" w:color="auto"/>
            <w:left w:val="none" w:sz="0" w:space="0" w:color="auto"/>
            <w:bottom w:val="none" w:sz="0" w:space="0" w:color="auto"/>
            <w:right w:val="none" w:sz="0" w:space="0" w:color="auto"/>
          </w:divBdr>
        </w:div>
        <w:div w:id="254821440">
          <w:marLeft w:val="0"/>
          <w:marRight w:val="0"/>
          <w:marTop w:val="0"/>
          <w:marBottom w:val="0"/>
          <w:divBdr>
            <w:top w:val="none" w:sz="0" w:space="0" w:color="auto"/>
            <w:left w:val="none" w:sz="0" w:space="0" w:color="auto"/>
            <w:bottom w:val="none" w:sz="0" w:space="0" w:color="auto"/>
            <w:right w:val="none" w:sz="0" w:space="0" w:color="auto"/>
          </w:divBdr>
        </w:div>
        <w:div w:id="255287172">
          <w:marLeft w:val="0"/>
          <w:marRight w:val="0"/>
          <w:marTop w:val="0"/>
          <w:marBottom w:val="0"/>
          <w:divBdr>
            <w:top w:val="none" w:sz="0" w:space="0" w:color="auto"/>
            <w:left w:val="none" w:sz="0" w:space="0" w:color="auto"/>
            <w:bottom w:val="none" w:sz="0" w:space="0" w:color="auto"/>
            <w:right w:val="none" w:sz="0" w:space="0" w:color="auto"/>
          </w:divBdr>
        </w:div>
        <w:div w:id="1178620844">
          <w:marLeft w:val="0"/>
          <w:marRight w:val="0"/>
          <w:marTop w:val="0"/>
          <w:marBottom w:val="0"/>
          <w:divBdr>
            <w:top w:val="none" w:sz="0" w:space="0" w:color="auto"/>
            <w:left w:val="none" w:sz="0" w:space="0" w:color="auto"/>
            <w:bottom w:val="none" w:sz="0" w:space="0" w:color="auto"/>
            <w:right w:val="none" w:sz="0" w:space="0" w:color="auto"/>
          </w:divBdr>
        </w:div>
        <w:div w:id="1731266030">
          <w:marLeft w:val="0"/>
          <w:marRight w:val="0"/>
          <w:marTop w:val="0"/>
          <w:marBottom w:val="0"/>
          <w:divBdr>
            <w:top w:val="none" w:sz="0" w:space="0" w:color="auto"/>
            <w:left w:val="none" w:sz="0" w:space="0" w:color="auto"/>
            <w:bottom w:val="none" w:sz="0" w:space="0" w:color="auto"/>
            <w:right w:val="none" w:sz="0" w:space="0" w:color="auto"/>
          </w:divBdr>
        </w:div>
        <w:div w:id="2041859338">
          <w:marLeft w:val="0"/>
          <w:marRight w:val="0"/>
          <w:marTop w:val="0"/>
          <w:marBottom w:val="0"/>
          <w:divBdr>
            <w:top w:val="none" w:sz="0" w:space="0" w:color="auto"/>
            <w:left w:val="none" w:sz="0" w:space="0" w:color="auto"/>
            <w:bottom w:val="none" w:sz="0" w:space="0" w:color="auto"/>
            <w:right w:val="none" w:sz="0" w:space="0" w:color="auto"/>
          </w:divBdr>
        </w:div>
        <w:div w:id="2056393876">
          <w:marLeft w:val="0"/>
          <w:marRight w:val="0"/>
          <w:marTop w:val="0"/>
          <w:marBottom w:val="0"/>
          <w:divBdr>
            <w:top w:val="none" w:sz="0" w:space="0" w:color="auto"/>
            <w:left w:val="none" w:sz="0" w:space="0" w:color="auto"/>
            <w:bottom w:val="none" w:sz="0" w:space="0" w:color="auto"/>
            <w:right w:val="none" w:sz="0" w:space="0" w:color="auto"/>
          </w:divBdr>
        </w:div>
      </w:divsChild>
    </w:div>
    <w:div w:id="946616736">
      <w:bodyDiv w:val="1"/>
      <w:marLeft w:val="0"/>
      <w:marRight w:val="0"/>
      <w:marTop w:val="0"/>
      <w:marBottom w:val="0"/>
      <w:divBdr>
        <w:top w:val="none" w:sz="0" w:space="0" w:color="auto"/>
        <w:left w:val="none" w:sz="0" w:space="0" w:color="auto"/>
        <w:bottom w:val="none" w:sz="0" w:space="0" w:color="auto"/>
        <w:right w:val="none" w:sz="0" w:space="0" w:color="auto"/>
      </w:divBdr>
    </w:div>
    <w:div w:id="1292638019">
      <w:bodyDiv w:val="1"/>
      <w:marLeft w:val="0"/>
      <w:marRight w:val="0"/>
      <w:marTop w:val="0"/>
      <w:marBottom w:val="0"/>
      <w:divBdr>
        <w:top w:val="none" w:sz="0" w:space="0" w:color="auto"/>
        <w:left w:val="none" w:sz="0" w:space="0" w:color="auto"/>
        <w:bottom w:val="none" w:sz="0" w:space="0" w:color="auto"/>
        <w:right w:val="none" w:sz="0" w:space="0" w:color="auto"/>
      </w:divBdr>
      <w:divsChild>
        <w:div w:id="85268260">
          <w:marLeft w:val="0"/>
          <w:marRight w:val="0"/>
          <w:marTop w:val="0"/>
          <w:marBottom w:val="0"/>
          <w:divBdr>
            <w:top w:val="none" w:sz="0" w:space="0" w:color="auto"/>
            <w:left w:val="none" w:sz="0" w:space="0" w:color="auto"/>
            <w:bottom w:val="none" w:sz="0" w:space="0" w:color="auto"/>
            <w:right w:val="none" w:sz="0" w:space="0" w:color="auto"/>
          </w:divBdr>
        </w:div>
        <w:div w:id="1049842750">
          <w:marLeft w:val="0"/>
          <w:marRight w:val="0"/>
          <w:marTop w:val="0"/>
          <w:marBottom w:val="0"/>
          <w:divBdr>
            <w:top w:val="none" w:sz="0" w:space="0" w:color="auto"/>
            <w:left w:val="none" w:sz="0" w:space="0" w:color="auto"/>
            <w:bottom w:val="none" w:sz="0" w:space="0" w:color="auto"/>
            <w:right w:val="none" w:sz="0" w:space="0" w:color="auto"/>
          </w:divBdr>
        </w:div>
        <w:div w:id="2013021936">
          <w:marLeft w:val="0"/>
          <w:marRight w:val="0"/>
          <w:marTop w:val="0"/>
          <w:marBottom w:val="0"/>
          <w:divBdr>
            <w:top w:val="none" w:sz="0" w:space="0" w:color="auto"/>
            <w:left w:val="none" w:sz="0" w:space="0" w:color="auto"/>
            <w:bottom w:val="none" w:sz="0" w:space="0" w:color="auto"/>
            <w:right w:val="none" w:sz="0" w:space="0" w:color="auto"/>
          </w:divBdr>
        </w:div>
      </w:divsChild>
    </w:div>
    <w:div w:id="1312714506">
      <w:bodyDiv w:val="1"/>
      <w:marLeft w:val="0"/>
      <w:marRight w:val="0"/>
      <w:marTop w:val="0"/>
      <w:marBottom w:val="0"/>
      <w:divBdr>
        <w:top w:val="none" w:sz="0" w:space="0" w:color="auto"/>
        <w:left w:val="none" w:sz="0" w:space="0" w:color="auto"/>
        <w:bottom w:val="none" w:sz="0" w:space="0" w:color="auto"/>
        <w:right w:val="none" w:sz="0" w:space="0" w:color="auto"/>
      </w:divBdr>
    </w:div>
    <w:div w:id="1671325971">
      <w:bodyDiv w:val="1"/>
      <w:marLeft w:val="0"/>
      <w:marRight w:val="0"/>
      <w:marTop w:val="0"/>
      <w:marBottom w:val="0"/>
      <w:divBdr>
        <w:top w:val="none" w:sz="0" w:space="0" w:color="auto"/>
        <w:left w:val="none" w:sz="0" w:space="0" w:color="auto"/>
        <w:bottom w:val="none" w:sz="0" w:space="0" w:color="auto"/>
        <w:right w:val="none" w:sz="0" w:space="0" w:color="auto"/>
      </w:divBdr>
    </w:div>
    <w:div w:id="1865509754">
      <w:bodyDiv w:val="1"/>
      <w:marLeft w:val="0"/>
      <w:marRight w:val="0"/>
      <w:marTop w:val="0"/>
      <w:marBottom w:val="0"/>
      <w:divBdr>
        <w:top w:val="none" w:sz="0" w:space="0" w:color="auto"/>
        <w:left w:val="none" w:sz="0" w:space="0" w:color="auto"/>
        <w:bottom w:val="none" w:sz="0" w:space="0" w:color="auto"/>
        <w:right w:val="none" w:sz="0" w:space="0" w:color="auto"/>
      </w:divBdr>
      <w:divsChild>
        <w:div w:id="258610527">
          <w:marLeft w:val="0"/>
          <w:marRight w:val="0"/>
          <w:marTop w:val="0"/>
          <w:marBottom w:val="0"/>
          <w:divBdr>
            <w:top w:val="none" w:sz="0" w:space="0" w:color="auto"/>
            <w:left w:val="none" w:sz="0" w:space="0" w:color="auto"/>
            <w:bottom w:val="none" w:sz="0" w:space="0" w:color="auto"/>
            <w:right w:val="none" w:sz="0" w:space="0" w:color="auto"/>
          </w:divBdr>
        </w:div>
        <w:div w:id="741683082">
          <w:marLeft w:val="0"/>
          <w:marRight w:val="0"/>
          <w:marTop w:val="0"/>
          <w:marBottom w:val="0"/>
          <w:divBdr>
            <w:top w:val="none" w:sz="0" w:space="0" w:color="auto"/>
            <w:left w:val="none" w:sz="0" w:space="0" w:color="auto"/>
            <w:bottom w:val="none" w:sz="0" w:space="0" w:color="auto"/>
            <w:right w:val="none" w:sz="0" w:space="0" w:color="auto"/>
          </w:divBdr>
        </w:div>
        <w:div w:id="1143766018">
          <w:marLeft w:val="0"/>
          <w:marRight w:val="0"/>
          <w:marTop w:val="0"/>
          <w:marBottom w:val="0"/>
          <w:divBdr>
            <w:top w:val="none" w:sz="0" w:space="0" w:color="auto"/>
            <w:left w:val="none" w:sz="0" w:space="0" w:color="auto"/>
            <w:bottom w:val="none" w:sz="0" w:space="0" w:color="auto"/>
            <w:right w:val="none" w:sz="0" w:space="0" w:color="auto"/>
          </w:divBdr>
        </w:div>
        <w:div w:id="1160196671">
          <w:marLeft w:val="0"/>
          <w:marRight w:val="0"/>
          <w:marTop w:val="0"/>
          <w:marBottom w:val="0"/>
          <w:divBdr>
            <w:top w:val="none" w:sz="0" w:space="0" w:color="auto"/>
            <w:left w:val="none" w:sz="0" w:space="0" w:color="auto"/>
            <w:bottom w:val="none" w:sz="0" w:space="0" w:color="auto"/>
            <w:right w:val="none" w:sz="0" w:space="0" w:color="auto"/>
          </w:divBdr>
        </w:div>
        <w:div w:id="1189374927">
          <w:marLeft w:val="0"/>
          <w:marRight w:val="0"/>
          <w:marTop w:val="0"/>
          <w:marBottom w:val="0"/>
          <w:divBdr>
            <w:top w:val="none" w:sz="0" w:space="0" w:color="auto"/>
            <w:left w:val="none" w:sz="0" w:space="0" w:color="auto"/>
            <w:bottom w:val="none" w:sz="0" w:space="0" w:color="auto"/>
            <w:right w:val="none" w:sz="0" w:space="0" w:color="auto"/>
          </w:divBdr>
        </w:div>
        <w:div w:id="1419134697">
          <w:marLeft w:val="0"/>
          <w:marRight w:val="0"/>
          <w:marTop w:val="0"/>
          <w:marBottom w:val="0"/>
          <w:divBdr>
            <w:top w:val="none" w:sz="0" w:space="0" w:color="auto"/>
            <w:left w:val="none" w:sz="0" w:space="0" w:color="auto"/>
            <w:bottom w:val="none" w:sz="0" w:space="0" w:color="auto"/>
            <w:right w:val="none" w:sz="0" w:space="0" w:color="auto"/>
          </w:divBdr>
        </w:div>
        <w:div w:id="1477840155">
          <w:marLeft w:val="0"/>
          <w:marRight w:val="0"/>
          <w:marTop w:val="0"/>
          <w:marBottom w:val="0"/>
          <w:divBdr>
            <w:top w:val="none" w:sz="0" w:space="0" w:color="auto"/>
            <w:left w:val="none" w:sz="0" w:space="0" w:color="auto"/>
            <w:bottom w:val="none" w:sz="0" w:space="0" w:color="auto"/>
            <w:right w:val="none" w:sz="0" w:space="0" w:color="auto"/>
          </w:divBdr>
        </w:div>
        <w:div w:id="1690373423">
          <w:marLeft w:val="0"/>
          <w:marRight w:val="0"/>
          <w:marTop w:val="0"/>
          <w:marBottom w:val="0"/>
          <w:divBdr>
            <w:top w:val="none" w:sz="0" w:space="0" w:color="auto"/>
            <w:left w:val="none" w:sz="0" w:space="0" w:color="auto"/>
            <w:bottom w:val="none" w:sz="0" w:space="0" w:color="auto"/>
            <w:right w:val="none" w:sz="0" w:space="0" w:color="auto"/>
          </w:divBdr>
        </w:div>
        <w:div w:id="1886409956">
          <w:marLeft w:val="0"/>
          <w:marRight w:val="0"/>
          <w:marTop w:val="0"/>
          <w:marBottom w:val="0"/>
          <w:divBdr>
            <w:top w:val="none" w:sz="0" w:space="0" w:color="auto"/>
            <w:left w:val="none" w:sz="0" w:space="0" w:color="auto"/>
            <w:bottom w:val="none" w:sz="0" w:space="0" w:color="auto"/>
            <w:right w:val="none" w:sz="0" w:space="0" w:color="auto"/>
          </w:divBdr>
        </w:div>
        <w:div w:id="2118717624">
          <w:marLeft w:val="0"/>
          <w:marRight w:val="0"/>
          <w:marTop w:val="0"/>
          <w:marBottom w:val="0"/>
          <w:divBdr>
            <w:top w:val="none" w:sz="0" w:space="0" w:color="auto"/>
            <w:left w:val="none" w:sz="0" w:space="0" w:color="auto"/>
            <w:bottom w:val="none" w:sz="0" w:space="0" w:color="auto"/>
            <w:right w:val="none" w:sz="0" w:space="0" w:color="auto"/>
          </w:divBdr>
        </w:div>
      </w:divsChild>
    </w:div>
    <w:div w:id="2106605182">
      <w:bodyDiv w:val="1"/>
      <w:marLeft w:val="0"/>
      <w:marRight w:val="0"/>
      <w:marTop w:val="0"/>
      <w:marBottom w:val="0"/>
      <w:divBdr>
        <w:top w:val="none" w:sz="0" w:space="0" w:color="auto"/>
        <w:left w:val="none" w:sz="0" w:space="0" w:color="auto"/>
        <w:bottom w:val="none" w:sz="0" w:space="0" w:color="auto"/>
        <w:right w:val="none" w:sz="0" w:space="0" w:color="auto"/>
      </w:divBdr>
      <w:divsChild>
        <w:div w:id="406194283">
          <w:marLeft w:val="0"/>
          <w:marRight w:val="0"/>
          <w:marTop w:val="0"/>
          <w:marBottom w:val="0"/>
          <w:divBdr>
            <w:top w:val="none" w:sz="0" w:space="0" w:color="auto"/>
            <w:left w:val="none" w:sz="0" w:space="0" w:color="auto"/>
            <w:bottom w:val="none" w:sz="0" w:space="0" w:color="auto"/>
            <w:right w:val="none" w:sz="0" w:space="0" w:color="auto"/>
          </w:divBdr>
          <w:divsChild>
            <w:div w:id="1286889579">
              <w:marLeft w:val="0"/>
              <w:marRight w:val="0"/>
              <w:marTop w:val="0"/>
              <w:marBottom w:val="0"/>
              <w:divBdr>
                <w:top w:val="none" w:sz="0" w:space="0" w:color="auto"/>
                <w:left w:val="none" w:sz="0" w:space="0" w:color="auto"/>
                <w:bottom w:val="none" w:sz="0" w:space="0" w:color="auto"/>
                <w:right w:val="none" w:sz="0" w:space="0" w:color="auto"/>
              </w:divBdr>
            </w:div>
          </w:divsChild>
        </w:div>
        <w:div w:id="1593736493">
          <w:marLeft w:val="0"/>
          <w:marRight w:val="0"/>
          <w:marTop w:val="0"/>
          <w:marBottom w:val="0"/>
          <w:divBdr>
            <w:top w:val="none" w:sz="0" w:space="0" w:color="auto"/>
            <w:left w:val="none" w:sz="0" w:space="0" w:color="auto"/>
            <w:bottom w:val="none" w:sz="0" w:space="0" w:color="auto"/>
            <w:right w:val="none" w:sz="0" w:space="0" w:color="auto"/>
          </w:divBdr>
          <w:divsChild>
            <w:div w:id="1836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0034">
      <w:bodyDiv w:val="1"/>
      <w:marLeft w:val="0"/>
      <w:marRight w:val="0"/>
      <w:marTop w:val="0"/>
      <w:marBottom w:val="0"/>
      <w:divBdr>
        <w:top w:val="none" w:sz="0" w:space="0" w:color="auto"/>
        <w:left w:val="none" w:sz="0" w:space="0" w:color="auto"/>
        <w:bottom w:val="none" w:sz="0" w:space="0" w:color="auto"/>
        <w:right w:val="none" w:sz="0" w:space="0" w:color="auto"/>
      </w:divBdr>
      <w:divsChild>
        <w:div w:id="139854303">
          <w:marLeft w:val="0"/>
          <w:marRight w:val="0"/>
          <w:marTop w:val="0"/>
          <w:marBottom w:val="0"/>
          <w:divBdr>
            <w:top w:val="none" w:sz="0" w:space="0" w:color="auto"/>
            <w:left w:val="none" w:sz="0" w:space="0" w:color="auto"/>
            <w:bottom w:val="none" w:sz="0" w:space="0" w:color="auto"/>
            <w:right w:val="none" w:sz="0" w:space="0" w:color="auto"/>
          </w:divBdr>
        </w:div>
        <w:div w:id="1344743206">
          <w:marLeft w:val="0"/>
          <w:marRight w:val="0"/>
          <w:marTop w:val="0"/>
          <w:marBottom w:val="0"/>
          <w:divBdr>
            <w:top w:val="none" w:sz="0" w:space="0" w:color="auto"/>
            <w:left w:val="none" w:sz="0" w:space="0" w:color="auto"/>
            <w:bottom w:val="none" w:sz="0" w:space="0" w:color="auto"/>
            <w:right w:val="none" w:sz="0" w:space="0" w:color="auto"/>
          </w:divBdr>
        </w:div>
        <w:div w:id="15489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ationalarchives.gov.uk/doc/open-government-licence/version/3/" TargetMode="External"/><Relationship Id="rId18" Type="http://schemas.openxmlformats.org/officeDocument/2006/relationships/hyperlink" Target="https://science-and-innovation-network.s3.eu-west-2.amazonaws.com/BEIS+ICF/MAGC/MAGC+Annual+Review+2019-20.doc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cience-and-innovation-network.s3.eu-west-2.amazonaws.com/BEIS+ICF/MAGC/2022-23+MAGC+Annual+Review+Year+5+.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cience-and-innovation-network.s3.eu-west-2.amazonaws.com/BEIS+ICF/MAGC/MAGC+Annual+Review+2018-19.doc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cience-and-innovation-network.s3.eu-west-2.amazonaws.com/BEIS+ICF/MAGC/MAGC+Business+Case.docx" TargetMode="External"/><Relationship Id="rId20" Type="http://schemas.openxmlformats.org/officeDocument/2006/relationships/hyperlink" Target="https://science-and-innovation-network.s3.eu-west-2.amazonaws.com/BEIS+ICF/MAGC/MAGC+Annual+Review+2021-22.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ODA-Transparency@beis.gov.uk"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science-and-innovation-network.s3.eu-west-2.amazonaws.com/BEIS+ICF/MAGC/MAGC+Annual+Review+2020-21.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gacyData xmlns="aaacb922-5235-4a66-b188-303b9b46fbd7" xsi:nil="true"/>
    <SharedWithUsers xmlns="92ad9e33-5271-4ce6-bdd9-333434fbc601">
      <UserInfo>
        <DisplayName>zz_O'Connor, Maureen (BEIS)</DisplayName>
        <AccountId>14000</AccountId>
        <AccountType/>
      </UserInfo>
      <UserInfo>
        <DisplayName>Andrews, Rob (Energy Security)</DisplayName>
        <AccountId>11517</AccountId>
        <AccountType/>
      </UserInfo>
      <UserInfo>
        <DisplayName>menzies.mcgurk@fcdo.gov.uk</DisplayName>
        <AccountId>15260</AccountId>
        <AccountType/>
      </UserInfo>
      <UserInfo>
        <DisplayName>Berry, Simon (NZSI- Net Zero Strategy)</DisplayName>
        <AccountId>1423</AccountId>
        <AccountType/>
      </UserInfo>
      <UserInfo>
        <DisplayName>Lloyd, Rachel (Energy Security)</DisplayName>
        <AccountId>426</AccountId>
        <AccountType/>
      </UserInfo>
      <UserInfo>
        <DisplayName>Cooper, Rebecca (Energy Security)</DisplayName>
        <AccountId>11411</AccountId>
        <AccountType/>
      </UserInfo>
      <UserInfo>
        <DisplayName>Coyle2, Tommy (Energy Security)</DisplayName>
        <AccountId>2662</AccountId>
        <AccountType/>
      </UserInfo>
    </SharedWithUsers>
    <lcf76f155ced4ddcb4097134ff3c332f xmlns="c428dd7c-603b-4269-bcac-7b8676926974">
      <Terms xmlns="http://schemas.microsoft.com/office/infopath/2007/PartnerControls"/>
    </lcf76f155ced4ddcb4097134ff3c332f>
    <TaxCatchAll xmlns="92ad9e33-5271-4ce6-bdd9-333434fbc601">
      <Value>1</Value>
    </TaxCatchAll>
    <_dlc_DocId xmlns="92ad9e33-5271-4ce6-bdd9-333434fbc601">FQW7PQWC2EQU-2126234253-38185</_dlc_DocId>
    <_dlc_DocIdUrl xmlns="92ad9e33-5271-4ce6-bdd9-333434fbc601">
      <Url>https://beisgov.sharepoint.com/sites/ICF/_layouts/15/DocIdRedir.aspx?ID=FQW7PQWC2EQU-2126234253-38185</Url>
      <Description>FQW7PQWC2EQU-2126234253-38185</Description>
    </_dlc_DocIdUrl>
    <Government_x0020_Body xmlns="b413c3fd-5a3b-4239-b985-69032e371c04">BEIS</Government_x0020_Body>
    <Date_x0020_Opened xmlns="b413c3fd-5a3b-4239-b985-69032e371c04">2026-06-19T11:42:27+00:00</Date_x0020_Opened>
    <Descriptor xmlns="0063f72e-ace3-48fb-9c1f-5b513408b31f" xsi:nil="true"/>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overview xmlns="c428dd7c-603b-4269-bcac-7b8676926974" xsi:nil="true"/>
    <Security_x0020_Classification xmlns="0063f72e-ace3-48fb-9c1f-5b513408b31f">OFFICIAL</Security_x0020_Classification>
    <Retention_x0020_Label xmlns="a8f60570-4bd3-4f2b-950b-a996de8ab151" xsi:nil="true"/>
    <Date_x0020_Closed xmlns="b413c3fd-5a3b-4239-b985-69032e371c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20" ma:contentTypeDescription="Create a new document." ma:contentTypeScope="" ma:versionID="2817b948c73515af29ee4a10379e8f93">
  <xsd:schema xmlns:xsd="http://www.w3.org/2001/XMLSchema" xmlns:xs="http://www.w3.org/2001/XMLSchema" xmlns:p="http://schemas.microsoft.com/office/2006/metadata/properties" xmlns:ns1="http://schemas.microsoft.com/sharepoint/v3"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809daeac288255535ae8f0686bc760d9" ns1:_="" ns2:_="" ns3:_="" ns4:_="" ns5:_="" ns6:_="" ns7:_="">
    <xsd:import namespace="http://schemas.microsoft.com/sharepoint/v3"/>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element ref="ns7:MediaLengthInSeconds" minOccurs="0"/>
                <xsd:element ref="ns7:MediaServiceObjectDetectorVersions" minOccurs="0"/>
                <xsd:element ref="ns7:overview" minOccurs="0"/>
                <xsd:element ref="ns7:lcf76f155ced4ddcb4097134ff3c332f"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overview" ma:index="36" nillable="true" ma:displayName="overview" ma:format="Dropdown" ma:internalName="overview">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90756-3319-4168-9EE7-02AE26434902}">
  <ds:schemaRefs>
    <ds:schemaRef ds:uri="http://schemas.microsoft.com/sharepoint/events"/>
  </ds:schemaRefs>
</ds:datastoreItem>
</file>

<file path=customXml/itemProps2.xml><?xml version="1.0" encoding="utf-8"?>
<ds:datastoreItem xmlns:ds="http://schemas.openxmlformats.org/officeDocument/2006/customXml" ds:itemID="{EBAA80F0-B3F5-4F63-A11C-C9B6299893B8}">
  <ds:schemaRefs>
    <ds:schemaRef ds:uri="http://schemas.microsoft.com/office/2006/metadata/properties"/>
    <ds:schemaRef ds:uri="http://schemas.microsoft.com/office/infopath/2007/PartnerControls"/>
    <ds:schemaRef ds:uri="http://schemas.microsoft.com/sharepoint/v3"/>
    <ds:schemaRef ds:uri="b9d65af1-18fa-4dc7-9941-b26f165da588"/>
    <ds:schemaRef ds:uri="374ed4d6-b127-4161-a8d5-91d2d6d266bd"/>
    <ds:schemaRef ds:uri="0f9fa326-da26-4ea8-b6a9-645e8136fe1d"/>
    <ds:schemaRef ds:uri="aaacb922-5235-4a66-b188-303b9b46fbd7"/>
  </ds:schemaRefs>
</ds:datastoreItem>
</file>

<file path=customXml/itemProps3.xml><?xml version="1.0" encoding="utf-8"?>
<ds:datastoreItem xmlns:ds="http://schemas.openxmlformats.org/officeDocument/2006/customXml" ds:itemID="{D0FA10AD-4043-4286-A9FB-1F8CC32ED2CC}">
  <ds:schemaRefs>
    <ds:schemaRef ds:uri="http://schemas.openxmlformats.org/officeDocument/2006/bibliography"/>
  </ds:schemaRefs>
</ds:datastoreItem>
</file>

<file path=customXml/itemProps4.xml><?xml version="1.0" encoding="utf-8"?>
<ds:datastoreItem xmlns:ds="http://schemas.openxmlformats.org/officeDocument/2006/customXml" ds:itemID="{34383056-5EBC-4E3C-8C12-5FBBBF1A4759}"/>
</file>

<file path=customXml/itemProps5.xml><?xml version="1.0" encoding="utf-8"?>
<ds:datastoreItem xmlns:ds="http://schemas.openxmlformats.org/officeDocument/2006/customXml" ds:itemID="{D909A58E-3336-4359-B451-2C9538AFF9FE}">
  <ds:schemaRefs>
    <ds:schemaRef ds:uri="http://schemas.microsoft.com/sharepoint/v3/contenttype/form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2</TotalTime>
  <Pages>49</Pages>
  <Words>17808</Words>
  <Characters>102934</Characters>
  <Application>Microsoft Office Word</Application>
  <DocSecurity>0</DocSecurity>
  <Lines>2573</Lines>
  <Paragraphs>1312</Paragraphs>
  <ScaleCrop>false</ScaleCrop>
  <Company/>
  <LinksUpToDate>false</LinksUpToDate>
  <CharactersWithSpaces>119430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Boustead, Rebecca (Energy Security)</dc:creator>
  <cp:keywords/>
  <dc:description/>
  <cp:lastModifiedBy>Boustead, Rebecca (Energy Security)</cp:lastModifiedBy>
  <cp:revision>422</cp:revision>
  <dcterms:created xsi:type="dcterms:W3CDTF">2025-07-29T11:03:00Z</dcterms:created>
  <dcterms:modified xsi:type="dcterms:W3CDTF">2026-01-26T10:12:00Z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287099d4,3fe77979,2cd9106c</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2025-06-11T19:39:42Z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89d1864a-b1a3-4d0a-b2b6-333a45ca40cc</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Business Unit">
    <vt:lpwstr>1;#International Climate Finance|25a07eec-082c-4868-be05-2bef48a6767e</vt:lpwstr>
  </property>
  <property fmtid="{D5CDD505-2E9C-101B-9397-08002B2CF9AE}" pid="14" name="MSIP_Label_ba62f585-b40f-4ab9-bafe-39150f03d124_SiteId">
    <vt:lpwstr>cbac7005-02c1-43eb-b497-e6492d1b2dd8</vt:lpwstr>
  </property>
  <property fmtid="{D5CDD505-2E9C-101B-9397-08002B2CF9AE}" pid="15" name="KIM_Activity">
    <vt:lpwstr>2;#International climate|5a595758-250c-1237-4802-ae3329732708</vt:lpwstr>
  </property>
  <property fmtid="{D5CDD505-2E9C-101B-9397-08002B2CF9AE}" pid="16" name="MSIP_Label_ba62f585-b40f-4ab9-bafe-39150f03d124_Method">
    <vt:lpwstr>Standard</vt:lpwstr>
  </property>
  <property fmtid="{D5CDD505-2E9C-101B-9397-08002B2CF9AE}" pid="17" name="MediaServiceImageTags">
    <vt:lpwstr/>
  </property>
  <property fmtid="{D5CDD505-2E9C-101B-9397-08002B2CF9AE}" pid="18" name="MSIP_Label_ba62f585-b40f-4ab9-bafe-39150f03d124_ContentBits">
    <vt:lpwstr>0</vt:lpwstr>
  </property>
  <property fmtid="{D5CDD505-2E9C-101B-9397-08002B2CF9AE}" pid="19" name="MSIP_Label_ba62f585-b40f-4ab9-bafe-39150f03d124_Name">
    <vt:lpwstr>OFFICIAL</vt:lpwstr>
  </property>
  <property fmtid="{D5CDD505-2E9C-101B-9397-08002B2CF9AE}" pid="20" name="ContentTypeId">
    <vt:lpwstr>0x010100C86BC38FBA6AE64EBB94A713A201E924</vt:lpwstr>
  </property>
  <property fmtid="{D5CDD505-2E9C-101B-9397-08002B2CF9AE}" pid="21" name="_ExtendedDescription">
    <vt:lpwstr/>
  </property>
  <property fmtid="{D5CDD505-2E9C-101B-9397-08002B2CF9AE}" pid="22" name="MSIP_Label_ba62f585-b40f-4ab9-bafe-39150f03d124_ActionId">
    <vt:lpwstr>21053cc6-dbc4-4b5e-883a-7645c56e5507</vt:lpwstr>
  </property>
  <property fmtid="{D5CDD505-2E9C-101B-9397-08002B2CF9AE}" pid="23" name="KIM_Function">
    <vt:lpwstr>1;#Climate and energy|98b2efea-a649-07e6-a104-07f256801c42</vt:lpwstr>
  </property>
  <property fmtid="{D5CDD505-2E9C-101B-9397-08002B2CF9AE}" pid="24" name="MSIP_Label_ba62f585-b40f-4ab9-bafe-39150f03d124_Enabled">
    <vt:lpwstr>true</vt:lpwstr>
  </property>
  <property fmtid="{D5CDD505-2E9C-101B-9397-08002B2CF9AE}" pid="25" name="MSIP_Label_ba62f585-b40f-4ab9-bafe-39150f03d124_SetDate">
    <vt:lpwstr>2024-03-13T10:42:36Z</vt:lpwstr>
  </property>
  <property fmtid="{D5CDD505-2E9C-101B-9397-08002B2CF9AE}" pid="26" name="KIM_GovernmentBody">
    <vt:lpwstr>3;#BEIS|b386cac2-c28c-4db4-8fca-43733d0e74ef</vt:lpwstr>
  </property>
  <property fmtid="{D5CDD505-2E9C-101B-9397-08002B2CF9AE}" pid="27" name="_dlc_DocIdItemGuid">
    <vt:lpwstr>499754ad-5bd0-468f-94b3-76106c197429</vt:lpwstr>
  </property>
  <property fmtid="{D5CDD505-2E9C-101B-9397-08002B2CF9AE}" pid="28" name="docLang">
    <vt:lpwstr>en</vt:lpwstr>
  </property>
  <property fmtid="{D5CDD505-2E9C-101B-9397-08002B2CF9AE}" pid="29" name="Order">
    <vt:r8>14678600</vt:r8>
  </property>
  <property fmtid="{D5CDD505-2E9C-101B-9397-08002B2CF9AE}" pid="30" name="xd_ProgID">
    <vt:lpwstr/>
  </property>
  <property fmtid="{D5CDD505-2E9C-101B-9397-08002B2CF9AE}" pid="31" name="_SourceUrl">
    <vt:lpwstr/>
  </property>
  <property fmtid="{D5CDD505-2E9C-101B-9397-08002B2CF9AE}" pid="32" name="_SharedFileIndex">
    <vt:lpwstr/>
  </property>
  <property fmtid="{D5CDD505-2E9C-101B-9397-08002B2CF9AE}" pid="33" name="h573c97cf80c4aa6b446c5363dc3ac94">
    <vt:lpwstr>International climate|5a595758-250c-1237-4802-ae3329732708</vt:lpwstr>
  </property>
  <property fmtid="{D5CDD505-2E9C-101B-9397-08002B2CF9AE}" pid="34" name="ComplianceAssetId">
    <vt:lpwstr/>
  </property>
  <property fmtid="{D5CDD505-2E9C-101B-9397-08002B2CF9AE}" pid="35" name="TemplateUrl">
    <vt:lpwstr/>
  </property>
  <property fmtid="{D5CDD505-2E9C-101B-9397-08002B2CF9AE}" pid="36" name="m817f42addf14c9a838da36e78800043">
    <vt:lpwstr>Climate and energy|98b2efea-a649-07e6-a104-07f256801c42</vt:lpwstr>
  </property>
  <property fmtid="{D5CDD505-2E9C-101B-9397-08002B2CF9AE}" pid="37" name="TriggerFlowInfo">
    <vt:lpwstr/>
  </property>
  <property fmtid="{D5CDD505-2E9C-101B-9397-08002B2CF9AE}" pid="38" name="c6f593ada1854b629148449de059396b">
    <vt:lpwstr>BEIS|b386cac2-c28c-4db4-8fca-43733d0e74ef</vt:lpwstr>
  </property>
  <property fmtid="{D5CDD505-2E9C-101B-9397-08002B2CF9AE}" pid="39" name="xd_Signature">
    <vt:bool>false</vt:bool>
  </property>
  <property fmtid="{D5CDD505-2E9C-101B-9397-08002B2CF9AE}" pid="40" name="Business_x0020_Unit">
    <vt:lpwstr>1;#International Climate Finance|25a07eec-082c-4868-be05-2bef48a6767e</vt:lpwstr>
  </property>
</Properties>
</file>