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9676C" w:rsidP="009B7940" w:rsidRDefault="008C1C8D" w14:paraId="4F77E0C7" w14:textId="3B9ED0BD">
      <w:pPr>
        <w:pStyle w:val="DESNZTitle"/>
      </w:pPr>
      <w:r>
        <w:t>Evaluation of the</w:t>
      </w:r>
      <w:r w:rsidR="009059CE">
        <w:t xml:space="preserve"> International Climate Finance (ICF) portfolio’s</w:t>
      </w:r>
      <w:r>
        <w:t xml:space="preserve"> Market Accelerator for Green Construction</w:t>
      </w:r>
    </w:p>
    <w:p w:rsidR="00E9676C" w:rsidP="00201358" w:rsidRDefault="00745A3B" w14:paraId="44F71F9D" w14:textId="764EAD80">
      <w:pPr>
        <w:pStyle w:val="DESNZSub-title"/>
      </w:pPr>
      <w:r>
        <w:t>Value for Money evaluation report</w:t>
      </w:r>
    </w:p>
    <w:p w:rsidRPr="00201358" w:rsidR="00201358" w:rsidP="00FC1A03" w:rsidRDefault="00C26D9C" w14:paraId="5784A466" w14:textId="0E1FB14F">
      <w:pPr>
        <w:pStyle w:val="DESNZResearchNo"/>
        <w:sectPr w:rsidRPr="00201358" w:rsidR="00201358" w:rsidSect="00054AD2">
          <w:headerReference w:type="default" r:id="rId13"/>
          <w:footerReference w:type="default" r:id="rId14"/>
          <w:pgSz w:w="11906" w:h="16838" w:orient="portrait" w:code="9"/>
          <w:pgMar w:top="1418" w:right="1134" w:bottom="1418" w:left="1077" w:header="720" w:footer="868" w:gutter="0"/>
          <w:cols w:space="708"/>
          <w:vAlign w:val="center"/>
          <w:docGrid w:linePitch="360"/>
        </w:sectPr>
      </w:pPr>
      <w:r>
        <w:br/>
      </w:r>
      <w:r>
        <w:br/>
      </w:r>
      <w:r>
        <w:br/>
      </w:r>
    </w:p>
    <w:p w:rsidR="00C26D9C" w:rsidP="001A2EAD" w:rsidRDefault="00C26D9C" w14:paraId="5481A065" w14:textId="77777777"/>
    <w:p w:rsidR="00C26D9C" w:rsidP="001A2EAD" w:rsidRDefault="00C26D9C" w14:paraId="0BF31C29" w14:textId="77777777"/>
    <w:p w:rsidR="00C26D9C" w:rsidP="001A2EAD" w:rsidRDefault="00C26D9C" w14:paraId="088BFFBA" w14:textId="77777777"/>
    <w:p w:rsidR="00C26D9C" w:rsidP="001A2EAD" w:rsidRDefault="00C26D9C" w14:paraId="7DDE4A33" w14:textId="77777777"/>
    <w:p w:rsidR="00C26D9C" w:rsidP="001A2EAD" w:rsidRDefault="00C26D9C" w14:paraId="53D1793E" w14:textId="77777777"/>
    <w:p w:rsidR="00C26D9C" w:rsidP="001A2EAD" w:rsidRDefault="00C26D9C" w14:paraId="26251CF6" w14:textId="77777777"/>
    <w:p w:rsidR="00C26D9C" w:rsidP="001A2EAD" w:rsidRDefault="00C26D9C" w14:paraId="78D4D03F" w14:textId="77777777"/>
    <w:p w:rsidR="00C26D9C" w:rsidP="001A2EAD" w:rsidRDefault="00C26D9C" w14:paraId="1745FAA6" w14:textId="77777777"/>
    <w:p w:rsidR="00C26D9C" w:rsidP="001A2EAD" w:rsidRDefault="00C26D9C" w14:paraId="72AD6C39" w14:textId="77777777"/>
    <w:p w:rsidR="00C26D9C" w:rsidP="001A2EAD" w:rsidRDefault="00C26D9C" w14:paraId="021DB036" w14:textId="77777777"/>
    <w:p w:rsidR="00C26D9C" w:rsidP="001A2EAD" w:rsidRDefault="00C26D9C" w14:paraId="47FDB180" w14:textId="77777777"/>
    <w:p w:rsidR="00C26D9C" w:rsidP="001A2EAD" w:rsidRDefault="00C26D9C" w14:paraId="6A8F69F2" w14:textId="77777777"/>
    <w:p w:rsidR="00C26D9C" w:rsidP="001A2EAD" w:rsidRDefault="00C26D9C" w14:paraId="1AE04FB8" w14:textId="77777777"/>
    <w:p w:rsidR="00C26D9C" w:rsidP="001A2EAD" w:rsidRDefault="00C26D9C" w14:paraId="2A5F016A" w14:textId="77777777"/>
    <w:p w:rsidR="00C26D9C" w:rsidP="00C26D9C" w:rsidRDefault="00C26D9C" w14:paraId="19C6027F" w14:textId="77777777">
      <w:pPr>
        <w:pStyle w:val="Copyrightstatement"/>
      </w:pPr>
      <w:r>
        <w:rPr>
          <w:noProof/>
        </w:rPr>
        <w:drawing>
          <wp:inline distT="0" distB="0" distL="0" distR="0" wp14:anchorId="7B85C39B" wp14:editId="55AE05AC">
            <wp:extent cx="792480" cy="323215"/>
            <wp:effectExtent l="0" t="0" r="7620" b="635"/>
            <wp:docPr id="12" name="Picture 12" descr="Logo - Open Government Li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92480" cy="323215"/>
                    </a:xfrm>
                    <a:prstGeom prst="rect">
                      <a:avLst/>
                    </a:prstGeom>
                    <a:noFill/>
                  </pic:spPr>
                </pic:pic>
              </a:graphicData>
            </a:graphic>
          </wp:inline>
        </w:drawing>
      </w:r>
    </w:p>
    <w:p w:rsidR="00C26D9C" w:rsidP="00C26D9C" w:rsidRDefault="00C26D9C" w14:paraId="5C5A8472" w14:textId="7389C7CB">
      <w:pPr>
        <w:pStyle w:val="Copyrightstatement"/>
      </w:pPr>
      <w:r>
        <w:t>© Crown copyright 20</w:t>
      </w:r>
      <w:r w:rsidR="000142B2">
        <w:t>24</w:t>
      </w:r>
    </w:p>
    <w:p w:rsidR="00C26D9C" w:rsidP="00C26D9C" w:rsidRDefault="00C26D9C" w14:paraId="1798001A" w14:textId="77777777">
      <w:pPr>
        <w:pStyle w:val="Copyrightstatement"/>
      </w:pPr>
      <w:r>
        <w:t xml:space="preserve">This publication is licensed under the terms of the Open Government Licence v3.0 except where otherwise stated. To view this licence, visit </w:t>
      </w:r>
      <w:hyperlink w:history="1" r:id="rId16">
        <w:r w:rsidRPr="00BE2973">
          <w:rPr>
            <w:rStyle w:val="Hyperlink"/>
          </w:rPr>
          <w:t>nationalarchives.gov.uk/doc/open-government-licence/version/3</w:t>
        </w:r>
      </w:hyperlink>
      <w:r>
        <w:t xml:space="preserve"> or write to the Information Policy Team, The National Archives, Kew, London TW9 4DU, or email: </w:t>
      </w:r>
      <w:hyperlink w:history="1" r:id="rId17">
        <w:r w:rsidRPr="00471DE1">
          <w:rPr>
            <w:rStyle w:val="Hyperlink"/>
          </w:rPr>
          <w:t>psi@nationalarchives.gsi.gov.uk</w:t>
        </w:r>
      </w:hyperlink>
      <w:r>
        <w:t xml:space="preserve">. </w:t>
      </w:r>
    </w:p>
    <w:p w:rsidR="00C26D9C" w:rsidP="00C26D9C" w:rsidRDefault="00C26D9C" w14:paraId="3D48B47F" w14:textId="77777777">
      <w:pPr>
        <w:pStyle w:val="Copyrightstatement"/>
      </w:pPr>
      <w:r>
        <w:t>Where we have identified any third-party copyright information you will need to obtain permission from the copyright holders concerned.</w:t>
      </w:r>
    </w:p>
    <w:p w:rsidRPr="008714AA" w:rsidR="00C26D9C" w:rsidP="00C26D9C" w:rsidRDefault="00C26D9C" w14:paraId="294137D1" w14:textId="77777777">
      <w:pPr>
        <w:pStyle w:val="Copyrightstatement"/>
        <w:sectPr w:rsidRPr="008714AA" w:rsidR="00C26D9C" w:rsidSect="00C26D9C">
          <w:headerReference w:type="default" r:id="rId18"/>
          <w:footerReference w:type="default" r:id="rId19"/>
          <w:pgSz w:w="11906" w:h="16838" w:orient="portrait" w:code="9"/>
          <w:pgMar w:top="2835" w:right="907" w:bottom="907" w:left="907" w:header="686" w:footer="266" w:gutter="0"/>
          <w:cols w:space="708"/>
          <w:vAlign w:val="bottom"/>
          <w:docGrid w:linePitch="360"/>
        </w:sectPr>
      </w:pPr>
      <w:r>
        <w:t xml:space="preserve">Any enquiries regarding this publication should be sent to us at: </w:t>
      </w:r>
      <w:r>
        <w:br/>
      </w:r>
      <w:hyperlink w:history="1" r:id="rId20">
        <w:r w:rsidRPr="002E27BB" w:rsidR="00C859D1">
          <w:rPr>
            <w:rStyle w:val="Hyperlink"/>
          </w:rPr>
          <w:t>xxx@energysecurity.gov.uk</w:t>
        </w:r>
      </w:hyperlink>
      <w:r>
        <w:t xml:space="preserve"> </w:t>
      </w:r>
      <w:r w:rsidRPr="00D92F03">
        <w:rPr>
          <w:b/>
          <w:color w:val="A5A5A5" w:themeColor="accent3"/>
        </w:rPr>
        <w:t>[replace with team email address if availabl</w:t>
      </w:r>
      <w:r w:rsidRPr="00417D45" w:rsidR="00417D45">
        <w:rPr>
          <w:b/>
          <w:color w:val="A5A5A5" w:themeColor="accent3"/>
        </w:rPr>
        <w:t>e, or delete this sentence</w:t>
      </w:r>
      <w:r>
        <w:rPr>
          <w:b/>
          <w:color w:val="A5A5A5" w:themeColor="accent3"/>
        </w:rPr>
        <w:t>]</w:t>
      </w:r>
    </w:p>
    <w:p w:rsidR="008F06A2" w:rsidP="004C1B6A" w:rsidRDefault="004C1B6A" w14:paraId="460711EF" w14:textId="77777777">
      <w:pPr>
        <w:pStyle w:val="Contents"/>
      </w:pPr>
      <w:r>
        <w:lastRenderedPageBreak/>
        <w:t>Contents</w:t>
      </w:r>
    </w:p>
    <w:p w:rsidR="00BA2FF6" w:rsidRDefault="00E45851" w14:paraId="41D85D45" w14:textId="77F4CF7A">
      <w:pPr>
        <w:pStyle w:val="TOC1"/>
        <w:rPr>
          <w:rFonts w:asciiTheme="minorHAnsi" w:hAnsiTheme="minorHAnsi" w:eastAsiaTheme="minorEastAsia"/>
          <w:noProof/>
          <w:color w:val="auto"/>
          <w:kern w:val="2"/>
          <w:szCs w:val="24"/>
          <w:lang w:eastAsia="en-GB"/>
          <w14:ligatures w14:val="standardContextual"/>
        </w:rPr>
      </w:pPr>
      <w:r>
        <w:fldChar w:fldCharType="begin"/>
      </w:r>
      <w:r>
        <w:instrText xml:space="preserve"> TOC \o "2-3" \h \z \t "Heading 1,1" </w:instrText>
      </w:r>
      <w:r>
        <w:fldChar w:fldCharType="separate"/>
      </w:r>
      <w:hyperlink w:history="1" w:anchor="_Toc181887342">
        <w:r w:rsidRPr="00883A5D" w:rsidR="00BA2FF6">
          <w:rPr>
            <w:rStyle w:val="Hyperlink"/>
            <w:noProof/>
          </w:rPr>
          <w:t>1 Introduction</w:t>
        </w:r>
        <w:r w:rsidR="00BA2FF6">
          <w:rPr>
            <w:noProof/>
            <w:webHidden/>
          </w:rPr>
          <w:tab/>
        </w:r>
        <w:r w:rsidR="00BA2FF6">
          <w:rPr>
            <w:noProof/>
            <w:webHidden/>
          </w:rPr>
          <w:fldChar w:fldCharType="begin"/>
        </w:r>
        <w:r w:rsidR="00BA2FF6">
          <w:rPr>
            <w:noProof/>
            <w:webHidden/>
          </w:rPr>
          <w:instrText xml:space="preserve"> PAGEREF _Toc181887342 \h </w:instrText>
        </w:r>
        <w:r w:rsidR="00BA2FF6">
          <w:rPr>
            <w:noProof/>
            <w:webHidden/>
          </w:rPr>
        </w:r>
        <w:r w:rsidR="00BA2FF6">
          <w:rPr>
            <w:noProof/>
            <w:webHidden/>
          </w:rPr>
          <w:fldChar w:fldCharType="separate"/>
        </w:r>
        <w:r w:rsidR="00BF4CBD">
          <w:rPr>
            <w:noProof/>
            <w:webHidden/>
          </w:rPr>
          <w:t>4</w:t>
        </w:r>
        <w:r w:rsidR="00BA2FF6">
          <w:rPr>
            <w:noProof/>
            <w:webHidden/>
          </w:rPr>
          <w:fldChar w:fldCharType="end"/>
        </w:r>
      </w:hyperlink>
    </w:p>
    <w:p w:rsidR="00BA2FF6" w:rsidRDefault="00BA2FF6" w14:paraId="247EF0B1" w14:textId="72FD6C7D">
      <w:pPr>
        <w:pStyle w:val="TOC1"/>
        <w:rPr>
          <w:rFonts w:asciiTheme="minorHAnsi" w:hAnsiTheme="minorHAnsi" w:eastAsiaTheme="minorEastAsia"/>
          <w:noProof/>
          <w:color w:val="auto"/>
          <w:kern w:val="2"/>
          <w:szCs w:val="24"/>
          <w:lang w:eastAsia="en-GB"/>
          <w14:ligatures w14:val="standardContextual"/>
        </w:rPr>
      </w:pPr>
      <w:hyperlink w:history="1" w:anchor="_Toc181887343">
        <w:r w:rsidRPr="00883A5D">
          <w:rPr>
            <w:rStyle w:val="Hyperlink"/>
            <w:noProof/>
          </w:rPr>
          <w:t>2 Methodology</w:t>
        </w:r>
        <w:r>
          <w:rPr>
            <w:noProof/>
            <w:webHidden/>
          </w:rPr>
          <w:tab/>
        </w:r>
        <w:r>
          <w:rPr>
            <w:noProof/>
            <w:webHidden/>
          </w:rPr>
          <w:fldChar w:fldCharType="begin"/>
        </w:r>
        <w:r>
          <w:rPr>
            <w:noProof/>
            <w:webHidden/>
          </w:rPr>
          <w:instrText xml:space="preserve"> PAGEREF _Toc181887343 \h </w:instrText>
        </w:r>
        <w:r>
          <w:rPr>
            <w:noProof/>
            <w:webHidden/>
          </w:rPr>
        </w:r>
        <w:r>
          <w:rPr>
            <w:noProof/>
            <w:webHidden/>
          </w:rPr>
          <w:fldChar w:fldCharType="separate"/>
        </w:r>
        <w:r w:rsidR="00BF4CBD">
          <w:rPr>
            <w:noProof/>
            <w:webHidden/>
          </w:rPr>
          <w:t>5</w:t>
        </w:r>
        <w:r>
          <w:rPr>
            <w:noProof/>
            <w:webHidden/>
          </w:rPr>
          <w:fldChar w:fldCharType="end"/>
        </w:r>
      </w:hyperlink>
    </w:p>
    <w:p w:rsidR="00BA2FF6" w:rsidRDefault="00BA2FF6" w14:paraId="34E47ADC" w14:textId="1C2FB222">
      <w:pPr>
        <w:pStyle w:val="TOC1"/>
        <w:rPr>
          <w:rFonts w:asciiTheme="minorHAnsi" w:hAnsiTheme="minorHAnsi" w:eastAsiaTheme="minorEastAsia"/>
          <w:noProof/>
          <w:color w:val="auto"/>
          <w:kern w:val="2"/>
          <w:szCs w:val="24"/>
          <w:lang w:eastAsia="en-GB"/>
          <w14:ligatures w14:val="standardContextual"/>
        </w:rPr>
      </w:pPr>
      <w:hyperlink w:history="1" w:anchor="_Toc181887344">
        <w:r w:rsidRPr="00883A5D">
          <w:rPr>
            <w:rStyle w:val="Hyperlink"/>
            <w:noProof/>
          </w:rPr>
          <w:t>3 Key findings per criterion to date</w:t>
        </w:r>
        <w:r>
          <w:rPr>
            <w:noProof/>
            <w:webHidden/>
          </w:rPr>
          <w:tab/>
        </w:r>
        <w:r>
          <w:rPr>
            <w:noProof/>
            <w:webHidden/>
          </w:rPr>
          <w:fldChar w:fldCharType="begin"/>
        </w:r>
        <w:r>
          <w:rPr>
            <w:noProof/>
            <w:webHidden/>
          </w:rPr>
          <w:instrText xml:space="preserve"> PAGEREF _Toc181887344 \h </w:instrText>
        </w:r>
        <w:r>
          <w:rPr>
            <w:noProof/>
            <w:webHidden/>
          </w:rPr>
        </w:r>
        <w:r>
          <w:rPr>
            <w:noProof/>
            <w:webHidden/>
          </w:rPr>
          <w:fldChar w:fldCharType="separate"/>
        </w:r>
        <w:r w:rsidR="00BF4CBD">
          <w:rPr>
            <w:noProof/>
            <w:webHidden/>
          </w:rPr>
          <w:t>6</w:t>
        </w:r>
        <w:r>
          <w:rPr>
            <w:noProof/>
            <w:webHidden/>
          </w:rPr>
          <w:fldChar w:fldCharType="end"/>
        </w:r>
      </w:hyperlink>
    </w:p>
    <w:p w:rsidR="00BA2FF6" w:rsidRDefault="00BA2FF6" w14:paraId="3C4A2B7B" w14:textId="4CF5D2E1">
      <w:pPr>
        <w:pStyle w:val="TOC2"/>
        <w:rPr>
          <w:rFonts w:asciiTheme="minorHAnsi" w:hAnsiTheme="minorHAnsi" w:eastAsiaTheme="minorEastAsia"/>
          <w:noProof/>
          <w:color w:val="auto"/>
          <w:kern w:val="2"/>
          <w:szCs w:val="24"/>
          <w:lang w:eastAsia="en-GB"/>
          <w14:ligatures w14:val="standardContextual"/>
        </w:rPr>
      </w:pPr>
      <w:hyperlink w:history="1" w:anchor="_Toc181887345">
        <w:r w:rsidRPr="00883A5D">
          <w:rPr>
            <w:rStyle w:val="Hyperlink"/>
            <w:noProof/>
          </w:rPr>
          <w:t>Economy</w:t>
        </w:r>
        <w:r>
          <w:rPr>
            <w:noProof/>
            <w:webHidden/>
          </w:rPr>
          <w:tab/>
        </w:r>
        <w:r>
          <w:rPr>
            <w:noProof/>
            <w:webHidden/>
          </w:rPr>
          <w:fldChar w:fldCharType="begin"/>
        </w:r>
        <w:r>
          <w:rPr>
            <w:noProof/>
            <w:webHidden/>
          </w:rPr>
          <w:instrText xml:space="preserve"> PAGEREF _Toc181887345 \h </w:instrText>
        </w:r>
        <w:r>
          <w:rPr>
            <w:noProof/>
            <w:webHidden/>
          </w:rPr>
        </w:r>
        <w:r>
          <w:rPr>
            <w:noProof/>
            <w:webHidden/>
          </w:rPr>
          <w:fldChar w:fldCharType="separate"/>
        </w:r>
        <w:r w:rsidR="00BF4CBD">
          <w:rPr>
            <w:noProof/>
            <w:webHidden/>
          </w:rPr>
          <w:t>6</w:t>
        </w:r>
        <w:r>
          <w:rPr>
            <w:noProof/>
            <w:webHidden/>
          </w:rPr>
          <w:fldChar w:fldCharType="end"/>
        </w:r>
      </w:hyperlink>
    </w:p>
    <w:p w:rsidR="00BA2FF6" w:rsidRDefault="00BA2FF6" w14:paraId="0472D432" w14:textId="59A05339">
      <w:pPr>
        <w:pStyle w:val="TOC2"/>
        <w:rPr>
          <w:rFonts w:asciiTheme="minorHAnsi" w:hAnsiTheme="minorHAnsi" w:eastAsiaTheme="minorEastAsia"/>
          <w:noProof/>
          <w:color w:val="auto"/>
          <w:kern w:val="2"/>
          <w:szCs w:val="24"/>
          <w:lang w:eastAsia="en-GB"/>
          <w14:ligatures w14:val="standardContextual"/>
        </w:rPr>
      </w:pPr>
      <w:hyperlink w:history="1" w:anchor="_Toc181887346">
        <w:r w:rsidRPr="00883A5D">
          <w:rPr>
            <w:rStyle w:val="Hyperlink"/>
            <w:noProof/>
          </w:rPr>
          <w:t>Efficiency</w:t>
        </w:r>
        <w:r>
          <w:rPr>
            <w:noProof/>
            <w:webHidden/>
          </w:rPr>
          <w:tab/>
        </w:r>
        <w:r>
          <w:rPr>
            <w:noProof/>
            <w:webHidden/>
          </w:rPr>
          <w:fldChar w:fldCharType="begin"/>
        </w:r>
        <w:r>
          <w:rPr>
            <w:noProof/>
            <w:webHidden/>
          </w:rPr>
          <w:instrText xml:space="preserve"> PAGEREF _Toc181887346 \h </w:instrText>
        </w:r>
        <w:r>
          <w:rPr>
            <w:noProof/>
            <w:webHidden/>
          </w:rPr>
        </w:r>
        <w:r>
          <w:rPr>
            <w:noProof/>
            <w:webHidden/>
          </w:rPr>
          <w:fldChar w:fldCharType="separate"/>
        </w:r>
        <w:r w:rsidR="00BF4CBD">
          <w:rPr>
            <w:noProof/>
            <w:webHidden/>
          </w:rPr>
          <w:t>9</w:t>
        </w:r>
        <w:r>
          <w:rPr>
            <w:noProof/>
            <w:webHidden/>
          </w:rPr>
          <w:fldChar w:fldCharType="end"/>
        </w:r>
      </w:hyperlink>
    </w:p>
    <w:p w:rsidR="00BA2FF6" w:rsidRDefault="00BA2FF6" w14:paraId="444332B8" w14:textId="463A705B">
      <w:pPr>
        <w:pStyle w:val="TOC2"/>
        <w:rPr>
          <w:rFonts w:asciiTheme="minorHAnsi" w:hAnsiTheme="minorHAnsi" w:eastAsiaTheme="minorEastAsia"/>
          <w:noProof/>
          <w:color w:val="auto"/>
          <w:kern w:val="2"/>
          <w:szCs w:val="24"/>
          <w:lang w:eastAsia="en-GB"/>
          <w14:ligatures w14:val="standardContextual"/>
        </w:rPr>
      </w:pPr>
      <w:hyperlink w:history="1" w:anchor="_Toc181887347">
        <w:r w:rsidRPr="00883A5D">
          <w:rPr>
            <w:rStyle w:val="Hyperlink"/>
            <w:noProof/>
          </w:rPr>
          <w:t>Effectiveness</w:t>
        </w:r>
        <w:r>
          <w:rPr>
            <w:noProof/>
            <w:webHidden/>
          </w:rPr>
          <w:tab/>
        </w:r>
        <w:r>
          <w:rPr>
            <w:noProof/>
            <w:webHidden/>
          </w:rPr>
          <w:fldChar w:fldCharType="begin"/>
        </w:r>
        <w:r>
          <w:rPr>
            <w:noProof/>
            <w:webHidden/>
          </w:rPr>
          <w:instrText xml:space="preserve"> PAGEREF _Toc181887347 \h </w:instrText>
        </w:r>
        <w:r>
          <w:rPr>
            <w:noProof/>
            <w:webHidden/>
          </w:rPr>
        </w:r>
        <w:r>
          <w:rPr>
            <w:noProof/>
            <w:webHidden/>
          </w:rPr>
          <w:fldChar w:fldCharType="separate"/>
        </w:r>
        <w:r w:rsidR="00BF4CBD">
          <w:rPr>
            <w:noProof/>
            <w:webHidden/>
          </w:rPr>
          <w:t>12</w:t>
        </w:r>
        <w:r>
          <w:rPr>
            <w:noProof/>
            <w:webHidden/>
          </w:rPr>
          <w:fldChar w:fldCharType="end"/>
        </w:r>
      </w:hyperlink>
    </w:p>
    <w:p w:rsidR="00BA2FF6" w:rsidRDefault="00BA2FF6" w14:paraId="60FD8B4B" w14:textId="46593D91">
      <w:pPr>
        <w:pStyle w:val="TOC2"/>
        <w:rPr>
          <w:rFonts w:asciiTheme="minorHAnsi" w:hAnsiTheme="minorHAnsi" w:eastAsiaTheme="minorEastAsia"/>
          <w:noProof/>
          <w:color w:val="auto"/>
          <w:kern w:val="2"/>
          <w:szCs w:val="24"/>
          <w:lang w:eastAsia="en-GB"/>
          <w14:ligatures w14:val="standardContextual"/>
        </w:rPr>
      </w:pPr>
      <w:hyperlink w:history="1" w:anchor="_Toc181887348">
        <w:r w:rsidRPr="00883A5D">
          <w:rPr>
            <w:rStyle w:val="Hyperlink"/>
            <w:noProof/>
          </w:rPr>
          <w:t>Cost-effectiveness</w:t>
        </w:r>
        <w:r>
          <w:rPr>
            <w:noProof/>
            <w:webHidden/>
          </w:rPr>
          <w:tab/>
        </w:r>
        <w:r>
          <w:rPr>
            <w:noProof/>
            <w:webHidden/>
          </w:rPr>
          <w:fldChar w:fldCharType="begin"/>
        </w:r>
        <w:r>
          <w:rPr>
            <w:noProof/>
            <w:webHidden/>
          </w:rPr>
          <w:instrText xml:space="preserve"> PAGEREF _Toc181887348 \h </w:instrText>
        </w:r>
        <w:r>
          <w:rPr>
            <w:noProof/>
            <w:webHidden/>
          </w:rPr>
        </w:r>
        <w:r>
          <w:rPr>
            <w:noProof/>
            <w:webHidden/>
          </w:rPr>
          <w:fldChar w:fldCharType="separate"/>
        </w:r>
        <w:r w:rsidR="00BF4CBD">
          <w:rPr>
            <w:noProof/>
            <w:webHidden/>
          </w:rPr>
          <w:t>14</w:t>
        </w:r>
        <w:r>
          <w:rPr>
            <w:noProof/>
            <w:webHidden/>
          </w:rPr>
          <w:fldChar w:fldCharType="end"/>
        </w:r>
      </w:hyperlink>
    </w:p>
    <w:p w:rsidR="00BA2FF6" w:rsidRDefault="00BA2FF6" w14:paraId="79D59CE6" w14:textId="7CD8A782">
      <w:pPr>
        <w:pStyle w:val="TOC2"/>
        <w:rPr>
          <w:rFonts w:asciiTheme="minorHAnsi" w:hAnsiTheme="minorHAnsi" w:eastAsiaTheme="minorEastAsia"/>
          <w:noProof/>
          <w:color w:val="auto"/>
          <w:kern w:val="2"/>
          <w:szCs w:val="24"/>
          <w:lang w:eastAsia="en-GB"/>
          <w14:ligatures w14:val="standardContextual"/>
        </w:rPr>
      </w:pPr>
      <w:hyperlink w:history="1" w:anchor="_Toc181887349">
        <w:r w:rsidRPr="00883A5D">
          <w:rPr>
            <w:rStyle w:val="Hyperlink"/>
            <w:noProof/>
          </w:rPr>
          <w:t>Equity</w:t>
        </w:r>
        <w:r>
          <w:rPr>
            <w:noProof/>
            <w:webHidden/>
          </w:rPr>
          <w:tab/>
        </w:r>
        <w:r>
          <w:rPr>
            <w:noProof/>
            <w:webHidden/>
          </w:rPr>
          <w:fldChar w:fldCharType="begin"/>
        </w:r>
        <w:r>
          <w:rPr>
            <w:noProof/>
            <w:webHidden/>
          </w:rPr>
          <w:instrText xml:space="preserve"> PAGEREF _Toc181887349 \h </w:instrText>
        </w:r>
        <w:r>
          <w:rPr>
            <w:noProof/>
            <w:webHidden/>
          </w:rPr>
        </w:r>
        <w:r>
          <w:rPr>
            <w:noProof/>
            <w:webHidden/>
          </w:rPr>
          <w:fldChar w:fldCharType="separate"/>
        </w:r>
        <w:r w:rsidR="00BF4CBD">
          <w:rPr>
            <w:noProof/>
            <w:webHidden/>
          </w:rPr>
          <w:t>15</w:t>
        </w:r>
        <w:r>
          <w:rPr>
            <w:noProof/>
            <w:webHidden/>
          </w:rPr>
          <w:fldChar w:fldCharType="end"/>
        </w:r>
      </w:hyperlink>
    </w:p>
    <w:p w:rsidR="00BA2FF6" w:rsidRDefault="00BA2FF6" w14:paraId="12F12FE6" w14:textId="01D1EDE7">
      <w:pPr>
        <w:pStyle w:val="TOC1"/>
        <w:rPr>
          <w:rFonts w:asciiTheme="minorHAnsi" w:hAnsiTheme="minorHAnsi" w:eastAsiaTheme="minorEastAsia"/>
          <w:noProof/>
          <w:color w:val="auto"/>
          <w:kern w:val="2"/>
          <w:szCs w:val="24"/>
          <w:lang w:eastAsia="en-GB"/>
          <w14:ligatures w14:val="standardContextual"/>
        </w:rPr>
      </w:pPr>
      <w:hyperlink w:history="1" w:anchor="_Toc181887350">
        <w:r w:rsidRPr="00883A5D">
          <w:rPr>
            <w:rStyle w:val="Hyperlink"/>
            <w:noProof/>
          </w:rPr>
          <w:t>4 Conclusion</w:t>
        </w:r>
        <w:r>
          <w:rPr>
            <w:noProof/>
            <w:webHidden/>
          </w:rPr>
          <w:tab/>
        </w:r>
        <w:r>
          <w:rPr>
            <w:noProof/>
            <w:webHidden/>
          </w:rPr>
          <w:fldChar w:fldCharType="begin"/>
        </w:r>
        <w:r>
          <w:rPr>
            <w:noProof/>
            <w:webHidden/>
          </w:rPr>
          <w:instrText xml:space="preserve"> PAGEREF _Toc181887350 \h </w:instrText>
        </w:r>
        <w:r>
          <w:rPr>
            <w:noProof/>
            <w:webHidden/>
          </w:rPr>
        </w:r>
        <w:r>
          <w:rPr>
            <w:noProof/>
            <w:webHidden/>
          </w:rPr>
          <w:fldChar w:fldCharType="separate"/>
        </w:r>
        <w:r w:rsidR="00BF4CBD">
          <w:rPr>
            <w:noProof/>
            <w:webHidden/>
          </w:rPr>
          <w:t>18</w:t>
        </w:r>
        <w:r>
          <w:rPr>
            <w:noProof/>
            <w:webHidden/>
          </w:rPr>
          <w:fldChar w:fldCharType="end"/>
        </w:r>
      </w:hyperlink>
    </w:p>
    <w:p w:rsidR="00CC7A35" w:rsidP="002642C7" w:rsidRDefault="00E45851" w14:paraId="607C3EE2" w14:textId="6084F187">
      <w:r>
        <w:fldChar w:fldCharType="end"/>
      </w:r>
    </w:p>
    <w:p w:rsidR="004C1B6A" w:rsidRDefault="004C1B6A" w14:paraId="0FCD29FD" w14:textId="77777777"/>
    <w:p w:rsidR="004C1B6A" w:rsidRDefault="004C1B6A" w14:paraId="4CD07892" w14:textId="77777777">
      <w:pPr>
        <w:sectPr w:rsidR="004C1B6A" w:rsidSect="00471A27">
          <w:headerReference w:type="default" r:id="rId21"/>
          <w:footerReference w:type="default" r:id="rId22"/>
          <w:pgSz w:w="11906" w:h="16838" w:orient="portrait"/>
          <w:pgMar w:top="1418" w:right="907" w:bottom="907" w:left="907" w:header="709" w:footer="266" w:gutter="0"/>
          <w:cols w:space="708"/>
          <w:docGrid w:linePitch="360"/>
        </w:sectPr>
      </w:pPr>
    </w:p>
    <w:p w:rsidRPr="00745A3B" w:rsidR="00745A3B" w:rsidP="00745A3B" w:rsidRDefault="00745A3B" w14:paraId="1F8162FF" w14:textId="77777777">
      <w:pPr>
        <w:pStyle w:val="Heading1"/>
      </w:pPr>
      <w:bookmarkStart w:name="_Toc181887342" w:id="0"/>
      <w:r w:rsidRPr="00745A3B">
        <w:lastRenderedPageBreak/>
        <w:t>1 Introduction</w:t>
      </w:r>
      <w:bookmarkEnd w:id="0"/>
    </w:p>
    <w:p w:rsidR="00DA07B0" w:rsidP="00EF1DF8" w:rsidRDefault="00EF1DF8" w14:paraId="2AD3C462" w14:textId="41812DD1">
      <w:bookmarkStart w:name="_Hlk178616669" w:id="1"/>
      <w:r w:rsidR="00EF1DF8">
        <w:rPr/>
        <w:t xml:space="preserve">Ipsos </w:t>
      </w:r>
      <w:r w:rsidR="00306E87">
        <w:rPr/>
        <w:t>was</w:t>
      </w:r>
      <w:r w:rsidR="00EF1DF8">
        <w:rPr/>
        <w:t xml:space="preserve"> commissioned by </w:t>
      </w:r>
      <w:r w:rsidR="00EF1DF8">
        <w:rPr/>
        <w:t>the</w:t>
      </w:r>
      <w:r w:rsidR="00EF1DF8">
        <w:rPr/>
        <w:t xml:space="preserve"> UK Department for Energy Security and Net Zero (DESNZ) to be the monitoring, evaluation, and learning (MEL) partner for the Market Accelerator for Green Construction (MAGC). </w:t>
      </w:r>
      <w:r w:rsidR="00531543">
        <w:rPr/>
        <w:t>Value for Money (VfM) is one of the three strands of the evaluation, directly responding to the evaluation question “</w:t>
      </w:r>
      <w:r w:rsidRPr="7F03249C" w:rsidR="00531543">
        <w:rPr>
          <w:rStyle w:val="Italic"/>
        </w:rPr>
        <w:t>To what extent is MAGC investment providing Value for Money for HMG</w:t>
      </w:r>
      <w:r w:rsidR="00531543">
        <w:rPr/>
        <w:t>?”.</w:t>
      </w:r>
    </w:p>
    <w:p w:rsidR="00042669" w:rsidP="00EF1DF8" w:rsidRDefault="00C4795F" w14:paraId="447AC815" w14:textId="6EBF2F96">
      <w:r>
        <w:t xml:space="preserve">MAGC is funded through Official Development Assistance (ODA) and delivered by </w:t>
      </w:r>
      <w:r w:rsidRPr="00AB6963">
        <w:t>the International Finance Corporation (IFC), member of the World Bank Group (WBG)</w:t>
      </w:r>
      <w:r>
        <w:t xml:space="preserve">. It </w:t>
      </w:r>
      <w:r w:rsidR="00EF1DF8">
        <w:t xml:space="preserve">forms part of DESNZ’ International Climate Finance (ICF) </w:t>
      </w:r>
      <w:r>
        <w:t>portfolio</w:t>
      </w:r>
      <w:r w:rsidR="00EF1DF8">
        <w:t xml:space="preserve">. </w:t>
      </w:r>
      <w:r w:rsidR="00042669">
        <w:t>The UK’s contribution to the MAGC programme has a total value of £139</w:t>
      </w:r>
      <w:r w:rsidR="24AE98C3">
        <w:t>m</w:t>
      </w:r>
      <w:r w:rsidR="00042669">
        <w:t xml:space="preserve"> over the life of the programme, committed by DESNZ to IFC to deliver four programme components. </w:t>
      </w:r>
    </w:p>
    <w:p w:rsidRPr="00BC5DFA" w:rsidR="00BC5DFA" w:rsidP="00BC5DFA" w:rsidRDefault="00042669" w14:paraId="54C651B1" w14:textId="7B2DAB64">
      <w:pPr>
        <w:pStyle w:val="DESNZbulletedlist"/>
      </w:pPr>
      <w:r w:rsidRPr="04991AF9">
        <w:rPr>
          <w:rStyle w:val="Boldtext"/>
        </w:rPr>
        <w:t>Component 1</w:t>
      </w:r>
      <w:r>
        <w:t>: Firm-level technical assistance and blended finance to financial intermediaries (FIs)</w:t>
      </w:r>
      <w:r w:rsidR="00837674">
        <w:t>.</w:t>
      </w:r>
      <w:r>
        <w:t xml:space="preserve"> </w:t>
      </w:r>
      <w:r w:rsidR="00837674">
        <w:t>This</w:t>
      </w:r>
      <w:r>
        <w:t xml:space="preserve"> incentivise</w:t>
      </w:r>
      <w:r w:rsidR="00837674">
        <w:t>s</w:t>
      </w:r>
      <w:r>
        <w:t xml:space="preserve"> creation of green building portfolios by providing concessional investment finance and technical assistance for certified energy efficient green buildings. </w:t>
      </w:r>
      <w:r w:rsidR="00BC5DFA">
        <w:t xml:space="preserve">£102m of DESNZ funding </w:t>
      </w:r>
      <w:r w:rsidR="00E24F83">
        <w:t>is</w:t>
      </w:r>
      <w:r w:rsidR="00BC5DFA">
        <w:t xml:space="preserve"> provided for investment services (blended concessional finance co-investments invested alongside IFC into </w:t>
      </w:r>
      <w:r w:rsidR="00E24F83">
        <w:t>FIs)</w:t>
      </w:r>
      <w:r w:rsidR="00837674">
        <w:t>. A</w:t>
      </w:r>
      <w:r w:rsidR="00BF4CBD">
        <w:t xml:space="preserve"> </w:t>
      </w:r>
      <w:r w:rsidR="00E24F83">
        <w:t>further £</w:t>
      </w:r>
      <w:r w:rsidR="380BEDCB">
        <w:t>7</w:t>
      </w:r>
      <w:r w:rsidR="00E24F83">
        <w:t>.46m of DESNZ funding is provided for advisory services to FIs.</w:t>
      </w:r>
    </w:p>
    <w:p w:rsidR="00042669" w:rsidP="00042669" w:rsidRDefault="00042669" w14:paraId="0017C45F" w14:textId="537CDA17">
      <w:pPr>
        <w:pStyle w:val="DESNZbulletedlist"/>
      </w:pPr>
      <w:r w:rsidRPr="00121E18">
        <w:rPr>
          <w:rStyle w:val="Boldtext"/>
        </w:rPr>
        <w:t>Component 2:</w:t>
      </w:r>
      <w:r w:rsidRPr="00042669">
        <w:t xml:space="preserve"> Country level capacity building</w:t>
      </w:r>
      <w:r>
        <w:t xml:space="preserve"> with stakeholders</w:t>
      </w:r>
      <w:r w:rsidR="00837674">
        <w:t>. This</w:t>
      </w:r>
      <w:r>
        <w:t xml:space="preserve"> strengthen</w:t>
      </w:r>
      <w:r w:rsidR="00837674">
        <w:t>s</w:t>
      </w:r>
      <w:r>
        <w:t xml:space="preserve"> </w:t>
      </w:r>
      <w:r w:rsidRPr="00042669">
        <w:t>the enabling environment to promote and raise green construction standards at country level</w:t>
      </w:r>
      <w:r w:rsidR="00837674">
        <w:t>. This is done</w:t>
      </w:r>
      <w:r w:rsidRPr="00042669">
        <w:t xml:space="preserve"> through certification by using IFC’s Excellence in Design for Greater Efficiencies (EDGE) standard and other leading certification systems.</w:t>
      </w:r>
      <w:r w:rsidR="00BC5DFA">
        <w:t xml:space="preserve"> </w:t>
      </w:r>
      <w:r w:rsidRPr="00BC5DFA" w:rsidR="00BC5DFA">
        <w:t>£11m of DESNZ funding are allocated</w:t>
      </w:r>
      <w:r w:rsidR="00BC5DFA">
        <w:t xml:space="preserve"> to country level capacity building activities.</w:t>
      </w:r>
    </w:p>
    <w:p w:rsidR="00042669" w:rsidP="00042669" w:rsidRDefault="00042669" w14:paraId="1956B79C" w14:textId="44210AAB">
      <w:pPr>
        <w:pStyle w:val="DESNZbulletedlist"/>
      </w:pPr>
      <w:r w:rsidRPr="00121E18">
        <w:rPr>
          <w:rStyle w:val="Boldtext"/>
        </w:rPr>
        <w:t>Component 3</w:t>
      </w:r>
      <w:r w:rsidRPr="00042669">
        <w:t>: EDGE certification platform maintenance, operations, and improvement</w:t>
      </w:r>
      <w:r w:rsidR="00BA5965">
        <w:t>.</w:t>
      </w:r>
      <w:r w:rsidRPr="00BC5DFA" w:rsidR="00BC5DFA">
        <w:t xml:space="preserve"> £11.63m</w:t>
      </w:r>
      <w:r w:rsidR="00BC5DFA">
        <w:t xml:space="preserve"> </w:t>
      </w:r>
      <w:r w:rsidRPr="00BC5DFA" w:rsidR="00BC5DFA">
        <w:t>of DESNZ funding are allocated t</w:t>
      </w:r>
      <w:r w:rsidR="00BC5DFA">
        <w:t xml:space="preserve">o EDGE activities. </w:t>
      </w:r>
    </w:p>
    <w:p w:rsidR="00042669" w:rsidP="00121E18" w:rsidRDefault="00042669" w14:paraId="17CEEC50" w14:textId="3CB41D12">
      <w:pPr>
        <w:pStyle w:val="DESNZbulletedlist"/>
      </w:pPr>
      <w:r w:rsidRPr="00121E18">
        <w:rPr>
          <w:rStyle w:val="Boldtext"/>
        </w:rPr>
        <w:t>C</w:t>
      </w:r>
      <w:r w:rsidRPr="00121E18" w:rsidR="00BA5965">
        <w:rPr>
          <w:rStyle w:val="Boldtext"/>
        </w:rPr>
        <w:t>omponent 4</w:t>
      </w:r>
      <w:r w:rsidRPr="00BA5965" w:rsidR="00BA5965">
        <w:t xml:space="preserve">: </w:t>
      </w:r>
      <w:r w:rsidR="00BA5965">
        <w:t>A research programme to generate and disseminate insights and evidence on market intelligence and g</w:t>
      </w:r>
      <w:r w:rsidRPr="00BA5965" w:rsidR="00BA5965">
        <w:t xml:space="preserve">reen building performance. </w:t>
      </w:r>
      <w:r w:rsidRPr="00BC5DFA" w:rsidR="00BC5DFA">
        <w:t xml:space="preserve">£6m </w:t>
      </w:r>
      <w:r w:rsidR="00BC5DFA">
        <w:t xml:space="preserve">of DESNZ funding </w:t>
      </w:r>
      <w:r w:rsidRPr="00BC5DFA" w:rsidR="00BC5DFA">
        <w:t>are allocated to MAGC research activities.</w:t>
      </w:r>
    </w:p>
    <w:bookmarkEnd w:id="1"/>
    <w:p w:rsidR="009F2FC6" w:rsidP="005E566B" w:rsidRDefault="009F2FC6" w14:paraId="55E49664" w14:textId="3E17EB40">
      <w:r w:rsidRPr="009F2FC6">
        <w:t>Th</w:t>
      </w:r>
      <w:r w:rsidR="00550012">
        <w:t>e below</w:t>
      </w:r>
      <w:r w:rsidRPr="009F2FC6">
        <w:t xml:space="preserve"> presents a separate VfM evaluation </w:t>
      </w:r>
      <w:r w:rsidR="00550012">
        <w:t>annex</w:t>
      </w:r>
      <w:r w:rsidRPr="009F2FC6">
        <w:t>, accompanying the Interim Outcome evaluation report of the MAGC programme</w:t>
      </w:r>
      <w:r w:rsidR="00EF1DF8">
        <w:t xml:space="preserve"> and</w:t>
      </w:r>
      <w:r>
        <w:t xml:space="preserve"> building on the findings presented therein</w:t>
      </w:r>
      <w:r w:rsidRPr="009F2FC6">
        <w:t>.</w:t>
      </w:r>
      <w:r>
        <w:t xml:space="preserve"> It follows the methodology and approach to the VfM designed during</w:t>
      </w:r>
      <w:r w:rsidRPr="009F2FC6">
        <w:t xml:space="preserve"> </w:t>
      </w:r>
      <w:r>
        <w:t>the evaluation’s scoping stage in autumn 2023 (</w:t>
      </w:r>
      <w:proofErr w:type="gramStart"/>
      <w:r>
        <w:t>a brief summary</w:t>
      </w:r>
      <w:proofErr w:type="gramEnd"/>
      <w:r>
        <w:t xml:space="preserve"> thereof is provided in section 2 of this report) and outlines the key findings in section 3. </w:t>
      </w:r>
      <w:r w:rsidR="00452D19">
        <w:t xml:space="preserve">An interim conclusion is reached in section 4. </w:t>
      </w:r>
    </w:p>
    <w:p w:rsidR="009059CE" w:rsidRDefault="009059CE" w14:paraId="34DFC907" w14:textId="77777777">
      <w:pPr>
        <w:spacing w:after="160" w:line="259" w:lineRule="auto"/>
        <w:rPr>
          <w:rFonts w:eastAsiaTheme="majorEastAsia" w:cstheme="majorBidi"/>
          <w:color w:val="041E42"/>
          <w:sz w:val="52"/>
          <w:szCs w:val="32"/>
        </w:rPr>
      </w:pPr>
      <w:r>
        <w:br w:type="page"/>
      </w:r>
    </w:p>
    <w:p w:rsidR="00745A3B" w:rsidP="00745A3B" w:rsidRDefault="00745A3B" w14:paraId="6D38E750" w14:textId="29441B80">
      <w:pPr>
        <w:pStyle w:val="Heading1"/>
      </w:pPr>
      <w:bookmarkStart w:name="_Toc181887343" w:id="5"/>
      <w:r w:rsidRPr="00745A3B">
        <w:lastRenderedPageBreak/>
        <w:t xml:space="preserve">2 </w:t>
      </w:r>
      <w:r w:rsidR="00A60737">
        <w:t>M</w:t>
      </w:r>
      <w:r w:rsidRPr="00745A3B">
        <w:t>ethodology</w:t>
      </w:r>
      <w:bookmarkEnd w:id="5"/>
      <w:r>
        <w:t xml:space="preserve"> </w:t>
      </w:r>
    </w:p>
    <w:p w:rsidRPr="00784197" w:rsidR="00784197" w:rsidP="00784197" w:rsidRDefault="00027401" w14:paraId="43FED711" w14:textId="74E6C482">
      <w:r w:rsidRPr="00784197">
        <w:rPr>
          <w:rStyle w:val="Boldtext"/>
        </w:rPr>
        <w:t>The Value for Money assessment follows the</w:t>
      </w:r>
      <w:r>
        <w:t xml:space="preserve"> ‘</w:t>
      </w:r>
      <w:r w:rsidRPr="00BE04AA" w:rsidR="00550012">
        <w:rPr>
          <w:b/>
          <w:bCs/>
        </w:rPr>
        <w:t>5</w:t>
      </w:r>
      <w:r w:rsidRPr="00027401">
        <w:rPr>
          <w:rStyle w:val="Boldtext"/>
        </w:rPr>
        <w:t>E approach’</w:t>
      </w:r>
      <w:r w:rsidR="00784197">
        <w:t xml:space="preserve">, building on the </w:t>
      </w:r>
      <w:r w:rsidRPr="00784197" w:rsidR="00784197">
        <w:t>‘3e’ approach taken by DESNZ to assess Value for Money in the MAGC business case</w:t>
      </w:r>
      <w:r w:rsidR="00B37B86">
        <w:t>.</w:t>
      </w:r>
      <w:r w:rsidRPr="00784197" w:rsidR="00784197">
        <w:t xml:space="preserve"> </w:t>
      </w:r>
      <w:r w:rsidR="00B37B86">
        <w:t>However, it</w:t>
      </w:r>
      <w:r w:rsidRPr="00784197" w:rsidR="00784197">
        <w:t xml:space="preserve"> expands on this by adding the dimension of ‘equity’</w:t>
      </w:r>
      <w:r w:rsidR="00550012">
        <w:t xml:space="preserve"> (</w:t>
      </w:r>
      <w:r w:rsidRPr="00784197" w:rsidR="00784197">
        <w:t>reflecting DFID’s (now FCDO’s) approach to VfM assessments for international development programmes</w:t>
      </w:r>
      <w:r w:rsidR="00784197">
        <w:rPr>
          <w:rStyle w:val="FootnoteReference"/>
        </w:rPr>
        <w:footnoteReference w:id="2"/>
      </w:r>
      <w:r w:rsidR="00550012">
        <w:t>) and splitting out cost-effectiveness and effectiveness.</w:t>
      </w:r>
      <w:r w:rsidR="00891E40">
        <w:rPr>
          <w:rStyle w:val="FootnoteReference"/>
        </w:rPr>
        <w:footnoteReference w:id="3"/>
      </w:r>
      <w:r w:rsidR="00550012">
        <w:t xml:space="preserve"> </w:t>
      </w:r>
    </w:p>
    <w:p w:rsidR="00027401" w:rsidP="00745A3B" w:rsidRDefault="00784197" w14:paraId="15E2FB5B" w14:textId="26D185C6">
      <w:r w:rsidRPr="00784197">
        <w:t xml:space="preserve">Within </w:t>
      </w:r>
      <w:bookmarkStart w:name="_Hlk178616768" w:id="6"/>
      <w:r w:rsidRPr="00784197">
        <w:t>the 4e approach, the four criteria of economy, efficiency, effectiveness, and equity are explored separately and triangulated to form a coherent assessment of overall value for money.</w:t>
      </w:r>
      <w:r>
        <w:t xml:space="preserve"> </w:t>
      </w:r>
      <w:bookmarkEnd w:id="6"/>
      <w:r w:rsidRPr="000501AF" w:rsidR="000501AF">
        <w:t>During the evaluation’s inception phase in late 2023, a VfM framework was created that define</w:t>
      </w:r>
      <w:r w:rsidR="000501AF">
        <w:t>s</w:t>
      </w:r>
      <w:r w:rsidRPr="000501AF" w:rsidR="000501AF">
        <w:t xml:space="preserve"> each of the criteria specific to the MAGC programme</w:t>
      </w:r>
      <w:r w:rsidR="00A60737">
        <w:t>:</w:t>
      </w:r>
    </w:p>
    <w:p w:rsidR="00027401" w:rsidP="00784197" w:rsidRDefault="00784197" w14:paraId="63F12AF5" w14:textId="31F62499">
      <w:pPr>
        <w:pStyle w:val="DESNZbulletedlist"/>
      </w:pPr>
      <w:r w:rsidRPr="00784197">
        <w:rPr>
          <w:rStyle w:val="Boldtext"/>
        </w:rPr>
        <w:t>Economy</w:t>
      </w:r>
      <w:r>
        <w:t xml:space="preserve">: </w:t>
      </w:r>
      <w:r w:rsidRPr="001A5A0E" w:rsidR="001A5A0E">
        <w:t xml:space="preserve">This criterion refers </w:t>
      </w:r>
      <w:r w:rsidR="000E4442">
        <w:t xml:space="preserve">to </w:t>
      </w:r>
      <w:r w:rsidRPr="000E4442" w:rsidR="000E4442">
        <w:t>the amount of money spent to procure the programme activity</w:t>
      </w:r>
      <w:r w:rsidR="000E4442">
        <w:t xml:space="preserve">, looking at </w:t>
      </w:r>
      <w:r w:rsidRPr="000E4442" w:rsidR="000E4442">
        <w:t>achievement of the least cost for the relevant level of quality.</w:t>
      </w:r>
    </w:p>
    <w:p w:rsidR="00784197" w:rsidP="00784197" w:rsidRDefault="00784197" w14:paraId="40206E94" w14:textId="13DA40E8">
      <w:pPr>
        <w:pStyle w:val="DESNZbulletedlist"/>
      </w:pPr>
      <w:r w:rsidRPr="00784197">
        <w:rPr>
          <w:rStyle w:val="Boldtext"/>
        </w:rPr>
        <w:t>Efficiency</w:t>
      </w:r>
      <w:r>
        <w:t>:</w:t>
      </w:r>
      <w:r w:rsidRPr="001A5A0E" w:rsidR="001A5A0E">
        <w:t xml:space="preserve"> This criterion </w:t>
      </w:r>
      <w:r w:rsidR="000E4442">
        <w:t xml:space="preserve">looks at </w:t>
      </w:r>
      <w:r w:rsidRPr="000E4442" w:rsidR="000E4442">
        <w:t>the level of resources (time, money, people) the programme takes to convert inputs into outputs</w:t>
      </w:r>
      <w:r w:rsidR="007F1E33">
        <w:t>.</w:t>
      </w:r>
      <w:r w:rsidR="000E4442">
        <w:t xml:space="preserve"> </w:t>
      </w:r>
      <w:r w:rsidR="007F1E33">
        <w:t xml:space="preserve">This </w:t>
      </w:r>
      <w:r w:rsidR="000E4442">
        <w:t>aim</w:t>
      </w:r>
      <w:r w:rsidR="007F1E33">
        <w:t>s</w:t>
      </w:r>
      <w:r w:rsidR="000E4442">
        <w:t xml:space="preserve"> to assess whether</w:t>
      </w:r>
      <w:r w:rsidR="001A5A0E">
        <w:t xml:space="preserve"> </w:t>
      </w:r>
      <w:r w:rsidRPr="001A5A0E" w:rsidR="001A5A0E">
        <w:t xml:space="preserve">activities </w:t>
      </w:r>
      <w:r w:rsidR="000E4442">
        <w:t xml:space="preserve">are </w:t>
      </w:r>
      <w:r w:rsidRPr="001A5A0E" w:rsidR="001A5A0E">
        <w:t>being delivered with the least resources, or (more commonly) being delivered with the level of resources initially set aside for the activities.</w:t>
      </w:r>
    </w:p>
    <w:p w:rsidR="001276ED" w:rsidP="001276ED" w:rsidRDefault="001276ED" w14:paraId="3DF1B81D" w14:textId="77777777">
      <w:pPr>
        <w:pStyle w:val="DESNZbulletedlist"/>
      </w:pPr>
      <w:r w:rsidRPr="00784197">
        <w:rPr>
          <w:rStyle w:val="Boldtext"/>
        </w:rPr>
        <w:t>Effectiveness</w:t>
      </w:r>
      <w:r>
        <w:t xml:space="preserve">: This criterion assesses </w:t>
      </w:r>
      <w:r w:rsidRPr="001A5A0E">
        <w:t>how much impact was achieved</w:t>
      </w:r>
      <w:r>
        <w:t xml:space="preserve">. </w:t>
      </w:r>
    </w:p>
    <w:p w:rsidR="001276ED" w:rsidP="001276ED" w:rsidRDefault="001276ED" w14:paraId="7D30F2D8" w14:textId="77777777">
      <w:pPr>
        <w:pStyle w:val="DESNZbulletedlist"/>
      </w:pPr>
      <w:r>
        <w:rPr>
          <w:rStyle w:val="Boldtext"/>
        </w:rPr>
        <w:t>Cost</w:t>
      </w:r>
      <w:r w:rsidRPr="00C61587">
        <w:rPr>
          <w:b/>
          <w:bCs/>
        </w:rPr>
        <w:t>-</w:t>
      </w:r>
      <w:r>
        <w:rPr>
          <w:b/>
          <w:bCs/>
        </w:rPr>
        <w:t>effectiveness</w:t>
      </w:r>
      <w:r w:rsidRPr="00C61587">
        <w:t>:</w:t>
      </w:r>
      <w:r>
        <w:rPr>
          <w:b/>
          <w:bCs/>
        </w:rPr>
        <w:t xml:space="preserve"> </w:t>
      </w:r>
      <w:r>
        <w:t xml:space="preserve">This criterion compares costs to the outcomes and impact achieved (assessing how much impact was achieved relative to the inputs). </w:t>
      </w:r>
    </w:p>
    <w:p w:rsidR="00784197" w:rsidP="00784197" w:rsidRDefault="00784197" w14:paraId="54471869" w14:textId="516B7CDA">
      <w:pPr>
        <w:pStyle w:val="DESNZbulletedlist"/>
      </w:pPr>
      <w:r w:rsidRPr="00784197">
        <w:rPr>
          <w:rStyle w:val="Boldtext"/>
        </w:rPr>
        <w:t>Equity</w:t>
      </w:r>
      <w:r>
        <w:t xml:space="preserve">: </w:t>
      </w:r>
      <w:r w:rsidRPr="00BD7BE1" w:rsidR="00BD7BE1">
        <w:t xml:space="preserve">This criterion </w:t>
      </w:r>
      <w:r w:rsidR="000E4442">
        <w:t>refers</w:t>
      </w:r>
      <w:r w:rsidR="00BD7BE1">
        <w:t xml:space="preserve"> to </w:t>
      </w:r>
      <w:r w:rsidR="00A60737">
        <w:t>how</w:t>
      </w:r>
      <w:r w:rsidR="00BD7BE1">
        <w:t xml:space="preserve"> costs and benefits </w:t>
      </w:r>
      <w:r w:rsidR="000E4442">
        <w:t xml:space="preserve">of the programme </w:t>
      </w:r>
      <w:r w:rsidR="00BD7BE1">
        <w:t>are distributed</w:t>
      </w:r>
      <w:r w:rsidR="000E4442">
        <w:t xml:space="preserve">, specifically assessing how </w:t>
      </w:r>
      <w:r w:rsidRPr="000E4442" w:rsidR="000E4442">
        <w:t>successfully the programme activities have engaged with different relevant marginalised groups</w:t>
      </w:r>
      <w:r w:rsidR="007F1E33">
        <w:t>.</w:t>
      </w:r>
      <w:r w:rsidRPr="000E4442" w:rsidR="000E4442">
        <w:t xml:space="preserve"> </w:t>
      </w:r>
      <w:r w:rsidR="007F1E33">
        <w:t>W</w:t>
      </w:r>
      <w:r w:rsidR="00A60737">
        <w:t>hether</w:t>
      </w:r>
      <w:r w:rsidRPr="000E4442" w:rsidR="000E4442">
        <w:t xml:space="preserve"> the programme’s benefits ultimately are distributed amongst these. A key focus will be on the gender distribution in the capacity building context.</w:t>
      </w:r>
      <w:r w:rsidR="00BD7BE1">
        <w:t xml:space="preserve"> </w:t>
      </w:r>
    </w:p>
    <w:p w:rsidR="000501AF" w:rsidP="00BD7BE1" w:rsidRDefault="006C3875" w14:paraId="43F25AD8" w14:textId="7C594C14">
      <w:r>
        <w:t xml:space="preserve">Within the VfM framework for each criteria </w:t>
      </w:r>
      <w:r w:rsidR="000501AF">
        <w:t xml:space="preserve">the sub-criteria, indicators and evidence sources and methods that will be used to deliver an assessment against </w:t>
      </w:r>
      <w:r>
        <w:t>them were defined</w:t>
      </w:r>
      <w:r w:rsidR="000501AF">
        <w:t xml:space="preserve">. </w:t>
      </w:r>
    </w:p>
    <w:p w:rsidR="000501AF" w:rsidP="00BD7BE1" w:rsidRDefault="002B53A3" w14:paraId="12ECE252" w14:textId="3A43ACC7">
      <w:r>
        <w:t>As the overall evaluation is taking a theory-based, realist approach and considering that o</w:t>
      </w:r>
      <w:r w:rsidRPr="002B53A3">
        <w:t>utcomes of technical assistance programmes, and especially outcomes and impacts related to transformational change are difficult to quantify</w:t>
      </w:r>
      <w:r>
        <w:t xml:space="preserve">, the </w:t>
      </w:r>
      <w:r w:rsidRPr="002B53A3">
        <w:t xml:space="preserve">value for money assessment </w:t>
      </w:r>
      <w:r w:rsidR="00A60737">
        <w:t>is</w:t>
      </w:r>
      <w:r w:rsidRPr="002B53A3">
        <w:t xml:space="preserve"> qualitative</w:t>
      </w:r>
      <w:r>
        <w:t xml:space="preserve">. </w:t>
      </w:r>
      <w:r w:rsidR="000501AF">
        <w:t xml:space="preserve">Considering </w:t>
      </w:r>
      <w:r>
        <w:t>this</w:t>
      </w:r>
      <w:r w:rsidR="000501AF">
        <w:t xml:space="preserve">, a VfM assessment rubric was developed during the inception phase, which </w:t>
      </w:r>
      <w:r w:rsidRPr="000501AF" w:rsidR="000501AF">
        <w:t>defines the conditions under which each criteri</w:t>
      </w:r>
      <w:r w:rsidR="00A60737">
        <w:t>on</w:t>
      </w:r>
      <w:r w:rsidRPr="000501AF" w:rsidR="000501AF">
        <w:t xml:space="preserve">’s performance </w:t>
      </w:r>
      <w:r w:rsidR="00A60737">
        <w:t xml:space="preserve">is </w:t>
      </w:r>
      <w:r w:rsidRPr="000501AF" w:rsidR="000501AF">
        <w:t>rated.</w:t>
      </w:r>
    </w:p>
    <w:p w:rsidR="000501AF" w:rsidP="00BD7BE1" w:rsidRDefault="000501AF" w14:paraId="705D88B3" w14:textId="25EB0BC5">
      <w:r>
        <w:t xml:space="preserve">The VfM framework and the VfM assessment rubric are both included in </w:t>
      </w:r>
      <w:r w:rsidR="00531543">
        <w:t xml:space="preserve">the </w:t>
      </w:r>
      <w:r w:rsidR="00464266">
        <w:t>T</w:t>
      </w:r>
      <w:r w:rsidR="00531543">
        <w:t xml:space="preserve">echnical </w:t>
      </w:r>
      <w:r w:rsidR="00464266">
        <w:t>A</w:t>
      </w:r>
      <w:r w:rsidR="00531543">
        <w:t>nnex</w:t>
      </w:r>
      <w:r w:rsidR="00464266">
        <w:t>.</w:t>
      </w:r>
    </w:p>
    <w:p w:rsidRPr="00745A3B" w:rsidR="00745A3B" w:rsidP="00745A3B" w:rsidRDefault="00745A3B" w14:paraId="45CBEC35" w14:textId="77777777">
      <w:pPr>
        <w:pStyle w:val="Heading1"/>
      </w:pPr>
      <w:bookmarkStart w:name="_Toc181887344" w:id="7"/>
      <w:r w:rsidRPr="00745A3B">
        <w:lastRenderedPageBreak/>
        <w:t>3 Key findings per criterion to date</w:t>
      </w:r>
      <w:bookmarkEnd w:id="7"/>
    </w:p>
    <w:p w:rsidR="00DA41A8" w:rsidP="00745A3B" w:rsidRDefault="002B53A3" w14:paraId="145D34EE" w14:textId="3A9DE41C">
      <w:r>
        <w:t>This section presents the key findings per criterion to date, following the VfM framework.</w:t>
      </w:r>
      <w:r w:rsidR="00B3359F">
        <w:t xml:space="preserve"> </w:t>
      </w:r>
      <w:r w:rsidR="00DA41A8">
        <w:t>At th</w:t>
      </w:r>
      <w:r w:rsidR="00B3359F">
        <w:t>is</w:t>
      </w:r>
      <w:r w:rsidR="00DA41A8">
        <w:t xml:space="preserve"> interim stage, value for money cannot yet be established</w:t>
      </w:r>
      <w:r w:rsidR="00B3359F">
        <w:t>. I</w:t>
      </w:r>
      <w:r w:rsidR="00DA41A8">
        <w:t>nstead</w:t>
      </w:r>
      <w:r w:rsidR="00B3359F">
        <w:t xml:space="preserve">, </w:t>
      </w:r>
      <w:r w:rsidR="00DA41A8">
        <w:t xml:space="preserve">a judgement is given </w:t>
      </w:r>
      <w:r w:rsidR="00531543">
        <w:t xml:space="preserve">(from poor to excellent, with the </w:t>
      </w:r>
      <w:r w:rsidR="00452D19">
        <w:t xml:space="preserve">conditions to be met for each criterion </w:t>
      </w:r>
      <w:r w:rsidR="00531543">
        <w:t xml:space="preserve">defined </w:t>
      </w:r>
      <w:r w:rsidR="00452D19">
        <w:t>in the VfM assessment rubric in the technical annex to the technical report</w:t>
      </w:r>
      <w:r w:rsidR="00531543">
        <w:t xml:space="preserve">) </w:t>
      </w:r>
      <w:r w:rsidR="00B3359F">
        <w:t>rating the extent to which the programme is ‘</w:t>
      </w:r>
      <w:r w:rsidR="00452D19">
        <w:t>o</w:t>
      </w:r>
      <w:r w:rsidR="00B3359F">
        <w:t xml:space="preserve">n track’ to deliver value for money.  </w:t>
      </w:r>
    </w:p>
    <w:p w:rsidR="00C9447D" w:rsidP="00C9447D" w:rsidRDefault="00452D19" w14:paraId="5404D788" w14:textId="67A6C77C">
      <w:pPr>
        <w:pStyle w:val="Heading2"/>
      </w:pPr>
      <w:bookmarkStart w:name="_Toc181887345" w:id="8"/>
      <w:r>
        <w:t>E</w:t>
      </w:r>
      <w:r w:rsidR="002B53A3">
        <w:t>conomy</w:t>
      </w:r>
      <w:bookmarkEnd w:id="8"/>
    </w:p>
    <w:p w:rsidR="00C9447D" w:rsidP="002B53A3" w:rsidRDefault="00C9447D" w14:paraId="58B77D74" w14:textId="547A4E2F">
      <w:r>
        <w:t xml:space="preserve">The criterion of economy assesses whether DESNZ and IFC have </w:t>
      </w:r>
      <w:r w:rsidRPr="002B53A3">
        <w:t>adequate and effective procurement processes in place</w:t>
      </w:r>
      <w:r w:rsidR="00773917">
        <w:t>.</w:t>
      </w:r>
      <w:r w:rsidRPr="002B53A3">
        <w:t xml:space="preserve"> </w:t>
      </w:r>
      <w:r w:rsidR="00773917">
        <w:t xml:space="preserve">This is </w:t>
      </w:r>
      <w:r w:rsidRPr="002B53A3">
        <w:t>to ensure that O</w:t>
      </w:r>
      <w:r w:rsidR="00A1759E">
        <w:t xml:space="preserve">verseas </w:t>
      </w:r>
      <w:r w:rsidRPr="002B53A3">
        <w:t>D</w:t>
      </w:r>
      <w:r w:rsidR="00A1759E">
        <w:t xml:space="preserve">evelopment </w:t>
      </w:r>
      <w:r w:rsidRPr="002B53A3">
        <w:t>A</w:t>
      </w:r>
      <w:r w:rsidR="00A1759E">
        <w:t>id (ODA)</w:t>
      </w:r>
      <w:r w:rsidRPr="002B53A3">
        <w:t xml:space="preserve"> is spent economically and whether decision-making on costs supports this</w:t>
      </w:r>
      <w:r>
        <w:t xml:space="preserve">. To assess this, three judgement criteria are considered: </w:t>
      </w:r>
    </w:p>
    <w:p w:rsidR="00C9447D" w:rsidP="00C9447D" w:rsidRDefault="00C9447D" w14:paraId="11858A5D" w14:textId="2C24C4F0">
      <w:pPr>
        <w:pStyle w:val="DESNZbulletedlist"/>
      </w:pPr>
      <w:r>
        <w:t>Administrative costs (</w:t>
      </w:r>
      <w:r w:rsidRPr="00C9447D">
        <w:t>administration fees, concessional finance fees, costs for programme management, and costs for evaluation) are kept low</w:t>
      </w:r>
      <w:r>
        <w:t>.</w:t>
      </w:r>
    </w:p>
    <w:p w:rsidR="00C9447D" w:rsidP="00C9447D" w:rsidRDefault="00C9447D" w14:paraId="6F235150" w14:textId="63B18413">
      <w:pPr>
        <w:pStyle w:val="DESNZbulletedlist"/>
      </w:pPr>
      <w:r w:rsidRPr="00C9447D">
        <w:t>Administrative costs are comparable and ‘standard’ for a programme such as MAGC</w:t>
      </w:r>
      <w:r>
        <w:t>.</w:t>
      </w:r>
    </w:p>
    <w:p w:rsidR="00C9447D" w:rsidP="00C9447D" w:rsidRDefault="00C9447D" w14:paraId="2818CEBB" w14:textId="132A9562">
      <w:pPr>
        <w:pStyle w:val="DESNZbulletedlist"/>
      </w:pPr>
      <w:r>
        <w:t>Evidence of processes and efforts in place to ensure costs are being kept as low as possible.</w:t>
      </w:r>
    </w:p>
    <w:p w:rsidR="006F701B" w:rsidP="006F701B" w:rsidRDefault="00D90296" w14:paraId="35C83EF8" w14:textId="709DDB49">
      <w:r>
        <w:t>The MAGC programme is currently on track to deliver ‘</w:t>
      </w:r>
      <w:r w:rsidR="00A87CFA">
        <w:t xml:space="preserve">good’ </w:t>
      </w:r>
      <w:r>
        <w:t xml:space="preserve">value for money in the economy criterion. Costs for administration and management are exceeding the budget only slightly (in this case, DESNZ staff time required is higher than originally estimated), and these deviations are justified.  </w:t>
      </w:r>
    </w:p>
    <w:p w:rsidR="00377F53" w:rsidP="00BF4CBD" w:rsidRDefault="006F701B" w14:paraId="1C5295A4" w14:textId="299AC388">
      <w:pPr>
        <w:pStyle w:val="Heading3"/>
      </w:pPr>
      <w:r>
        <w:t>Extent to which costs are kept low</w:t>
      </w:r>
    </w:p>
    <w:p w:rsidR="000C6175" w:rsidP="000C6175" w:rsidRDefault="000C6175" w14:paraId="69B1ED21" w14:textId="77777777">
      <w:r>
        <w:t xml:space="preserve">The total of administrative costs for the MAGC programme comprises the following: </w:t>
      </w:r>
    </w:p>
    <w:p w:rsidR="000C6175" w:rsidP="000C6175" w:rsidRDefault="000C6175" w14:paraId="69E3045F" w14:textId="6F852987">
      <w:pPr>
        <w:pStyle w:val="DESNZbulletedlist"/>
      </w:pPr>
      <w:r>
        <w:t xml:space="preserve">DESNZ staff time to oversee and manage the programme. In the initial business case, it was estimated that total staff time within BEIS </w:t>
      </w:r>
      <w:r w:rsidR="00615B03">
        <w:t xml:space="preserve">(now DESNZ) </w:t>
      </w:r>
      <w:r>
        <w:t xml:space="preserve">would amount to 1.15 </w:t>
      </w:r>
      <w:r w:rsidR="00662600">
        <w:t>Full-Time Equivalent (</w:t>
      </w:r>
      <w:r>
        <w:t>FTEs</w:t>
      </w:r>
      <w:r w:rsidR="00662600">
        <w:t>)</w:t>
      </w:r>
      <w:r>
        <w:t>, split across different levels. Current estimates provided by DESNZ show that the programme requires approximately 1.7 FTEs</w:t>
      </w:r>
      <w:r w:rsidR="00085EAC">
        <w:t xml:space="preserve"> (48% more than initially estimated)</w:t>
      </w:r>
      <w:r>
        <w:t xml:space="preserve">. </w:t>
      </w:r>
    </w:p>
    <w:p w:rsidR="000C6175" w:rsidP="000C6175" w:rsidRDefault="00E24F83" w14:paraId="452B943E" w14:textId="388B4919">
      <w:pPr>
        <w:pStyle w:val="DESNZbulletedlist"/>
      </w:pPr>
      <w:r>
        <w:t xml:space="preserve">Administrative costs for IFC to deliver the programme is comprised of two parts. </w:t>
      </w:r>
      <w:r w:rsidRPr="00ED7682" w:rsidR="000C6175">
        <w:t xml:space="preserve">As detailed in the administration arrangement, IFC’s </w:t>
      </w:r>
      <w:r w:rsidR="00425CFA">
        <w:t xml:space="preserve">management fee for the Investment Services </w:t>
      </w:r>
      <w:r w:rsidRPr="00ED7682" w:rsidR="00425CFA">
        <w:t xml:space="preserve">amounts to seven percent (7%) </w:t>
      </w:r>
      <w:r w:rsidR="00425CFA">
        <w:t>of disbursement</w:t>
      </w:r>
      <w:r>
        <w:t xml:space="preserve"> (on the £102m of DESNZ funding allocated to investment services)</w:t>
      </w:r>
      <w:r w:rsidR="00BC5DFA">
        <w:t xml:space="preserve">. </w:t>
      </w:r>
      <w:r w:rsidR="00425CFA">
        <w:t xml:space="preserve">IFC’s </w:t>
      </w:r>
      <w:r w:rsidRPr="00ED7682" w:rsidR="000C6175">
        <w:t xml:space="preserve">administration fee </w:t>
      </w:r>
      <w:r w:rsidR="00425CFA">
        <w:t>for the delivery of</w:t>
      </w:r>
      <w:r w:rsidRPr="00ED7682" w:rsidR="000C6175">
        <w:t xml:space="preserve"> </w:t>
      </w:r>
      <w:r w:rsidR="00425CFA">
        <w:t xml:space="preserve">advisory services, to cover administrative and management </w:t>
      </w:r>
      <w:r w:rsidRPr="00ED7682" w:rsidR="000C6175">
        <w:t>expenses incurred</w:t>
      </w:r>
      <w:r w:rsidR="00425CFA">
        <w:t>,</w:t>
      </w:r>
      <w:r w:rsidRPr="00ED7682" w:rsidR="000C6175">
        <w:t xml:space="preserve"> amounts to </w:t>
      </w:r>
      <w:r w:rsidR="00425CFA">
        <w:t>five</w:t>
      </w:r>
      <w:r w:rsidRPr="00ED7682" w:rsidR="000C6175">
        <w:t xml:space="preserve"> percent (</w:t>
      </w:r>
      <w:r w:rsidR="00425CFA">
        <w:t>5</w:t>
      </w:r>
      <w:r w:rsidRPr="00ED7682" w:rsidR="000C6175">
        <w:t>%) of the total amount of</w:t>
      </w:r>
      <w:r w:rsidR="00425CFA">
        <w:t xml:space="preserve"> the respective</w:t>
      </w:r>
      <w:r w:rsidRPr="00ED7682" w:rsidR="000C6175">
        <w:t xml:space="preserve"> funding received from DESNZ</w:t>
      </w:r>
      <w:r>
        <w:t xml:space="preserve"> (which is </w:t>
      </w:r>
      <w:r w:rsidRPr="00E24F83">
        <w:t>£36.1m</w:t>
      </w:r>
      <w:r>
        <w:t>)</w:t>
      </w:r>
      <w:r w:rsidRPr="00ED7682" w:rsidR="000C6175">
        <w:t>.</w:t>
      </w:r>
    </w:p>
    <w:p w:rsidR="000C6175" w:rsidP="000C6175" w:rsidRDefault="000C6175" w14:paraId="33E2DF4C" w14:textId="5280203E">
      <w:pPr>
        <w:pStyle w:val="DESNZbulletedlist"/>
      </w:pPr>
      <w:r>
        <w:lastRenderedPageBreak/>
        <w:t>Th</w:t>
      </w:r>
      <w:r w:rsidR="002F3C8B">
        <w:t>e cost for this</w:t>
      </w:r>
      <w:r>
        <w:t xml:space="preserve"> evaluation, which was procured for a total value of £873,450, with an additional £100,000 set aside as contingency.  </w:t>
      </w:r>
    </w:p>
    <w:p w:rsidR="00240F85" w:rsidP="0005136A" w:rsidRDefault="0005136A" w14:paraId="664D8B7E" w14:textId="353478DE">
      <w:r>
        <w:t xml:space="preserve">The staff time required by the programme within DESNZ is currently more than was originally estimated in the business case, as detailed in table </w:t>
      </w:r>
      <w:r w:rsidR="00E24F83">
        <w:t>1</w:t>
      </w:r>
      <w:r>
        <w:t xml:space="preserve"> below. </w:t>
      </w:r>
      <w:proofErr w:type="gramStart"/>
      <w:r>
        <w:t>In particular, more</w:t>
      </w:r>
      <w:proofErr w:type="gramEnd"/>
      <w:r>
        <w:t xml:space="preserve"> time is required of the Monitoring and Evaluation Lead and the Economist, and a new role of ICF Programme </w:t>
      </w:r>
      <w:r w:rsidR="00332F62">
        <w:t xml:space="preserve">team </w:t>
      </w:r>
      <w:r>
        <w:t xml:space="preserve">Lead. </w:t>
      </w:r>
      <w:r w:rsidR="00240F85">
        <w:t xml:space="preserve">However, this needs to be caveated by the fact that the original business case estimates were produced amid uncertainty concerning </w:t>
      </w:r>
      <w:r w:rsidR="00BD7D45">
        <w:t xml:space="preserve">how </w:t>
      </w:r>
      <w:r w:rsidR="00240F85">
        <w:t>the programme would look</w:t>
      </w:r>
      <w:r w:rsidR="00BD7D45">
        <w:t>,</w:t>
      </w:r>
      <w:r w:rsidR="00BF4CBD">
        <w:t xml:space="preserve"> </w:t>
      </w:r>
      <w:proofErr w:type="gramStart"/>
      <w:r w:rsidR="00BD7D45">
        <w:t>This</w:t>
      </w:r>
      <w:proofErr w:type="gramEnd"/>
      <w:r w:rsidR="00BD7D45">
        <w:t xml:space="preserve"> was c</w:t>
      </w:r>
      <w:r w:rsidR="00240F85">
        <w:t>onsidering its novel approach as a bilateral partnership as well as new sectoral focus. F</w:t>
      </w:r>
      <w:r w:rsidRPr="00E65C0A" w:rsidR="00240F85">
        <w:t>eedback from DESNZ stakeholders suggests that the</w:t>
      </w:r>
      <w:r w:rsidR="00240F85">
        <w:t>se</w:t>
      </w:r>
      <w:r w:rsidRPr="00E65C0A" w:rsidR="00240F85">
        <w:t xml:space="preserve"> resources are proportionate to the size, scope </w:t>
      </w:r>
      <w:proofErr w:type="gramStart"/>
      <w:r w:rsidRPr="00E65C0A" w:rsidR="00240F85">
        <w:t>and also</w:t>
      </w:r>
      <w:proofErr w:type="gramEnd"/>
      <w:r w:rsidRPr="00E65C0A" w:rsidR="00240F85">
        <w:t xml:space="preserve"> importance of the MAGC programme.</w:t>
      </w:r>
      <w:r w:rsidR="00240F85">
        <w:t xml:space="preserve"> </w:t>
      </w:r>
    </w:p>
    <w:p w:rsidR="0005136A" w:rsidP="0005136A" w:rsidRDefault="00240F85" w14:paraId="71F2D528" w14:textId="41B8B6E7">
      <w:r>
        <w:t>Additionally, it is worth noting that the most resource-intensive role at DESNZ (programme lead) became more junior, thus expected to partially balance out the increased cost of time increases in other roles.</w:t>
      </w:r>
    </w:p>
    <w:p w:rsidRPr="00C97EE5" w:rsidR="0005136A" w:rsidP="0005136A" w:rsidRDefault="0005136A" w14:paraId="0BE85625" w14:textId="7C1E19C7">
      <w:pPr>
        <w:rPr>
          <w:rStyle w:val="Boldtext"/>
        </w:rPr>
      </w:pPr>
      <w:r>
        <w:rPr>
          <w:rStyle w:val="Boldtext"/>
        </w:rPr>
        <w:t>Table</w:t>
      </w:r>
      <w:r w:rsidR="00E24F83">
        <w:rPr>
          <w:rStyle w:val="Boldtext"/>
        </w:rPr>
        <w:t xml:space="preserve"> 1</w:t>
      </w:r>
      <w:r>
        <w:rPr>
          <w:rStyle w:val="Boldtext"/>
        </w:rPr>
        <w:t xml:space="preserve">: </w:t>
      </w:r>
      <w:r w:rsidRPr="00C97EE5">
        <w:rPr>
          <w:rStyle w:val="Boldtext"/>
        </w:rPr>
        <w:t>DESNZ staff time spent on MAGC programme</w:t>
      </w:r>
    </w:p>
    <w:tbl>
      <w:tblPr>
        <w:tblStyle w:val="Table-bluegrid1"/>
        <w:tblW w:w="5000" w:type="pct"/>
        <w:tblLook w:val="04A0" w:firstRow="1" w:lastRow="0" w:firstColumn="1" w:lastColumn="0" w:noHBand="0" w:noVBand="1"/>
      </w:tblPr>
      <w:tblGrid>
        <w:gridCol w:w="4529"/>
        <w:gridCol w:w="2881"/>
        <w:gridCol w:w="2672"/>
      </w:tblGrid>
      <w:tr w:rsidR="0005136A" w:rsidTr="00BD7D45" w14:paraId="7FF57BE4" w14:textId="77777777">
        <w:trPr>
          <w:cnfStyle w:val="100000000000" w:firstRow="1" w:lastRow="0" w:firstColumn="0" w:lastColumn="0" w:oddVBand="0" w:evenVBand="0" w:oddHBand="0" w:evenHBand="0" w:firstRowFirstColumn="0" w:firstRowLastColumn="0" w:lastRowFirstColumn="0" w:lastRowLastColumn="0"/>
        </w:trPr>
        <w:tc>
          <w:tcPr>
            <w:tcW w:w="2246" w:type="pct"/>
          </w:tcPr>
          <w:p w:rsidRPr="0005136A" w:rsidR="0005136A" w:rsidP="0005136A" w:rsidRDefault="0005136A" w14:paraId="6B3D9198" w14:textId="77777777">
            <w:bookmarkStart w:name="_Hlk181107893" w:id="9"/>
            <w:r>
              <w:t>Level and role</w:t>
            </w:r>
          </w:p>
        </w:tc>
        <w:tc>
          <w:tcPr>
            <w:tcW w:w="1429" w:type="pct"/>
          </w:tcPr>
          <w:p w:rsidRPr="0005136A" w:rsidR="0005136A" w:rsidP="0005136A" w:rsidRDefault="0005136A" w14:paraId="3407715A" w14:textId="77777777">
            <w:r w:rsidRPr="0070482F">
              <w:t>DESNZ staff time (FTE)</w:t>
            </w:r>
            <w:r w:rsidRPr="0005136A">
              <w:t>: Business case estimate</w:t>
            </w:r>
          </w:p>
        </w:tc>
        <w:tc>
          <w:tcPr>
            <w:tcW w:w="1325" w:type="pct"/>
          </w:tcPr>
          <w:p w:rsidRPr="0005136A" w:rsidR="0005136A" w:rsidP="0005136A" w:rsidRDefault="0005136A" w14:paraId="1C944A5C" w14:textId="77777777">
            <w:r w:rsidRPr="0070482F">
              <w:t>DESNZ staff time (FTE)</w:t>
            </w:r>
            <w:r w:rsidRPr="0005136A">
              <w:t>: Current estimate</w:t>
            </w:r>
          </w:p>
        </w:tc>
      </w:tr>
      <w:tr w:rsidR="0005136A" w:rsidTr="00BD7D45" w14:paraId="2401502A" w14:textId="77777777">
        <w:tc>
          <w:tcPr>
            <w:tcW w:w="2246" w:type="pct"/>
          </w:tcPr>
          <w:p w:rsidRPr="0005136A" w:rsidR="0005136A" w:rsidP="0005136A" w:rsidRDefault="0005136A" w14:paraId="079EDD2E" w14:textId="77777777">
            <w:r>
              <w:t>ICF Policy Analyst, now called Programme lead (SEO, now HEO)</w:t>
            </w:r>
          </w:p>
        </w:tc>
        <w:tc>
          <w:tcPr>
            <w:tcW w:w="1429" w:type="pct"/>
          </w:tcPr>
          <w:p w:rsidRPr="0005136A" w:rsidR="0005136A" w:rsidP="0005136A" w:rsidRDefault="0005136A" w14:paraId="7497F138" w14:textId="77777777">
            <w:r>
              <w:t>0.7</w:t>
            </w:r>
          </w:p>
        </w:tc>
        <w:tc>
          <w:tcPr>
            <w:tcW w:w="1325" w:type="pct"/>
          </w:tcPr>
          <w:p w:rsidRPr="0005136A" w:rsidR="0005136A" w:rsidP="0005136A" w:rsidRDefault="0005136A" w14:paraId="040DE470" w14:textId="77777777">
            <w:r>
              <w:t>0.7</w:t>
            </w:r>
          </w:p>
        </w:tc>
      </w:tr>
      <w:tr w:rsidR="0005136A" w:rsidTr="00BD7D45" w14:paraId="16E7A6FD" w14:textId="77777777">
        <w:tc>
          <w:tcPr>
            <w:tcW w:w="2246" w:type="pct"/>
          </w:tcPr>
          <w:p w:rsidRPr="0005136A" w:rsidR="0005136A" w:rsidP="0005136A" w:rsidRDefault="0005136A" w14:paraId="616D2CEE" w14:textId="5618AD67">
            <w:r>
              <w:t xml:space="preserve">ICF Programme </w:t>
            </w:r>
            <w:r w:rsidR="00332F62">
              <w:t xml:space="preserve">team </w:t>
            </w:r>
            <w:r>
              <w:t>Lead</w:t>
            </w:r>
          </w:p>
        </w:tc>
        <w:tc>
          <w:tcPr>
            <w:tcW w:w="1429" w:type="pct"/>
          </w:tcPr>
          <w:p w:rsidRPr="0005136A" w:rsidR="0005136A" w:rsidP="0005136A" w:rsidRDefault="0005136A" w14:paraId="34617FDA" w14:textId="77777777">
            <w:r>
              <w:t>N/A</w:t>
            </w:r>
          </w:p>
        </w:tc>
        <w:tc>
          <w:tcPr>
            <w:tcW w:w="1325" w:type="pct"/>
          </w:tcPr>
          <w:p w:rsidRPr="0005136A" w:rsidR="0005136A" w:rsidP="0005136A" w:rsidRDefault="0005136A" w14:paraId="1B729C6C" w14:textId="77777777">
            <w:r>
              <w:t>0.4</w:t>
            </w:r>
          </w:p>
        </w:tc>
      </w:tr>
      <w:tr w:rsidR="0005136A" w:rsidTr="00BD7D45" w14:paraId="231B9ED7" w14:textId="77777777">
        <w:tc>
          <w:tcPr>
            <w:tcW w:w="2246" w:type="pct"/>
          </w:tcPr>
          <w:p w:rsidRPr="0005136A" w:rsidR="0005136A" w:rsidP="0005136A" w:rsidRDefault="0005136A" w14:paraId="4FFE03E3" w14:textId="77777777">
            <w:r w:rsidRPr="0070482F">
              <w:t xml:space="preserve">ICF Head of Decarbonisation, now called Head of </w:t>
            </w:r>
            <w:r w:rsidRPr="0005136A">
              <w:t>Mobilising Private Finance and Construction (G6)</w:t>
            </w:r>
          </w:p>
        </w:tc>
        <w:tc>
          <w:tcPr>
            <w:tcW w:w="1429" w:type="pct"/>
          </w:tcPr>
          <w:p w:rsidRPr="0005136A" w:rsidR="0005136A" w:rsidP="0005136A" w:rsidRDefault="0005136A" w14:paraId="5EE7FC58" w14:textId="77777777">
            <w:r w:rsidRPr="0070482F">
              <w:t>0.05</w:t>
            </w:r>
          </w:p>
        </w:tc>
        <w:tc>
          <w:tcPr>
            <w:tcW w:w="1325" w:type="pct"/>
          </w:tcPr>
          <w:p w:rsidRPr="0005136A" w:rsidR="0005136A" w:rsidP="0005136A" w:rsidRDefault="0005136A" w14:paraId="04C8B6DB" w14:textId="77777777">
            <w:r w:rsidRPr="0070482F">
              <w:t>0.05</w:t>
            </w:r>
          </w:p>
        </w:tc>
      </w:tr>
      <w:tr w:rsidR="0005136A" w:rsidTr="00BD7D45" w14:paraId="32F0CB54" w14:textId="77777777">
        <w:tc>
          <w:tcPr>
            <w:tcW w:w="2246" w:type="pct"/>
          </w:tcPr>
          <w:p w:rsidRPr="0005136A" w:rsidR="0005136A" w:rsidP="0005136A" w:rsidRDefault="0005136A" w14:paraId="75A9692E" w14:textId="77777777">
            <w:r w:rsidRPr="0070482F">
              <w:t>Monitoring and Evaluation lead (G7)</w:t>
            </w:r>
          </w:p>
        </w:tc>
        <w:tc>
          <w:tcPr>
            <w:tcW w:w="1429" w:type="pct"/>
          </w:tcPr>
          <w:p w:rsidRPr="0005136A" w:rsidR="0005136A" w:rsidP="0005136A" w:rsidRDefault="0005136A" w14:paraId="7F350A0F" w14:textId="77777777">
            <w:r w:rsidRPr="0070482F">
              <w:t>0.2</w:t>
            </w:r>
          </w:p>
        </w:tc>
        <w:tc>
          <w:tcPr>
            <w:tcW w:w="1325" w:type="pct"/>
          </w:tcPr>
          <w:p w:rsidRPr="0005136A" w:rsidR="0005136A" w:rsidP="0005136A" w:rsidRDefault="0005136A" w14:paraId="30CFE77F" w14:textId="77777777">
            <w:r w:rsidRPr="0070482F">
              <w:t>0.3</w:t>
            </w:r>
          </w:p>
        </w:tc>
      </w:tr>
      <w:tr w:rsidR="0005136A" w:rsidTr="00BD7D45" w14:paraId="13D1BAD6" w14:textId="77777777">
        <w:tc>
          <w:tcPr>
            <w:tcW w:w="2246" w:type="pct"/>
          </w:tcPr>
          <w:p w:rsidRPr="0005136A" w:rsidR="0005136A" w:rsidP="0005136A" w:rsidRDefault="0005136A" w14:paraId="5AB52756" w14:textId="77777777">
            <w:r w:rsidRPr="0070482F">
              <w:t>Economist (G7)</w:t>
            </w:r>
          </w:p>
        </w:tc>
        <w:tc>
          <w:tcPr>
            <w:tcW w:w="1429" w:type="pct"/>
          </w:tcPr>
          <w:p w:rsidRPr="0005136A" w:rsidR="0005136A" w:rsidP="0005136A" w:rsidRDefault="0005136A" w14:paraId="72B2F591" w14:textId="77777777">
            <w:r w:rsidRPr="0070482F">
              <w:t>0.1</w:t>
            </w:r>
          </w:p>
        </w:tc>
        <w:tc>
          <w:tcPr>
            <w:tcW w:w="1325" w:type="pct"/>
          </w:tcPr>
          <w:p w:rsidRPr="0005136A" w:rsidR="0005136A" w:rsidP="0005136A" w:rsidRDefault="0005136A" w14:paraId="5683A805" w14:textId="77777777">
            <w:r w:rsidRPr="0070482F">
              <w:t>0.2</w:t>
            </w:r>
          </w:p>
        </w:tc>
      </w:tr>
      <w:tr w:rsidR="00636A7E" w:rsidTr="00BD7D45" w14:paraId="0B696619" w14:textId="77777777">
        <w:tc>
          <w:tcPr>
            <w:tcW w:w="2246" w:type="pct"/>
          </w:tcPr>
          <w:p w:rsidRPr="0070482F" w:rsidR="00636A7E" w:rsidP="0005136A" w:rsidRDefault="00636A7E" w14:paraId="7CACCAA0" w14:textId="4BD8A991">
            <w:r w:rsidRPr="0070482F">
              <w:t>Head of ICF Analysis (G6)</w:t>
            </w:r>
          </w:p>
        </w:tc>
        <w:tc>
          <w:tcPr>
            <w:tcW w:w="1429" w:type="pct"/>
          </w:tcPr>
          <w:p w:rsidRPr="0070482F" w:rsidR="00636A7E" w:rsidP="0005136A" w:rsidRDefault="00F80423" w14:paraId="0BE65E34" w14:textId="179730EB">
            <w:r>
              <w:t>N/A</w:t>
            </w:r>
          </w:p>
        </w:tc>
        <w:tc>
          <w:tcPr>
            <w:tcW w:w="1325" w:type="pct"/>
          </w:tcPr>
          <w:p w:rsidRPr="0070482F" w:rsidR="00636A7E" w:rsidP="0005136A" w:rsidRDefault="00636A7E" w14:paraId="1FB8B0F5" w14:textId="423F77C6">
            <w:r w:rsidRPr="0070482F">
              <w:t>0.05</w:t>
            </w:r>
          </w:p>
        </w:tc>
      </w:tr>
      <w:tr w:rsidR="0005136A" w:rsidTr="00BD7D45" w14:paraId="22A16CB6" w14:textId="77777777">
        <w:tc>
          <w:tcPr>
            <w:tcW w:w="2246" w:type="pct"/>
          </w:tcPr>
          <w:p w:rsidRPr="0005136A" w:rsidR="0005136A" w:rsidP="0005136A" w:rsidRDefault="0005136A" w14:paraId="6FF9503F" w14:textId="72F27DB2">
            <w:r w:rsidRPr="0070482F">
              <w:t>Commercial Advisor</w:t>
            </w:r>
            <w:r w:rsidR="00636A7E">
              <w:t xml:space="preserve"> (G6)</w:t>
            </w:r>
          </w:p>
        </w:tc>
        <w:tc>
          <w:tcPr>
            <w:tcW w:w="1429" w:type="pct"/>
          </w:tcPr>
          <w:p w:rsidRPr="0005136A" w:rsidR="0005136A" w:rsidP="0005136A" w:rsidRDefault="00F80423" w14:paraId="4A887D0B" w14:textId="5BCD115F">
            <w:r>
              <w:t>0.05</w:t>
            </w:r>
          </w:p>
        </w:tc>
        <w:tc>
          <w:tcPr>
            <w:tcW w:w="1325" w:type="pct"/>
          </w:tcPr>
          <w:p w:rsidRPr="0005136A" w:rsidR="0005136A" w:rsidP="0005136A" w:rsidRDefault="00636A7E" w14:paraId="7131E815" w14:textId="23CB0015">
            <w:r>
              <w:t>&lt;</w:t>
            </w:r>
            <w:r w:rsidRPr="0070482F" w:rsidR="0005136A">
              <w:t>0.05</w:t>
            </w:r>
          </w:p>
        </w:tc>
      </w:tr>
    </w:tbl>
    <w:bookmarkEnd w:id="9"/>
    <w:p w:rsidR="0005136A" w:rsidP="0005136A" w:rsidRDefault="0005136A" w14:paraId="25D437FE" w14:textId="77777777">
      <w:pPr>
        <w:pStyle w:val="ListParagraph"/>
      </w:pPr>
      <w:r>
        <w:t>Source: MAGC Business case and data provided by DESNZ MAGC Programme Lead</w:t>
      </w:r>
    </w:p>
    <w:p w:rsidR="009059CE" w:rsidP="009059CE" w:rsidRDefault="0005136A" w14:paraId="70AAAC0D" w14:textId="67D4DB4A">
      <w:r>
        <w:t>IFC stakeholders report that programme management costs internally are</w:t>
      </w:r>
      <w:r w:rsidR="00602DDF">
        <w:t xml:space="preserve"> as expected.</w:t>
      </w:r>
    </w:p>
    <w:p w:rsidR="00602DDF" w:rsidP="00BE04AA" w:rsidRDefault="00602DDF" w14:paraId="3319FA23" w14:textId="2707C8AF">
      <w:r>
        <w:lastRenderedPageBreak/>
        <w:t>The costs for the</w:t>
      </w:r>
      <w:r w:rsidRPr="00602DDF">
        <w:t xml:space="preserve"> evaluation</w:t>
      </w:r>
      <w:r>
        <w:t xml:space="preserve"> are </w:t>
      </w:r>
      <w:r w:rsidR="002F3C8B">
        <w:t xml:space="preserve">also </w:t>
      </w:r>
      <w:r>
        <w:t>fixed. Furthermore, by setting aside a portion of the overall evaluation budget to contingency</w:t>
      </w:r>
      <w:r w:rsidR="002F3C8B">
        <w:t>, DESNZ</w:t>
      </w:r>
      <w:r>
        <w:t xml:space="preserve"> ensures that costs are kept </w:t>
      </w:r>
      <w:r w:rsidR="004F5D83">
        <w:t>low</w:t>
      </w:r>
      <w:r>
        <w:t xml:space="preserve"> and this funding is only used when a need is identified.</w:t>
      </w:r>
      <w:r w:rsidRPr="00602DDF">
        <w:t xml:space="preserve">  </w:t>
      </w:r>
    </w:p>
    <w:p w:rsidR="000C6175" w:rsidP="00BF4CBD" w:rsidRDefault="000C6175" w14:paraId="00786F10" w14:textId="487AB0B2">
      <w:pPr>
        <w:pStyle w:val="Heading3"/>
      </w:pPr>
      <w:r>
        <w:t>Comparison of costs</w:t>
      </w:r>
      <w:r w:rsidR="0095549F">
        <w:t xml:space="preserve"> to other programmes</w:t>
      </w:r>
    </w:p>
    <w:p w:rsidR="000C6175" w:rsidP="003F2D87" w:rsidRDefault="000C6175" w14:paraId="45145858" w14:textId="440B62F9">
      <w:r>
        <w:t>As DESNZ does not track time spent on individual projects, comparative data on DESNZ staff time spent on other programmes within the ICF portfolio was not readily available. Additionally, comparisons of staff t</w:t>
      </w:r>
      <w:r w:rsidR="005671EC">
        <w:t>im</w:t>
      </w:r>
      <w:r>
        <w:t xml:space="preserve">e spent </w:t>
      </w:r>
      <w:proofErr w:type="gramStart"/>
      <w:r>
        <w:t>have to</w:t>
      </w:r>
      <w:proofErr w:type="gramEnd"/>
      <w:r>
        <w:t xml:space="preserve"> be contextualised considering the organisational set-up, scope and stage of each programme. </w:t>
      </w:r>
    </w:p>
    <w:p w:rsidR="00425CFA" w:rsidP="003F2D87" w:rsidRDefault="00706335" w14:paraId="45717BFE" w14:textId="2911DC51">
      <w:r>
        <w:t xml:space="preserve">Administrative costs for IFC are fixed in the </w:t>
      </w:r>
      <w:r w:rsidR="00425CFA">
        <w:t>administration</w:t>
      </w:r>
      <w:r>
        <w:t xml:space="preserve"> arrangement</w:t>
      </w:r>
      <w:r w:rsidR="00720914">
        <w:t xml:space="preserve"> at 7% </w:t>
      </w:r>
      <w:r w:rsidRPr="00ED7682" w:rsidR="00720914">
        <w:t>of the total amount of funding</w:t>
      </w:r>
      <w:r w:rsidR="00425CFA">
        <w:t xml:space="preserve"> for the investment services and</w:t>
      </w:r>
      <w:r w:rsidR="00A911CF">
        <w:t xml:space="preserve"> </w:t>
      </w:r>
      <w:r w:rsidR="00425CFA">
        <w:t>5% for the advisory services.</w:t>
      </w:r>
    </w:p>
    <w:p w:rsidR="00A911CF" w:rsidP="00971AF0" w:rsidRDefault="00A911CF" w14:paraId="34672079" w14:textId="049414FD">
      <w:pPr>
        <w:pStyle w:val="DESNZbulletedlist"/>
      </w:pPr>
      <w:r>
        <w:t>The 5% advisory services fee is comparable to the administrative fees charged by other multilateral institutions</w:t>
      </w:r>
      <w:r w:rsidR="00D12E3F">
        <w:t xml:space="preserve">. Furthermore, </w:t>
      </w:r>
      <w:r>
        <w:t xml:space="preserve">development banks for other projects and considered ‘standard’ in several business cases of other ICF portfolio programmes. For example, administrative fees charged by the World Bank, IFC and ADB to deliver relevant pillars of the </w:t>
      </w:r>
      <w:r w:rsidRPr="00720914">
        <w:t>Clean Energy Innovation Facility (CEIF)</w:t>
      </w:r>
      <w:r>
        <w:t xml:space="preserve"> are 5% each and similarly, administrative fees charged by IDB to deliver the UK Sustainable Investment Programme (UKSIP) are 5% for Technical Assistance activities (and 2.5% for blended finance activities).  </w:t>
      </w:r>
    </w:p>
    <w:p w:rsidR="00A911CF" w:rsidP="00971AF0" w:rsidRDefault="00A911CF" w14:paraId="4E1768E8" w14:textId="214A296D">
      <w:pPr>
        <w:pStyle w:val="DESNZbulletedlist"/>
      </w:pPr>
      <w:r>
        <w:t>A comparison of the management fee for the investment services (7%) is more difficult to benchmark</w:t>
      </w:r>
      <w:r w:rsidR="003D3521">
        <w:t>.</w:t>
      </w:r>
      <w:r>
        <w:t xml:space="preserve"> </w:t>
      </w:r>
      <w:r w:rsidR="003D3521">
        <w:t xml:space="preserve">This is because </w:t>
      </w:r>
      <w:r>
        <w:t>services provided often differ and fees can be structured to include management fees as well as carry fees (e.g., shares of R</w:t>
      </w:r>
      <w:r w:rsidR="005671EC">
        <w:t>eturn on Investment</w:t>
      </w:r>
      <w:r>
        <w:t>). As stated in the DESNZ Annual Review Value for Money assessments, the investment services fee commanded by IFC for the MAGC programme is ‘</w:t>
      </w:r>
      <w:r w:rsidRPr="00A911CF">
        <w:t>judged to be around the same or slightly higher than the average of some comparator programmes when they are expressed on a consistent basis</w:t>
      </w:r>
      <w:r>
        <w:t>’</w:t>
      </w:r>
      <w:r w:rsidRPr="00A911CF">
        <w:t>.</w:t>
      </w:r>
      <w:r>
        <w:rPr>
          <w:rStyle w:val="FootnoteReference"/>
        </w:rPr>
        <w:footnoteReference w:id="4"/>
      </w:r>
    </w:p>
    <w:p w:rsidR="00602DDF" w:rsidP="003F2D87" w:rsidRDefault="00A911CF" w14:paraId="7385A553" w14:textId="7887A1E3">
      <w:r>
        <w:t>S</w:t>
      </w:r>
      <w:r w:rsidR="00602DDF">
        <w:t xml:space="preserve">takeholders in both IFC and DESNZ agree that the size and scope of the programme </w:t>
      </w:r>
      <w:proofErr w:type="gramStart"/>
      <w:r w:rsidR="00602DDF">
        <w:t>warrants</w:t>
      </w:r>
      <w:proofErr w:type="gramEnd"/>
      <w:r w:rsidR="00602DDF">
        <w:t xml:space="preserve"> the management fee, and DESNZ stakeholders are satisfied with the quality of programme management and delivery delivered by IFC and</w:t>
      </w:r>
      <w:r w:rsidR="008F285C">
        <w:t xml:space="preserve"> feel</w:t>
      </w:r>
      <w:r w:rsidR="00602DDF">
        <w:t xml:space="preserve"> the MAGC programme is well-resourced.    </w:t>
      </w:r>
    </w:p>
    <w:p w:rsidRPr="009633A2" w:rsidR="00E65C0A" w:rsidP="00BF4CBD" w:rsidRDefault="00E65C0A" w14:paraId="4F8315F1" w14:textId="70605BFD">
      <w:pPr>
        <w:pStyle w:val="Heading3"/>
        <w:rPr>
          <w:rStyle w:val="Boldtext"/>
          <w:b w:val="0"/>
          <w:color w:val="041E42"/>
        </w:rPr>
      </w:pPr>
      <w:r w:rsidRPr="009633A2">
        <w:rPr>
          <w:rStyle w:val="Boldtext"/>
          <w:b w:val="0"/>
          <w:color w:val="041E42"/>
        </w:rPr>
        <w:t>Processes and efforts in place to keep costs low</w:t>
      </w:r>
    </w:p>
    <w:p w:rsidR="00D9000A" w:rsidP="003F2D87" w:rsidRDefault="00E65C0A" w14:paraId="681164C5" w14:textId="77777777">
      <w:r>
        <w:t xml:space="preserve">No formal processes are in place to monitor time spent on projects within DESNZ. </w:t>
      </w:r>
      <w:r w:rsidR="00D9000A">
        <w:t xml:space="preserve">However, stakeholders reported that informally, staff are managing time spent on projects and prioritising as needed. Internal reviews and re-estimations are also happening, although not in formal processes. </w:t>
      </w:r>
    </w:p>
    <w:p w:rsidR="00D9000A" w:rsidP="003F2D87" w:rsidRDefault="00602DDF" w14:paraId="5F70FF8B" w14:textId="39A92201">
      <w:r>
        <w:lastRenderedPageBreak/>
        <w:t>IFC stakeholders report strict internal processes being in place to ensure activities are delivered within programme budget, which extends to keeping administrative and management costs low.</w:t>
      </w:r>
    </w:p>
    <w:p w:rsidR="002B53A3" w:rsidP="00A13A95" w:rsidRDefault="00A13A95" w14:paraId="5C9C4376" w14:textId="5DB2C643">
      <w:pPr>
        <w:pStyle w:val="Heading2"/>
      </w:pPr>
      <w:bookmarkStart w:name="_Toc181887346" w:id="10"/>
      <w:r>
        <w:t>Efficiency</w:t>
      </w:r>
      <w:bookmarkEnd w:id="10"/>
    </w:p>
    <w:p w:rsidR="00A13A95" w:rsidP="00A13A95" w:rsidRDefault="00A13A95" w14:paraId="0DE093DF" w14:textId="5982E689">
      <w:r>
        <w:t xml:space="preserve">The criterion of efficiency assesses whether the </w:t>
      </w:r>
      <w:r w:rsidRPr="00A13A95">
        <w:t>programme is delivering its activities to the expected quality, expected timeframe and expected costs</w:t>
      </w:r>
      <w:r>
        <w:t xml:space="preserve">. To assess this, three judgement criteria are considered: </w:t>
      </w:r>
    </w:p>
    <w:p w:rsidR="00A13A95" w:rsidP="00A13A95" w:rsidRDefault="00A13A95" w14:paraId="7B957AB2" w14:textId="63F39BB2">
      <w:pPr>
        <w:pStyle w:val="DESNZbulletedlist"/>
      </w:pPr>
      <w:r w:rsidRPr="00A13A95">
        <w:t>Programme outputs are delivered on time</w:t>
      </w:r>
      <w:r>
        <w:t>.</w:t>
      </w:r>
    </w:p>
    <w:p w:rsidR="00A13A95" w:rsidP="00A13A95" w:rsidRDefault="00A13A95" w14:paraId="3090F0B5" w14:textId="36572FF3">
      <w:pPr>
        <w:pStyle w:val="DESNZbulletedlist"/>
      </w:pPr>
      <w:r w:rsidRPr="00A13A95">
        <w:t>Activities are delivered within budget</w:t>
      </w:r>
      <w:r>
        <w:t>.</w:t>
      </w:r>
    </w:p>
    <w:p w:rsidR="004235C8" w:rsidP="00A13A95" w:rsidRDefault="004235C8" w14:paraId="6526AC80" w14:textId="227B07B1">
      <w:pPr>
        <w:pStyle w:val="DESNZbulletedlist"/>
      </w:pPr>
      <w:r>
        <w:t>Costs per output are comparable to other, similar programmes</w:t>
      </w:r>
    </w:p>
    <w:p w:rsidR="00A13A95" w:rsidP="00A13A95" w:rsidRDefault="00A13A95" w14:paraId="436F14EA" w14:textId="538DE0CF">
      <w:pPr>
        <w:pStyle w:val="DESNZbulletedlist"/>
      </w:pPr>
      <w:r w:rsidRPr="00A13A95">
        <w:t>Evidence of processes and efforts to improve efficiency</w:t>
      </w:r>
      <w:r>
        <w:t>.</w:t>
      </w:r>
    </w:p>
    <w:p w:rsidR="008223A3" w:rsidP="008223A3" w:rsidRDefault="008223A3" w14:paraId="53CE8C97" w14:textId="10D1C25B">
      <w:r w:rsidRPr="008223A3">
        <w:t xml:space="preserve">The MAGC programme is currently on track to deliver ‘adequate’ value for money in the </w:t>
      </w:r>
      <w:r>
        <w:t>efficiency</w:t>
      </w:r>
      <w:r w:rsidRPr="008223A3">
        <w:t xml:space="preserve"> criterion. The programme has achieved most outputs in a timely manner</w:t>
      </w:r>
      <w:r>
        <w:t xml:space="preserve">, and delays or non-delivery have been (partially) caused by COVID-19, an external factor. In recent years, delivery has moved to be back on track and milestones are being achieved. </w:t>
      </w:r>
      <w:r w:rsidRPr="008223A3">
        <w:t>Outputs and outcomes are delivered in line with budget expectations</w:t>
      </w:r>
      <w:r w:rsidR="00DA41A8">
        <w:t xml:space="preserve">. </w:t>
      </w:r>
      <w:r w:rsidR="002F1D9C">
        <w:t xml:space="preserve">A </w:t>
      </w:r>
      <w:r w:rsidR="00DA41A8">
        <w:t>funding increase in 2023 was</w:t>
      </w:r>
      <w:r w:rsidRPr="008F285C" w:rsidR="008F285C">
        <w:t xml:space="preserve"> </w:t>
      </w:r>
      <w:r w:rsidR="002F1D9C">
        <w:t>used to respond to new opportunities to increase the impact of the programme</w:t>
      </w:r>
      <w:r w:rsidR="003D3521">
        <w:t xml:space="preserve">. This was </w:t>
      </w:r>
      <w:r w:rsidR="00BF4CBD">
        <w:t>further facilitated</w:t>
      </w:r>
      <w:r w:rsidR="002F1D9C">
        <w:t xml:space="preserve"> by budget availability on DESNZ’s side due to underspend within the wider ICF portfolio. However, a small proportion of the additional funding was used t</w:t>
      </w:r>
      <w:r w:rsidR="00DA41A8">
        <w:t xml:space="preserve">o enhance budget availability for an existing activity </w:t>
      </w:r>
      <w:proofErr w:type="gramStart"/>
      <w:r w:rsidR="00DA41A8">
        <w:t>in order to</w:t>
      </w:r>
      <w:proofErr w:type="gramEnd"/>
      <w:r w:rsidR="00DA41A8">
        <w:t xml:space="preserve"> </w:t>
      </w:r>
      <w:r w:rsidR="002F1D9C">
        <w:t>still achieve the intended results</w:t>
      </w:r>
      <w:r w:rsidR="003D3521">
        <w:t>.</w:t>
      </w:r>
      <w:r w:rsidR="00DA41A8">
        <w:t xml:space="preserve"> </w:t>
      </w:r>
      <w:r w:rsidR="003D3521">
        <w:t xml:space="preserve">This suggests that </w:t>
      </w:r>
      <w:r w:rsidR="00DA41A8">
        <w:t>the originally planned budget was not sufficient.</w:t>
      </w:r>
      <w:r w:rsidR="002F1D9C">
        <w:rPr>
          <w:rStyle w:val="FootnoteReference"/>
        </w:rPr>
        <w:footnoteReference w:id="5"/>
      </w:r>
      <w:r w:rsidR="00DA41A8">
        <w:t xml:space="preserve"> </w:t>
      </w:r>
    </w:p>
    <w:p w:rsidR="00A13A95" w:rsidP="00BF4CBD" w:rsidRDefault="00A13A95" w14:paraId="50684454" w14:textId="3001EC99">
      <w:pPr>
        <w:pStyle w:val="Heading3"/>
      </w:pPr>
      <w:r>
        <w:t>Delivery of programme outputs on time</w:t>
      </w:r>
    </w:p>
    <w:p w:rsidR="00A13A95" w:rsidP="00A13A95" w:rsidRDefault="000E4F60" w14:paraId="72B8CDB4" w14:textId="375CC578">
      <w:r>
        <w:t xml:space="preserve">MAGC </w:t>
      </w:r>
      <w:r w:rsidR="004A5CDF">
        <w:t>a</w:t>
      </w:r>
      <w:r>
        <w:t xml:space="preserve">nnual </w:t>
      </w:r>
      <w:r w:rsidR="004A5CDF">
        <w:t>r</w:t>
      </w:r>
      <w:r>
        <w:t>eviews</w:t>
      </w:r>
      <w:r w:rsidR="004A5CDF">
        <w:t>, annual reports</w:t>
      </w:r>
      <w:r>
        <w:t xml:space="preserve"> and accompanying </w:t>
      </w:r>
      <w:proofErr w:type="spellStart"/>
      <w:r>
        <w:t>Log</w:t>
      </w:r>
      <w:r w:rsidR="00834FBF">
        <w:t>f</w:t>
      </w:r>
      <w:r>
        <w:t>rames</w:t>
      </w:r>
      <w:proofErr w:type="spellEnd"/>
      <w:r>
        <w:t xml:space="preserve"> detail the extent to which </w:t>
      </w:r>
      <w:r w:rsidR="00972CAF">
        <w:t xml:space="preserve">the programme is achieving its output indicator targets. </w:t>
      </w:r>
      <w:r w:rsidR="00BF46B5">
        <w:t>Overall, the first three years of the programme were marked by significant delays in achievement of programme milestones, especially regarding Component 1 and Component 4</w:t>
      </w:r>
      <w:r w:rsidR="00900182">
        <w:t>, but progress in recent years led to most programme outputs being delivered on time</w:t>
      </w:r>
      <w:r w:rsidR="00BF46B5">
        <w:t xml:space="preserve">. </w:t>
      </w:r>
    </w:p>
    <w:p w:rsidR="00834FBF" w:rsidP="00A13A95" w:rsidRDefault="00834FBF" w14:paraId="0AE08E00" w14:textId="23148083">
      <w:r>
        <w:t xml:space="preserve">Achievement of programme output indicators according to the targets set has improved over time. </w:t>
      </w:r>
    </w:p>
    <w:p w:rsidRPr="001B704C" w:rsidR="00C85A6C" w:rsidP="00EB08D5" w:rsidRDefault="00834FBF" w14:paraId="5AE34ACA" w14:textId="3438FDE8">
      <w:pPr>
        <w:pStyle w:val="DESNZbulletedlist"/>
        <w:rPr>
          <w:bCs/>
        </w:rPr>
      </w:pPr>
      <w:r w:rsidRPr="00900182">
        <w:rPr>
          <w:rStyle w:val="Boldtext"/>
        </w:rPr>
        <w:t xml:space="preserve">Milestones for Component 1 </w:t>
      </w:r>
      <w:r w:rsidR="00AA14DA">
        <w:rPr>
          <w:rStyle w:val="Boldtext"/>
        </w:rPr>
        <w:t>(</w:t>
      </w:r>
      <w:r w:rsidRPr="00121E18" w:rsidR="00AA14DA">
        <w:rPr>
          <w:rStyle w:val="Boldtext"/>
        </w:rPr>
        <w:t>Firm-level technical assistance and blended finance</w:t>
      </w:r>
      <w:r w:rsidR="00AA14DA">
        <w:rPr>
          <w:rStyle w:val="Boldtext"/>
        </w:rPr>
        <w:t xml:space="preserve">) </w:t>
      </w:r>
      <w:r w:rsidRPr="00900182">
        <w:rPr>
          <w:rStyle w:val="Boldtext"/>
        </w:rPr>
        <w:t>were not achieved in the first two years of the programme (FY</w:t>
      </w:r>
      <w:r w:rsidRPr="00900182" w:rsidR="00E268FA">
        <w:rPr>
          <w:rStyle w:val="Boldtext"/>
        </w:rPr>
        <w:t>18/19 and FY19/20</w:t>
      </w:r>
      <w:r w:rsidRPr="00900182" w:rsidR="00283F74">
        <w:rPr>
          <w:rStyle w:val="Boldtext"/>
        </w:rPr>
        <w:t>),</w:t>
      </w:r>
      <w:r w:rsidRPr="00900182" w:rsidR="00900182">
        <w:rPr>
          <w:rStyle w:val="Boldtext"/>
        </w:rPr>
        <w:t xml:space="preserve"> but performance has positively progressed in recent years</w:t>
      </w:r>
      <w:r w:rsidR="00AB18D9">
        <w:t xml:space="preserve">. </w:t>
      </w:r>
      <w:r w:rsidR="00283F74">
        <w:t>Milestones related to investments under Component 1 were not met in the initial years of the programme</w:t>
      </w:r>
      <w:r w:rsidR="00D26187">
        <w:t>.</w:t>
      </w:r>
      <w:r w:rsidRPr="00283F74" w:rsidR="00D26187">
        <w:t xml:space="preserve"> </w:t>
      </w:r>
      <w:r w:rsidR="00D26187">
        <w:t>I</w:t>
      </w:r>
      <w:r w:rsidR="003A5D97">
        <w:t xml:space="preserve">n </w:t>
      </w:r>
      <w:r w:rsidR="003A5D97">
        <w:lastRenderedPageBreak/>
        <w:t>turn</w:t>
      </w:r>
      <w:r w:rsidR="00D26187">
        <w:t>, this</w:t>
      </w:r>
      <w:r w:rsidRPr="00283F74" w:rsidR="00283F74">
        <w:t xml:space="preserve"> had an impact on delivery of outputs</w:t>
      </w:r>
      <w:r w:rsidR="00283F74">
        <w:t xml:space="preserve"> related to residential and non-residential floor space financed by MAGC FIs receiving post-design certification. </w:t>
      </w:r>
      <w:r w:rsidR="003A5D97">
        <w:t xml:space="preserve">Milestones related to investments were met in FY 21/22 and 22/23. </w:t>
      </w:r>
      <w:r w:rsidR="001B704C">
        <w:t xml:space="preserve">The original milestones </w:t>
      </w:r>
      <w:r w:rsidR="003A5D97">
        <w:t xml:space="preserve">related to private sector financing were not achieved for the programme </w:t>
      </w:r>
      <w:r w:rsidR="00CE5532">
        <w:t>before FY23/24 (in which year they were achieved for the first time). T</w:t>
      </w:r>
      <w:r w:rsidR="001B704C">
        <w:t xml:space="preserve">his was largely attributed to </w:t>
      </w:r>
      <w:r w:rsidR="00F54B3C">
        <w:t>ambitious</w:t>
      </w:r>
      <w:r w:rsidR="001B704C">
        <w:t xml:space="preserve"> expectations and assumptions at the outset (compounded by the fact that MAGC was a new kind of programme at the time)</w:t>
      </w:r>
      <w:r w:rsidR="00E444FB">
        <w:rPr>
          <w:rStyle w:val="FootnoteReference"/>
        </w:rPr>
        <w:footnoteReference w:id="6"/>
      </w:r>
      <w:r w:rsidR="001B704C">
        <w:t>; in response to this,</w:t>
      </w:r>
      <w:r w:rsidR="00266C14">
        <w:t xml:space="preserve"> timelines for</w:t>
      </w:r>
      <w:r w:rsidR="001B704C">
        <w:t xml:space="preserve"> several targets were updated in a revision of the </w:t>
      </w:r>
      <w:proofErr w:type="spellStart"/>
      <w:r w:rsidR="001B704C">
        <w:t>logframe</w:t>
      </w:r>
      <w:proofErr w:type="spellEnd"/>
      <w:r w:rsidR="001B704C">
        <w:t xml:space="preserve"> in FY24</w:t>
      </w:r>
      <w:r w:rsidR="00E444FB">
        <w:t xml:space="preserve"> and some, but not all revised </w:t>
      </w:r>
      <w:r w:rsidR="00266C14">
        <w:t xml:space="preserve">milestones </w:t>
      </w:r>
      <w:r w:rsidR="00E444FB">
        <w:t>for output indicators under Component 1 were met</w:t>
      </w:r>
      <w:r w:rsidR="001B704C">
        <w:t xml:space="preserve">. </w:t>
      </w:r>
      <w:r w:rsidR="00CE5532">
        <w:rPr>
          <w:bCs/>
        </w:rPr>
        <w:t xml:space="preserve"> </w:t>
      </w:r>
    </w:p>
    <w:p w:rsidR="00C85A6C" w:rsidP="00C85A6C" w:rsidRDefault="00C85A6C" w14:paraId="3C2C3BB2" w14:textId="4AF54369">
      <w:pPr>
        <w:pStyle w:val="DESNZbulletedlist"/>
        <w:numPr>
          <w:ilvl w:val="0"/>
          <w:numId w:val="0"/>
        </w:numPr>
        <w:ind w:left="714"/>
      </w:pPr>
      <w:r>
        <w:t xml:space="preserve">Additionally, the use of </w:t>
      </w:r>
      <w:r w:rsidR="005671EC">
        <w:t>performance-based incentives (P</w:t>
      </w:r>
      <w:r>
        <w:t>BIs</w:t>
      </w:r>
      <w:r w:rsidR="005671EC">
        <w:t>)</w:t>
      </w:r>
      <w:r>
        <w:t xml:space="preserve"> for </w:t>
      </w:r>
      <w:proofErr w:type="gramStart"/>
      <w:r>
        <w:t>the majority of</w:t>
      </w:r>
      <w:proofErr w:type="gramEnd"/>
      <w:r>
        <w:t xml:space="preserve"> investments to commercial banks</w:t>
      </w:r>
      <w:r w:rsidR="00DB061F">
        <w:t xml:space="preserve">, </w:t>
      </w:r>
      <w:r>
        <w:t>was identified as</w:t>
      </w:r>
      <w:r w:rsidRPr="00C85A6C">
        <w:t xml:space="preserve"> a significant contributor to the delay in the amount of finance disbursed to financial institutions. This is because PBIs require verified results to be paid out and require time to be spent validating reporting by financial institutions before funding (in the form of PBIs) can be disbursed</w:t>
      </w:r>
      <w:r>
        <w:t>.</w:t>
      </w:r>
      <w:r w:rsidR="00DB061F">
        <w:rPr>
          <w:rStyle w:val="FootnoteReference"/>
        </w:rPr>
        <w:footnoteReference w:id="7"/>
      </w:r>
      <w:r>
        <w:t xml:space="preserve"> </w:t>
      </w:r>
    </w:p>
    <w:p w:rsidR="00B10FBB" w:rsidP="00EB08D5" w:rsidRDefault="005A40E5" w14:paraId="6A82CD9E" w14:textId="628B01F2">
      <w:pPr>
        <w:pStyle w:val="DESNZbulletedlist"/>
      </w:pPr>
      <w:r w:rsidRPr="005A40E5">
        <w:rPr>
          <w:rStyle w:val="Boldtext"/>
        </w:rPr>
        <w:t xml:space="preserve">Achievement of milestones for Component 2 </w:t>
      </w:r>
      <w:r w:rsidR="00AA14DA">
        <w:rPr>
          <w:rStyle w:val="Boldtext"/>
        </w:rPr>
        <w:t xml:space="preserve">(country level capacity building) </w:t>
      </w:r>
      <w:r w:rsidRPr="005A40E5">
        <w:rPr>
          <w:rStyle w:val="Boldtext"/>
        </w:rPr>
        <w:t xml:space="preserve">were negatively impacted in the initial years of the programme by COVID-19 but have been successfully met in recent years. </w:t>
      </w:r>
      <w:r w:rsidR="00900182">
        <w:t>Delays to achievement of milestones in FY 19/20 and FY 20/21 were linked to the impacts of COVID-19 and associated delays to progress under Component 1 (due to interdependencies of outputs). DESNZ annual reviews since FY 19/20 scored either an A or A+. I</w:t>
      </w:r>
      <w:r>
        <w:t xml:space="preserve">n FY </w:t>
      </w:r>
      <w:r w:rsidR="00E444FB">
        <w:t>24</w:t>
      </w:r>
      <w:r>
        <w:t>, all milestones for Component 2 were achieved, and output indicator targets were exceeded in all case</w:t>
      </w:r>
      <w:r w:rsidR="00E444FB">
        <w:t>s</w:t>
      </w:r>
      <w:r>
        <w:t xml:space="preserve">. </w:t>
      </w:r>
    </w:p>
    <w:p w:rsidR="00AB18D9" w:rsidP="00834FBF" w:rsidRDefault="00AB18D9" w14:paraId="7D0D51BB" w14:textId="6249809F">
      <w:pPr>
        <w:pStyle w:val="DESNZbulletedlist"/>
      </w:pPr>
      <w:r w:rsidRPr="00BF46B5">
        <w:rPr>
          <w:rStyle w:val="Boldtext"/>
        </w:rPr>
        <w:t xml:space="preserve">Milestones for Component 3 (EDGE and CAFI </w:t>
      </w:r>
      <w:r w:rsidR="00534405">
        <w:rPr>
          <w:rStyle w:val="Boldtext"/>
        </w:rPr>
        <w:t>– Climate Assessment for Financ</w:t>
      </w:r>
      <w:r w:rsidR="00F2231D">
        <w:rPr>
          <w:rStyle w:val="Boldtext"/>
        </w:rPr>
        <w:t>ia</w:t>
      </w:r>
      <w:r w:rsidR="00534405">
        <w:rPr>
          <w:rStyle w:val="Boldtext"/>
        </w:rPr>
        <w:t xml:space="preserve"> Institutions - </w:t>
      </w:r>
      <w:r w:rsidRPr="00BF46B5">
        <w:rPr>
          <w:rStyle w:val="Boldtext"/>
        </w:rPr>
        <w:t>tool improvements) were mostly achieved as planned over the course of the programme</w:t>
      </w:r>
      <w:r>
        <w:t>. Two programme milestones were achieved with delays</w:t>
      </w:r>
      <w:r w:rsidR="00493F4A">
        <w:t>.</w:t>
      </w:r>
      <w:r>
        <w:t xml:space="preserve"> </w:t>
      </w:r>
      <w:r w:rsidR="00493F4A">
        <w:t xml:space="preserve">First, </w:t>
      </w:r>
      <w:r>
        <w:t xml:space="preserve">the establishment of a robust </w:t>
      </w:r>
      <w:r w:rsidR="00AA14DA">
        <w:t xml:space="preserve">process </w:t>
      </w:r>
      <w:r>
        <w:t>t</w:t>
      </w:r>
      <w:r w:rsidRPr="00AB18D9">
        <w:t xml:space="preserve">o incorporate additional green buildings standards into the programme’s eligibility </w:t>
      </w:r>
      <w:r>
        <w:t xml:space="preserve">was </w:t>
      </w:r>
      <w:r w:rsidRPr="00AB18D9">
        <w:t>finalised</w:t>
      </w:r>
      <w:r>
        <w:t xml:space="preserve"> in FY 2019/20 instead of FY 2018/19</w:t>
      </w:r>
      <w:r w:rsidR="00493F4A">
        <w:t xml:space="preserve">. Second, </w:t>
      </w:r>
      <w:r>
        <w:t>the launch of the EDGE-CAFI interface tools was delivered in 2023</w:t>
      </w:r>
      <w:r w:rsidR="00B10FBB">
        <w:t xml:space="preserve"> instead of 2021 as originally planned.</w:t>
      </w:r>
      <w:r>
        <w:t xml:space="preserve"> </w:t>
      </w:r>
      <w:r w:rsidR="00B10FBB">
        <w:t>Suggestions in March 2021 by IFC to re-schedule this milestone to FY23 were initially rejected by DESNZ (then BEIS).</w:t>
      </w:r>
    </w:p>
    <w:p w:rsidR="00B10FBB" w:rsidP="00834FBF" w:rsidRDefault="00BF46B5" w14:paraId="0457332D" w14:textId="797D652F">
      <w:pPr>
        <w:pStyle w:val="DESNZbulletedlist"/>
      </w:pPr>
      <w:r w:rsidRPr="00BF46B5">
        <w:rPr>
          <w:rStyle w:val="Boldtext"/>
        </w:rPr>
        <w:t xml:space="preserve">Achievement of </w:t>
      </w:r>
      <w:r>
        <w:rPr>
          <w:rStyle w:val="Boldtext"/>
        </w:rPr>
        <w:t>milestones</w:t>
      </w:r>
      <w:r w:rsidRPr="00BF46B5">
        <w:rPr>
          <w:rStyle w:val="Boldtext"/>
        </w:rPr>
        <w:t xml:space="preserve"> in Component 4 </w:t>
      </w:r>
      <w:r w:rsidR="00AA14DA">
        <w:rPr>
          <w:rStyle w:val="Boldtext"/>
        </w:rPr>
        <w:t xml:space="preserve">(research programme) </w:t>
      </w:r>
      <w:r w:rsidRPr="00BF46B5">
        <w:rPr>
          <w:rStyle w:val="Boldtext"/>
        </w:rPr>
        <w:t>experienced significant delays over the course of the programme</w:t>
      </w:r>
      <w:r w:rsidR="00B10FBB">
        <w:t>. The first milestone (MAGC Research Panel formulated and operational) was achieved in 2019 with a two</w:t>
      </w:r>
      <w:r w:rsidR="004A5CDF">
        <w:t>-</w:t>
      </w:r>
      <w:r w:rsidR="00B10FBB">
        <w:t>week delay. However, the milestone ‘</w:t>
      </w:r>
      <w:r w:rsidRPr="00B10FBB" w:rsidR="00B10FBB">
        <w:t>Component 4 has been launched after having been quality assured by DESNZ Research and Evidence Committee</w:t>
      </w:r>
      <w:r w:rsidR="00B10FBB">
        <w:t>’</w:t>
      </w:r>
      <w:r w:rsidR="004A5CDF">
        <w:t xml:space="preserve"> was significantly delayed “</w:t>
      </w:r>
      <w:r w:rsidRPr="004A5CDF" w:rsidR="004A5CDF">
        <w:t>due to the expansion of the consultative phase of the program and additional steps in the design process, staff changes at BEIS, and finally COVID-19</w:t>
      </w:r>
      <w:r w:rsidR="004A5CDF">
        <w:t>”.</w:t>
      </w:r>
      <w:r w:rsidR="004A5CDF">
        <w:rPr>
          <w:rStyle w:val="FootnoteReference"/>
        </w:rPr>
        <w:footnoteReference w:id="8"/>
      </w:r>
      <w:r w:rsidR="004A5CDF">
        <w:t xml:space="preserve"> In FY20/21, the milestone to agree </w:t>
      </w:r>
      <w:r w:rsidRPr="004A5CDF" w:rsidR="004A5CDF">
        <w:t>a workplan submitted to deliver stakeholder assessment, market assessment and smart metering research workstreams</w:t>
      </w:r>
      <w:r w:rsidR="004A5CDF">
        <w:t xml:space="preserve"> was met as planned. </w:t>
      </w:r>
      <w:r>
        <w:t xml:space="preserve">In more </w:t>
      </w:r>
      <w:r>
        <w:lastRenderedPageBreak/>
        <w:t xml:space="preserve">recent years, output indicators related to the number of core reports quality assured and published were not (fully) achieved. However, milestones regarding stakeholder engagement and reception were exceeded. </w:t>
      </w:r>
    </w:p>
    <w:p w:rsidR="00B47243" w:rsidP="00BF4CBD" w:rsidRDefault="00B47243" w14:paraId="6F0E1B19" w14:textId="3C55064F">
      <w:pPr>
        <w:pStyle w:val="Heading3"/>
      </w:pPr>
      <w:r>
        <w:t>Activities are delivered within budget</w:t>
      </w:r>
    </w:p>
    <w:p w:rsidRPr="00F707DA" w:rsidR="00F707DA" w:rsidP="00F707DA" w:rsidRDefault="00F707DA" w14:paraId="64FCE06E" w14:textId="44DE748A">
      <w:r w:rsidRPr="00F707DA">
        <w:t>As detailed in the VfM Framework and methodology included in the technical annex in the technical report, assessment of the extent to which activities are delivered within budget and delivered efficiently is limited to activities related to MAGC Advisory services</w:t>
      </w:r>
      <w:r w:rsidR="00493F4A">
        <w:t>.</w:t>
      </w:r>
      <w:r w:rsidRPr="00F707DA">
        <w:t xml:space="preserve"> </w:t>
      </w:r>
      <w:r w:rsidR="00493F4A">
        <w:t xml:space="preserve">It </w:t>
      </w:r>
      <w:r w:rsidRPr="00F707DA">
        <w:t>does not consider costs related to the MAGC investment services (as the use of this funding is determined by IFC’s investment advisors, based on commercially sensitive information). The UK Government’s contribution to advisory services (the ‘activities’ which IFC delivers under Component 1 – 4 and which exclude the investment services) amounts to £36.1m.</w:t>
      </w:r>
    </w:p>
    <w:p w:rsidRPr="00DC3586" w:rsidR="00DC3586" w:rsidP="00DC3586" w:rsidRDefault="00DC3586" w14:paraId="75F46A75" w14:textId="6E0F2A2F">
      <w:r w:rsidRPr="00DC3586">
        <w:t>The UK’s contribution to the MAGC programme has a total value of £139.1</w:t>
      </w:r>
      <w:r w:rsidR="00CB078A">
        <w:t>m</w:t>
      </w:r>
      <w:r w:rsidRPr="00DC3586">
        <w:t xml:space="preserve"> over the life of the programme, committed by DESNZ to IFC.</w:t>
      </w:r>
      <w:r w:rsidR="00081491">
        <w:t xml:space="preserve"> </w:t>
      </w:r>
      <w:r w:rsidRPr="00DC3586">
        <w:t xml:space="preserve">The original programme budget was £102.9m. In March 2023, DESNZ committed an additional £12.2m of new </w:t>
      </w:r>
      <w:r w:rsidRPr="00AA14DA" w:rsidR="00AA14DA">
        <w:t xml:space="preserve">resource departmental expenditure limit </w:t>
      </w:r>
      <w:r w:rsidR="00AA14DA">
        <w:t>(</w:t>
      </w:r>
      <w:r w:rsidRPr="00DC3586">
        <w:t>RDEL</w:t>
      </w:r>
      <w:r w:rsidR="00AA14DA">
        <w:t>)</w:t>
      </w:r>
      <w:r w:rsidRPr="00DC3586">
        <w:t xml:space="preserve"> funding to deliver </w:t>
      </w:r>
      <w:r w:rsidR="00081491">
        <w:t>seven</w:t>
      </w:r>
      <w:r w:rsidRPr="00DC3586">
        <w:t xml:space="preserve"> new modules to build on and enhance the existing programme. In addition, with the timelines of the programme being extended from 2025 to 2033 (2027 for the investment period) in December 2023, £2 million were committed for advisory and £22 million for the investment component.</w:t>
      </w:r>
    </w:p>
    <w:p w:rsidR="00887E18" w:rsidP="00121E18" w:rsidRDefault="00887E18" w14:paraId="7FA8E711" w14:textId="2D8792CE">
      <w:r>
        <w:t>The justification and benefits of the seven additional modules to be funded is detailed in the MAGC Change Request Form. While most of these modules comprise new elements (e.g., expansions of the EDGE tool), some can be considered expansions of existing services that are needed to generate the planned outputs and outcomes. Namely, the expansion of the smart metering sample size under Component 4, which is funded with an additional £</w:t>
      </w:r>
      <w:r w:rsidR="00DC3586">
        <w:t>0.9</w:t>
      </w:r>
      <w:r>
        <w:t>m</w:t>
      </w:r>
      <w:r w:rsidR="00493F4A">
        <w:t xml:space="preserve">, </w:t>
      </w:r>
      <w:r>
        <w:t xml:space="preserve"> does not correspond to additional outputs</w:t>
      </w:r>
      <w:r w:rsidR="00493F4A">
        <w:t xml:space="preserve">. Rather, it </w:t>
      </w:r>
      <w:r>
        <w:t xml:space="preserve">is deemed necessary ‘to allow MAGC to maintain the originally envisioned robustness and anticipated statistical significance’, although it will also increase the likelihood of more granular insights. </w:t>
      </w:r>
    </w:p>
    <w:p w:rsidR="00887E18" w:rsidP="001617AA" w:rsidRDefault="00887E18" w14:paraId="0313D432" w14:textId="43D61E26">
      <w:r>
        <w:t>Additionally, d</w:t>
      </w:r>
      <w:r w:rsidRPr="00887E18">
        <w:t xml:space="preserve">ue to some delays in investments (and subsequent knock-on effects to delivery of other outputs in the advisory components) project spend is below expectations as of 2023 data. These delays have also been identified as a risk to efficient delivery of outputs to time in the 2021-22 Annual Review conducted by DESNZ. </w:t>
      </w:r>
    </w:p>
    <w:p w:rsidR="00B47243" w:rsidP="00BF4CBD" w:rsidRDefault="00B47243" w14:paraId="2A8B8B94" w14:textId="61DC3D85">
      <w:pPr>
        <w:pStyle w:val="Heading3"/>
      </w:pPr>
      <w:r>
        <w:t>Evidence of processes and efforts to improve efficiency</w:t>
      </w:r>
    </w:p>
    <w:p w:rsidR="001617AA" w:rsidP="00B47243" w:rsidRDefault="00971AF0" w14:paraId="242A0E68" w14:textId="04D400C7">
      <w:r>
        <w:t>The choice of IFC as a delivery partner is a key contributor to ensure efficient delivery. As consistently stated by key stakeholders consulted, as well as reported in MAGC programme Annual Reviews (produced by DESNZ), IFC is uniquely qualified to deliver the programme given their expertise and experience, established resources, knowledge, skills and networks and relationships, and its capacity to leverage thes</w:t>
      </w:r>
      <w:r w:rsidR="00FF6C9E">
        <w:t xml:space="preserve">e. IFC also has </w:t>
      </w:r>
      <w:r w:rsidR="00C75464">
        <w:t xml:space="preserve">streamlined processes in </w:t>
      </w:r>
      <w:r w:rsidR="00C75464">
        <w:lastRenderedPageBreak/>
        <w:t>place to allow for efficient delivery.</w:t>
      </w:r>
      <w:r w:rsidR="0084757D">
        <w:rPr>
          <w:rStyle w:val="FootnoteReference"/>
        </w:rPr>
        <w:footnoteReference w:id="9"/>
      </w:r>
      <w:r w:rsidR="00C75464">
        <w:t xml:space="preserve"> </w:t>
      </w:r>
      <w:r w:rsidR="0084757D">
        <w:t xml:space="preserve">DESNZ and IFC meet regularly to discuss progress on delivery of the investment pipeline and TA activities, identifying and mitigating issues. </w:t>
      </w:r>
    </w:p>
    <w:p w:rsidR="001617AA" w:rsidP="00B47243" w:rsidRDefault="001617AA" w14:paraId="69324AD9" w14:textId="2FD695F2">
      <w:r>
        <w:t xml:space="preserve">However, some inefficiencies in the collaboration </w:t>
      </w:r>
      <w:r w:rsidR="005671EC">
        <w:t xml:space="preserve">between DESNZ and IFC for </w:t>
      </w:r>
      <w:r>
        <w:t>Component 4 were identified</w:t>
      </w:r>
      <w:r w:rsidR="00FF6C9E">
        <w:t xml:space="preserve">. As previously explained, progress on Component 4 has been significantly delayed </w:t>
      </w:r>
      <w:r w:rsidR="00493F4A">
        <w:t>during</w:t>
      </w:r>
      <w:r w:rsidR="00FF6C9E">
        <w:t xml:space="preserve"> the programme.</w:t>
      </w:r>
      <w:r>
        <w:t xml:space="preserve"> </w:t>
      </w:r>
      <w:r w:rsidR="00FF6C9E">
        <w:t>S</w:t>
      </w:r>
      <w:r>
        <w:t>takeholder</w:t>
      </w:r>
      <w:r w:rsidR="005671EC">
        <w:t>s</w:t>
      </w:r>
      <w:r>
        <w:t xml:space="preserve"> point</w:t>
      </w:r>
      <w:r w:rsidR="00FF6C9E">
        <w:t>ed</w:t>
      </w:r>
      <w:r>
        <w:t xml:space="preserve"> out that work on this stream was </w:t>
      </w:r>
      <w:r w:rsidR="002176BA">
        <w:t xml:space="preserve">initially </w:t>
      </w:r>
      <w:r>
        <w:t>delayed due to significant delays and a lack of clarity from DESNZ’s side</w:t>
      </w:r>
      <w:r w:rsidR="005671EC">
        <w:t xml:space="preserve"> regarding the scope </w:t>
      </w:r>
      <w:r w:rsidR="00EB08D5">
        <w:t>of the planned research programme</w:t>
      </w:r>
      <w:r>
        <w:t xml:space="preserve">. These have been addressed, however, and delivery is now reportedly progressing efficiently.  </w:t>
      </w:r>
    </w:p>
    <w:p w:rsidR="00B47243" w:rsidP="00B47243" w:rsidRDefault="00EB08D5" w14:paraId="4A8E446E" w14:textId="3C62BED0">
      <w:r>
        <w:t xml:space="preserve">One interviewee </w:t>
      </w:r>
      <w:r w:rsidR="00073012">
        <w:t>from IFC report</w:t>
      </w:r>
      <w:r>
        <w:t>ed</w:t>
      </w:r>
      <w:r w:rsidR="00073012">
        <w:t xml:space="preserve"> that strict internal processes are in place to ensure that the programme is being delivered within budget. Specifically, regarding Component 4 several processes were implemented to ensure efficiency, namely competitive procurement processes and granular contracting to allow competitive pricing and de</w:t>
      </w:r>
      <w:r w:rsidRPr="00073012" w:rsidR="00073012">
        <w:t>tailed budget monitoring within IFC’s internal systems</w:t>
      </w:r>
      <w:r w:rsidR="00073012">
        <w:t xml:space="preserve">. Additionally, IFC leverages its existing robust internal systems and controls, particularly those related to quality assurance and financial safeguarding, to contribute to the responsible and efficient use of resources. </w:t>
      </w:r>
    </w:p>
    <w:p w:rsidR="00B23E9E" w:rsidP="00B47243" w:rsidRDefault="00B23E9E" w14:paraId="33C27298" w14:textId="55A50B70">
      <w:r>
        <w:t xml:space="preserve">At the country level, one IFC Office interviewed reported that activities are delivered within the budgeted time. They further credited the flexibility to adjust targets and outcomes as necessary as a further </w:t>
      </w:r>
      <w:r w:rsidR="00EB08D5">
        <w:t xml:space="preserve">element that facilitates efficient decision making and delivery. </w:t>
      </w:r>
    </w:p>
    <w:p w:rsidR="00970E18" w:rsidP="00BF4CBD" w:rsidRDefault="00970E18" w14:paraId="3DBDBABF" w14:textId="476305CE">
      <w:pPr>
        <w:pStyle w:val="Heading3"/>
      </w:pPr>
      <w:r w:rsidRPr="00970E18">
        <w:t>Costs per output are comparable to other, similar programmes</w:t>
      </w:r>
    </w:p>
    <w:p w:rsidR="00971AF0" w:rsidP="00D65A22" w:rsidRDefault="00971AF0" w14:paraId="2CBCCB58" w14:textId="77777777">
      <w:r>
        <w:t xml:space="preserve">It is currently too early to assess whether the costs of outputs (e.g., cost per research output under Component 4, or cost of green building square meter financed by MAGC FIs under Component 1) is proportionate and comparable to other, similar programmes as these outputs are yet to materialise fully while costs in some cases are already committed or spent. </w:t>
      </w:r>
    </w:p>
    <w:p w:rsidR="00971AF0" w:rsidP="00D65A22" w:rsidRDefault="00971AF0" w14:paraId="57742A19" w14:textId="639AC3AC">
      <w:r>
        <w:t xml:space="preserve">Therefore, this assessment will be deferred until the </w:t>
      </w:r>
      <w:proofErr w:type="gramStart"/>
      <w:r>
        <w:t>final outcome</w:t>
      </w:r>
      <w:proofErr w:type="gramEnd"/>
      <w:r>
        <w:t xml:space="preserve"> and economic evaluation report.  </w:t>
      </w:r>
    </w:p>
    <w:p w:rsidR="00A13A95" w:rsidP="00B23E9E" w:rsidRDefault="00B23E9E" w14:paraId="69BB0176" w14:textId="5533FE40">
      <w:pPr>
        <w:pStyle w:val="Heading2"/>
      </w:pPr>
      <w:bookmarkStart w:name="_Toc181887347" w:id="11"/>
      <w:r>
        <w:t>Effectiveness</w:t>
      </w:r>
      <w:bookmarkEnd w:id="11"/>
    </w:p>
    <w:p w:rsidR="00B23E9E" w:rsidP="00B23E9E" w:rsidRDefault="00B23E9E" w14:paraId="2C7921A9" w14:textId="024DFA61">
      <w:r>
        <w:t xml:space="preserve">The criterion of </w:t>
      </w:r>
      <w:r w:rsidR="003635DF">
        <w:t xml:space="preserve">effectiveness </w:t>
      </w:r>
      <w:r w:rsidR="00A730E0">
        <w:t>assesses</w:t>
      </w:r>
      <w:r w:rsidR="003635DF">
        <w:t xml:space="preserve"> whether the MAGC programme </w:t>
      </w:r>
      <w:r w:rsidR="00CE5532">
        <w:t>achieves the intended programme outcomes and impacts.</w:t>
      </w:r>
      <w:r>
        <w:t xml:space="preserve"> </w:t>
      </w:r>
    </w:p>
    <w:p w:rsidR="00CE5532" w:rsidP="00A730E0" w:rsidRDefault="00A730E0" w14:paraId="13928777" w14:textId="5B9D52E6">
      <w:pPr>
        <w:pStyle w:val="DESNZbulletedlist"/>
        <w:numPr>
          <w:ilvl w:val="0"/>
          <w:numId w:val="0"/>
        </w:numPr>
      </w:pPr>
      <w:r>
        <w:t xml:space="preserve">Due to the interim nature of this assessment, and especially </w:t>
      </w:r>
      <w:proofErr w:type="gramStart"/>
      <w:r>
        <w:t>due to the fact that</w:t>
      </w:r>
      <w:proofErr w:type="gramEnd"/>
      <w:r>
        <w:t xml:space="preserve"> </w:t>
      </w:r>
      <w:r w:rsidR="00CE5532">
        <w:t xml:space="preserve">programme activities are still ongoing, and the time required for the outcomes and impacts to come to fruition, </w:t>
      </w:r>
      <w:r>
        <w:t xml:space="preserve">an assessment of value for money generated under the effectiveness criteria is premature. Due to some initial delays, achievement of outputs and outcomes in some areas of the programme is delayed, </w:t>
      </w:r>
      <w:r w:rsidR="00A471D1">
        <w:t xml:space="preserve">but it remains to be seen whether these will be achieved </w:t>
      </w:r>
      <w:proofErr w:type="gramStart"/>
      <w:r w:rsidR="00A471D1">
        <w:t>at a later date</w:t>
      </w:r>
      <w:proofErr w:type="gramEnd"/>
      <w:r w:rsidR="00A471D1">
        <w:t xml:space="preserve"> or not. </w:t>
      </w:r>
      <w:r>
        <w:t xml:space="preserve"> </w:t>
      </w:r>
    </w:p>
    <w:p w:rsidR="00B23E9E" w:rsidP="00121E18" w:rsidRDefault="00CE5532" w14:paraId="16DC822B" w14:textId="3D822F7A">
      <w:pPr>
        <w:pStyle w:val="Heading4"/>
        <w:rPr>
          <w:rStyle w:val="Boldtext"/>
        </w:rPr>
      </w:pPr>
      <w:r>
        <w:rPr>
          <w:rStyle w:val="Boldtext"/>
        </w:rPr>
        <w:lastRenderedPageBreak/>
        <w:t>Achievement of outcomes and impacts</w:t>
      </w:r>
    </w:p>
    <w:p w:rsidR="006D70C9" w:rsidP="00EB08D5" w:rsidRDefault="006D70C9" w14:paraId="3B0CEBC2" w14:textId="0390E6A1">
      <w:r>
        <w:t xml:space="preserve">As reported at the interim outcome report, </w:t>
      </w:r>
      <w:r w:rsidR="00693B77">
        <w:t xml:space="preserve">evidence of early outcomes indicates that the programme is on track to create benefits, although with some delays </w:t>
      </w:r>
      <w:r w:rsidR="00095C32">
        <w:t>due to shifting of</w:t>
      </w:r>
      <w:r w:rsidR="00693B77">
        <w:t xml:space="preserve"> the original timelines envisaged for Components 1 and 4. </w:t>
      </w:r>
    </w:p>
    <w:p w:rsidR="00212E92" w:rsidP="009D62B9" w:rsidRDefault="00095C32" w14:paraId="04BE6D30" w14:textId="16F42B4B">
      <w:r w:rsidRPr="00BF4CBD">
        <w:rPr>
          <w:rStyle w:val="Heading3Char"/>
        </w:rPr>
        <w:t>Energy and GHG emissions savings</w:t>
      </w:r>
      <w:r w:rsidR="006A001E">
        <w:t xml:space="preserve"> </w:t>
      </w:r>
    </w:p>
    <w:p w:rsidR="00766234" w:rsidP="009D62B9" w:rsidRDefault="00766234" w14:paraId="1D4591C8" w14:textId="64E372F7">
      <w:r w:rsidRPr="00766234">
        <w:t xml:space="preserve">The </w:t>
      </w:r>
      <w:r>
        <w:t xml:space="preserve">main </w:t>
      </w:r>
      <w:r w:rsidRPr="00766234">
        <w:t>expected impact of the MAGC programme activity in the selected countries is to increase savings in energy as well as water savings and to reduce emissions through the construction of new green buildings</w:t>
      </w:r>
      <w:r>
        <w:t xml:space="preserve">. </w:t>
      </w:r>
    </w:p>
    <w:p w:rsidR="009D62B9" w:rsidP="009D62B9" w:rsidRDefault="009D62B9" w14:paraId="7DDC6D16" w14:textId="7FD1066C">
      <w:r w:rsidRPr="009D62B9">
        <w:t>In most countries considered within the scope of this evaluation, there is evidence of EDGE certification</w:t>
      </w:r>
      <w:r w:rsidR="00A464CC">
        <w:t>s gaining traction</w:t>
      </w:r>
      <w:r w:rsidRPr="009D62B9">
        <w:t xml:space="preserve">. The cumulative green building floor space with EDGE post construction certification (m2) has increased from 3,252,109 in FY19/20 to </w:t>
      </w:r>
      <w:r w:rsidR="00FA0D1A">
        <w:t>31,166,327</w:t>
      </w:r>
      <w:r w:rsidRPr="009D62B9">
        <w:t xml:space="preserve"> in </w:t>
      </w:r>
      <w:r w:rsidRPr="009D62B9" w:rsidR="00FA0D1A">
        <w:t>FY</w:t>
      </w:r>
      <w:r w:rsidR="00CE53E2">
        <w:t>23/</w:t>
      </w:r>
      <w:r w:rsidRPr="009D62B9" w:rsidR="00FA0D1A">
        <w:t>2</w:t>
      </w:r>
      <w:r w:rsidR="00FA0D1A">
        <w:t>4</w:t>
      </w:r>
      <w:r w:rsidRPr="009D62B9">
        <w:t xml:space="preserve">. In </w:t>
      </w:r>
      <w:r w:rsidRPr="009D62B9" w:rsidR="00FA0D1A">
        <w:t>FY</w:t>
      </w:r>
      <w:r w:rsidRPr="009D62B9">
        <w:t>2</w:t>
      </w:r>
      <w:r w:rsidR="00FA0D1A">
        <w:t>4</w:t>
      </w:r>
      <w:r w:rsidRPr="009D62B9">
        <w:t xml:space="preserve">, the average GHG emissions of buildings attaining EDGE preliminary certification each year worldwide has </w:t>
      </w:r>
      <w:r w:rsidR="00A464CC">
        <w:t xml:space="preserve">decreased </w:t>
      </w:r>
      <w:r w:rsidRPr="009D62B9">
        <w:t>to 0.</w:t>
      </w:r>
      <w:r w:rsidRPr="009D62B9" w:rsidR="00FA0D1A">
        <w:t>0</w:t>
      </w:r>
      <w:r w:rsidR="00FA0D1A">
        <w:t>329</w:t>
      </w:r>
      <w:r w:rsidRPr="009D62B9" w:rsidR="00FA0D1A">
        <w:t xml:space="preserve"> </w:t>
      </w:r>
      <w:r w:rsidRPr="009D62B9">
        <w:t>tCO2e per m2 per year</w:t>
      </w:r>
      <w:r w:rsidR="00A464CC">
        <w:t xml:space="preserve"> compared to </w:t>
      </w:r>
      <w:r w:rsidRPr="00A464CC" w:rsidR="00A464CC">
        <w:t>0.0364</w:t>
      </w:r>
      <w:r w:rsidRPr="009D62B9">
        <w:t xml:space="preserve"> in </w:t>
      </w:r>
      <w:r w:rsidR="00A464CC">
        <w:t>2019</w:t>
      </w:r>
      <w:r w:rsidRPr="009D62B9">
        <w:t xml:space="preserve">. </w:t>
      </w:r>
      <w:r w:rsidR="00FA0D1A">
        <w:t>Figures achieved for FY24 were a reversal to the previous downward trend in FY22/2</w:t>
      </w:r>
      <w:r w:rsidR="003A1B4C">
        <w:t>3</w:t>
      </w:r>
      <w:r w:rsidR="00FA0D1A">
        <w:t xml:space="preserve"> (0.0210), which will need to be monitored over the next years.</w:t>
      </w:r>
    </w:p>
    <w:p w:rsidR="00CE5532" w:rsidP="00095C32" w:rsidRDefault="009D62B9" w14:paraId="2F873731" w14:textId="3F7A0110">
      <w:r w:rsidRPr="009D62B9">
        <w:t xml:space="preserve">However, due to delays in getting investments off the ground and delays in getting construction started (including due to COVID-19), achievement of outcomes </w:t>
      </w:r>
      <w:r>
        <w:t xml:space="preserve">directly tied to MAGC financing </w:t>
      </w:r>
      <w:r w:rsidRPr="009D62B9">
        <w:t xml:space="preserve">is not yet reported </w:t>
      </w:r>
      <w:proofErr w:type="gramStart"/>
      <w:r w:rsidR="00493F4A">
        <w:t>I</w:t>
      </w:r>
      <w:r w:rsidRPr="009D62B9">
        <w:t>n</w:t>
      </w:r>
      <w:proofErr w:type="gramEnd"/>
      <w:r w:rsidRPr="009D62B9">
        <w:t xml:space="preserve"> some cases </w:t>
      </w:r>
      <w:r w:rsidR="00493F4A">
        <w:t xml:space="preserve">outcomes </w:t>
      </w:r>
      <w:r w:rsidRPr="009D62B9">
        <w:t xml:space="preserve">are below </w:t>
      </w:r>
      <w:r w:rsidR="00791420">
        <w:t xml:space="preserve">initial </w:t>
      </w:r>
      <w:r w:rsidRPr="009D62B9">
        <w:t xml:space="preserve">expectations. </w:t>
      </w:r>
      <w:r w:rsidR="00CE5532">
        <w:t>As indicated further above, however, optimistic expectations and assumptions at the business case stage also contributed to the setting of (in hindsight deemed) unrealistic targets</w:t>
      </w:r>
      <w:r w:rsidR="00493F4A">
        <w:t>. S</w:t>
      </w:r>
      <w:r w:rsidR="00266C14">
        <w:t xml:space="preserve">ubsequently timelines to achieve these </w:t>
      </w:r>
      <w:r w:rsidR="00CE5532">
        <w:t xml:space="preserve">were revised in a review of the </w:t>
      </w:r>
      <w:proofErr w:type="spellStart"/>
      <w:r w:rsidR="00CE5532">
        <w:t>logframe</w:t>
      </w:r>
      <w:proofErr w:type="spellEnd"/>
      <w:r w:rsidR="00CE5532">
        <w:t xml:space="preserve"> in FY24. </w:t>
      </w:r>
    </w:p>
    <w:p w:rsidR="009D62B9" w:rsidP="00095C32" w:rsidRDefault="009D62B9" w14:paraId="37FFE077" w14:textId="21784798">
      <w:r>
        <w:t>T</w:t>
      </w:r>
      <w:r w:rsidRPr="009D62B9">
        <w:t xml:space="preserve">he cumulative energy use expected to be avoided from post-design certified green buildings financed by the proceeds of MAGC Blended Finance supported investments was reported as </w:t>
      </w:r>
      <w:r w:rsidR="005F3B99">
        <w:t>8,563</w:t>
      </w:r>
      <w:r w:rsidRPr="009D62B9">
        <w:t xml:space="preserve"> MWh per year</w:t>
      </w:r>
      <w:r w:rsidR="005F3B99">
        <w:t xml:space="preserve"> in FY24</w:t>
      </w:r>
      <w:r w:rsidRPr="009D62B9">
        <w:t xml:space="preserve">, </w:t>
      </w:r>
      <w:r w:rsidR="005F3B99">
        <w:t>slightly above the revised target of 8,259. T</w:t>
      </w:r>
      <w:r w:rsidRPr="009D62B9">
        <w:t xml:space="preserve">he cumulative GHG emissions expected to be avoided from post-design certified buildings financed with other capital after exhausting MAGC blended finance is </w:t>
      </w:r>
      <w:r w:rsidR="004A6085">
        <w:t>5,275</w:t>
      </w:r>
      <w:r w:rsidRPr="009D62B9" w:rsidR="004A6085">
        <w:t xml:space="preserve"> </w:t>
      </w:r>
      <w:r w:rsidRPr="009D62B9">
        <w:t>tons CO2 per year</w:t>
      </w:r>
      <w:r w:rsidR="00550915">
        <w:t xml:space="preserve"> in FY24,</w:t>
      </w:r>
      <w:r w:rsidRPr="009D62B9">
        <w:t xml:space="preserve"> </w:t>
      </w:r>
      <w:r w:rsidR="00550915">
        <w:t xml:space="preserve">exceeding </w:t>
      </w:r>
      <w:r w:rsidR="005F3B99">
        <w:t>the revised target of 83 for FY24</w:t>
      </w:r>
      <w:r w:rsidRPr="009D62B9">
        <w:t>.</w:t>
      </w:r>
      <w:r>
        <w:t xml:space="preserve"> </w:t>
      </w:r>
      <w:r w:rsidRPr="00FC05CC" w:rsidR="005F3B99">
        <w:t xml:space="preserve">Cumulative costs </w:t>
      </w:r>
      <w:r w:rsidRPr="002C0FBB" w:rsidR="00550915">
        <w:t xml:space="preserve">expected to be avoided from design certified green buildings financed with MAGC blended finance </w:t>
      </w:r>
      <w:r w:rsidR="00550915">
        <w:t>were reported at</w:t>
      </w:r>
      <w:r w:rsidRPr="00FC05CC" w:rsidR="005F3B99">
        <w:t xml:space="preserve"> £185 million </w:t>
      </w:r>
      <w:r w:rsidR="00550915">
        <w:t>in</w:t>
      </w:r>
      <w:r w:rsidRPr="00493F4A" w:rsidR="005F3B99">
        <w:t xml:space="preserve"> FY</w:t>
      </w:r>
      <w:r w:rsidR="00CE53E2">
        <w:t>23/</w:t>
      </w:r>
      <w:r w:rsidRPr="00493F4A" w:rsidR="005F3B99">
        <w:t>24</w:t>
      </w:r>
      <w:r w:rsidRPr="00FC05CC" w:rsidR="005F3B99">
        <w:t>, exceeding the revised target of £771,224</w:t>
      </w:r>
      <w:r w:rsidRPr="00CF1201">
        <w:t>.</w:t>
      </w:r>
      <w:r w:rsidR="00FD4D70">
        <w:t xml:space="preserve"> </w:t>
      </w:r>
    </w:p>
    <w:p w:rsidR="00212E92" w:rsidP="00EB08D5" w:rsidRDefault="00095C32" w14:paraId="5138F21A" w14:textId="179729C7">
      <w:r w:rsidRPr="00BF4CBD">
        <w:rPr>
          <w:rStyle w:val="Heading3Char"/>
        </w:rPr>
        <w:t>Green buildings market changes</w:t>
      </w:r>
    </w:p>
    <w:p w:rsidR="00766234" w:rsidP="00EB08D5" w:rsidRDefault="00766234" w14:paraId="348B89AF" w14:textId="5C2978A0">
      <w:r w:rsidRPr="00766234">
        <w:t xml:space="preserve">The MAGC programme aims to achieve transformational change </w:t>
      </w:r>
      <w:r>
        <w:t xml:space="preserve">in the form of </w:t>
      </w:r>
      <w:r w:rsidRPr="00766234">
        <w:t>a shift from a state in which countries lack the uptake of green building practices and construction to another in which green buildings are financed and constructed and enable achievement of energy and emissions savings</w:t>
      </w:r>
      <w:r>
        <w:t xml:space="preserve">. </w:t>
      </w:r>
    </w:p>
    <w:p w:rsidR="006A001E" w:rsidP="00EB08D5" w:rsidRDefault="00A730E0" w14:paraId="073913AF" w14:textId="629FB2A1">
      <w:r w:rsidRPr="00A730E0">
        <w:t>The capacity building component of MAGC was effective in increasing awareness of green buildings across stakeholder types, contribute to professional development, and create meaningful connections and partnerships.</w:t>
      </w:r>
      <w:r>
        <w:t xml:space="preserve"> </w:t>
      </w:r>
      <w:r w:rsidRPr="009D62B9" w:rsidR="009D62B9">
        <w:t>As of FY2</w:t>
      </w:r>
      <w:r w:rsidR="003A1B4C">
        <w:t>4</w:t>
      </w:r>
      <w:r w:rsidRPr="009D62B9" w:rsidR="009D62B9">
        <w:t xml:space="preserve">, </w:t>
      </w:r>
      <w:r w:rsidR="00CE53E2">
        <w:t>2</w:t>
      </w:r>
      <w:r w:rsidRPr="009D62B9" w:rsidR="009D62B9">
        <w:t>1 investments were com</w:t>
      </w:r>
      <w:r w:rsidR="00CE53E2">
        <w:t>mitted</w:t>
      </w:r>
      <w:r w:rsidRPr="009D62B9" w:rsidR="009D62B9">
        <w:t xml:space="preserve">, and IFC is developing a robust pipeline for further investments. </w:t>
      </w:r>
      <w:r w:rsidR="007469A4">
        <w:t xml:space="preserve">It is too early to provide an </w:t>
      </w:r>
      <w:r w:rsidR="007469A4">
        <w:lastRenderedPageBreak/>
        <w:t>assessment to which transformational change in</w:t>
      </w:r>
      <w:r w:rsidRPr="007469A4" w:rsidR="007469A4">
        <w:t xml:space="preserve"> the Green Buildings market (e.g. growth in market share of green certified floor space)</w:t>
      </w:r>
      <w:r w:rsidR="007469A4">
        <w:t xml:space="preserve"> has been achieved</w:t>
      </w:r>
      <w:r w:rsidR="000C4048">
        <w:t>.</w:t>
      </w:r>
      <w:r w:rsidR="007469A4">
        <w:t xml:space="preserve"> </w:t>
      </w:r>
      <w:r w:rsidR="000C4048">
        <w:t xml:space="preserve">Though </w:t>
      </w:r>
      <w:r w:rsidR="007469A4">
        <w:t xml:space="preserve">emerging evidence signals that there are </w:t>
      </w:r>
      <w:r w:rsidRPr="007469A4" w:rsidR="007469A4">
        <w:t>some early signs of raised interest in green buildings in the market</w:t>
      </w:r>
      <w:r w:rsidR="007469A4">
        <w:t xml:space="preserve"> and plans for further action amongst banks and developers. </w:t>
      </w:r>
      <w:r w:rsidR="003A1B4C">
        <w:t xml:space="preserve">In FY24, two </w:t>
      </w:r>
      <w:r w:rsidR="00095C32">
        <w:t>new entrants to the market (</w:t>
      </w:r>
      <w:r w:rsidRPr="00095C32" w:rsidR="00095C32">
        <w:t>additional financial intermediaries entering green building markets</w:t>
      </w:r>
      <w:r w:rsidR="00095C32">
        <w:t xml:space="preserve">) were reported. </w:t>
      </w:r>
    </w:p>
    <w:p w:rsidR="00FD4D70" w:rsidP="00B23E9E" w:rsidRDefault="00A730E0" w14:paraId="1C3441A4" w14:textId="5E7B7A9D">
      <w:r>
        <w:t xml:space="preserve">Outputs from Component 4 </w:t>
      </w:r>
      <w:r w:rsidRPr="00306C7D" w:rsidR="00306C7D">
        <w:t xml:space="preserve">of the programme </w:t>
      </w:r>
      <w:r w:rsidR="00306C7D">
        <w:t xml:space="preserve">and their effectiveness </w:t>
      </w:r>
      <w:r w:rsidRPr="00306C7D" w:rsidR="00306C7D">
        <w:t>were not considered as part of the interim outcome evaluation as this element of the programme is still in early stages</w:t>
      </w:r>
      <w:r w:rsidR="00306C7D">
        <w:t xml:space="preserve">. </w:t>
      </w:r>
      <w:r w:rsidR="00FD4D70">
        <w:t>A</w:t>
      </w:r>
      <w:r>
        <w:t xml:space="preserve">s such an impact onto wider market transformation due to increased evidence and knowledge base is not yet detectable. </w:t>
      </w:r>
    </w:p>
    <w:p w:rsidR="00DB061F" w:rsidP="00DB061F" w:rsidRDefault="00FC5C1D" w14:paraId="4919E0E9" w14:textId="63447F58">
      <w:pPr>
        <w:pStyle w:val="Heading2"/>
      </w:pPr>
      <w:bookmarkStart w:name="_Toc181887348" w:id="12"/>
      <w:r>
        <w:t>Cost-e</w:t>
      </w:r>
      <w:r w:rsidR="00DB061F">
        <w:t>ffectiveness</w:t>
      </w:r>
      <w:bookmarkEnd w:id="12"/>
    </w:p>
    <w:p w:rsidR="003635DF" w:rsidP="00DB061F" w:rsidRDefault="00DB061F" w14:paraId="41452ABF" w14:textId="4F870530">
      <w:r>
        <w:t xml:space="preserve">The criterion of </w:t>
      </w:r>
      <w:r w:rsidR="00FC5C1D">
        <w:t>cost-</w:t>
      </w:r>
      <w:r>
        <w:t>effectiveness assesses whether the MAGC programme creates more value than it costs. To do so, the following judgement criteria are considered</w:t>
      </w:r>
      <w:r w:rsidR="00FC5C1D">
        <w:t>:</w:t>
      </w:r>
    </w:p>
    <w:p w:rsidR="00FC5C1D" w:rsidP="00FC5C1D" w:rsidRDefault="00FC5C1D" w14:paraId="0DBAB9B8" w14:textId="44647862">
      <w:pPr>
        <w:pStyle w:val="DESNZbulletedlist"/>
      </w:pPr>
      <w:r>
        <w:t>Resource consumption</w:t>
      </w:r>
      <w:r w:rsidR="000C4048">
        <w:t>.</w:t>
      </w:r>
    </w:p>
    <w:p w:rsidR="005C27E1" w:rsidP="005C27E1" w:rsidRDefault="00FC5C1D" w14:paraId="627A2D2C" w14:textId="633AB5FD">
      <w:pPr>
        <w:pStyle w:val="DESNZbulletedlist"/>
      </w:pPr>
      <w:r>
        <w:t>Value creation</w:t>
      </w:r>
      <w:r w:rsidR="000C4048">
        <w:t>.</w:t>
      </w:r>
    </w:p>
    <w:p w:rsidR="00FA0D1A" w:rsidP="005C27E1" w:rsidRDefault="005C27E1" w14:paraId="76000FB4" w14:textId="77777777">
      <w:pPr>
        <w:pStyle w:val="DESNZbulletedlist"/>
        <w:numPr>
          <w:ilvl w:val="0"/>
          <w:numId w:val="0"/>
        </w:numPr>
      </w:pPr>
      <w:r>
        <w:t xml:space="preserve">Due to the interim nature of this assessment, and especially </w:t>
      </w:r>
      <w:proofErr w:type="gramStart"/>
      <w:r>
        <w:t>due to the fact that</w:t>
      </w:r>
      <w:proofErr w:type="gramEnd"/>
      <w:r>
        <w:t xml:space="preserve"> value creation is ongoing, an assessment of value for money generated under the effectiveness criteria is premature.</w:t>
      </w:r>
    </w:p>
    <w:p w:rsidR="005C27E1" w:rsidP="00BE04AA" w:rsidRDefault="005C27E1" w14:paraId="5E9BFD57" w14:textId="5AC94244">
      <w:pPr>
        <w:pStyle w:val="DESNZbulletedlist"/>
        <w:numPr>
          <w:ilvl w:val="0"/>
          <w:numId w:val="0"/>
        </w:numPr>
      </w:pPr>
      <w:r>
        <w:t xml:space="preserve"> </w:t>
      </w:r>
    </w:p>
    <w:p w:rsidRPr="000C4048" w:rsidR="003635DF" w:rsidP="00BF4CBD" w:rsidRDefault="003635DF" w14:paraId="46D10D37" w14:textId="0B76CE6B">
      <w:pPr>
        <w:pStyle w:val="Heading3"/>
        <w:rPr>
          <w:rStyle w:val="Boldtext"/>
          <w:rFonts w:eastAsiaTheme="minorHAnsi" w:cstheme="minorBidi"/>
          <w:iCs/>
          <w:color w:val="041E42"/>
          <w:sz w:val="24"/>
        </w:rPr>
      </w:pPr>
      <w:r w:rsidRPr="000C4048">
        <w:rPr>
          <w:rStyle w:val="Boldtext"/>
          <w:b w:val="0"/>
          <w:color w:val="041E42"/>
        </w:rPr>
        <w:t>Resource consumption</w:t>
      </w:r>
    </w:p>
    <w:p w:rsidRPr="003635DF" w:rsidR="003635DF" w:rsidP="003635DF" w:rsidRDefault="003635DF" w14:paraId="3E8E0167" w14:textId="1E794390">
      <w:r w:rsidRPr="003635DF">
        <w:t xml:space="preserve">The </w:t>
      </w:r>
      <w:r w:rsidRPr="000750ED" w:rsidR="000750ED">
        <w:t xml:space="preserve">UK’s contribution </w:t>
      </w:r>
      <w:r w:rsidR="000750ED">
        <w:t xml:space="preserve">to the </w:t>
      </w:r>
      <w:r w:rsidRPr="003635DF">
        <w:t>MAGC programme has a total value of £</w:t>
      </w:r>
      <w:r w:rsidR="000750ED">
        <w:t>139</w:t>
      </w:r>
      <w:r w:rsidR="004949D2">
        <w:t>.1</w:t>
      </w:r>
      <w:r w:rsidR="00DD7E61">
        <w:t>m</w:t>
      </w:r>
      <w:r w:rsidRPr="003635DF">
        <w:t xml:space="preserve"> over the life of the programme</w:t>
      </w:r>
      <w:r>
        <w:t>, committed by DESNZ to IFC.</w:t>
      </w:r>
      <w:r w:rsidR="004949D2">
        <w:rPr>
          <w:rStyle w:val="FootnoteReference"/>
        </w:rPr>
        <w:footnoteReference w:id="10"/>
      </w:r>
      <w:r w:rsidRPr="003635DF">
        <w:t xml:space="preserve"> This includes: </w:t>
      </w:r>
    </w:p>
    <w:p w:rsidRPr="003635DF" w:rsidR="003635DF" w:rsidP="003635DF" w:rsidRDefault="003635DF" w14:paraId="68D8ACA0" w14:textId="40DE43D2">
      <w:pPr>
        <w:pStyle w:val="DESNZbulletedlist"/>
      </w:pPr>
      <w:r w:rsidRPr="003635DF">
        <w:t>£</w:t>
      </w:r>
      <w:r w:rsidR="000750ED">
        <w:t>102</w:t>
      </w:r>
      <w:r w:rsidRPr="003635DF">
        <w:t xml:space="preserve">m </w:t>
      </w:r>
      <w:r w:rsidRPr="000750ED" w:rsidR="000750ED">
        <w:t>for blended concessional finance co-investments invested alongside IFC into Financial Intermediaries (</w:t>
      </w:r>
      <w:r w:rsidR="000750ED">
        <w:t>investment services)</w:t>
      </w:r>
      <w:r w:rsidR="000C4048">
        <w:t>.</w:t>
      </w:r>
      <w:r w:rsidRPr="003635DF">
        <w:t xml:space="preserve"> </w:t>
      </w:r>
    </w:p>
    <w:p w:rsidRPr="003635DF" w:rsidR="003635DF" w:rsidP="003635DF" w:rsidRDefault="003635DF" w14:paraId="5B6358A8" w14:textId="24DEC94F">
      <w:pPr>
        <w:pStyle w:val="DESNZbulletedlist"/>
      </w:pPr>
      <w:r w:rsidRPr="003635DF">
        <w:t>£</w:t>
      </w:r>
      <w:r w:rsidR="000750ED">
        <w:t>36.1</w:t>
      </w:r>
      <w:r w:rsidRPr="003635DF">
        <w:t xml:space="preserve">m </w:t>
      </w:r>
      <w:r w:rsidRPr="000750ED" w:rsidR="000750ED">
        <w:t>for advisory services to support business strategy, capacity building, market enabling and research to scale green construction finance</w:t>
      </w:r>
      <w:r w:rsidRPr="003635DF">
        <w:t xml:space="preserve">. </w:t>
      </w:r>
    </w:p>
    <w:p w:rsidRPr="003635DF" w:rsidR="003635DF" w:rsidP="003635DF" w:rsidRDefault="003635DF" w14:paraId="0D4CF967" w14:textId="77777777">
      <w:pPr>
        <w:pStyle w:val="DESNZbulletedlist"/>
      </w:pPr>
      <w:r w:rsidRPr="003635DF">
        <w:t xml:space="preserve">Additionally, £1m is allocated to the external evaluation. </w:t>
      </w:r>
    </w:p>
    <w:p w:rsidR="000750ED" w:rsidP="003635DF" w:rsidRDefault="003635DF" w14:paraId="6016E140" w14:textId="4218FFC9">
      <w:r>
        <w:t>As of June 2023, £55m of the funding committed to MAGC investment services has been encashed</w:t>
      </w:r>
      <w:r w:rsidR="000750ED">
        <w:t xml:space="preserve">, of which £47m have been allocated. As of September 2023, £20.24m of funding committed to MAGC advisory services have been encashed, £10.3m (a little over half) of which has been disbursed and £0.9 have been allocated. </w:t>
      </w:r>
    </w:p>
    <w:p w:rsidR="002C7EF6" w:rsidP="003635DF" w:rsidRDefault="002C7EF6" w14:paraId="32A3E4D7" w14:textId="3BBFBCC3">
      <w:r w:rsidR="002C7EF6">
        <w:rPr/>
        <w:lastRenderedPageBreak/>
        <w:t>Additionally, it is important to highlight that the use of PBIs for investments has proven a very effective delivery mechanism, contributing to a strong leverage ratio</w:t>
      </w:r>
      <w:r w:rsidR="00766234">
        <w:rPr/>
        <w:t xml:space="preserve"> </w:t>
      </w:r>
      <w:r w:rsidR="002C7EF6">
        <w:rPr/>
        <w:t>for MAGC.</w:t>
      </w:r>
      <w:r w:rsidR="002D1889">
        <w:rPr>
          <w:rStyle w:val="FootnoteReference"/>
        </w:rPr>
        <w:footnoteReference w:id="11"/>
      </w:r>
      <w:r w:rsidR="002C7EF6">
        <w:rPr/>
        <w:t xml:space="preserve"> As quoted by one stakeholder consulted</w:t>
      </w:r>
      <w:r w:rsidR="00CE53E2">
        <w:rPr/>
        <w:t xml:space="preserve"> in 2023</w:t>
      </w:r>
      <w:r w:rsidR="002C7EF6">
        <w:rPr/>
        <w:t>, the</w:t>
      </w:r>
      <w:r w:rsidR="001B0BC6">
        <w:rPr/>
        <w:t xml:space="preserve"> high volume of funding mobilised (</w:t>
      </w:r>
      <w:r w:rsidR="00B23851">
        <w:rPr/>
        <w:t>over</w:t>
      </w:r>
      <w:r w:rsidR="001B0BC6">
        <w:rPr/>
        <w:t xml:space="preserve"> $1.5 billion</w:t>
      </w:r>
      <w:r w:rsidRPr="7F03249C" w:rsidR="001B0BC6">
        <w:rPr/>
        <w:t xml:space="preserve">) off the back of the funding committed ($56.3 million)</w:t>
      </w:r>
      <w:r w:rsidR="002C7EF6">
        <w:rPr>
          <w:rStyle w:val="Italic"/>
        </w:rPr>
        <w:t xml:space="preserve"> “</w:t>
      </w:r>
      <w:r w:rsidRPr="002C7EF6" w:rsidR="002C7EF6">
        <w:rPr>
          <w:rStyle w:val="Italic"/>
        </w:rPr>
        <w:t xml:space="preserve">speaks to that very positive delivery model. </w:t>
      </w:r>
      <w:r w:rsidRPr="002C7EF6" w:rsidR="00CB2E79">
        <w:rPr>
          <w:rStyle w:val="Italic"/>
        </w:rPr>
        <w:t>[The] r</w:t>
      </w:r>
      <w:r w:rsidRPr="7F03249C" w:rsidR="00CB2E79">
        <w:rPr>
          <w:rStyle w:val="Italic"/>
        </w:rPr>
        <w:t xml:space="preserve">atio </w:t>
      </w:r>
      <w:r w:rsidRPr="7F03249C" w:rsidR="002C7EF6">
        <w:rPr>
          <w:rStyle w:val="Italic"/>
        </w:rPr>
        <w:t xml:space="preserve">is around 34:1</w:t>
      </w:r>
      <w:r w:rsidR="002C7EF6">
        <w:rPr/>
        <w:t xml:space="preserve">”. This was considered</w:t>
      </w:r>
      <w:r w:rsidRPr="002C7EF6" w:rsidR="002C7EF6">
        <w:rPr/>
        <w:t xml:space="preserve"> </w:t>
      </w:r>
      <w:r w:rsidR="002C7EF6">
        <w:rPr/>
        <w:t xml:space="preserve">an </w:t>
      </w:r>
      <w:r w:rsidRPr="002C7EF6" w:rsidR="002C7EF6">
        <w:rPr/>
        <w:t xml:space="preserve">outstandingly good </w:t>
      </w:r>
      <w:r w:rsidR="002C7EF6">
        <w:rPr/>
        <w:t xml:space="preserve">ration compared to other programmes within</w:t>
      </w:r>
      <w:r w:rsidR="002C7EF6">
        <w:rPr/>
        <w:t xml:space="preserve"> the ICF portfolio.</w:t>
      </w:r>
      <w:r w:rsidR="00C85A6C">
        <w:rPr/>
        <w:t xml:space="preserve"> </w:t>
      </w:r>
      <w:r w:rsidRPr="00C85A6C" w:rsidR="002D1889">
        <w:rPr/>
        <w:t>Most</w:t>
      </w:r>
      <w:r w:rsidR="00C85A6C">
        <w:rPr/>
        <w:t xml:space="preserve"> investments made so far under the MAGC programmes </w:t>
      </w:r>
      <w:r w:rsidR="00C85A6C">
        <w:rPr/>
        <w:t>have been made to commercial banks, using PBIs.</w:t>
      </w:r>
      <w:r w:rsidR="002D1889">
        <w:rPr/>
        <w:t xml:space="preserve"> </w:t>
      </w:r>
      <w:r w:rsidR="001B0BC6">
        <w:rPr/>
        <w:t xml:space="preserve">Most</w:t>
      </w:r>
      <w:r w:rsidR="002D1889">
        <w:rPr/>
        <w:t xml:space="preserve"> of</w:t>
      </w:r>
      <w:r w:rsidR="001B0BC6">
        <w:rPr/>
        <w:t xml:space="preserve"> the</w:t>
      </w:r>
      <w:r w:rsidR="002D1889">
        <w:rPr/>
        <w:t xml:space="preserve"> additional finance leveraged so far has been public funding (specifically IFC funds). </w:t>
      </w:r>
    </w:p>
    <w:p w:rsidRPr="00FA0D1A" w:rsidR="00791420" w:rsidP="00791420" w:rsidRDefault="00791420" w14:paraId="7D3596C6" w14:textId="301ECB17">
      <w:pPr>
        <w:pStyle w:val="Heading4"/>
        <w:rPr>
          <w:rStyle w:val="Boldtext"/>
        </w:rPr>
      </w:pPr>
      <w:r w:rsidRPr="00FA0D1A">
        <w:rPr>
          <w:rStyle w:val="Boldtext"/>
        </w:rPr>
        <w:t>Value creation</w:t>
      </w:r>
    </w:p>
    <w:p w:rsidR="00791420" w:rsidP="003635DF" w:rsidRDefault="00FA0D1A" w14:paraId="5A2CD0DB" w14:textId="7C5F3762">
      <w:r>
        <w:t>Stakeholder feedback indicates that the value generated by the programme, while not monetised, exceeds the costs.</w:t>
      </w:r>
      <w:r w:rsidRPr="003635DF" w:rsidR="00791420">
        <w:t xml:space="preserve"> </w:t>
      </w:r>
      <w:r>
        <w:t xml:space="preserve">However, considering the interim nature of this report and as indicated above, the fact that outcomes and impacts of the programme still require time to materialise, it is too early to provide a full assessment of the value created and comparison thereof to costs. </w:t>
      </w:r>
    </w:p>
    <w:p w:rsidR="00B23E9E" w:rsidP="00B23E9E" w:rsidRDefault="00B23E9E" w14:paraId="06206DF0" w14:textId="3105BE9B">
      <w:pPr>
        <w:pStyle w:val="Heading2"/>
      </w:pPr>
      <w:bookmarkStart w:name="_Toc181887349" w:id="15"/>
      <w:r>
        <w:t>Equity</w:t>
      </w:r>
      <w:bookmarkEnd w:id="15"/>
    </w:p>
    <w:p w:rsidR="00B23E9E" w:rsidP="00B23E9E" w:rsidRDefault="00B23E9E" w14:paraId="15685B20" w14:textId="09CC4A5C">
      <w:r>
        <w:t xml:space="preserve">The criterion of equity assesses how well </w:t>
      </w:r>
      <w:r w:rsidRPr="00A13A95">
        <w:t xml:space="preserve">programme </w:t>
      </w:r>
      <w:r w:rsidRPr="00B23E9E">
        <w:t xml:space="preserve">benefits </w:t>
      </w:r>
      <w:r>
        <w:t xml:space="preserve">are </w:t>
      </w:r>
      <w:r w:rsidRPr="00B23E9E">
        <w:t>distributed to also benefit women and marginalised groups</w:t>
      </w:r>
      <w:r>
        <w:t xml:space="preserve">. To assess this, three judgement criteria are considered: </w:t>
      </w:r>
    </w:p>
    <w:p w:rsidR="00B23E9E" w:rsidP="00B23E9E" w:rsidRDefault="00B23E9E" w14:paraId="5F7C948B" w14:textId="7198F8B0">
      <w:pPr>
        <w:pStyle w:val="DESNZbulletedlist"/>
      </w:pPr>
      <w:r w:rsidRPr="00B23E9E">
        <w:t>Extent to which the programme management and delivery employs women (internal)</w:t>
      </w:r>
      <w:r w:rsidR="000C4048">
        <w:t>.</w:t>
      </w:r>
    </w:p>
    <w:p w:rsidR="00B23E9E" w:rsidP="00B23E9E" w:rsidRDefault="00B23E9E" w14:paraId="495B81FF" w14:textId="0C84DA0B">
      <w:pPr>
        <w:pStyle w:val="DESNZbulletedlist"/>
      </w:pPr>
      <w:r w:rsidRPr="00B23E9E">
        <w:t>Evidence of the programme activities resulting in benefits to women and marginalised groups (external)</w:t>
      </w:r>
      <w:r>
        <w:t>.</w:t>
      </w:r>
    </w:p>
    <w:p w:rsidR="0071697B" w:rsidP="00182C65" w:rsidRDefault="00182C65" w14:paraId="228EE971" w14:textId="08954AA7">
      <w:r>
        <w:t>At this interim stage, the MAGC programme is on track to delivering ‘</w:t>
      </w:r>
      <w:r w:rsidR="00AF47EB">
        <w:t xml:space="preserve">good’ </w:t>
      </w:r>
      <w:r>
        <w:t>Value for Money in the equity dimension</w:t>
      </w:r>
      <w:r w:rsidR="0071697B">
        <w:t xml:space="preserve">. </w:t>
      </w:r>
      <w:r w:rsidR="00AF47EB">
        <w:t>N</w:t>
      </w:r>
      <w:r w:rsidR="009E1FA7">
        <w:t>o assessment can be made to the extent to which the MAGC programme employs women in programme management and delivery (due to a lack of data available)</w:t>
      </w:r>
      <w:r w:rsidR="00AF47EB">
        <w:t>. O</w:t>
      </w:r>
      <w:r w:rsidR="009E1FA7">
        <w:t xml:space="preserve">verall IFC as an organisation is </w:t>
      </w:r>
      <w:r w:rsidR="00AF47EB">
        <w:t>has put in place measures to improve</w:t>
      </w:r>
      <w:r w:rsidR="009E1FA7">
        <w:t xml:space="preserve"> gender equality and representation of women at senior levels</w:t>
      </w:r>
      <w:r w:rsidR="00AF47EB">
        <w:t xml:space="preserve"> but is not yet achieving its targets in that regard</w:t>
      </w:r>
      <w:r w:rsidR="0071697B">
        <w:t>. This can be assumed to apply to the MAGC programme as well</w:t>
      </w:r>
      <w:r w:rsidR="009E1FA7">
        <w:t>.</w:t>
      </w:r>
      <w:r w:rsidR="0071697B">
        <w:t xml:space="preserve"> </w:t>
      </w:r>
      <w:r w:rsidR="00AF47EB">
        <w:t>T</w:t>
      </w:r>
      <w:r w:rsidR="0071697B">
        <w:t xml:space="preserve">here </w:t>
      </w:r>
      <w:r w:rsidR="00D05F86">
        <w:t>i</w:t>
      </w:r>
      <w:r w:rsidR="0071697B">
        <w:t xml:space="preserve">s evidence of programme activities </w:t>
      </w:r>
      <w:r w:rsidRPr="00B23E9E" w:rsidR="0071697B">
        <w:t>resulting in benefits to women and marginalised groups</w:t>
      </w:r>
      <w:r w:rsidR="00AF47EB">
        <w:t>; t</w:t>
      </w:r>
      <w:r w:rsidR="00C11201">
        <w:t xml:space="preserve">he </w:t>
      </w:r>
      <w:r w:rsidRPr="00C11201" w:rsidR="00C11201">
        <w:t>share of investment allocated to social housing is more than the minimum stipulated</w:t>
      </w:r>
      <w:r w:rsidR="00C11201">
        <w:t xml:space="preserve"> (whether the</w:t>
      </w:r>
      <w:r w:rsidRPr="00C11201" w:rsidR="00C11201">
        <w:t xml:space="preserve"> number of social housing units in the invested projects are built </w:t>
      </w:r>
      <w:r w:rsidR="00C11201">
        <w:t>cannot be said yet)</w:t>
      </w:r>
      <w:r w:rsidR="00AF47EB">
        <w:t xml:space="preserve">, and </w:t>
      </w:r>
      <w:r w:rsidR="009E1FA7">
        <w:t xml:space="preserve">benefits to women are also reported with the share of female EDGE Experts and Auditors in MAGC countries being higher than in non-MAGC countries. </w:t>
      </w:r>
      <w:r w:rsidR="00AF47EB">
        <w:t xml:space="preserve">However, these shares are still below 50%. </w:t>
      </w:r>
    </w:p>
    <w:p w:rsidR="00182C65" w:rsidP="00182C65" w:rsidRDefault="00182C65" w14:paraId="12FE6456" w14:textId="4D617844">
      <w:r>
        <w:t>There is evidence that GEDSI learnings generated throughout the programme will be taken into consideration</w:t>
      </w:r>
      <w:r w:rsidR="006E5B3C">
        <w:t xml:space="preserve"> going forwards</w:t>
      </w:r>
      <w:r>
        <w:t xml:space="preserve">, with DESNZ and IFC actively looking for learnings </w:t>
      </w:r>
      <w:r w:rsidR="006E5B3C">
        <w:t>from</w:t>
      </w:r>
      <w:r>
        <w:t xml:space="preserve"> this evaluation to inform decisions on GEDSI indicators in the next phase of the programme. </w:t>
      </w:r>
    </w:p>
    <w:p w:rsidR="00B23E9E" w:rsidP="00B23E9E" w:rsidRDefault="00B23E9E" w14:paraId="7A318879" w14:textId="61560157">
      <w:pPr>
        <w:pStyle w:val="Heading4"/>
      </w:pPr>
      <w:r>
        <w:lastRenderedPageBreak/>
        <w:t>Employment of women in programme management and delivery</w:t>
      </w:r>
    </w:p>
    <w:p w:rsidR="00B23E9E" w:rsidP="00B23E9E" w:rsidRDefault="00140771" w14:paraId="4E11E853" w14:textId="720450EA">
      <w:r>
        <w:t xml:space="preserve">Data on the number and share of women employed within IFC for MAGC programme management and delivery is not available. </w:t>
      </w:r>
    </w:p>
    <w:p w:rsidR="00B23E9E" w:rsidP="00B23E9E" w:rsidRDefault="00140771" w14:paraId="5167253F" w14:textId="6C7E9153">
      <w:r>
        <w:t>However, IFC is committed to gender equality at an organisational level, as one of their three DEI (Diversity, Equality and Inclusion) priorities.</w:t>
      </w:r>
      <w:r w:rsidR="004C0948">
        <w:t xml:space="preserve"> Through its Gender Action Plan, IFC aims to further gender equality by improving the representation of women at senior levels in the organisation. In 2023, IFC achieved a Gender Balance Index (GBI</w:t>
      </w:r>
      <w:r w:rsidR="004C0948">
        <w:rPr>
          <w:rStyle w:val="FootnoteReference"/>
        </w:rPr>
        <w:footnoteReference w:id="12"/>
      </w:r>
      <w:r w:rsidR="004C0948">
        <w:t xml:space="preserve">) score of 0.87, nearing the target of 0.89 and marking a 2.8% increase compared to 2022. </w:t>
      </w:r>
      <w:r w:rsidR="0092167A">
        <w:t>Female representation in senior and technical roles and in management roles increased over the past five years to varying degrees.</w:t>
      </w:r>
      <w:r w:rsidR="0092167A">
        <w:rPr>
          <w:rStyle w:val="FootnoteReference"/>
        </w:rPr>
        <w:footnoteReference w:id="13"/>
      </w:r>
      <w:r w:rsidR="0092167A">
        <w:t xml:space="preserve"> </w:t>
      </w:r>
      <w:r w:rsidR="004C0948">
        <w:t xml:space="preserve"> </w:t>
      </w:r>
      <w:r>
        <w:t xml:space="preserve">  </w:t>
      </w:r>
    </w:p>
    <w:p w:rsidRPr="00B23E9E" w:rsidR="00B23E9E" w:rsidP="00B23E9E" w:rsidRDefault="00B23E9E" w14:paraId="6C2604C4" w14:textId="1D164C49">
      <w:pPr>
        <w:pStyle w:val="Heading4"/>
      </w:pPr>
      <w:r>
        <w:t>Evidence of programme activities resulting in benefits to women and marginalised groups</w:t>
      </w:r>
    </w:p>
    <w:p w:rsidR="00182C65" w:rsidP="00182C65" w:rsidRDefault="00182C65" w14:paraId="645ECA63" w14:textId="33E18E8A">
      <w:r>
        <w:t xml:space="preserve">It is important to state that benefits to women and other marginalised groups are not specific objectives of the MAGC programme, </w:t>
      </w:r>
      <w:proofErr w:type="gramStart"/>
      <w:r>
        <w:t>with the exception of</w:t>
      </w:r>
      <w:proofErr w:type="gramEnd"/>
      <w:r>
        <w:t xml:space="preserve"> a target of a minimum of 17.5% of housing to be affordable housing (which was a late addition to the programme in 2023). Activities are therefore not geared towards generating these but may result in co-benefits. </w:t>
      </w:r>
    </w:p>
    <w:p w:rsidR="0054011D" w:rsidP="00182C65" w:rsidRDefault="00182C65" w14:paraId="7FA34586" w14:textId="5BD7D577">
      <w:r>
        <w:t>Programme data shows that the MAGC programme delivered the following benefits to women and other marginalised groups</w:t>
      </w:r>
      <w:r w:rsidR="006E5B3C">
        <w:t xml:space="preserve"> at current stage</w:t>
      </w:r>
      <w:r>
        <w:t>:</w:t>
      </w:r>
    </w:p>
    <w:p w:rsidR="00464359" w:rsidP="0054011D" w:rsidRDefault="0084255D" w14:paraId="70A68EC0" w14:textId="344935B5">
      <w:pPr>
        <w:pStyle w:val="DESNZbulletedlist"/>
      </w:pPr>
      <w:r>
        <w:t xml:space="preserve">In May 2023, DESNZ and IFC agreed to set a target of 17.5% of MAGC housing to be affordable housing. </w:t>
      </w:r>
      <w:r w:rsidR="0054011D">
        <w:t xml:space="preserve">As reported in the MAGC Annual Report 2023, the programme is on track to align with this, having committed approximately 21% of MAGC funding to be used for affordable housing. Furthermore, as stated in the 2023 Annual Report, IFC is confident in the existing pipeline to promote the affordable housing </w:t>
      </w:r>
      <w:r w:rsidR="00182C65">
        <w:t>agenda and</w:t>
      </w:r>
      <w:r w:rsidR="0054011D">
        <w:t xml:space="preserve"> is in active discussions with clients across Africa and Asia. </w:t>
      </w:r>
    </w:p>
    <w:p w:rsidR="00182C65" w:rsidP="00182C65" w:rsidRDefault="00182C65" w14:paraId="086956DD" w14:textId="05916B33">
      <w:pPr>
        <w:pStyle w:val="DESNZbulletedlist"/>
        <w:numPr>
          <w:ilvl w:val="0"/>
          <w:numId w:val="0"/>
        </w:numPr>
        <w:ind w:left="714"/>
      </w:pPr>
      <w:r>
        <w:t>The share of g</w:t>
      </w:r>
      <w:r w:rsidRPr="00182C65">
        <w:t>reen building floor space financed by MAGC FIs with EDGE post-construction certification that is social housing</w:t>
      </w:r>
      <w:r>
        <w:t xml:space="preserve"> cannot yet be reported on due to the early stage of construction of much of the MAGC portfolio. </w:t>
      </w:r>
    </w:p>
    <w:p w:rsidR="002B53A3" w:rsidP="0054011D" w:rsidRDefault="008D7B44" w14:paraId="10296253" w14:textId="44082128">
      <w:pPr>
        <w:pStyle w:val="DESNZbulletedlist"/>
      </w:pPr>
      <w:r>
        <w:t>To date (FY 2023), 627 female EDGE Auditors and Experts are registered, of which the vast majority (</w:t>
      </w:r>
      <w:r w:rsidR="00B37839">
        <w:t xml:space="preserve">617, </w:t>
      </w:r>
      <w:r w:rsidR="00306E87">
        <w:t xml:space="preserve">or </w:t>
      </w:r>
      <w:r>
        <w:t>98%) are in MAGC countries. Within MAGC countries, women make up 42% of all EDGE Auditors and Experts, compared to 30% worldwide. Looking specifically at the number of EDGE Auditors, 106 women are accredited as EDGE Auditors in MAGC countrie</w:t>
      </w:r>
      <w:r w:rsidR="00B37839">
        <w:t xml:space="preserve">s, accounting for </w:t>
      </w:r>
      <w:r>
        <w:t>44% of all EDGE Auditors in those countries</w:t>
      </w:r>
      <w:r w:rsidR="00B37839">
        <w:t xml:space="preserve"> compared to a share of 39% worldwide. The number of female EDGE Auditors in non-MAGC countries is 19.</w:t>
      </w:r>
      <w:r w:rsidR="00B37839">
        <w:rPr>
          <w:rStyle w:val="FootnoteReference"/>
        </w:rPr>
        <w:footnoteReference w:id="14"/>
      </w:r>
    </w:p>
    <w:p w:rsidR="009E1FA7" w:rsidP="0054011D" w:rsidRDefault="00464359" w14:paraId="171255B3" w14:textId="7FE883B3">
      <w:pPr>
        <w:pStyle w:val="DESNZbulletedlist"/>
      </w:pPr>
      <w:r>
        <w:lastRenderedPageBreak/>
        <w:t xml:space="preserve">Non-audited data shared by IFC shows that in FY23, </w:t>
      </w:r>
      <w:r w:rsidRPr="00464359">
        <w:rPr>
          <w:lang w:val="en-US"/>
        </w:rPr>
        <w:t xml:space="preserve">the number of </w:t>
      </w:r>
      <w:r w:rsidRPr="00464359">
        <w:t xml:space="preserve">female key stakeholders </w:t>
      </w:r>
      <w:r>
        <w:t xml:space="preserve">attending MAGC workshops was 3,003, accounting for 26% of all participants. It is assumed by IFC that the number of women attending MAGC workshops however is underestimated, </w:t>
      </w:r>
      <w:r w:rsidR="00D31A8E">
        <w:t>as</w:t>
      </w:r>
      <w:r>
        <w:t xml:space="preserve"> gender-</w:t>
      </w:r>
      <w:r w:rsidR="00FD4D70">
        <w:t>disaggrega</w:t>
      </w:r>
      <w:r>
        <w:t xml:space="preserve">ted data on workshop attendance was not collected consistently across the programme </w:t>
      </w:r>
      <w:proofErr w:type="gramStart"/>
      <w:r w:rsidR="00D31A8E">
        <w:t>due to the fact that</w:t>
      </w:r>
      <w:proofErr w:type="gramEnd"/>
      <w:r w:rsidR="00D31A8E">
        <w:t xml:space="preserve"> the programme itself does not have gender targets. As such, only the only the MAG</w:t>
      </w:r>
      <w:r w:rsidRPr="00464359" w:rsidR="00D31A8E">
        <w:rPr>
          <w:lang w:val="en-US"/>
        </w:rPr>
        <w:t xml:space="preserve">C Research </w:t>
      </w:r>
      <w:r w:rsidR="00D31A8E">
        <w:t>Component</w:t>
      </w:r>
      <w:r w:rsidRPr="00464359" w:rsidR="00D31A8E">
        <w:rPr>
          <w:lang w:val="en-US"/>
        </w:rPr>
        <w:t xml:space="preserve"> reports this indicator for MAGC research dissemination events</w:t>
      </w:r>
      <w:r w:rsidR="000C4048">
        <w:t>.</w:t>
      </w:r>
      <w:r w:rsidR="00D31A8E">
        <w:t xml:space="preserve"> </w:t>
      </w:r>
      <w:r w:rsidR="000C4048">
        <w:t xml:space="preserve">Conversely, </w:t>
      </w:r>
      <w:r w:rsidR="00D31A8E">
        <w:t xml:space="preserve">this indicator is collected from workshops in Components 1 and 2 only for the purpose of internal monitoring and in some cases, e.g., when working with partners, this data was not obtained. </w:t>
      </w:r>
    </w:p>
    <w:p w:rsidR="000C4048" w:rsidP="00BF4CBD" w:rsidRDefault="009E1FA7" w14:paraId="251A40DF" w14:textId="666CC7FE">
      <w:r>
        <w:t xml:space="preserve">Data disaggregated by country is not available. </w:t>
      </w:r>
    </w:p>
    <w:p w:rsidR="00452D19" w:rsidP="00452D19" w:rsidRDefault="000C4048" w14:paraId="2B0107E9" w14:textId="01D27A2A">
      <w:pPr>
        <w:pStyle w:val="Heading1"/>
      </w:pPr>
      <w:r>
        <w:br w:type="page"/>
      </w:r>
      <w:bookmarkStart w:name="_Toc181887350" w:id="16"/>
      <w:r w:rsidR="00452D19">
        <w:lastRenderedPageBreak/>
        <w:t>4 Conclusion</w:t>
      </w:r>
      <w:bookmarkEnd w:id="16"/>
    </w:p>
    <w:p w:rsidRPr="00452D19" w:rsidR="00452D19" w:rsidP="00452D19" w:rsidRDefault="00452D19" w14:paraId="298E4FB5" w14:textId="08BC4D55">
      <w:r w:rsidRPr="00452D19">
        <w:t xml:space="preserve">At this stage, the assessment identified some shortcomings which prevent a ‘good’ rating in two criteria. Importantly, an assessment of value for money under the effectiveness criterion (whether the values generated exceed the costs of the programme) is not possible at this stage </w:t>
      </w:r>
      <w:proofErr w:type="gramStart"/>
      <w:r w:rsidRPr="00452D19">
        <w:t>due to the fact that</w:t>
      </w:r>
      <w:proofErr w:type="gramEnd"/>
      <w:r w:rsidRPr="00452D19">
        <w:t xml:space="preserve"> the benefits and impacts of the programme are yet to materialise</w:t>
      </w:r>
      <w:r w:rsidR="000C4048">
        <w:t>.</w:t>
      </w:r>
      <w:r w:rsidRPr="00452D19">
        <w:t xml:space="preserve"> </w:t>
      </w:r>
      <w:r w:rsidR="000C4048">
        <w:t>A</w:t>
      </w:r>
      <w:r w:rsidRPr="00452D19">
        <w:t>s such no overall assessment of value for money of the programme can be made. Nevertheless, stakeholders are confident that the programme overall is delivering good value for money, especially as they are positive on the value created through the programme’s activities.</w:t>
      </w:r>
    </w:p>
    <w:p w:rsidR="00452D19" w:rsidP="00452D19" w:rsidRDefault="00452D19" w14:paraId="53949A03" w14:textId="50539860">
      <w:r w:rsidRPr="00452D19">
        <w:t>The main barrier preventing the programme from achieving good value for money at this stage is the delays the programme experienced in the early years of delivery</w:t>
      </w:r>
      <w:r w:rsidR="000C4048">
        <w:t>.</w:t>
      </w:r>
      <w:r w:rsidRPr="00452D19">
        <w:t xml:space="preserve"> </w:t>
      </w:r>
      <w:r w:rsidR="000C4048">
        <w:t>S</w:t>
      </w:r>
      <w:r w:rsidRPr="00452D19">
        <w:t xml:space="preserve">ubsequently delayed achievement of outputs to time. More recently, however, the programme has made significant progress and is now achieving and even exceeding milestones and output targets. A continuation of this progress could well ensure that the final rating will be improved. Slight increases in both administrative costs on DESNZ’s end and in costs for specific activities also did not support achievement of a ‘good’ value for money rating at this stage. </w:t>
      </w:r>
    </w:p>
    <w:tbl>
      <w:tblPr>
        <w:tblStyle w:val="Table-bluegrid1"/>
        <w:tblW w:w="5000" w:type="pct"/>
        <w:tblLayout w:type="fixed"/>
        <w:tblLook w:val="04A0" w:firstRow="1" w:lastRow="0" w:firstColumn="1" w:lastColumn="0" w:noHBand="0" w:noVBand="1"/>
      </w:tblPr>
      <w:tblGrid>
        <w:gridCol w:w="1695"/>
        <w:gridCol w:w="1418"/>
        <w:gridCol w:w="6969"/>
      </w:tblGrid>
      <w:tr w:rsidR="00FC05CC" w:rsidTr="00BF4CBD" w14:paraId="4B9366A8" w14:textId="77777777">
        <w:trPr>
          <w:cnfStyle w:val="100000000000" w:firstRow="1" w:lastRow="0" w:firstColumn="0" w:lastColumn="0" w:oddVBand="0" w:evenVBand="0" w:oddHBand="0" w:evenHBand="0" w:firstRowFirstColumn="0" w:firstRowLastColumn="0" w:lastRowFirstColumn="0" w:lastRowLastColumn="0"/>
        </w:trPr>
        <w:tc>
          <w:tcPr>
            <w:tcW w:w="841" w:type="pct"/>
          </w:tcPr>
          <w:p w:rsidR="00902C08" w:rsidP="00BE04AA" w:rsidRDefault="00902C08" w14:paraId="1DEA9E91" w14:textId="4366D615">
            <w:pPr>
              <w:spacing w:after="0"/>
            </w:pPr>
            <w:r>
              <w:t>Criterion</w:t>
            </w:r>
          </w:p>
        </w:tc>
        <w:tc>
          <w:tcPr>
            <w:tcW w:w="703" w:type="pct"/>
          </w:tcPr>
          <w:p w:rsidR="00902C08" w:rsidP="00BE04AA" w:rsidRDefault="00902C08" w14:paraId="4CD1E682" w14:textId="0CA03C09">
            <w:pPr>
              <w:spacing w:after="0"/>
            </w:pPr>
            <w:r>
              <w:t>Rating</w:t>
            </w:r>
          </w:p>
        </w:tc>
        <w:tc>
          <w:tcPr>
            <w:tcW w:w="3456" w:type="pct"/>
          </w:tcPr>
          <w:p w:rsidR="00902C08" w:rsidP="00BE04AA" w:rsidRDefault="00902C08" w14:paraId="2B84EE28" w14:textId="48F47580">
            <w:pPr>
              <w:spacing w:after="0"/>
            </w:pPr>
            <w:r>
              <w:t>Justification</w:t>
            </w:r>
          </w:p>
        </w:tc>
      </w:tr>
      <w:tr w:rsidR="00902C08" w:rsidTr="00BF4CBD" w14:paraId="0F5FFCF4" w14:textId="77777777">
        <w:tc>
          <w:tcPr>
            <w:tcW w:w="841" w:type="pct"/>
          </w:tcPr>
          <w:p w:rsidRPr="00902C08" w:rsidR="00902C08" w:rsidP="00BE04AA" w:rsidRDefault="00902C08" w14:paraId="1C329A0B" w14:textId="42C03887">
            <w:pPr>
              <w:spacing w:after="0"/>
            </w:pPr>
            <w:r w:rsidRPr="00452D19">
              <w:t>Economy</w:t>
            </w:r>
          </w:p>
        </w:tc>
        <w:tc>
          <w:tcPr>
            <w:tcW w:w="703" w:type="pct"/>
          </w:tcPr>
          <w:p w:rsidRPr="00902C08" w:rsidR="00902C08" w:rsidP="00BE04AA" w:rsidRDefault="00240F85" w14:paraId="5C4C50F1" w14:textId="45417604">
            <w:pPr>
              <w:spacing w:after="0"/>
            </w:pPr>
            <w:r>
              <w:t>Good</w:t>
            </w:r>
          </w:p>
        </w:tc>
        <w:tc>
          <w:tcPr>
            <w:tcW w:w="3456" w:type="pct"/>
          </w:tcPr>
          <w:p w:rsidRPr="00902C08" w:rsidR="00902C08" w:rsidP="00BE04AA" w:rsidRDefault="00240F85" w14:paraId="76CA092F" w14:textId="4D5B259A">
            <w:pPr>
              <w:spacing w:after="0"/>
            </w:pPr>
            <w:r>
              <w:t>Costs for administrati</w:t>
            </w:r>
            <w:r w:rsidR="00975380">
              <w:t xml:space="preserve">on </w:t>
            </w:r>
            <w:r>
              <w:t>(</w:t>
            </w:r>
            <w:r w:rsidR="00975380">
              <w:t>operational expenditure</w:t>
            </w:r>
            <w:r>
              <w:t xml:space="preserve">) were mostly as budgeted (deviations </w:t>
            </w:r>
            <w:r w:rsidR="00975380">
              <w:t>we</w:t>
            </w:r>
            <w:r>
              <w:t xml:space="preserve">re </w:t>
            </w:r>
            <w:r w:rsidR="00975380">
              <w:t>reportedly more due to uncertainty when initial business case estimates were developed rather than to</w:t>
            </w:r>
            <w:r>
              <w:t xml:space="preserve"> overspend compared to what is considered reasonable)</w:t>
            </w:r>
            <w:r w:rsidRPr="00452D19" w:rsidR="00902C08">
              <w:t xml:space="preserve">.  </w:t>
            </w:r>
          </w:p>
        </w:tc>
      </w:tr>
      <w:tr w:rsidR="00902C08" w:rsidTr="00BF4CBD" w14:paraId="794801E6" w14:textId="77777777">
        <w:tc>
          <w:tcPr>
            <w:tcW w:w="841" w:type="pct"/>
          </w:tcPr>
          <w:p w:rsidRPr="00902C08" w:rsidR="00902C08" w:rsidP="00BE04AA" w:rsidRDefault="00902C08" w14:paraId="101F1BEB" w14:textId="7AC379BF">
            <w:pPr>
              <w:spacing w:after="0"/>
            </w:pPr>
            <w:r w:rsidRPr="00452D19">
              <w:t>Efficiency</w:t>
            </w:r>
          </w:p>
        </w:tc>
        <w:tc>
          <w:tcPr>
            <w:tcW w:w="703" w:type="pct"/>
          </w:tcPr>
          <w:p w:rsidRPr="00902C08" w:rsidR="00902C08" w:rsidP="00BE04AA" w:rsidRDefault="00902C08" w14:paraId="147EC52A" w14:textId="01EE0114">
            <w:pPr>
              <w:spacing w:after="0"/>
            </w:pPr>
            <w:r w:rsidRPr="00452D19">
              <w:t>Adequate</w:t>
            </w:r>
          </w:p>
        </w:tc>
        <w:tc>
          <w:tcPr>
            <w:tcW w:w="3456" w:type="pct"/>
          </w:tcPr>
          <w:p w:rsidRPr="00902C08" w:rsidR="00902C08" w:rsidP="00BE04AA" w:rsidRDefault="00902C08" w14:paraId="5E5E97F9" w14:textId="3FDF634D">
            <w:pPr>
              <w:spacing w:after="0"/>
            </w:pPr>
            <w:r w:rsidRPr="00452D19">
              <w:t xml:space="preserve">Most outputs were achieved in a timely manner, and delays have been (partially) caused external factors. Outputs and outcomes are generally delivered in line with budget expectations. </w:t>
            </w:r>
          </w:p>
        </w:tc>
      </w:tr>
      <w:tr w:rsidR="00902C08" w:rsidTr="00BF4CBD" w14:paraId="61A78F74" w14:textId="77777777">
        <w:tc>
          <w:tcPr>
            <w:tcW w:w="841" w:type="pct"/>
          </w:tcPr>
          <w:p w:rsidRPr="00902C08" w:rsidR="00902C08" w:rsidP="00BE04AA" w:rsidRDefault="00902C08" w14:paraId="09B6B376" w14:textId="71FAD97E">
            <w:pPr>
              <w:spacing w:after="0"/>
            </w:pPr>
            <w:r w:rsidRPr="00452D19">
              <w:t>Effectiveness</w:t>
            </w:r>
          </w:p>
        </w:tc>
        <w:tc>
          <w:tcPr>
            <w:tcW w:w="703" w:type="pct"/>
          </w:tcPr>
          <w:p w:rsidRPr="00902C08" w:rsidR="00902C08" w:rsidP="00BE04AA" w:rsidRDefault="00902C08" w14:paraId="410F60A7" w14:textId="06A16CFE">
            <w:pPr>
              <w:spacing w:after="0"/>
            </w:pPr>
            <w:r w:rsidRPr="00452D19">
              <w:t>N/A</w:t>
            </w:r>
          </w:p>
        </w:tc>
        <w:tc>
          <w:tcPr>
            <w:tcW w:w="3456" w:type="pct"/>
          </w:tcPr>
          <w:p w:rsidRPr="00902C08" w:rsidR="00902C08" w:rsidP="00BE04AA" w:rsidRDefault="00902C08" w14:paraId="05FBB5A5" w14:textId="39A486A3">
            <w:pPr>
              <w:spacing w:after="0"/>
            </w:pPr>
            <w:r w:rsidRPr="00452D19">
              <w:t>Due to the interim nature of this assessment, an assessment of value for money generated under the effectiveness criteria is premature.</w:t>
            </w:r>
          </w:p>
        </w:tc>
      </w:tr>
      <w:tr w:rsidR="00021BF2" w:rsidTr="00BF4CBD" w14:paraId="01D1E43D" w14:textId="77777777">
        <w:tc>
          <w:tcPr>
            <w:tcW w:w="841" w:type="pct"/>
          </w:tcPr>
          <w:p w:rsidRPr="00452D19" w:rsidR="00021BF2" w:rsidP="00BE04AA" w:rsidRDefault="00021BF2" w14:paraId="5DF0EDFE" w14:textId="74286D55">
            <w:pPr>
              <w:spacing w:after="0"/>
            </w:pPr>
            <w:r>
              <w:t>Cost-effectiveness</w:t>
            </w:r>
          </w:p>
        </w:tc>
        <w:tc>
          <w:tcPr>
            <w:tcW w:w="703" w:type="pct"/>
          </w:tcPr>
          <w:p w:rsidRPr="00452D19" w:rsidR="00021BF2" w:rsidP="00BE04AA" w:rsidRDefault="00021BF2" w14:paraId="7EE70163" w14:textId="68B27284">
            <w:pPr>
              <w:spacing w:after="0"/>
            </w:pPr>
            <w:r>
              <w:t>N/A</w:t>
            </w:r>
          </w:p>
        </w:tc>
        <w:tc>
          <w:tcPr>
            <w:tcW w:w="3456" w:type="pct"/>
          </w:tcPr>
          <w:p w:rsidRPr="00452D19" w:rsidR="00021BF2" w:rsidP="00BE04AA" w:rsidRDefault="00021BF2" w14:paraId="7F2D242E" w14:textId="75DD00E4">
            <w:pPr>
              <w:spacing w:after="0"/>
            </w:pPr>
            <w:r w:rsidRPr="00452D19">
              <w:t xml:space="preserve">Due to the interim nature of this assessment, an assessment of value for money generated under the </w:t>
            </w:r>
            <w:r>
              <w:t>cost-</w:t>
            </w:r>
            <w:r w:rsidRPr="00452D19">
              <w:t>effectiveness criteria is premature.</w:t>
            </w:r>
          </w:p>
        </w:tc>
      </w:tr>
      <w:tr w:rsidR="00021BF2" w:rsidTr="00BF4CBD" w14:paraId="487AA6CC" w14:textId="77777777">
        <w:tc>
          <w:tcPr>
            <w:tcW w:w="841" w:type="pct"/>
          </w:tcPr>
          <w:p w:rsidRPr="00902C08" w:rsidR="00021BF2" w:rsidP="00BE04AA" w:rsidRDefault="00021BF2" w14:paraId="1ABAB2CD" w14:textId="6C32F257">
            <w:pPr>
              <w:spacing w:after="0"/>
            </w:pPr>
            <w:r w:rsidRPr="00452D19">
              <w:t>Equity</w:t>
            </w:r>
          </w:p>
        </w:tc>
        <w:tc>
          <w:tcPr>
            <w:tcW w:w="703" w:type="pct"/>
          </w:tcPr>
          <w:p w:rsidRPr="00902C08" w:rsidR="00021BF2" w:rsidP="00BE04AA" w:rsidRDefault="00AF47EB" w14:paraId="076A20BE" w14:textId="2CEE5025">
            <w:pPr>
              <w:spacing w:after="0"/>
            </w:pPr>
            <w:r>
              <w:t>Good</w:t>
            </w:r>
          </w:p>
        </w:tc>
        <w:tc>
          <w:tcPr>
            <w:tcW w:w="3456" w:type="pct"/>
          </w:tcPr>
          <w:p w:rsidRPr="00902C08" w:rsidR="00021BF2" w:rsidP="00BE04AA" w:rsidRDefault="00021BF2" w14:paraId="0D76CA54" w14:textId="0FC08D01">
            <w:pPr>
              <w:spacing w:after="0"/>
            </w:pPr>
            <w:r w:rsidRPr="00452D19">
              <w:t xml:space="preserve">Evidence exists of organisational efforts to improve gender equality within IFC. Additionally, there </w:t>
            </w:r>
            <w:r w:rsidR="006E5B3C">
              <w:t>i</w:t>
            </w:r>
            <w:r w:rsidRPr="00452D19">
              <w:t xml:space="preserve">s evidence of programme activities resulting in benefits to women and marginalised groups, and of GEDSI learnings generated throughout the programme to be taken into consideration. </w:t>
            </w:r>
          </w:p>
        </w:tc>
      </w:tr>
    </w:tbl>
    <w:p w:rsidR="0038306A" w:rsidP="003E5105" w:rsidRDefault="0038306A" w14:paraId="6C1C6A43" w14:textId="77777777">
      <w:pPr>
        <w:sectPr w:rsidR="0038306A" w:rsidSect="002E3DD4">
          <w:headerReference w:type="default" r:id="rId27"/>
          <w:pgSz w:w="11906" w:h="16838" w:orient="portrait"/>
          <w:pgMar w:top="1418" w:right="907" w:bottom="907" w:left="907" w:header="709" w:footer="266" w:gutter="0"/>
          <w:cols w:space="708"/>
          <w:docGrid w:linePitch="360"/>
        </w:sectPr>
      </w:pPr>
    </w:p>
    <w:p w:rsidR="0038306A" w:rsidP="0038306A" w:rsidRDefault="0038306A" w14:paraId="1925867A" w14:textId="77777777">
      <w:r>
        <w:lastRenderedPageBreak/>
        <w:t xml:space="preserve">This publication is available from: </w:t>
      </w:r>
      <w:hyperlink w:history="1" r:id="rId28">
        <w:r w:rsidR="00A81362">
          <w:rPr>
            <w:rStyle w:val="Hyperlink"/>
          </w:rPr>
          <w:t>www.gov.uk/desnz</w:t>
        </w:r>
      </w:hyperlink>
      <w:r w:rsidR="00A55956">
        <w:t xml:space="preserve"> </w:t>
      </w:r>
      <w:r w:rsidRPr="00D92F03" w:rsidR="00A55956">
        <w:rPr>
          <w:b/>
          <w:color w:val="A5A5A5" w:themeColor="accent3"/>
        </w:rPr>
        <w:t>[replace with direct URL if known]</w:t>
      </w:r>
      <w:r w:rsidRPr="00D92F03" w:rsidR="00A55956">
        <w:rPr>
          <w:color w:val="A5A5A5" w:themeColor="accent3"/>
        </w:rPr>
        <w:t xml:space="preserve">  </w:t>
      </w:r>
    </w:p>
    <w:p w:rsidRPr="005E661B" w:rsidR="005E661B" w:rsidP="00C26D9C" w:rsidRDefault="0038306A" w14:paraId="4FA4ACCB" w14:textId="77777777">
      <w:pPr>
        <w:spacing w:after="0"/>
      </w:pPr>
      <w:r>
        <w:t xml:space="preserve">If you need a version of this document in a more accessible format, please email </w:t>
      </w:r>
      <w:hyperlink w:history="1" r:id="rId29">
        <w:r w:rsidRPr="00F34CA8" w:rsidR="007B7BC9">
          <w:rPr>
            <w:rStyle w:val="Hyperlink"/>
          </w:rPr>
          <w:t>alt.formats@energy</w:t>
        </w:r>
        <w:r w:rsidR="00C859D1">
          <w:rPr>
            <w:rStyle w:val="Hyperlink"/>
          </w:rPr>
          <w:t>security</w:t>
        </w:r>
        <w:r w:rsidRPr="00F34CA8" w:rsidR="007B7BC9">
          <w:rPr>
            <w:rStyle w:val="Hyperlink"/>
          </w:rPr>
          <w:t>.gov.uk</w:t>
        </w:r>
      </w:hyperlink>
      <w:r>
        <w:t>. Please tell us what format you need. It will help us if you say what assistive technology you use.</w:t>
      </w:r>
    </w:p>
    <w:sectPr w:rsidRPr="005E661B" w:rsidR="005E661B" w:rsidSect="00C26D9C">
      <w:headerReference w:type="default" r:id="rId30"/>
      <w:footerReference w:type="default" r:id="rId31"/>
      <w:pgSz w:w="11906" w:h="16838" w:orient="portrait" w:code="9"/>
      <w:pgMar w:top="1418" w:right="907" w:bottom="567" w:left="907" w:header="709" w:footer="567" w:gutter="0"/>
      <w:cols w:space="708"/>
      <w:vAlign w:val="bottom"/>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3436" w:rsidP="00490BD3" w:rsidRDefault="007B3436" w14:paraId="33312419" w14:textId="77777777">
      <w:pPr>
        <w:spacing w:after="0"/>
      </w:pPr>
      <w:r>
        <w:separator/>
      </w:r>
    </w:p>
  </w:endnote>
  <w:endnote w:type="continuationSeparator" w:id="0">
    <w:p w:rsidR="007B3436" w:rsidP="00490BD3" w:rsidRDefault="007B3436" w14:paraId="37983D75" w14:textId="77777777">
      <w:pPr>
        <w:spacing w:after="0"/>
      </w:pPr>
      <w:r>
        <w:continuationSeparator/>
      </w:r>
    </w:p>
  </w:endnote>
  <w:endnote w:type="continuationNotice" w:id="1">
    <w:p w:rsidR="007B3436" w:rsidRDefault="007B3436" w14:paraId="03BC9D9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A03" w:rsidP="00FC1A03" w:rsidRDefault="004642BA" w14:paraId="0B391DB7" w14:textId="4A09875A">
    <w:pPr>
      <w:pStyle w:val="DESNZDate"/>
    </w:pPr>
    <w:r>
      <w:t>January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26D9C" w:rsidR="00EE178D" w:rsidP="00C26D9C" w:rsidRDefault="00EE178D" w14:paraId="2005070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676524"/>
      <w:docPartObj>
        <w:docPartGallery w:val="Page Numbers (Bottom of Page)"/>
        <w:docPartUnique/>
      </w:docPartObj>
      <w:rPr>
        <w:sz w:val="22"/>
        <w:szCs w:val="22"/>
      </w:rPr>
    </w:sdtPr>
    <w:sdtEndPr>
      <w:rPr>
        <w:noProof/>
        <w:sz w:val="22"/>
        <w:szCs w:val="22"/>
      </w:rPr>
    </w:sdtEndPr>
    <w:sdtContent>
      <w:p w:rsidRPr="00483BA0" w:rsidR="008714AA" w:rsidP="00483BA0" w:rsidRDefault="00483BA0" w14:paraId="1BCC1B2F" w14:textId="77777777">
        <w:pPr>
          <w:pStyle w:val="Footer"/>
          <w:spacing w:after="240"/>
          <w:jc w:val="right"/>
          <w:rPr>
            <w:sz w:val="22"/>
          </w:rPr>
        </w:pPr>
        <w:r w:rsidRPr="00483BA0">
          <w:rPr>
            <w:sz w:val="22"/>
          </w:rPr>
          <w:fldChar w:fldCharType="begin"/>
        </w:r>
        <w:r w:rsidRPr="00483BA0">
          <w:rPr>
            <w:sz w:val="22"/>
          </w:rPr>
          <w:instrText xml:space="preserve"> PAGE   \* MERGEFORMAT </w:instrText>
        </w:r>
        <w:r w:rsidRPr="00483BA0">
          <w:rPr>
            <w:sz w:val="22"/>
          </w:rPr>
          <w:fldChar w:fldCharType="separate"/>
        </w:r>
        <w:r w:rsidRPr="00483BA0">
          <w:rPr>
            <w:noProof/>
            <w:sz w:val="22"/>
          </w:rPr>
          <w:t>2</w:t>
        </w:r>
        <w:r w:rsidRPr="00483BA0">
          <w:rPr>
            <w:noProof/>
            <w:sz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06A" w:rsidRDefault="0038306A" w14:paraId="5B19D02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3436" w:rsidP="00490BD3" w:rsidRDefault="007B3436" w14:paraId="48959F68" w14:textId="77777777">
      <w:pPr>
        <w:spacing w:after="0"/>
      </w:pPr>
      <w:r>
        <w:separator/>
      </w:r>
    </w:p>
  </w:footnote>
  <w:footnote w:type="continuationSeparator" w:id="0">
    <w:p w:rsidR="007B3436" w:rsidP="00490BD3" w:rsidRDefault="007B3436" w14:paraId="4495CF7D" w14:textId="77777777">
      <w:pPr>
        <w:spacing w:after="0"/>
      </w:pPr>
      <w:r>
        <w:continuationSeparator/>
      </w:r>
    </w:p>
  </w:footnote>
  <w:footnote w:type="continuationNotice" w:id="1">
    <w:p w:rsidR="007B3436" w:rsidRDefault="007B3436" w14:paraId="0CBDD2CB" w14:textId="77777777">
      <w:pPr>
        <w:spacing w:after="0" w:line="240" w:lineRule="auto"/>
      </w:pPr>
    </w:p>
  </w:footnote>
  <w:footnote w:id="2">
    <w:p w:rsidR="00784197" w:rsidRDefault="00784197" w14:paraId="7BDD66BE" w14:textId="5B6D8E51">
      <w:pPr>
        <w:pStyle w:val="FootnoteText"/>
      </w:pPr>
      <w:r>
        <w:rPr>
          <w:rStyle w:val="FootnoteReference"/>
        </w:rPr>
        <w:footnoteRef/>
      </w:r>
      <w:r>
        <w:t xml:space="preserve"> </w:t>
      </w:r>
      <w:hyperlink w:history="1" r:id="rId1">
        <w:r w:rsidRPr="00784197">
          <w:rPr>
            <w:rStyle w:val="Hyperlink"/>
          </w:rPr>
          <w:t>https://assets.publishing.service.gov.uk/government/uploads/system/uploads/attachment_data/file/49551/DFID-approach-value-money.pdf</w:t>
        </w:r>
      </w:hyperlink>
      <w:r w:rsidRPr="00784197">
        <w:t xml:space="preserve"> DFID’s Approach to Value for Money is designed to support a better understanding of costs and results to inform more evidence-based choices on investment and helping ensure the best value for money at the desired quality.</w:t>
      </w:r>
    </w:p>
  </w:footnote>
  <w:footnote w:id="3">
    <w:p w:rsidR="00891E40" w:rsidRDefault="00891E40" w14:paraId="7019A57A" w14:textId="6C01BEF1">
      <w:pPr>
        <w:pStyle w:val="FootnoteText"/>
      </w:pPr>
      <w:r>
        <w:rPr>
          <w:rStyle w:val="FootnoteReference"/>
        </w:rPr>
        <w:footnoteRef/>
      </w:r>
      <w:r>
        <w:t xml:space="preserve"> The inclusion of cost-effectiveness was made in October 2024, taking on learnings from a paper published by Oxford Policy Management </w:t>
      </w:r>
    </w:p>
  </w:footnote>
  <w:footnote w:id="4">
    <w:p w:rsidR="00A911CF" w:rsidRDefault="00A911CF" w14:paraId="176FF70E" w14:textId="18B5BA98">
      <w:pPr>
        <w:pStyle w:val="FootnoteText"/>
      </w:pPr>
      <w:r>
        <w:rPr>
          <w:rStyle w:val="FootnoteReference"/>
        </w:rPr>
        <w:footnoteRef/>
      </w:r>
      <w:r>
        <w:t xml:space="preserve"> DESNZ (2023). MAGC Annual Review 2021 – 2022. </w:t>
      </w:r>
    </w:p>
  </w:footnote>
  <w:footnote w:id="5">
    <w:p w:rsidR="002F1D9C" w:rsidRDefault="002F1D9C" w14:paraId="26C610AC" w14:textId="564ACDFC">
      <w:pPr>
        <w:pStyle w:val="FootnoteText"/>
      </w:pPr>
      <w:r>
        <w:rPr>
          <w:rStyle w:val="FootnoteReference"/>
        </w:rPr>
        <w:footnoteRef/>
      </w:r>
      <w:r>
        <w:t xml:space="preserve"> This refers to the Smart Metering workstream, a core study to the MAGC Research Component. After the Pilot Phase in South Africa, it emerged that the initially planned sample size of 2,000 housing units would be too small to deliver the expected insights, thus necessitating additional resources to be able to deliver research findings of the expected quality and robustness. </w:t>
      </w:r>
    </w:p>
  </w:footnote>
  <w:footnote w:id="6">
    <w:p w:rsidR="00E444FB" w:rsidRDefault="00E444FB" w14:paraId="707E5B2F" w14:textId="213728D4">
      <w:pPr>
        <w:pStyle w:val="FootnoteText"/>
      </w:pPr>
      <w:r>
        <w:rPr>
          <w:rStyle w:val="FootnoteReference"/>
        </w:rPr>
        <w:footnoteRef/>
      </w:r>
      <w:r>
        <w:t xml:space="preserve"> Delays in reporting of data through the </w:t>
      </w:r>
      <w:r w:rsidRPr="00C61587">
        <w:rPr>
          <w:bCs/>
        </w:rPr>
        <w:t>CAFI (Climate Assessment for Financia Institutions</w:t>
      </w:r>
      <w:r>
        <w:rPr>
          <w:bCs/>
        </w:rPr>
        <w:t>)</w:t>
      </w:r>
      <w:r w:rsidRPr="00C61587">
        <w:rPr>
          <w:bCs/>
        </w:rPr>
        <w:t xml:space="preserve"> tool </w:t>
      </w:r>
      <w:r>
        <w:rPr>
          <w:bCs/>
        </w:rPr>
        <w:t>also contributed to an underreporting of private sector funding leveraged, which has been addressed from FY24 onwards</w:t>
      </w:r>
    </w:p>
  </w:footnote>
  <w:footnote w:id="7">
    <w:p w:rsidRPr="00DB061F" w:rsidR="00DB061F" w:rsidP="00DB061F" w:rsidRDefault="00DB061F" w14:paraId="449267D0" w14:textId="447A352A">
      <w:pPr>
        <w:pStyle w:val="FootnoteText"/>
      </w:pPr>
      <w:r>
        <w:rPr>
          <w:rStyle w:val="FootnoteReference"/>
        </w:rPr>
        <w:footnoteRef/>
      </w:r>
      <w:r>
        <w:t xml:space="preserve"> As indicated further below, the use of PBI on the other hand is deemed efficient as it </w:t>
      </w:r>
      <w:r w:rsidRPr="00DB061F">
        <w:t>require</w:t>
      </w:r>
      <w:r>
        <w:t>s</w:t>
      </w:r>
      <w:r w:rsidRPr="00DB061F">
        <w:t xml:space="preserve"> a smaller amount of MAGC funds for any given investment </w:t>
      </w:r>
      <w:r>
        <w:t>due to its high leverage ratio</w:t>
      </w:r>
      <w:r w:rsidRPr="00DB061F">
        <w:t xml:space="preserve">. </w:t>
      </w:r>
    </w:p>
    <w:p w:rsidR="00DB061F" w:rsidRDefault="00DB061F" w14:paraId="150E3295" w14:textId="3FA578CB">
      <w:pPr>
        <w:pStyle w:val="FootnoteText"/>
      </w:pPr>
    </w:p>
  </w:footnote>
  <w:footnote w:id="8">
    <w:p w:rsidR="004A5CDF" w:rsidRDefault="004A5CDF" w14:paraId="07A804AF" w14:textId="7A75C0D5">
      <w:pPr>
        <w:pStyle w:val="FootnoteText"/>
      </w:pPr>
      <w:r>
        <w:rPr>
          <w:rStyle w:val="FootnoteReference"/>
        </w:rPr>
        <w:footnoteRef/>
      </w:r>
      <w:r>
        <w:t xml:space="preserve"> MAGC Program Report 2020 </w:t>
      </w:r>
    </w:p>
  </w:footnote>
  <w:footnote w:id="9">
    <w:p w:rsidR="0084757D" w:rsidRDefault="0084757D" w14:paraId="0B24A830" w14:textId="15627B4F">
      <w:pPr>
        <w:pStyle w:val="FootnoteText"/>
      </w:pPr>
      <w:r>
        <w:rPr>
          <w:rStyle w:val="FootnoteReference"/>
        </w:rPr>
        <w:footnoteRef/>
      </w:r>
      <w:r>
        <w:t xml:space="preserve"> </w:t>
      </w:r>
      <w:r w:rsidRPr="0084757D">
        <w:t>DESNZ (2023). MAGC Annual Review 2021 – 2022.</w:t>
      </w:r>
    </w:p>
  </w:footnote>
  <w:footnote w:id="10">
    <w:p w:rsidR="004949D2" w:rsidRDefault="004949D2" w14:paraId="69D55306" w14:textId="35EF84F7">
      <w:pPr>
        <w:pStyle w:val="FootnoteText"/>
      </w:pPr>
      <w:r>
        <w:rPr>
          <w:rStyle w:val="FootnoteReference"/>
        </w:rPr>
        <w:footnoteRef/>
      </w:r>
      <w:r>
        <w:t xml:space="preserve"> The original programme budget was £102.9m. In March 2023, DESNZ committed an additional £12.2m of new RDEL funding to deliver 7 new modules to build on and enhance the existing programme. </w:t>
      </w:r>
      <w:r w:rsidRPr="000750ED" w:rsidR="000750ED">
        <w:t>In addition, with the timelines of the programme being extended from 2025 to 2033 (2027 for the investment period) in December 2023, £2 million were committed for advisory and £22 million for the investment component.</w:t>
      </w:r>
    </w:p>
  </w:footnote>
  <w:footnote w:id="11">
    <w:p w:rsidR="002D1889" w:rsidRDefault="002D1889" w14:paraId="36989486" w14:textId="30B01B65">
      <w:pPr>
        <w:pStyle w:val="FootnoteText"/>
      </w:pPr>
      <w:r>
        <w:rPr>
          <w:rStyle w:val="FootnoteReference"/>
        </w:rPr>
        <w:footnoteRef/>
      </w:r>
      <w:r>
        <w:t xml:space="preserve"> </w:t>
      </w:r>
      <w:r w:rsidRPr="002D1889">
        <w:t>Private sector financing provided to MAGC funded green building projects has increased in recent years but is still only a small proportion of overall financing provided to MAGC funded green building projects.</w:t>
      </w:r>
    </w:p>
  </w:footnote>
  <w:footnote w:id="12">
    <w:p w:rsidR="004C0948" w:rsidRDefault="004C0948" w14:paraId="7398985C" w14:textId="5F583868">
      <w:pPr>
        <w:pStyle w:val="FootnoteText"/>
      </w:pPr>
      <w:r>
        <w:rPr>
          <w:rStyle w:val="FootnoteReference"/>
        </w:rPr>
        <w:footnoteRef/>
      </w:r>
      <w:r>
        <w:t xml:space="preserve"> </w:t>
      </w:r>
      <w:r w:rsidRPr="004C0948">
        <w:t xml:space="preserve">GBI is a weighted composite </w:t>
      </w:r>
      <w:r>
        <w:t xml:space="preserve">value </w:t>
      </w:r>
      <w:r w:rsidRPr="004C0948">
        <w:t>to measure gender distribution across four grade groups at IFC. A score of one indicates gender parity at IFC overall.</w:t>
      </w:r>
    </w:p>
  </w:footnote>
  <w:footnote w:id="13">
    <w:p w:rsidR="0092167A" w:rsidRDefault="0092167A" w14:paraId="4E9A0095" w14:textId="30BB5703">
      <w:pPr>
        <w:pStyle w:val="FootnoteText"/>
      </w:pPr>
      <w:r>
        <w:rPr>
          <w:rStyle w:val="FootnoteReference"/>
        </w:rPr>
        <w:footnoteRef/>
      </w:r>
      <w:r>
        <w:t xml:space="preserve"> IFC (2023). </w:t>
      </w:r>
      <w:r w:rsidRPr="0092167A">
        <w:t>The Culture Is Us</w:t>
      </w:r>
      <w:r>
        <w:t>:</w:t>
      </w:r>
      <w:r w:rsidRPr="0092167A">
        <w:t xml:space="preserve"> Gaining Momentum Across IFC</w:t>
      </w:r>
      <w:r>
        <w:t xml:space="preserve"> - FY23 Diversity, Equality, and Inclusion Annual Report. </w:t>
      </w:r>
    </w:p>
  </w:footnote>
  <w:footnote w:id="14">
    <w:p w:rsidR="00B37839" w:rsidRDefault="00B37839" w14:paraId="764A1E3F" w14:textId="59B10CDE">
      <w:pPr>
        <w:pStyle w:val="FootnoteText"/>
      </w:pPr>
      <w:r>
        <w:rPr>
          <w:rStyle w:val="FootnoteReference"/>
        </w:rPr>
        <w:footnoteRef/>
      </w:r>
      <w:r>
        <w:t xml:space="preserve"> MAGC Programme data FY23.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90BD3" w:rsidP="00FC1A03" w:rsidRDefault="00A81362" w14:paraId="08EC52DF" w14:textId="77777777">
    <w:pPr>
      <w:pStyle w:val="Header"/>
      <w:ind w:left="-142"/>
    </w:pPr>
    <w:r>
      <w:rPr>
        <w:noProof/>
        <w:lang w:eastAsia="en-GB"/>
      </w:rPr>
      <w:drawing>
        <wp:anchor distT="0" distB="0" distL="114300" distR="114300" simplePos="0" relativeHeight="251658240" behindDoc="0" locked="0" layoutInCell="1" allowOverlap="1" wp14:anchorId="299B3942" wp14:editId="3F4165F0">
          <wp:simplePos x="0" y="0"/>
          <wp:positionH relativeFrom="margin">
            <wp:align>left</wp:align>
          </wp:positionH>
          <wp:positionV relativeFrom="paragraph">
            <wp:posOffset>-19714</wp:posOffset>
          </wp:positionV>
          <wp:extent cx="2058035" cy="1210310"/>
          <wp:effectExtent l="0" t="0" r="0" b="8890"/>
          <wp:wrapTopAndBottom/>
          <wp:docPr id="1" name="Picture 1" descr="Logo - Department for Energy Security and Net Z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 Department for Energy Security and Net Zero"/>
                  <pic:cNvPicPr/>
                </pic:nvPicPr>
                <pic:blipFill>
                  <a:blip r:embed="rId1">
                    <a:extLst>
                      <a:ext uri="{28A0092B-C50C-407E-A947-70E740481C1C}">
                        <a14:useLocalDpi xmlns:a14="http://schemas.microsoft.com/office/drawing/2010/main" val="0"/>
                      </a:ext>
                    </a:extLst>
                  </a:blip>
                  <a:stretch>
                    <a:fillRect/>
                  </a:stretch>
                </pic:blipFill>
                <pic:spPr>
                  <a:xfrm>
                    <a:off x="0" y="0"/>
                    <a:ext cx="2058035" cy="121031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00598" w:rsidR="00490BD3" w:rsidP="00582C8C" w:rsidRDefault="00490BD3" w14:paraId="6ADAEED0" w14:textId="77777777">
    <w:pPr>
      <w:pStyle w:val="Header"/>
      <w:ind w:left="-567"/>
      <w:rPr>
        <w:color w:val="041E42"/>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00598" w:rsidR="00B00598" w:rsidP="00C26D9C" w:rsidRDefault="00B00598" w14:paraId="23BA06DB" w14:textId="77777777">
    <w:pPr>
      <w:pStyle w:val="Header"/>
      <w:pBdr>
        <w:bottom w:val="single" w:color="2B7EE2" w:sz="2" w:space="1"/>
      </w:pBdr>
      <w:rPr>
        <w:color w:val="041E42"/>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00598" w:rsidR="00D91B0E" w:rsidP="00C26D9C" w:rsidRDefault="00D91B0E" w14:paraId="082AE677" w14:textId="77777777">
    <w:pPr>
      <w:pStyle w:val="Header"/>
      <w:pBdr>
        <w:bottom w:val="single" w:color="2B7EE2" w:sz="2" w:space="3"/>
      </w:pBdr>
      <w:rPr>
        <w:color w:val="041E42"/>
        <w:sz w:val="22"/>
      </w:rPr>
    </w:pPr>
    <w:r w:rsidRPr="00B00598">
      <w:rPr>
        <w:color w:val="041E42"/>
        <w:sz w:val="22"/>
      </w:rPr>
      <w:t>Document title goes here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00598" w:rsidR="0038306A" w:rsidP="00C26D9C" w:rsidRDefault="0038306A" w14:paraId="2FA95E40" w14:textId="77777777">
    <w:pPr>
      <w:pStyle w:val="Header"/>
      <w:pBdr>
        <w:bottom w:val="single" w:color="2B7EE2" w:sz="2" w:space="3"/>
      </w:pBdr>
      <w:rPr>
        <w:color w:val="041E42"/>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ADD"/>
    <w:multiLevelType w:val="hybridMultilevel"/>
    <w:tmpl w:val="735E4B38"/>
    <w:lvl w:ilvl="0" w:tplc="1E561508">
      <w:start w:val="1"/>
      <w:numFmt w:val="bullet"/>
      <w:lvlText w:val=""/>
      <w:lvlJc w:val="left"/>
      <w:pPr>
        <w:ind w:left="1020" w:hanging="360"/>
      </w:pPr>
      <w:rPr>
        <w:rFonts w:ascii="Symbol" w:hAnsi="Symbol"/>
      </w:rPr>
    </w:lvl>
    <w:lvl w:ilvl="1" w:tplc="174C3DA8">
      <w:start w:val="1"/>
      <w:numFmt w:val="bullet"/>
      <w:lvlText w:val=""/>
      <w:lvlJc w:val="left"/>
      <w:pPr>
        <w:ind w:left="1020" w:hanging="360"/>
      </w:pPr>
      <w:rPr>
        <w:rFonts w:ascii="Symbol" w:hAnsi="Symbol"/>
      </w:rPr>
    </w:lvl>
    <w:lvl w:ilvl="2" w:tplc="C03439AE">
      <w:start w:val="1"/>
      <w:numFmt w:val="bullet"/>
      <w:lvlText w:val=""/>
      <w:lvlJc w:val="left"/>
      <w:pPr>
        <w:ind w:left="1020" w:hanging="360"/>
      </w:pPr>
      <w:rPr>
        <w:rFonts w:ascii="Symbol" w:hAnsi="Symbol"/>
      </w:rPr>
    </w:lvl>
    <w:lvl w:ilvl="3" w:tplc="25C0BD66">
      <w:start w:val="1"/>
      <w:numFmt w:val="bullet"/>
      <w:lvlText w:val=""/>
      <w:lvlJc w:val="left"/>
      <w:pPr>
        <w:ind w:left="1020" w:hanging="360"/>
      </w:pPr>
      <w:rPr>
        <w:rFonts w:ascii="Symbol" w:hAnsi="Symbol"/>
      </w:rPr>
    </w:lvl>
    <w:lvl w:ilvl="4" w:tplc="7CA8B806">
      <w:start w:val="1"/>
      <w:numFmt w:val="bullet"/>
      <w:lvlText w:val=""/>
      <w:lvlJc w:val="left"/>
      <w:pPr>
        <w:ind w:left="1020" w:hanging="360"/>
      </w:pPr>
      <w:rPr>
        <w:rFonts w:ascii="Symbol" w:hAnsi="Symbol"/>
      </w:rPr>
    </w:lvl>
    <w:lvl w:ilvl="5" w:tplc="66089EB8">
      <w:start w:val="1"/>
      <w:numFmt w:val="bullet"/>
      <w:lvlText w:val=""/>
      <w:lvlJc w:val="left"/>
      <w:pPr>
        <w:ind w:left="1020" w:hanging="360"/>
      </w:pPr>
      <w:rPr>
        <w:rFonts w:ascii="Symbol" w:hAnsi="Symbol"/>
      </w:rPr>
    </w:lvl>
    <w:lvl w:ilvl="6" w:tplc="705CE1EE">
      <w:start w:val="1"/>
      <w:numFmt w:val="bullet"/>
      <w:lvlText w:val=""/>
      <w:lvlJc w:val="left"/>
      <w:pPr>
        <w:ind w:left="1020" w:hanging="360"/>
      </w:pPr>
      <w:rPr>
        <w:rFonts w:ascii="Symbol" w:hAnsi="Symbol"/>
      </w:rPr>
    </w:lvl>
    <w:lvl w:ilvl="7" w:tplc="F192F89E">
      <w:start w:val="1"/>
      <w:numFmt w:val="bullet"/>
      <w:lvlText w:val=""/>
      <w:lvlJc w:val="left"/>
      <w:pPr>
        <w:ind w:left="1020" w:hanging="360"/>
      </w:pPr>
      <w:rPr>
        <w:rFonts w:ascii="Symbol" w:hAnsi="Symbol"/>
      </w:rPr>
    </w:lvl>
    <w:lvl w:ilvl="8" w:tplc="585A115E">
      <w:start w:val="1"/>
      <w:numFmt w:val="bullet"/>
      <w:lvlText w:val=""/>
      <w:lvlJc w:val="left"/>
      <w:pPr>
        <w:ind w:left="1020" w:hanging="360"/>
      </w:pPr>
      <w:rPr>
        <w:rFonts w:ascii="Symbol" w:hAnsi="Symbol"/>
      </w:rPr>
    </w:lvl>
  </w:abstractNum>
  <w:abstractNum w:abstractNumId="1" w15:restartNumberingAfterBreak="0">
    <w:nsid w:val="1FE26741"/>
    <w:multiLevelType w:val="multilevel"/>
    <w:tmpl w:val="9F7E4A52"/>
    <w:lvl w:ilvl="0">
      <w:start w:val="1"/>
      <w:numFmt w:val="decimal"/>
      <w:pStyle w:val="NumberedparagraphSimple"/>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82B259F"/>
    <w:multiLevelType w:val="hybridMultilevel"/>
    <w:tmpl w:val="A6FC7D14"/>
    <w:lvl w:ilvl="0" w:tplc="E24E69B4">
      <w:start w:val="1"/>
      <w:numFmt w:val="bullet"/>
      <w:pStyle w:val="DESNZbulletedlist"/>
      <w:lvlText w:val=""/>
      <w:lvlJc w:val="left"/>
      <w:pPr>
        <w:ind w:left="717" w:hanging="360"/>
      </w:pPr>
      <w:rPr>
        <w:rFonts w:hint="default" w:ascii="Symbol" w:hAnsi="Symbol"/>
        <w:color w:val="041E4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5D858D8"/>
    <w:multiLevelType w:val="multilevel"/>
    <w:tmpl w:val="618A6124"/>
    <w:lvl w:ilvl="0">
      <w:start w:val="1"/>
      <w:numFmt w:val="decimal"/>
      <w:pStyle w:val="Heading1Legal-Level1"/>
      <w:lvlText w:val="%1"/>
      <w:lvlJc w:val="left"/>
      <w:pPr>
        <w:ind w:left="720" w:hanging="720"/>
      </w:pPr>
      <w:rPr>
        <w:rFonts w:hint="default"/>
      </w:rPr>
    </w:lvl>
    <w:lvl w:ilvl="1">
      <w:start w:val="1"/>
      <w:numFmt w:val="decimal"/>
      <w:pStyle w:val="NumberedparagraphLegal-Level2"/>
      <w:lvlText w:val="%1.%2"/>
      <w:lvlJc w:val="left"/>
      <w:pPr>
        <w:ind w:left="720" w:hanging="720"/>
      </w:pPr>
      <w:rPr>
        <w:rFonts w:hint="default"/>
      </w:rPr>
    </w:lvl>
    <w:lvl w:ilvl="2">
      <w:start w:val="1"/>
      <w:numFmt w:val="decimal"/>
      <w:pStyle w:val="NumberedparagraphLegal-Level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2A3BDF"/>
    <w:multiLevelType w:val="hybridMultilevel"/>
    <w:tmpl w:val="C96852B6"/>
    <w:lvl w:ilvl="0" w:tplc="A266AB8C">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7E6001E"/>
    <w:multiLevelType w:val="hybridMultilevel"/>
    <w:tmpl w:val="57CA6DB2"/>
    <w:lvl w:ilvl="0" w:tplc="08090001">
      <w:start w:val="1"/>
      <w:numFmt w:val="bullet"/>
      <w:lvlText w:val=""/>
      <w:lvlJc w:val="left"/>
      <w:pPr>
        <w:ind w:left="1004" w:hanging="360"/>
      </w:pPr>
      <w:rPr>
        <w:rFonts w:hint="default" w:ascii="Symbol" w:hAnsi="Symbol"/>
      </w:rPr>
    </w:lvl>
    <w:lvl w:ilvl="1" w:tplc="08090003" w:tentative="1">
      <w:start w:val="1"/>
      <w:numFmt w:val="bullet"/>
      <w:lvlText w:val="o"/>
      <w:lvlJc w:val="left"/>
      <w:pPr>
        <w:ind w:left="1724" w:hanging="360"/>
      </w:pPr>
      <w:rPr>
        <w:rFonts w:hint="default" w:ascii="Courier New" w:hAnsi="Courier New" w:cs="Courier New"/>
      </w:rPr>
    </w:lvl>
    <w:lvl w:ilvl="2" w:tplc="08090005" w:tentative="1">
      <w:start w:val="1"/>
      <w:numFmt w:val="bullet"/>
      <w:lvlText w:val=""/>
      <w:lvlJc w:val="left"/>
      <w:pPr>
        <w:ind w:left="2444" w:hanging="360"/>
      </w:pPr>
      <w:rPr>
        <w:rFonts w:hint="default" w:ascii="Wingdings" w:hAnsi="Wingdings"/>
      </w:rPr>
    </w:lvl>
    <w:lvl w:ilvl="3" w:tplc="08090001" w:tentative="1">
      <w:start w:val="1"/>
      <w:numFmt w:val="bullet"/>
      <w:lvlText w:val=""/>
      <w:lvlJc w:val="left"/>
      <w:pPr>
        <w:ind w:left="3164" w:hanging="360"/>
      </w:pPr>
      <w:rPr>
        <w:rFonts w:hint="default" w:ascii="Symbol" w:hAnsi="Symbol"/>
      </w:rPr>
    </w:lvl>
    <w:lvl w:ilvl="4" w:tplc="08090003" w:tentative="1">
      <w:start w:val="1"/>
      <w:numFmt w:val="bullet"/>
      <w:lvlText w:val="o"/>
      <w:lvlJc w:val="left"/>
      <w:pPr>
        <w:ind w:left="3884" w:hanging="360"/>
      </w:pPr>
      <w:rPr>
        <w:rFonts w:hint="default" w:ascii="Courier New" w:hAnsi="Courier New" w:cs="Courier New"/>
      </w:rPr>
    </w:lvl>
    <w:lvl w:ilvl="5" w:tplc="08090005" w:tentative="1">
      <w:start w:val="1"/>
      <w:numFmt w:val="bullet"/>
      <w:lvlText w:val=""/>
      <w:lvlJc w:val="left"/>
      <w:pPr>
        <w:ind w:left="4604" w:hanging="360"/>
      </w:pPr>
      <w:rPr>
        <w:rFonts w:hint="default" w:ascii="Wingdings" w:hAnsi="Wingdings"/>
      </w:rPr>
    </w:lvl>
    <w:lvl w:ilvl="6" w:tplc="08090001" w:tentative="1">
      <w:start w:val="1"/>
      <w:numFmt w:val="bullet"/>
      <w:lvlText w:val=""/>
      <w:lvlJc w:val="left"/>
      <w:pPr>
        <w:ind w:left="5324" w:hanging="360"/>
      </w:pPr>
      <w:rPr>
        <w:rFonts w:hint="default" w:ascii="Symbol" w:hAnsi="Symbol"/>
      </w:rPr>
    </w:lvl>
    <w:lvl w:ilvl="7" w:tplc="08090003" w:tentative="1">
      <w:start w:val="1"/>
      <w:numFmt w:val="bullet"/>
      <w:lvlText w:val="o"/>
      <w:lvlJc w:val="left"/>
      <w:pPr>
        <w:ind w:left="6044" w:hanging="360"/>
      </w:pPr>
      <w:rPr>
        <w:rFonts w:hint="default" w:ascii="Courier New" w:hAnsi="Courier New" w:cs="Courier New"/>
      </w:rPr>
    </w:lvl>
    <w:lvl w:ilvl="8" w:tplc="08090005" w:tentative="1">
      <w:start w:val="1"/>
      <w:numFmt w:val="bullet"/>
      <w:lvlText w:val=""/>
      <w:lvlJc w:val="left"/>
      <w:pPr>
        <w:ind w:left="6764" w:hanging="360"/>
      </w:pPr>
      <w:rPr>
        <w:rFonts w:hint="default" w:ascii="Wingdings" w:hAnsi="Wingdings"/>
      </w:rPr>
    </w:lvl>
  </w:abstractNum>
  <w:abstractNum w:abstractNumId="6" w15:restartNumberingAfterBreak="0">
    <w:nsid w:val="50B751D7"/>
    <w:multiLevelType w:val="hybridMultilevel"/>
    <w:tmpl w:val="FC34F7E8"/>
    <w:lvl w:ilvl="0" w:tplc="28607006">
      <w:start w:val="1"/>
      <w:numFmt w:val="bullet"/>
      <w:lvlText w:val=""/>
      <w:lvlJc w:val="left"/>
      <w:pPr>
        <w:ind w:left="1420" w:hanging="360"/>
      </w:pPr>
      <w:rPr>
        <w:rFonts w:ascii="Symbol" w:hAnsi="Symbol"/>
      </w:rPr>
    </w:lvl>
    <w:lvl w:ilvl="1" w:tplc="FEE64850">
      <w:start w:val="1"/>
      <w:numFmt w:val="bullet"/>
      <w:lvlText w:val=""/>
      <w:lvlJc w:val="left"/>
      <w:pPr>
        <w:ind w:left="1420" w:hanging="360"/>
      </w:pPr>
      <w:rPr>
        <w:rFonts w:ascii="Symbol" w:hAnsi="Symbol"/>
      </w:rPr>
    </w:lvl>
    <w:lvl w:ilvl="2" w:tplc="9D1E1D72">
      <w:start w:val="1"/>
      <w:numFmt w:val="bullet"/>
      <w:lvlText w:val=""/>
      <w:lvlJc w:val="left"/>
      <w:pPr>
        <w:ind w:left="1420" w:hanging="360"/>
      </w:pPr>
      <w:rPr>
        <w:rFonts w:ascii="Symbol" w:hAnsi="Symbol"/>
      </w:rPr>
    </w:lvl>
    <w:lvl w:ilvl="3" w:tplc="29EC924A">
      <w:start w:val="1"/>
      <w:numFmt w:val="bullet"/>
      <w:lvlText w:val=""/>
      <w:lvlJc w:val="left"/>
      <w:pPr>
        <w:ind w:left="1420" w:hanging="360"/>
      </w:pPr>
      <w:rPr>
        <w:rFonts w:ascii="Symbol" w:hAnsi="Symbol"/>
      </w:rPr>
    </w:lvl>
    <w:lvl w:ilvl="4" w:tplc="8D684F5C">
      <w:start w:val="1"/>
      <w:numFmt w:val="bullet"/>
      <w:lvlText w:val=""/>
      <w:lvlJc w:val="left"/>
      <w:pPr>
        <w:ind w:left="1420" w:hanging="360"/>
      </w:pPr>
      <w:rPr>
        <w:rFonts w:ascii="Symbol" w:hAnsi="Symbol"/>
      </w:rPr>
    </w:lvl>
    <w:lvl w:ilvl="5" w:tplc="E4B21280">
      <w:start w:val="1"/>
      <w:numFmt w:val="bullet"/>
      <w:lvlText w:val=""/>
      <w:lvlJc w:val="left"/>
      <w:pPr>
        <w:ind w:left="1420" w:hanging="360"/>
      </w:pPr>
      <w:rPr>
        <w:rFonts w:ascii="Symbol" w:hAnsi="Symbol"/>
      </w:rPr>
    </w:lvl>
    <w:lvl w:ilvl="6" w:tplc="380A4358">
      <w:start w:val="1"/>
      <w:numFmt w:val="bullet"/>
      <w:lvlText w:val=""/>
      <w:lvlJc w:val="left"/>
      <w:pPr>
        <w:ind w:left="1420" w:hanging="360"/>
      </w:pPr>
      <w:rPr>
        <w:rFonts w:ascii="Symbol" w:hAnsi="Symbol"/>
      </w:rPr>
    </w:lvl>
    <w:lvl w:ilvl="7" w:tplc="E75404E6">
      <w:start w:val="1"/>
      <w:numFmt w:val="bullet"/>
      <w:lvlText w:val=""/>
      <w:lvlJc w:val="left"/>
      <w:pPr>
        <w:ind w:left="1420" w:hanging="360"/>
      </w:pPr>
      <w:rPr>
        <w:rFonts w:ascii="Symbol" w:hAnsi="Symbol"/>
      </w:rPr>
    </w:lvl>
    <w:lvl w:ilvl="8" w:tplc="323456B6">
      <w:start w:val="1"/>
      <w:numFmt w:val="bullet"/>
      <w:lvlText w:val=""/>
      <w:lvlJc w:val="left"/>
      <w:pPr>
        <w:ind w:left="1420" w:hanging="360"/>
      </w:pPr>
      <w:rPr>
        <w:rFonts w:ascii="Symbol" w:hAnsi="Symbol"/>
      </w:rPr>
    </w:lvl>
  </w:abstractNum>
  <w:abstractNum w:abstractNumId="7" w15:restartNumberingAfterBreak="0">
    <w:nsid w:val="5C9B00C5"/>
    <w:multiLevelType w:val="multilevel"/>
    <w:tmpl w:val="3EE08A70"/>
    <w:styleLink w:val="Legalnumbering"/>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7822F6F"/>
    <w:multiLevelType w:val="hybridMultilevel"/>
    <w:tmpl w:val="D4A8EA4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6E1E3B21"/>
    <w:multiLevelType w:val="multilevel"/>
    <w:tmpl w:val="CD386BF2"/>
    <w:styleLink w:val="Numberlist"/>
    <w:lvl w:ilvl="0">
      <w:start w:val="1"/>
      <w:numFmt w:val="decimal"/>
      <w:lvlText w:val="%1."/>
      <w:lvlJc w:val="left"/>
      <w:pPr>
        <w:ind w:left="862" w:hanging="357"/>
      </w:pPr>
      <w:rPr>
        <w:rFonts w:hint="default" w:ascii="Arial" w:hAnsi="Arial" w:cs="Times New Roman"/>
        <w:sz w:val="24"/>
      </w:rPr>
    </w:lvl>
    <w:lvl w:ilvl="1">
      <w:start w:val="1"/>
      <w:numFmt w:val="lowerLetter"/>
      <w:lvlText w:val="%2."/>
      <w:lvlJc w:val="left"/>
      <w:pPr>
        <w:ind w:left="1440" w:hanging="360"/>
      </w:pPr>
      <w:rPr>
        <w:rFonts w:hint="default" w:cs="Times New Roman"/>
      </w:rPr>
    </w:lvl>
    <w:lvl w:ilvl="2">
      <w:start w:val="1"/>
      <w:numFmt w:val="lowerRoman"/>
      <w:lvlText w:val="%3."/>
      <w:lvlJc w:val="right"/>
      <w:pPr>
        <w:ind w:left="2160" w:hanging="180"/>
      </w:pPr>
      <w:rPr>
        <w:rFonts w:hint="default" w:cs="Times New Roman"/>
      </w:rPr>
    </w:lvl>
    <w:lvl w:ilvl="3">
      <w:start w:val="1"/>
      <w:numFmt w:val="decimal"/>
      <w:lvlText w:val="%4."/>
      <w:lvlJc w:val="left"/>
      <w:pPr>
        <w:ind w:left="2880" w:hanging="360"/>
      </w:pPr>
      <w:rPr>
        <w:rFonts w:hint="default" w:cs="Times New Roman"/>
      </w:rPr>
    </w:lvl>
    <w:lvl w:ilvl="4">
      <w:start w:val="1"/>
      <w:numFmt w:val="lowerLetter"/>
      <w:lvlText w:val="%5."/>
      <w:lvlJc w:val="left"/>
      <w:pPr>
        <w:ind w:left="3600" w:hanging="360"/>
      </w:pPr>
      <w:rPr>
        <w:rFonts w:hint="default" w:cs="Times New Roman"/>
      </w:rPr>
    </w:lvl>
    <w:lvl w:ilvl="5">
      <w:start w:val="1"/>
      <w:numFmt w:val="lowerRoman"/>
      <w:lvlText w:val="%6."/>
      <w:lvlJc w:val="right"/>
      <w:pPr>
        <w:ind w:left="4320" w:hanging="180"/>
      </w:pPr>
      <w:rPr>
        <w:rFonts w:hint="default" w:cs="Times New Roman"/>
      </w:rPr>
    </w:lvl>
    <w:lvl w:ilvl="6">
      <w:start w:val="1"/>
      <w:numFmt w:val="decimal"/>
      <w:lvlText w:val="%7."/>
      <w:lvlJc w:val="left"/>
      <w:pPr>
        <w:ind w:left="5040" w:hanging="360"/>
      </w:pPr>
      <w:rPr>
        <w:rFonts w:hint="default" w:cs="Times New Roman"/>
      </w:rPr>
    </w:lvl>
    <w:lvl w:ilvl="7">
      <w:start w:val="1"/>
      <w:numFmt w:val="lowerLetter"/>
      <w:lvlText w:val="%8."/>
      <w:lvlJc w:val="left"/>
      <w:pPr>
        <w:ind w:left="5760" w:hanging="360"/>
      </w:pPr>
      <w:rPr>
        <w:rFonts w:hint="default" w:cs="Times New Roman"/>
      </w:rPr>
    </w:lvl>
    <w:lvl w:ilvl="8">
      <w:start w:val="1"/>
      <w:numFmt w:val="lowerRoman"/>
      <w:lvlText w:val="%9."/>
      <w:lvlJc w:val="right"/>
      <w:pPr>
        <w:ind w:left="6480" w:hanging="180"/>
      </w:pPr>
      <w:rPr>
        <w:rFonts w:hint="default" w:cs="Times New Roman"/>
      </w:rPr>
    </w:lvl>
  </w:abstractNum>
  <w:num w:numId="1" w16cid:durableId="511073909">
    <w:abstractNumId w:val="4"/>
  </w:num>
  <w:num w:numId="2" w16cid:durableId="1824927166">
    <w:abstractNumId w:val="9"/>
  </w:num>
  <w:num w:numId="3" w16cid:durableId="395202613">
    <w:abstractNumId w:val="1"/>
  </w:num>
  <w:num w:numId="4" w16cid:durableId="2003501849">
    <w:abstractNumId w:val="2"/>
  </w:num>
  <w:num w:numId="5" w16cid:durableId="197204742">
    <w:abstractNumId w:val="3"/>
  </w:num>
  <w:num w:numId="6" w16cid:durableId="1337852561">
    <w:abstractNumId w:val="7"/>
  </w:num>
  <w:num w:numId="7" w16cid:durableId="39676542">
    <w:abstractNumId w:val="6"/>
  </w:num>
  <w:num w:numId="8" w16cid:durableId="1243224251">
    <w:abstractNumId w:val="0"/>
  </w:num>
  <w:num w:numId="9" w16cid:durableId="1086615791">
    <w:abstractNumId w:val="5"/>
  </w:num>
  <w:num w:numId="10" w16cid:durableId="1303578504">
    <w:abstractNumId w:val="8"/>
  </w:num>
  <w:numIdMacAtCleanup w:val="7"/>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removeDateAndTime/>
  <w:activeWritingStyle w:lang="en-GB" w:vendorID="64" w:dllVersion="0" w:nlCheck="1" w:checkStyle="0" w:appName="MSWord"/>
  <w:proofState w:spelling="clean" w:grammar="dirty"/>
  <w:attachedTemplate r:id="rId1"/>
  <w:trackRevisions w:val="false"/>
  <w:documentProtection w:enforcement="0"/>
  <w:autoFormatOverride/>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K3NDGytDAysrC0MDdU0lEKTi0uzszPAykwrAUAYJ08lSwAAAA="/>
  </w:docVars>
  <w:rsids>
    <w:rsidRoot w:val="00A600B7"/>
    <w:rsid w:val="000013AB"/>
    <w:rsid w:val="0000277E"/>
    <w:rsid w:val="00003407"/>
    <w:rsid w:val="00003827"/>
    <w:rsid w:val="00006217"/>
    <w:rsid w:val="000142B2"/>
    <w:rsid w:val="00016827"/>
    <w:rsid w:val="00016FCA"/>
    <w:rsid w:val="00020FEA"/>
    <w:rsid w:val="00021BF2"/>
    <w:rsid w:val="00027401"/>
    <w:rsid w:val="00033D5A"/>
    <w:rsid w:val="00037BD4"/>
    <w:rsid w:val="00042669"/>
    <w:rsid w:val="00042693"/>
    <w:rsid w:val="00046307"/>
    <w:rsid w:val="00050033"/>
    <w:rsid w:val="000501AF"/>
    <w:rsid w:val="000503B2"/>
    <w:rsid w:val="0005136A"/>
    <w:rsid w:val="0005159D"/>
    <w:rsid w:val="00053427"/>
    <w:rsid w:val="000544DF"/>
    <w:rsid w:val="00054AD2"/>
    <w:rsid w:val="00055B15"/>
    <w:rsid w:val="000564D1"/>
    <w:rsid w:val="00062A0E"/>
    <w:rsid w:val="00071547"/>
    <w:rsid w:val="00073012"/>
    <w:rsid w:val="000750ED"/>
    <w:rsid w:val="00075CC6"/>
    <w:rsid w:val="00075FD9"/>
    <w:rsid w:val="00076EBC"/>
    <w:rsid w:val="00081491"/>
    <w:rsid w:val="000846ED"/>
    <w:rsid w:val="00084EEB"/>
    <w:rsid w:val="000853F8"/>
    <w:rsid w:val="00085A27"/>
    <w:rsid w:val="00085D51"/>
    <w:rsid w:val="00085EAC"/>
    <w:rsid w:val="000867AB"/>
    <w:rsid w:val="00091B04"/>
    <w:rsid w:val="00092508"/>
    <w:rsid w:val="00095C32"/>
    <w:rsid w:val="00096B62"/>
    <w:rsid w:val="000A49F2"/>
    <w:rsid w:val="000A5ECC"/>
    <w:rsid w:val="000A7E54"/>
    <w:rsid w:val="000B2120"/>
    <w:rsid w:val="000C4048"/>
    <w:rsid w:val="000C6175"/>
    <w:rsid w:val="000E2D24"/>
    <w:rsid w:val="000E38D2"/>
    <w:rsid w:val="000E38D8"/>
    <w:rsid w:val="000E3D64"/>
    <w:rsid w:val="000E4442"/>
    <w:rsid w:val="000E4F60"/>
    <w:rsid w:val="000F0394"/>
    <w:rsid w:val="000F1C0D"/>
    <w:rsid w:val="000F2185"/>
    <w:rsid w:val="000F567F"/>
    <w:rsid w:val="000F5C28"/>
    <w:rsid w:val="001026DD"/>
    <w:rsid w:val="001060AC"/>
    <w:rsid w:val="00110022"/>
    <w:rsid w:val="00121E18"/>
    <w:rsid w:val="001226B6"/>
    <w:rsid w:val="0012423A"/>
    <w:rsid w:val="001276ED"/>
    <w:rsid w:val="00140771"/>
    <w:rsid w:val="00144592"/>
    <w:rsid w:val="00146BB3"/>
    <w:rsid w:val="0015215C"/>
    <w:rsid w:val="00153B61"/>
    <w:rsid w:val="0016162F"/>
    <w:rsid w:val="001617AA"/>
    <w:rsid w:val="00162C99"/>
    <w:rsid w:val="001634DD"/>
    <w:rsid w:val="00163A98"/>
    <w:rsid w:val="00163E68"/>
    <w:rsid w:val="0016678F"/>
    <w:rsid w:val="00167612"/>
    <w:rsid w:val="00167703"/>
    <w:rsid w:val="0017384B"/>
    <w:rsid w:val="00174190"/>
    <w:rsid w:val="00182C65"/>
    <w:rsid w:val="00182DF7"/>
    <w:rsid w:val="00184914"/>
    <w:rsid w:val="00186912"/>
    <w:rsid w:val="00187FE1"/>
    <w:rsid w:val="0019297B"/>
    <w:rsid w:val="001977A7"/>
    <w:rsid w:val="001A2EAD"/>
    <w:rsid w:val="001A56C9"/>
    <w:rsid w:val="001A5A0E"/>
    <w:rsid w:val="001A7B11"/>
    <w:rsid w:val="001B0BC6"/>
    <w:rsid w:val="001B0CDD"/>
    <w:rsid w:val="001B1325"/>
    <w:rsid w:val="001B1A34"/>
    <w:rsid w:val="001B5146"/>
    <w:rsid w:val="001B6CB2"/>
    <w:rsid w:val="001B704C"/>
    <w:rsid w:val="001C47D0"/>
    <w:rsid w:val="001C53E2"/>
    <w:rsid w:val="001C77F7"/>
    <w:rsid w:val="001D2C42"/>
    <w:rsid w:val="001F1F6A"/>
    <w:rsid w:val="001F5473"/>
    <w:rsid w:val="00201358"/>
    <w:rsid w:val="00212E4D"/>
    <w:rsid w:val="00212E92"/>
    <w:rsid w:val="002176BA"/>
    <w:rsid w:val="00221BFB"/>
    <w:rsid w:val="002247EF"/>
    <w:rsid w:val="002352DC"/>
    <w:rsid w:val="00240F85"/>
    <w:rsid w:val="00242E97"/>
    <w:rsid w:val="00252DE4"/>
    <w:rsid w:val="00261075"/>
    <w:rsid w:val="00261B96"/>
    <w:rsid w:val="00264068"/>
    <w:rsid w:val="002642C7"/>
    <w:rsid w:val="00266C14"/>
    <w:rsid w:val="00267CB5"/>
    <w:rsid w:val="00273979"/>
    <w:rsid w:val="002826FB"/>
    <w:rsid w:val="00283F74"/>
    <w:rsid w:val="00284590"/>
    <w:rsid w:val="00287B97"/>
    <w:rsid w:val="00291926"/>
    <w:rsid w:val="00297499"/>
    <w:rsid w:val="002A0170"/>
    <w:rsid w:val="002A5E14"/>
    <w:rsid w:val="002A69D2"/>
    <w:rsid w:val="002B095A"/>
    <w:rsid w:val="002B53A3"/>
    <w:rsid w:val="002B6FA3"/>
    <w:rsid w:val="002B72E9"/>
    <w:rsid w:val="002C3101"/>
    <w:rsid w:val="002C3B24"/>
    <w:rsid w:val="002C61D9"/>
    <w:rsid w:val="002C7EF6"/>
    <w:rsid w:val="002D0766"/>
    <w:rsid w:val="002D1889"/>
    <w:rsid w:val="002D536F"/>
    <w:rsid w:val="002E2172"/>
    <w:rsid w:val="002E3DD4"/>
    <w:rsid w:val="002E57ED"/>
    <w:rsid w:val="002E67EE"/>
    <w:rsid w:val="002E7BA7"/>
    <w:rsid w:val="002F1D9C"/>
    <w:rsid w:val="002F28E4"/>
    <w:rsid w:val="002F29AC"/>
    <w:rsid w:val="002F358F"/>
    <w:rsid w:val="002F3C8B"/>
    <w:rsid w:val="002F4722"/>
    <w:rsid w:val="00302317"/>
    <w:rsid w:val="00303E2A"/>
    <w:rsid w:val="00304DF0"/>
    <w:rsid w:val="00306C7D"/>
    <w:rsid w:val="00306E87"/>
    <w:rsid w:val="00311CEF"/>
    <w:rsid w:val="00314725"/>
    <w:rsid w:val="00315D30"/>
    <w:rsid w:val="00323213"/>
    <w:rsid w:val="003247DF"/>
    <w:rsid w:val="00327F95"/>
    <w:rsid w:val="00332F62"/>
    <w:rsid w:val="003340D4"/>
    <w:rsid w:val="00343EFB"/>
    <w:rsid w:val="003444A7"/>
    <w:rsid w:val="003465EC"/>
    <w:rsid w:val="003470CC"/>
    <w:rsid w:val="00355F95"/>
    <w:rsid w:val="0035647D"/>
    <w:rsid w:val="00357508"/>
    <w:rsid w:val="00357757"/>
    <w:rsid w:val="00360FBB"/>
    <w:rsid w:val="003635DF"/>
    <w:rsid w:val="00377F53"/>
    <w:rsid w:val="00380805"/>
    <w:rsid w:val="00380998"/>
    <w:rsid w:val="0038306A"/>
    <w:rsid w:val="00391967"/>
    <w:rsid w:val="00394BEC"/>
    <w:rsid w:val="00397336"/>
    <w:rsid w:val="00397CDF"/>
    <w:rsid w:val="003A0A9F"/>
    <w:rsid w:val="003A1B4C"/>
    <w:rsid w:val="003A5D97"/>
    <w:rsid w:val="003A6237"/>
    <w:rsid w:val="003B14E3"/>
    <w:rsid w:val="003B4A5C"/>
    <w:rsid w:val="003B50A1"/>
    <w:rsid w:val="003B6EFE"/>
    <w:rsid w:val="003D0647"/>
    <w:rsid w:val="003D3521"/>
    <w:rsid w:val="003D5548"/>
    <w:rsid w:val="003E5105"/>
    <w:rsid w:val="003E5659"/>
    <w:rsid w:val="003E777A"/>
    <w:rsid w:val="003F1CA6"/>
    <w:rsid w:val="003F2D87"/>
    <w:rsid w:val="0040575F"/>
    <w:rsid w:val="00406F90"/>
    <w:rsid w:val="004104E4"/>
    <w:rsid w:val="00412711"/>
    <w:rsid w:val="0041354B"/>
    <w:rsid w:val="00417D45"/>
    <w:rsid w:val="0042175D"/>
    <w:rsid w:val="00422006"/>
    <w:rsid w:val="0042349C"/>
    <w:rsid w:val="004235C8"/>
    <w:rsid w:val="004246CD"/>
    <w:rsid w:val="00425CFA"/>
    <w:rsid w:val="00426A8D"/>
    <w:rsid w:val="00432A26"/>
    <w:rsid w:val="004356F7"/>
    <w:rsid w:val="00436834"/>
    <w:rsid w:val="00440124"/>
    <w:rsid w:val="00441AAE"/>
    <w:rsid w:val="00443548"/>
    <w:rsid w:val="00445FB5"/>
    <w:rsid w:val="00446476"/>
    <w:rsid w:val="00446919"/>
    <w:rsid w:val="00452D19"/>
    <w:rsid w:val="0045380F"/>
    <w:rsid w:val="00457766"/>
    <w:rsid w:val="004605F6"/>
    <w:rsid w:val="004627EC"/>
    <w:rsid w:val="00463443"/>
    <w:rsid w:val="00464266"/>
    <w:rsid w:val="004642BA"/>
    <w:rsid w:val="00464359"/>
    <w:rsid w:val="00464414"/>
    <w:rsid w:val="0046465D"/>
    <w:rsid w:val="004661DF"/>
    <w:rsid w:val="00466673"/>
    <w:rsid w:val="00471A27"/>
    <w:rsid w:val="00483BA0"/>
    <w:rsid w:val="00483F7F"/>
    <w:rsid w:val="00487839"/>
    <w:rsid w:val="00490BD3"/>
    <w:rsid w:val="00492D96"/>
    <w:rsid w:val="00493F4A"/>
    <w:rsid w:val="004949D2"/>
    <w:rsid w:val="004949DB"/>
    <w:rsid w:val="004A5CDF"/>
    <w:rsid w:val="004A6085"/>
    <w:rsid w:val="004A7554"/>
    <w:rsid w:val="004A7A95"/>
    <w:rsid w:val="004B634E"/>
    <w:rsid w:val="004C0948"/>
    <w:rsid w:val="004C0B8C"/>
    <w:rsid w:val="004C1B6A"/>
    <w:rsid w:val="004C293D"/>
    <w:rsid w:val="004C655C"/>
    <w:rsid w:val="004D1EA7"/>
    <w:rsid w:val="004D325A"/>
    <w:rsid w:val="004D3B94"/>
    <w:rsid w:val="004D65CA"/>
    <w:rsid w:val="004E3DB8"/>
    <w:rsid w:val="004E4A2B"/>
    <w:rsid w:val="004E4F8A"/>
    <w:rsid w:val="004F18DD"/>
    <w:rsid w:val="004F549E"/>
    <w:rsid w:val="004F5D83"/>
    <w:rsid w:val="00503ED6"/>
    <w:rsid w:val="00506DAE"/>
    <w:rsid w:val="00507557"/>
    <w:rsid w:val="00510274"/>
    <w:rsid w:val="00515896"/>
    <w:rsid w:val="00531543"/>
    <w:rsid w:val="00532ACD"/>
    <w:rsid w:val="00533842"/>
    <w:rsid w:val="00534405"/>
    <w:rsid w:val="00535770"/>
    <w:rsid w:val="00536CB5"/>
    <w:rsid w:val="00537973"/>
    <w:rsid w:val="00537BF1"/>
    <w:rsid w:val="0054011D"/>
    <w:rsid w:val="005407A5"/>
    <w:rsid w:val="00545322"/>
    <w:rsid w:val="00550012"/>
    <w:rsid w:val="00550382"/>
    <w:rsid w:val="00550915"/>
    <w:rsid w:val="00551FB4"/>
    <w:rsid w:val="0055305C"/>
    <w:rsid w:val="005606B8"/>
    <w:rsid w:val="00565D74"/>
    <w:rsid w:val="00566E5F"/>
    <w:rsid w:val="005671EC"/>
    <w:rsid w:val="00567BF8"/>
    <w:rsid w:val="00574FD3"/>
    <w:rsid w:val="00577AB7"/>
    <w:rsid w:val="00580477"/>
    <w:rsid w:val="00582C8C"/>
    <w:rsid w:val="005867C2"/>
    <w:rsid w:val="005A162A"/>
    <w:rsid w:val="005A33B8"/>
    <w:rsid w:val="005A40E5"/>
    <w:rsid w:val="005B25F1"/>
    <w:rsid w:val="005C27E1"/>
    <w:rsid w:val="005C3521"/>
    <w:rsid w:val="005C5BE2"/>
    <w:rsid w:val="005C69BF"/>
    <w:rsid w:val="005D0243"/>
    <w:rsid w:val="005D60C0"/>
    <w:rsid w:val="005D6389"/>
    <w:rsid w:val="005D651B"/>
    <w:rsid w:val="005E3EE7"/>
    <w:rsid w:val="005E48AB"/>
    <w:rsid w:val="005E566B"/>
    <w:rsid w:val="005E661B"/>
    <w:rsid w:val="005F23A7"/>
    <w:rsid w:val="005F29FE"/>
    <w:rsid w:val="005F3B99"/>
    <w:rsid w:val="005F4861"/>
    <w:rsid w:val="00601356"/>
    <w:rsid w:val="00601F56"/>
    <w:rsid w:val="00602DDF"/>
    <w:rsid w:val="00605219"/>
    <w:rsid w:val="00610173"/>
    <w:rsid w:val="00613376"/>
    <w:rsid w:val="00613D7C"/>
    <w:rsid w:val="00615B03"/>
    <w:rsid w:val="00620484"/>
    <w:rsid w:val="00635578"/>
    <w:rsid w:val="00636A7E"/>
    <w:rsid w:val="00637BF1"/>
    <w:rsid w:val="0064071C"/>
    <w:rsid w:val="0064108C"/>
    <w:rsid w:val="0064148A"/>
    <w:rsid w:val="0064186A"/>
    <w:rsid w:val="00641ACF"/>
    <w:rsid w:val="006423A5"/>
    <w:rsid w:val="006447A8"/>
    <w:rsid w:val="0064677F"/>
    <w:rsid w:val="00654D26"/>
    <w:rsid w:val="00656432"/>
    <w:rsid w:val="00657AD7"/>
    <w:rsid w:val="00662600"/>
    <w:rsid w:val="0066650A"/>
    <w:rsid w:val="006670FC"/>
    <w:rsid w:val="0067080A"/>
    <w:rsid w:val="00673091"/>
    <w:rsid w:val="00676833"/>
    <w:rsid w:val="006867A1"/>
    <w:rsid w:val="0069110D"/>
    <w:rsid w:val="00693B77"/>
    <w:rsid w:val="00695C22"/>
    <w:rsid w:val="006A001E"/>
    <w:rsid w:val="006A1892"/>
    <w:rsid w:val="006A5161"/>
    <w:rsid w:val="006B1709"/>
    <w:rsid w:val="006B1DC4"/>
    <w:rsid w:val="006B29D4"/>
    <w:rsid w:val="006C3875"/>
    <w:rsid w:val="006D70C9"/>
    <w:rsid w:val="006E113C"/>
    <w:rsid w:val="006E11CB"/>
    <w:rsid w:val="006E1269"/>
    <w:rsid w:val="006E542C"/>
    <w:rsid w:val="006E5B3C"/>
    <w:rsid w:val="006F256F"/>
    <w:rsid w:val="006F701B"/>
    <w:rsid w:val="00700579"/>
    <w:rsid w:val="00700D82"/>
    <w:rsid w:val="0070482F"/>
    <w:rsid w:val="00705F7A"/>
    <w:rsid w:val="00706335"/>
    <w:rsid w:val="00710B8F"/>
    <w:rsid w:val="00712B37"/>
    <w:rsid w:val="00716151"/>
    <w:rsid w:val="0071697B"/>
    <w:rsid w:val="00717556"/>
    <w:rsid w:val="00720914"/>
    <w:rsid w:val="00727C3B"/>
    <w:rsid w:val="00730608"/>
    <w:rsid w:val="00730B0C"/>
    <w:rsid w:val="00737AD5"/>
    <w:rsid w:val="00745A3B"/>
    <w:rsid w:val="007469A4"/>
    <w:rsid w:val="007628CD"/>
    <w:rsid w:val="00766234"/>
    <w:rsid w:val="00767576"/>
    <w:rsid w:val="0077163C"/>
    <w:rsid w:val="00771EAA"/>
    <w:rsid w:val="00773917"/>
    <w:rsid w:val="00784197"/>
    <w:rsid w:val="00791420"/>
    <w:rsid w:val="00794368"/>
    <w:rsid w:val="007A365E"/>
    <w:rsid w:val="007A47C3"/>
    <w:rsid w:val="007B00BB"/>
    <w:rsid w:val="007B2CFB"/>
    <w:rsid w:val="007B3171"/>
    <w:rsid w:val="007B3436"/>
    <w:rsid w:val="007B7BC9"/>
    <w:rsid w:val="007C4024"/>
    <w:rsid w:val="007C4EF3"/>
    <w:rsid w:val="007D7412"/>
    <w:rsid w:val="007E0F3A"/>
    <w:rsid w:val="007E4488"/>
    <w:rsid w:val="007E520E"/>
    <w:rsid w:val="007E52CB"/>
    <w:rsid w:val="007E7898"/>
    <w:rsid w:val="007F1E33"/>
    <w:rsid w:val="007F2D90"/>
    <w:rsid w:val="007F2EA2"/>
    <w:rsid w:val="007F61E0"/>
    <w:rsid w:val="00806A69"/>
    <w:rsid w:val="00811776"/>
    <w:rsid w:val="008223A3"/>
    <w:rsid w:val="00825D6E"/>
    <w:rsid w:val="00826A8F"/>
    <w:rsid w:val="00834FBF"/>
    <w:rsid w:val="00835E07"/>
    <w:rsid w:val="00837674"/>
    <w:rsid w:val="00840152"/>
    <w:rsid w:val="00841959"/>
    <w:rsid w:val="0084255D"/>
    <w:rsid w:val="00843F52"/>
    <w:rsid w:val="008445A4"/>
    <w:rsid w:val="0084757D"/>
    <w:rsid w:val="00850DAC"/>
    <w:rsid w:val="00851621"/>
    <w:rsid w:val="00856364"/>
    <w:rsid w:val="00856977"/>
    <w:rsid w:val="0086110B"/>
    <w:rsid w:val="00862BE9"/>
    <w:rsid w:val="00862DDF"/>
    <w:rsid w:val="008650A3"/>
    <w:rsid w:val="0087028A"/>
    <w:rsid w:val="008714AA"/>
    <w:rsid w:val="0087352A"/>
    <w:rsid w:val="0087362C"/>
    <w:rsid w:val="00874553"/>
    <w:rsid w:val="00876B56"/>
    <w:rsid w:val="008871B2"/>
    <w:rsid w:val="00887E18"/>
    <w:rsid w:val="00891E40"/>
    <w:rsid w:val="00891EA7"/>
    <w:rsid w:val="00896A63"/>
    <w:rsid w:val="008A4611"/>
    <w:rsid w:val="008A6FED"/>
    <w:rsid w:val="008B2D71"/>
    <w:rsid w:val="008B3B9F"/>
    <w:rsid w:val="008C0D0B"/>
    <w:rsid w:val="008C1C8D"/>
    <w:rsid w:val="008C2C59"/>
    <w:rsid w:val="008D7B44"/>
    <w:rsid w:val="008E1816"/>
    <w:rsid w:val="008E3527"/>
    <w:rsid w:val="008E37EF"/>
    <w:rsid w:val="008F06A2"/>
    <w:rsid w:val="008F285C"/>
    <w:rsid w:val="008F3C73"/>
    <w:rsid w:val="008F70FE"/>
    <w:rsid w:val="00900182"/>
    <w:rsid w:val="00902C08"/>
    <w:rsid w:val="0090315A"/>
    <w:rsid w:val="0090397F"/>
    <w:rsid w:val="009059CE"/>
    <w:rsid w:val="00907184"/>
    <w:rsid w:val="0091408F"/>
    <w:rsid w:val="0092167A"/>
    <w:rsid w:val="00927752"/>
    <w:rsid w:val="00936B35"/>
    <w:rsid w:val="00936BC3"/>
    <w:rsid w:val="00937D7D"/>
    <w:rsid w:val="00942394"/>
    <w:rsid w:val="009428F0"/>
    <w:rsid w:val="0094626A"/>
    <w:rsid w:val="00951913"/>
    <w:rsid w:val="009548F3"/>
    <w:rsid w:val="0095549F"/>
    <w:rsid w:val="00956FD7"/>
    <w:rsid w:val="00960219"/>
    <w:rsid w:val="00960807"/>
    <w:rsid w:val="009633A2"/>
    <w:rsid w:val="0096699D"/>
    <w:rsid w:val="00970E18"/>
    <w:rsid w:val="00971AF0"/>
    <w:rsid w:val="00972CAF"/>
    <w:rsid w:val="00972D3A"/>
    <w:rsid w:val="00975380"/>
    <w:rsid w:val="00975436"/>
    <w:rsid w:val="00981728"/>
    <w:rsid w:val="009916A3"/>
    <w:rsid w:val="009928A7"/>
    <w:rsid w:val="009934E3"/>
    <w:rsid w:val="00994B9A"/>
    <w:rsid w:val="009A06F9"/>
    <w:rsid w:val="009A1CB5"/>
    <w:rsid w:val="009A467E"/>
    <w:rsid w:val="009B35EC"/>
    <w:rsid w:val="009B4054"/>
    <w:rsid w:val="009B7940"/>
    <w:rsid w:val="009C1115"/>
    <w:rsid w:val="009C4240"/>
    <w:rsid w:val="009C56D8"/>
    <w:rsid w:val="009D0343"/>
    <w:rsid w:val="009D2CE7"/>
    <w:rsid w:val="009D428B"/>
    <w:rsid w:val="009D62B9"/>
    <w:rsid w:val="009E1FA7"/>
    <w:rsid w:val="009F184E"/>
    <w:rsid w:val="009F2E2D"/>
    <w:rsid w:val="009F2FC6"/>
    <w:rsid w:val="00A10A85"/>
    <w:rsid w:val="00A10BA6"/>
    <w:rsid w:val="00A10EF6"/>
    <w:rsid w:val="00A13A95"/>
    <w:rsid w:val="00A15016"/>
    <w:rsid w:val="00A1749B"/>
    <w:rsid w:val="00A1759E"/>
    <w:rsid w:val="00A34368"/>
    <w:rsid w:val="00A4377E"/>
    <w:rsid w:val="00A464CC"/>
    <w:rsid w:val="00A46E04"/>
    <w:rsid w:val="00A471D1"/>
    <w:rsid w:val="00A55277"/>
    <w:rsid w:val="00A55956"/>
    <w:rsid w:val="00A600B7"/>
    <w:rsid w:val="00A60737"/>
    <w:rsid w:val="00A62277"/>
    <w:rsid w:val="00A63C79"/>
    <w:rsid w:val="00A673B9"/>
    <w:rsid w:val="00A71B43"/>
    <w:rsid w:val="00A730E0"/>
    <w:rsid w:val="00A73A2E"/>
    <w:rsid w:val="00A74CAE"/>
    <w:rsid w:val="00A74F9C"/>
    <w:rsid w:val="00A81362"/>
    <w:rsid w:val="00A82FF6"/>
    <w:rsid w:val="00A86D83"/>
    <w:rsid w:val="00A87CFA"/>
    <w:rsid w:val="00A911CF"/>
    <w:rsid w:val="00A92FD8"/>
    <w:rsid w:val="00A9778A"/>
    <w:rsid w:val="00AA14DA"/>
    <w:rsid w:val="00AA1DF8"/>
    <w:rsid w:val="00AB0F5B"/>
    <w:rsid w:val="00AB18D9"/>
    <w:rsid w:val="00AB2183"/>
    <w:rsid w:val="00AB7475"/>
    <w:rsid w:val="00AC4919"/>
    <w:rsid w:val="00AC5316"/>
    <w:rsid w:val="00AD5C32"/>
    <w:rsid w:val="00AE3669"/>
    <w:rsid w:val="00AE3AD2"/>
    <w:rsid w:val="00AF186D"/>
    <w:rsid w:val="00AF47EB"/>
    <w:rsid w:val="00AF5787"/>
    <w:rsid w:val="00AF5956"/>
    <w:rsid w:val="00B00598"/>
    <w:rsid w:val="00B04239"/>
    <w:rsid w:val="00B04B38"/>
    <w:rsid w:val="00B0601E"/>
    <w:rsid w:val="00B079B3"/>
    <w:rsid w:val="00B1017A"/>
    <w:rsid w:val="00B10FBB"/>
    <w:rsid w:val="00B14FE6"/>
    <w:rsid w:val="00B23851"/>
    <w:rsid w:val="00B23E9E"/>
    <w:rsid w:val="00B30043"/>
    <w:rsid w:val="00B31377"/>
    <w:rsid w:val="00B3164B"/>
    <w:rsid w:val="00B3359F"/>
    <w:rsid w:val="00B34750"/>
    <w:rsid w:val="00B370D3"/>
    <w:rsid w:val="00B37839"/>
    <w:rsid w:val="00B37B86"/>
    <w:rsid w:val="00B4653E"/>
    <w:rsid w:val="00B46BDF"/>
    <w:rsid w:val="00B47243"/>
    <w:rsid w:val="00B5280D"/>
    <w:rsid w:val="00B55328"/>
    <w:rsid w:val="00B5769C"/>
    <w:rsid w:val="00B57D79"/>
    <w:rsid w:val="00B60B64"/>
    <w:rsid w:val="00B61DAC"/>
    <w:rsid w:val="00B63A4E"/>
    <w:rsid w:val="00B63C59"/>
    <w:rsid w:val="00B67FCF"/>
    <w:rsid w:val="00B7408F"/>
    <w:rsid w:val="00B76FC5"/>
    <w:rsid w:val="00B81964"/>
    <w:rsid w:val="00B833F8"/>
    <w:rsid w:val="00B846D9"/>
    <w:rsid w:val="00B84C53"/>
    <w:rsid w:val="00B86EFE"/>
    <w:rsid w:val="00B90EA8"/>
    <w:rsid w:val="00B91CA3"/>
    <w:rsid w:val="00B92869"/>
    <w:rsid w:val="00B92947"/>
    <w:rsid w:val="00B93C7D"/>
    <w:rsid w:val="00B957AB"/>
    <w:rsid w:val="00BA2FF6"/>
    <w:rsid w:val="00BA532F"/>
    <w:rsid w:val="00BA5965"/>
    <w:rsid w:val="00BA5A5D"/>
    <w:rsid w:val="00BA6FDC"/>
    <w:rsid w:val="00BB1307"/>
    <w:rsid w:val="00BB1FED"/>
    <w:rsid w:val="00BB3475"/>
    <w:rsid w:val="00BB4733"/>
    <w:rsid w:val="00BC00CF"/>
    <w:rsid w:val="00BC56BB"/>
    <w:rsid w:val="00BC5DFA"/>
    <w:rsid w:val="00BD0CF8"/>
    <w:rsid w:val="00BD60E8"/>
    <w:rsid w:val="00BD73D9"/>
    <w:rsid w:val="00BD7BE1"/>
    <w:rsid w:val="00BD7D45"/>
    <w:rsid w:val="00BE04AA"/>
    <w:rsid w:val="00BE2973"/>
    <w:rsid w:val="00BE6077"/>
    <w:rsid w:val="00BF30E2"/>
    <w:rsid w:val="00BF46B5"/>
    <w:rsid w:val="00BF474E"/>
    <w:rsid w:val="00BF4CBD"/>
    <w:rsid w:val="00BF4FFC"/>
    <w:rsid w:val="00C025D0"/>
    <w:rsid w:val="00C11201"/>
    <w:rsid w:val="00C20F91"/>
    <w:rsid w:val="00C21EFF"/>
    <w:rsid w:val="00C2691D"/>
    <w:rsid w:val="00C26D9C"/>
    <w:rsid w:val="00C32378"/>
    <w:rsid w:val="00C36E16"/>
    <w:rsid w:val="00C43BD5"/>
    <w:rsid w:val="00C4795F"/>
    <w:rsid w:val="00C54E6B"/>
    <w:rsid w:val="00C55F30"/>
    <w:rsid w:val="00C62288"/>
    <w:rsid w:val="00C629B2"/>
    <w:rsid w:val="00C65A57"/>
    <w:rsid w:val="00C75464"/>
    <w:rsid w:val="00C80D41"/>
    <w:rsid w:val="00C8414A"/>
    <w:rsid w:val="00C859D1"/>
    <w:rsid w:val="00C85A6C"/>
    <w:rsid w:val="00C9447D"/>
    <w:rsid w:val="00C9663A"/>
    <w:rsid w:val="00C97208"/>
    <w:rsid w:val="00C97EE5"/>
    <w:rsid w:val="00CA21DD"/>
    <w:rsid w:val="00CA370A"/>
    <w:rsid w:val="00CB078A"/>
    <w:rsid w:val="00CB09ED"/>
    <w:rsid w:val="00CB21CA"/>
    <w:rsid w:val="00CB2E79"/>
    <w:rsid w:val="00CC26D8"/>
    <w:rsid w:val="00CC2FD8"/>
    <w:rsid w:val="00CC49AB"/>
    <w:rsid w:val="00CC5805"/>
    <w:rsid w:val="00CC7A35"/>
    <w:rsid w:val="00CC7FA8"/>
    <w:rsid w:val="00CD59F3"/>
    <w:rsid w:val="00CD64A0"/>
    <w:rsid w:val="00CE0CAC"/>
    <w:rsid w:val="00CE10F4"/>
    <w:rsid w:val="00CE25F8"/>
    <w:rsid w:val="00CE53E2"/>
    <w:rsid w:val="00CE5532"/>
    <w:rsid w:val="00CF1201"/>
    <w:rsid w:val="00CF265A"/>
    <w:rsid w:val="00CF711C"/>
    <w:rsid w:val="00D035D4"/>
    <w:rsid w:val="00D056EB"/>
    <w:rsid w:val="00D05F86"/>
    <w:rsid w:val="00D06885"/>
    <w:rsid w:val="00D124ED"/>
    <w:rsid w:val="00D12E3F"/>
    <w:rsid w:val="00D203F7"/>
    <w:rsid w:val="00D21518"/>
    <w:rsid w:val="00D23ED7"/>
    <w:rsid w:val="00D26187"/>
    <w:rsid w:val="00D31A8E"/>
    <w:rsid w:val="00D328BB"/>
    <w:rsid w:val="00D34256"/>
    <w:rsid w:val="00D3671B"/>
    <w:rsid w:val="00D41BC1"/>
    <w:rsid w:val="00D5532C"/>
    <w:rsid w:val="00D65A22"/>
    <w:rsid w:val="00D72D03"/>
    <w:rsid w:val="00D836A3"/>
    <w:rsid w:val="00D84C7F"/>
    <w:rsid w:val="00D84D93"/>
    <w:rsid w:val="00D9000A"/>
    <w:rsid w:val="00D90296"/>
    <w:rsid w:val="00D90F93"/>
    <w:rsid w:val="00D916AC"/>
    <w:rsid w:val="00D91B0E"/>
    <w:rsid w:val="00D92F03"/>
    <w:rsid w:val="00D95228"/>
    <w:rsid w:val="00D966F9"/>
    <w:rsid w:val="00DA07B0"/>
    <w:rsid w:val="00DA41A8"/>
    <w:rsid w:val="00DA61CA"/>
    <w:rsid w:val="00DB061F"/>
    <w:rsid w:val="00DB0AEB"/>
    <w:rsid w:val="00DB3C9D"/>
    <w:rsid w:val="00DB7E46"/>
    <w:rsid w:val="00DC2246"/>
    <w:rsid w:val="00DC2DB3"/>
    <w:rsid w:val="00DC3586"/>
    <w:rsid w:val="00DC7A10"/>
    <w:rsid w:val="00DD7E61"/>
    <w:rsid w:val="00DE392C"/>
    <w:rsid w:val="00DF5F6F"/>
    <w:rsid w:val="00DF60C0"/>
    <w:rsid w:val="00E01C2E"/>
    <w:rsid w:val="00E049F3"/>
    <w:rsid w:val="00E2079A"/>
    <w:rsid w:val="00E215E8"/>
    <w:rsid w:val="00E23892"/>
    <w:rsid w:val="00E24F83"/>
    <w:rsid w:val="00E257E2"/>
    <w:rsid w:val="00E25902"/>
    <w:rsid w:val="00E268FA"/>
    <w:rsid w:val="00E276DC"/>
    <w:rsid w:val="00E361AA"/>
    <w:rsid w:val="00E444FB"/>
    <w:rsid w:val="00E45851"/>
    <w:rsid w:val="00E5316E"/>
    <w:rsid w:val="00E533B1"/>
    <w:rsid w:val="00E539D8"/>
    <w:rsid w:val="00E65C0A"/>
    <w:rsid w:val="00E81A63"/>
    <w:rsid w:val="00E81F65"/>
    <w:rsid w:val="00E83078"/>
    <w:rsid w:val="00E85B51"/>
    <w:rsid w:val="00E9676C"/>
    <w:rsid w:val="00E976C5"/>
    <w:rsid w:val="00EA563F"/>
    <w:rsid w:val="00EA7E9A"/>
    <w:rsid w:val="00EB08D5"/>
    <w:rsid w:val="00EB74B8"/>
    <w:rsid w:val="00EB74D6"/>
    <w:rsid w:val="00EC0501"/>
    <w:rsid w:val="00EC1F5F"/>
    <w:rsid w:val="00EC22CE"/>
    <w:rsid w:val="00ED2782"/>
    <w:rsid w:val="00ED3C5F"/>
    <w:rsid w:val="00ED4AAB"/>
    <w:rsid w:val="00ED7682"/>
    <w:rsid w:val="00EE178D"/>
    <w:rsid w:val="00EE304C"/>
    <w:rsid w:val="00EF1DF8"/>
    <w:rsid w:val="00F00893"/>
    <w:rsid w:val="00F01F1B"/>
    <w:rsid w:val="00F051A3"/>
    <w:rsid w:val="00F105DF"/>
    <w:rsid w:val="00F129B5"/>
    <w:rsid w:val="00F13A59"/>
    <w:rsid w:val="00F153FA"/>
    <w:rsid w:val="00F158B3"/>
    <w:rsid w:val="00F16746"/>
    <w:rsid w:val="00F2231D"/>
    <w:rsid w:val="00F235B8"/>
    <w:rsid w:val="00F23603"/>
    <w:rsid w:val="00F24140"/>
    <w:rsid w:val="00F257A9"/>
    <w:rsid w:val="00F335F1"/>
    <w:rsid w:val="00F41D9D"/>
    <w:rsid w:val="00F47CC7"/>
    <w:rsid w:val="00F501C8"/>
    <w:rsid w:val="00F509B3"/>
    <w:rsid w:val="00F51A80"/>
    <w:rsid w:val="00F5392A"/>
    <w:rsid w:val="00F54B3C"/>
    <w:rsid w:val="00F604EC"/>
    <w:rsid w:val="00F678DC"/>
    <w:rsid w:val="00F707DA"/>
    <w:rsid w:val="00F80423"/>
    <w:rsid w:val="00F855EC"/>
    <w:rsid w:val="00F8585D"/>
    <w:rsid w:val="00F8611D"/>
    <w:rsid w:val="00F968E8"/>
    <w:rsid w:val="00F96F1F"/>
    <w:rsid w:val="00FA012D"/>
    <w:rsid w:val="00FA0D1A"/>
    <w:rsid w:val="00FA6D9A"/>
    <w:rsid w:val="00FB0673"/>
    <w:rsid w:val="00FB09B7"/>
    <w:rsid w:val="00FB5136"/>
    <w:rsid w:val="00FB79FA"/>
    <w:rsid w:val="00FC05CC"/>
    <w:rsid w:val="00FC1A03"/>
    <w:rsid w:val="00FC38FB"/>
    <w:rsid w:val="00FC5C1D"/>
    <w:rsid w:val="00FC6C3F"/>
    <w:rsid w:val="00FD10DD"/>
    <w:rsid w:val="00FD4D70"/>
    <w:rsid w:val="00FE210E"/>
    <w:rsid w:val="00FF099D"/>
    <w:rsid w:val="00FF4269"/>
    <w:rsid w:val="00FF516F"/>
    <w:rsid w:val="00FF6C9E"/>
    <w:rsid w:val="04991AF9"/>
    <w:rsid w:val="0EC63220"/>
    <w:rsid w:val="0ED1E2D4"/>
    <w:rsid w:val="209CFD63"/>
    <w:rsid w:val="24AE98C3"/>
    <w:rsid w:val="25428B1D"/>
    <w:rsid w:val="380BEDCB"/>
    <w:rsid w:val="3CB4AC24"/>
    <w:rsid w:val="43EEAD09"/>
    <w:rsid w:val="469F2556"/>
    <w:rsid w:val="49DB8B58"/>
    <w:rsid w:val="4BF79D73"/>
    <w:rsid w:val="4D24E770"/>
    <w:rsid w:val="5081E267"/>
    <w:rsid w:val="58BA044D"/>
    <w:rsid w:val="73749DD0"/>
    <w:rsid w:val="7DF2D183"/>
    <w:rsid w:val="7F0324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125AD"/>
  <w15:chartTrackingRefBased/>
  <w15:docId w15:val="{7EE07D0D-074D-43D4-B4F8-76CF76AD9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uiPriority="0" w:semiHidden="1" w:unhideWhenUsed="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qFormat="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locked="0" w:semiHidden="1" w:unhideWhenUsed="1"/>
    <w:lsdException w:name="Default Paragraph Font" w:locked="0" w:uiPriority="1" w:semiHidden="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locked="0"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lsdException w:name="Emphasis" w:uiPriority="20"/>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locked="0"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locked="0"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CA21DD"/>
    <w:pPr>
      <w:spacing w:after="240" w:line="320" w:lineRule="atLeast"/>
    </w:pPr>
    <w:rPr>
      <w:rFonts w:ascii="Arial" w:hAnsi="Arial"/>
      <w:sz w:val="24"/>
    </w:rPr>
  </w:style>
  <w:style w:type="paragraph" w:styleId="Heading1">
    <w:name w:val="heading 1"/>
    <w:basedOn w:val="Normal"/>
    <w:next w:val="Normal"/>
    <w:link w:val="Heading1Char"/>
    <w:uiPriority w:val="9"/>
    <w:qFormat/>
    <w:rsid w:val="00582C8C"/>
    <w:pPr>
      <w:keepNext/>
      <w:keepLines/>
      <w:spacing w:after="480"/>
      <w:outlineLvl w:val="0"/>
    </w:pPr>
    <w:rPr>
      <w:rFonts w:eastAsiaTheme="majorEastAsia" w:cstheme="majorBidi"/>
      <w:color w:val="041E42"/>
      <w:sz w:val="52"/>
      <w:szCs w:val="32"/>
    </w:rPr>
  </w:style>
  <w:style w:type="paragraph" w:styleId="Heading2">
    <w:name w:val="heading 2"/>
    <w:basedOn w:val="Normal"/>
    <w:next w:val="Normal"/>
    <w:link w:val="Heading2Char"/>
    <w:uiPriority w:val="9"/>
    <w:unhideWhenUsed/>
    <w:qFormat/>
    <w:rsid w:val="00F105DF"/>
    <w:pPr>
      <w:keepNext/>
      <w:keepLines/>
      <w:spacing w:before="480" w:after="320"/>
      <w:outlineLvl w:val="1"/>
    </w:pPr>
    <w:rPr>
      <w:rFonts w:eastAsiaTheme="majorEastAsia" w:cstheme="majorBidi"/>
      <w:color w:val="041E42"/>
      <w:sz w:val="36"/>
      <w:szCs w:val="26"/>
    </w:rPr>
  </w:style>
  <w:style w:type="paragraph" w:styleId="Heading3">
    <w:name w:val="heading 3"/>
    <w:basedOn w:val="Normal"/>
    <w:next w:val="Normal"/>
    <w:link w:val="Heading3Char"/>
    <w:uiPriority w:val="9"/>
    <w:unhideWhenUsed/>
    <w:qFormat/>
    <w:rsid w:val="00F105DF"/>
    <w:pPr>
      <w:keepNext/>
      <w:keepLines/>
      <w:outlineLvl w:val="2"/>
    </w:pPr>
    <w:rPr>
      <w:rFonts w:eastAsiaTheme="majorEastAsia" w:cstheme="majorBidi"/>
      <w:color w:val="041E42"/>
      <w:sz w:val="28"/>
      <w:szCs w:val="24"/>
    </w:rPr>
  </w:style>
  <w:style w:type="paragraph" w:styleId="Heading4">
    <w:name w:val="heading 4"/>
    <w:basedOn w:val="Normal"/>
    <w:next w:val="Normal"/>
    <w:link w:val="Heading4Char"/>
    <w:uiPriority w:val="9"/>
    <w:unhideWhenUsed/>
    <w:qFormat/>
    <w:rsid w:val="00582C8C"/>
    <w:pPr>
      <w:keepNext/>
      <w:keepLines/>
      <w:spacing w:after="120"/>
      <w:outlineLvl w:val="3"/>
    </w:pPr>
    <w:rPr>
      <w:rFonts w:eastAsiaTheme="majorEastAsia" w:cstheme="majorBidi"/>
      <w:b/>
      <w:iCs/>
      <w:sz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SNZTitle" w:customStyle="1">
    <w:name w:val="DESNZ Title"/>
    <w:basedOn w:val="Normal"/>
    <w:next w:val="DESNZSub-title"/>
    <w:rsid w:val="00FB0673"/>
    <w:rPr>
      <w:color w:val="041E42"/>
      <w:sz w:val="76"/>
    </w:rPr>
  </w:style>
  <w:style w:type="paragraph" w:styleId="DESNZSub-title" w:customStyle="1">
    <w:name w:val="DESNZ Sub-title"/>
    <w:basedOn w:val="Normal"/>
    <w:next w:val="DESNZDate"/>
    <w:rsid w:val="00E9676C"/>
    <w:pPr>
      <w:spacing w:after="480"/>
    </w:pPr>
    <w:rPr>
      <w:color w:val="868686"/>
      <w:sz w:val="48"/>
    </w:rPr>
  </w:style>
  <w:style w:type="paragraph" w:styleId="Header">
    <w:name w:val="header"/>
    <w:basedOn w:val="Normal"/>
    <w:link w:val="HeaderChar"/>
    <w:uiPriority w:val="99"/>
    <w:unhideWhenUsed/>
    <w:rsid w:val="00490BD3"/>
    <w:pPr>
      <w:tabs>
        <w:tab w:val="center" w:pos="4513"/>
        <w:tab w:val="right" w:pos="9026"/>
      </w:tabs>
      <w:spacing w:after="0"/>
    </w:pPr>
  </w:style>
  <w:style w:type="character" w:styleId="HeaderChar" w:customStyle="1">
    <w:name w:val="Header Char"/>
    <w:basedOn w:val="DefaultParagraphFont"/>
    <w:link w:val="Header"/>
    <w:uiPriority w:val="99"/>
    <w:rsid w:val="00490BD3"/>
  </w:style>
  <w:style w:type="paragraph" w:styleId="Footer">
    <w:name w:val="footer"/>
    <w:basedOn w:val="Normal"/>
    <w:link w:val="FooterChar"/>
    <w:uiPriority w:val="99"/>
    <w:unhideWhenUsed/>
    <w:rsid w:val="00490BD3"/>
    <w:pPr>
      <w:tabs>
        <w:tab w:val="center" w:pos="4513"/>
        <w:tab w:val="right" w:pos="9026"/>
      </w:tabs>
      <w:spacing w:after="0"/>
    </w:pPr>
  </w:style>
  <w:style w:type="character" w:styleId="FooterChar" w:customStyle="1">
    <w:name w:val="Footer Char"/>
    <w:basedOn w:val="DefaultParagraphFont"/>
    <w:link w:val="Footer"/>
    <w:uiPriority w:val="99"/>
    <w:rsid w:val="00490BD3"/>
  </w:style>
  <w:style w:type="paragraph" w:styleId="DESNZDate" w:customStyle="1">
    <w:name w:val="DESNZ Date"/>
    <w:basedOn w:val="Normal"/>
    <w:rsid w:val="00FC1A03"/>
    <w:pPr>
      <w:spacing w:after="0"/>
    </w:pPr>
    <w:rPr>
      <w:color w:val="868686"/>
      <w:sz w:val="28"/>
    </w:rPr>
  </w:style>
  <w:style w:type="paragraph" w:styleId="Copyrightstatement" w:customStyle="1">
    <w:name w:val="Copyright statement"/>
    <w:basedOn w:val="Normal"/>
    <w:rsid w:val="009B7940"/>
    <w:pPr>
      <w:spacing w:after="200" w:line="240" w:lineRule="auto"/>
    </w:pPr>
    <w:rPr>
      <w:sz w:val="20"/>
    </w:rPr>
  </w:style>
  <w:style w:type="character" w:styleId="Hyperlink">
    <w:name w:val="Hyperlink"/>
    <w:basedOn w:val="DefaultParagraphFont"/>
    <w:uiPriority w:val="99"/>
    <w:unhideWhenUsed/>
    <w:rsid w:val="008C2C59"/>
    <w:rPr>
      <w:color w:val="0000FF"/>
      <w:u w:val="single"/>
    </w:rPr>
  </w:style>
  <w:style w:type="character" w:styleId="UnresolvedMention">
    <w:name w:val="Unresolved Mention"/>
    <w:basedOn w:val="DefaultParagraphFont"/>
    <w:uiPriority w:val="99"/>
    <w:semiHidden/>
    <w:unhideWhenUsed/>
    <w:rsid w:val="009C56D8"/>
    <w:rPr>
      <w:color w:val="808080"/>
      <w:shd w:val="clear" w:color="auto" w:fill="E6E6E6"/>
    </w:rPr>
  </w:style>
  <w:style w:type="character" w:styleId="Heading1Char" w:customStyle="1">
    <w:name w:val="Heading 1 Char"/>
    <w:basedOn w:val="DefaultParagraphFont"/>
    <w:link w:val="Heading1"/>
    <w:uiPriority w:val="9"/>
    <w:rsid w:val="00582C8C"/>
    <w:rPr>
      <w:rFonts w:ascii="Arial" w:hAnsi="Arial" w:eastAsiaTheme="majorEastAsia" w:cstheme="majorBidi"/>
      <w:color w:val="041E42"/>
      <w:sz w:val="52"/>
      <w:szCs w:val="32"/>
    </w:rPr>
  </w:style>
  <w:style w:type="paragraph" w:styleId="Contents" w:customStyle="1">
    <w:name w:val="Contents"/>
    <w:basedOn w:val="Heading1"/>
    <w:next w:val="Normal"/>
    <w:rsid w:val="004C1B6A"/>
  </w:style>
  <w:style w:type="character" w:styleId="Heading2Char" w:customStyle="1">
    <w:name w:val="Heading 2 Char"/>
    <w:basedOn w:val="DefaultParagraphFont"/>
    <w:link w:val="Heading2"/>
    <w:uiPriority w:val="9"/>
    <w:rsid w:val="00F105DF"/>
    <w:rPr>
      <w:rFonts w:ascii="Arial" w:hAnsi="Arial" w:eastAsiaTheme="majorEastAsia" w:cstheme="majorBidi"/>
      <w:color w:val="041E42"/>
      <w:sz w:val="36"/>
      <w:szCs w:val="26"/>
    </w:rPr>
  </w:style>
  <w:style w:type="character" w:styleId="Heading3Char" w:customStyle="1">
    <w:name w:val="Heading 3 Char"/>
    <w:basedOn w:val="DefaultParagraphFont"/>
    <w:link w:val="Heading3"/>
    <w:uiPriority w:val="9"/>
    <w:rsid w:val="00F105DF"/>
    <w:rPr>
      <w:rFonts w:ascii="Arial" w:hAnsi="Arial" w:eastAsiaTheme="majorEastAsia" w:cstheme="majorBidi"/>
      <w:color w:val="041E42"/>
      <w:sz w:val="28"/>
      <w:szCs w:val="24"/>
    </w:rPr>
  </w:style>
  <w:style w:type="character" w:styleId="Heading4Char" w:customStyle="1">
    <w:name w:val="Heading 4 Char"/>
    <w:basedOn w:val="DefaultParagraphFont"/>
    <w:link w:val="Heading4"/>
    <w:uiPriority w:val="9"/>
    <w:rsid w:val="00582C8C"/>
    <w:rPr>
      <w:rFonts w:ascii="Arial" w:hAnsi="Arial" w:eastAsiaTheme="majorEastAsia" w:cstheme="majorBidi"/>
      <w:b/>
      <w:iCs/>
      <w:sz w:val="26"/>
    </w:rPr>
  </w:style>
  <w:style w:type="character" w:styleId="Boldtext" w:customStyle="1">
    <w:name w:val="Bold text"/>
    <w:basedOn w:val="DefaultParagraphFont"/>
    <w:uiPriority w:val="1"/>
    <w:qFormat/>
    <w:rsid w:val="00582C8C"/>
    <w:rPr>
      <w:b/>
      <w:color w:val="auto"/>
    </w:rPr>
  </w:style>
  <w:style w:type="paragraph" w:styleId="NoSpacing">
    <w:name w:val="No Spacing"/>
    <w:uiPriority w:val="1"/>
    <w:locked/>
    <w:rsid w:val="000E2D24"/>
    <w:pPr>
      <w:spacing w:after="0" w:line="240" w:lineRule="auto"/>
    </w:pPr>
    <w:rPr>
      <w:rFonts w:ascii="Arial" w:hAnsi="Arial"/>
      <w:sz w:val="24"/>
    </w:rPr>
  </w:style>
  <w:style w:type="paragraph" w:styleId="Introparagraph" w:customStyle="1">
    <w:name w:val="Intro paragraph"/>
    <w:basedOn w:val="Normal"/>
    <w:next w:val="Normal"/>
    <w:uiPriority w:val="2"/>
    <w:qFormat/>
    <w:rsid w:val="000E2D24"/>
    <w:pPr>
      <w:spacing w:line="280" w:lineRule="atLeast"/>
    </w:pPr>
    <w:rPr>
      <w:i/>
      <w:color w:val="041E42"/>
      <w:sz w:val="26"/>
    </w:rPr>
  </w:style>
  <w:style w:type="paragraph" w:styleId="FootnoteText">
    <w:name w:val="footnote text"/>
    <w:basedOn w:val="Normal"/>
    <w:link w:val="FootnoteTextChar"/>
    <w:uiPriority w:val="99"/>
    <w:unhideWhenUsed/>
    <w:rsid w:val="009B7940"/>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9B7940"/>
    <w:rPr>
      <w:rFonts w:ascii="Arial" w:hAnsi="Arial"/>
      <w:sz w:val="20"/>
      <w:szCs w:val="20"/>
    </w:rPr>
  </w:style>
  <w:style w:type="character" w:styleId="FootnoteReference">
    <w:name w:val="footnote reference"/>
    <w:aliases w:val="Footnote symbol,Footnote Refernece,footnote ref,FR,Fußnotenzeichen diss neu,Times 10 Point,Exposant 3 Point,Footnote,Voetnootverwijzing,FR + (Complex) Arial,(Latin) 9 pt,(Complex) 10 pt + (Compl...,BVI fnr,fr,number, Exposant 3 Point"/>
    <w:basedOn w:val="DefaultParagraphFont"/>
    <w:unhideWhenUsed/>
    <w:qFormat/>
    <w:rsid w:val="00B00598"/>
    <w:rPr>
      <w:vertAlign w:val="superscript"/>
    </w:rPr>
  </w:style>
  <w:style w:type="paragraph" w:styleId="Numberedlist" w:customStyle="1">
    <w:name w:val="Numbered list"/>
    <w:basedOn w:val="Normal"/>
    <w:rsid w:val="00D23ED7"/>
    <w:pPr>
      <w:numPr>
        <w:numId w:val="1"/>
      </w:numPr>
      <w:spacing w:after="200"/>
      <w:ind w:left="850" w:hanging="425"/>
    </w:pPr>
  </w:style>
  <w:style w:type="paragraph" w:styleId="Tintbox" w:customStyle="1">
    <w:name w:val="Tint box"/>
    <w:basedOn w:val="Normal"/>
    <w:rsid w:val="00323213"/>
    <w:pPr>
      <w:pBdr>
        <w:top w:val="single" w:color="DFE2EB" w:sz="48" w:space="1"/>
        <w:left w:val="single" w:color="DFE2EB" w:sz="48" w:space="4"/>
        <w:bottom w:val="single" w:color="DFE2EB" w:sz="48" w:space="1"/>
        <w:right w:val="single" w:color="DFE2EB" w:sz="48" w:space="4"/>
      </w:pBdr>
      <w:shd w:val="clear" w:color="auto" w:fill="DFE2EB"/>
      <w:ind w:left="284" w:right="284"/>
    </w:pPr>
  </w:style>
  <w:style w:type="paragraph" w:styleId="TOCHeading">
    <w:name w:val="TOC Heading"/>
    <w:basedOn w:val="Heading1"/>
    <w:next w:val="Normal"/>
    <w:uiPriority w:val="39"/>
    <w:unhideWhenUsed/>
    <w:locked/>
    <w:rsid w:val="00E45851"/>
    <w:pPr>
      <w:spacing w:before="240" w:after="0" w:line="259" w:lineRule="auto"/>
      <w:outlineLvl w:val="9"/>
    </w:pPr>
    <w:rPr>
      <w:rFonts w:asciiTheme="majorHAnsi" w:hAnsiTheme="majorHAnsi"/>
      <w:color w:val="2F5496" w:themeColor="accent1" w:themeShade="BF"/>
      <w:sz w:val="32"/>
      <w:lang w:val="en-US"/>
    </w:rPr>
  </w:style>
  <w:style w:type="paragraph" w:styleId="Notes" w:customStyle="1">
    <w:name w:val="Notes"/>
    <w:basedOn w:val="Normal"/>
    <w:next w:val="Normal"/>
    <w:rsid w:val="002C3101"/>
    <w:pPr>
      <w:spacing w:line="240" w:lineRule="auto"/>
    </w:pPr>
    <w:rPr>
      <w:sz w:val="20"/>
    </w:rPr>
  </w:style>
  <w:style w:type="paragraph" w:styleId="Textbox" w:customStyle="1">
    <w:name w:val="Text box"/>
    <w:basedOn w:val="Normal"/>
    <w:rsid w:val="008C2C59"/>
    <w:pPr>
      <w:pBdr>
        <w:top w:val="single" w:color="2B7EE2" w:sz="4" w:space="6"/>
        <w:left w:val="single" w:color="2B7EE2" w:sz="4" w:space="8"/>
        <w:bottom w:val="single" w:color="2B7EE2" w:sz="4" w:space="6"/>
        <w:right w:val="single" w:color="2B7EE2" w:sz="4" w:space="8"/>
      </w:pBdr>
      <w:ind w:left="284" w:right="284"/>
    </w:pPr>
  </w:style>
  <w:style w:type="character" w:styleId="Italic" w:customStyle="1">
    <w:name w:val="Italic"/>
    <w:basedOn w:val="DefaultParagraphFont"/>
    <w:uiPriority w:val="1"/>
    <w:qFormat/>
    <w:rsid w:val="00BE6077"/>
    <w:rPr>
      <w:i/>
    </w:rPr>
  </w:style>
  <w:style w:type="paragraph" w:styleId="NumberedparagraphSimple" w:customStyle="1">
    <w:name w:val="Numbered paragraph (Simple)"/>
    <w:basedOn w:val="Normal"/>
    <w:link w:val="NumberedparagraphSimpleChar"/>
    <w:autoRedefine/>
    <w:uiPriority w:val="99"/>
    <w:rsid w:val="00BC00CF"/>
    <w:pPr>
      <w:numPr>
        <w:numId w:val="3"/>
      </w:numPr>
      <w:tabs>
        <w:tab w:val="left" w:pos="709"/>
      </w:tabs>
      <w:ind w:left="709" w:hanging="709"/>
    </w:pPr>
    <w:rPr>
      <w:rFonts w:eastAsia="Times New Roman" w:cs="Times New Roman"/>
      <w:szCs w:val="24"/>
    </w:rPr>
  </w:style>
  <w:style w:type="numbering" w:styleId="Numberlist" w:customStyle="1">
    <w:name w:val="Number list"/>
    <w:rsid w:val="004949DB"/>
    <w:pPr>
      <w:numPr>
        <w:numId w:val="2"/>
      </w:numPr>
    </w:pPr>
  </w:style>
  <w:style w:type="character" w:styleId="NumberedparagraphSimpleChar" w:customStyle="1">
    <w:name w:val="Numbered paragraph (Simple) Char"/>
    <w:basedOn w:val="DefaultParagraphFont"/>
    <w:link w:val="NumberedparagraphSimple"/>
    <w:uiPriority w:val="99"/>
    <w:rsid w:val="00BC00CF"/>
    <w:rPr>
      <w:rFonts w:ascii="Arial" w:hAnsi="Arial" w:eastAsia="Times New Roman" w:cs="Times New Roman"/>
      <w:sz w:val="24"/>
      <w:szCs w:val="24"/>
    </w:rPr>
  </w:style>
  <w:style w:type="paragraph" w:styleId="Quote">
    <w:name w:val="Quote"/>
    <w:basedOn w:val="Normal"/>
    <w:next w:val="Normal"/>
    <w:link w:val="QuoteChar"/>
    <w:uiPriority w:val="29"/>
    <w:rsid w:val="00676833"/>
    <w:pPr>
      <w:ind w:left="709" w:right="709"/>
    </w:pPr>
    <w:rPr>
      <w:i/>
      <w:iCs/>
    </w:rPr>
  </w:style>
  <w:style w:type="character" w:styleId="QuoteChar" w:customStyle="1">
    <w:name w:val="Quote Char"/>
    <w:basedOn w:val="DefaultParagraphFont"/>
    <w:link w:val="Quote"/>
    <w:uiPriority w:val="29"/>
    <w:rsid w:val="00676833"/>
    <w:rPr>
      <w:rFonts w:ascii="Arial" w:hAnsi="Arial"/>
      <w:i/>
      <w:iCs/>
      <w:sz w:val="24"/>
    </w:rPr>
  </w:style>
  <w:style w:type="paragraph" w:styleId="DESNZbulletedlist" w:customStyle="1">
    <w:name w:val="DESNZ bulleted list"/>
    <w:basedOn w:val="Normal"/>
    <w:uiPriority w:val="2"/>
    <w:qFormat/>
    <w:rsid w:val="009B7940"/>
    <w:pPr>
      <w:numPr>
        <w:numId w:val="4"/>
      </w:numPr>
      <w:spacing w:after="120"/>
      <w:ind w:left="714" w:hanging="357"/>
    </w:pPr>
  </w:style>
  <w:style w:type="paragraph" w:styleId="Caption">
    <w:name w:val="caption"/>
    <w:basedOn w:val="Normal"/>
    <w:next w:val="Normal"/>
    <w:rsid w:val="008A4611"/>
    <w:pPr>
      <w:spacing w:after="120"/>
    </w:pPr>
    <w:rPr>
      <w:rFonts w:eastAsia="Times New Roman" w:cs="Times New Roman"/>
      <w:b/>
      <w:sz w:val="23"/>
      <w:szCs w:val="24"/>
    </w:rPr>
  </w:style>
  <w:style w:type="table" w:styleId="Table-Darkblue" w:customStyle="1">
    <w:name w:val="Table - Dark blue"/>
    <w:basedOn w:val="TableNormal"/>
    <w:uiPriority w:val="99"/>
    <w:rsid w:val="00BB3475"/>
    <w:pPr>
      <w:spacing w:after="0" w:line="240" w:lineRule="auto"/>
    </w:pPr>
    <w:rPr>
      <w:rFonts w:ascii="Arial" w:hAnsi="Arial" w:eastAsia="Times New Roman" w:cs="Times New Roman"/>
      <w:lang w:eastAsia="en-GB"/>
    </w:rPr>
    <w:tblPr>
      <w:tblBorders>
        <w:top w:val="single" w:color="041E42" w:sz="4" w:space="0"/>
        <w:left w:val="single" w:color="041E42" w:sz="4" w:space="0"/>
        <w:bottom w:val="single" w:color="041E42" w:sz="4" w:space="0"/>
        <w:right w:val="single" w:color="041E42" w:sz="4" w:space="0"/>
        <w:insideH w:val="single" w:color="041E42" w:sz="4" w:space="0"/>
        <w:insideV w:val="single" w:color="041E42" w:sz="4" w:space="0"/>
      </w:tblBorders>
      <w:tblCellMar>
        <w:top w:w="85" w:type="dxa"/>
        <w:bottom w:w="85" w:type="dxa"/>
      </w:tblCellMar>
    </w:tblPr>
    <w:tcPr>
      <w:shd w:val="clear" w:color="auto" w:fill="auto"/>
    </w:tcPr>
    <w:tblStylePr w:type="firstRow">
      <w:pPr>
        <w:wordWrap/>
        <w:spacing w:before="0" w:beforeLines="0" w:beforeAutospacing="0" w:after="0" w:afterLines="0" w:afterAutospacing="0" w:line="240" w:lineRule="auto"/>
        <w:jc w:val="left"/>
      </w:pPr>
      <w:rPr>
        <w:rFonts w:ascii="Arial" w:hAnsi="Arial"/>
        <w:b/>
        <w:color w:val="FFFFFF" w:themeColor="background1"/>
        <w:sz w:val="22"/>
      </w:rPr>
      <w:tblPr/>
      <w:tcPr>
        <w:shd w:val="clear" w:color="auto" w:fill="041E42"/>
        <w:vAlign w:val="center"/>
      </w:tcPr>
    </w:tblStylePr>
  </w:style>
  <w:style w:type="table" w:styleId="Table-Yellow" w:customStyle="1">
    <w:name w:val="Table - Yellow"/>
    <w:basedOn w:val="TableNormal"/>
    <w:uiPriority w:val="99"/>
    <w:rsid w:val="008A4611"/>
    <w:pPr>
      <w:spacing w:after="0" w:line="240" w:lineRule="auto"/>
    </w:pPr>
    <w:rPr>
      <w:rFonts w:ascii="Arial" w:hAnsi="Arial" w:eastAsia="Times New Roman" w:cs="Times New Roman"/>
      <w:lang w:eastAsia="en-GB"/>
    </w:rPr>
    <w:tblPr>
      <w:tblBorders>
        <w:top w:val="single" w:color="FF9F1A" w:sz="2" w:space="0"/>
        <w:left w:val="single" w:color="FF9F1A" w:sz="2" w:space="0"/>
        <w:bottom w:val="single" w:color="FF9F1A" w:sz="2" w:space="0"/>
        <w:right w:val="single" w:color="FF9F1A" w:sz="2" w:space="0"/>
        <w:insideH w:val="single" w:color="FF9F1A" w:sz="2" w:space="0"/>
        <w:insideV w:val="single" w:color="FF9F1A" w:sz="2" w:space="0"/>
      </w:tblBorders>
      <w:tblCellMar>
        <w:top w:w="85" w:type="dxa"/>
        <w:bottom w:w="85" w:type="dxa"/>
      </w:tblCellMar>
    </w:tblPr>
    <w:tcPr>
      <w:shd w:val="clear" w:color="auto" w:fill="auto"/>
    </w:tcPr>
    <w:tblStylePr w:type="firstRow">
      <w:tblPr/>
      <w:tcPr>
        <w:shd w:val="clear" w:color="auto" w:fill="FF9F1A"/>
      </w:tcPr>
    </w:tblStylePr>
  </w:style>
  <w:style w:type="table" w:styleId="Table-Green" w:customStyle="1">
    <w:name w:val="Table - Green"/>
    <w:basedOn w:val="TableNormal"/>
    <w:uiPriority w:val="99"/>
    <w:rsid w:val="008A4611"/>
    <w:pPr>
      <w:spacing w:after="0" w:line="240" w:lineRule="auto"/>
    </w:pPr>
    <w:rPr>
      <w:rFonts w:ascii="Arial" w:hAnsi="Arial" w:eastAsia="Times New Roman" w:cs="Times New Roman"/>
      <w:sz w:val="20"/>
      <w:szCs w:val="20"/>
      <w:lang w:eastAsia="en-GB"/>
    </w:rPr>
    <w:tblPr>
      <w:tblBorders>
        <w:top w:val="single" w:color="8EBB37" w:sz="2" w:space="0"/>
        <w:left w:val="single" w:color="8EBB37" w:sz="2" w:space="0"/>
        <w:bottom w:val="single" w:color="8EBB37" w:sz="2" w:space="0"/>
        <w:right w:val="single" w:color="8EBB37" w:sz="2" w:space="0"/>
        <w:insideH w:val="single" w:color="8EBB37" w:sz="2" w:space="0"/>
        <w:insideV w:val="single" w:color="8EBB37" w:sz="2" w:space="0"/>
      </w:tblBorders>
      <w:tblCellMar>
        <w:top w:w="85" w:type="dxa"/>
        <w:bottom w:w="85" w:type="dxa"/>
      </w:tblCellMar>
    </w:tblPr>
    <w:tcPr>
      <w:shd w:val="clear" w:color="auto" w:fill="auto"/>
    </w:tcPr>
    <w:tblStylePr w:type="firstRow">
      <w:tblPr/>
      <w:tcPr>
        <w:shd w:val="clear" w:color="auto" w:fill="8EBB37"/>
      </w:tcPr>
    </w:tblStylePr>
  </w:style>
  <w:style w:type="table" w:styleId="Table-Lightblue" w:customStyle="1">
    <w:name w:val="Table - Light blue"/>
    <w:basedOn w:val="TableNormal"/>
    <w:uiPriority w:val="99"/>
    <w:rsid w:val="008A4611"/>
    <w:pPr>
      <w:spacing w:after="0" w:line="240" w:lineRule="auto"/>
    </w:pPr>
    <w:rPr>
      <w:rFonts w:ascii="Arial" w:hAnsi="Arial" w:eastAsia="Times New Roman" w:cs="Times New Roman"/>
      <w:lang w:eastAsia="en-GB"/>
    </w:rPr>
    <w:tblPr>
      <w:tblBorders>
        <w:top w:val="single" w:color="2B7EE2" w:sz="4" w:space="0"/>
        <w:left w:val="single" w:color="2B7EE2" w:sz="4" w:space="0"/>
        <w:bottom w:val="single" w:color="2B7EE2" w:sz="4" w:space="0"/>
        <w:right w:val="single" w:color="2B7EE2" w:sz="4" w:space="0"/>
        <w:insideH w:val="single" w:color="2B7EE2" w:sz="4" w:space="0"/>
        <w:insideV w:val="single" w:color="2B7EE2" w:sz="4" w:space="0"/>
      </w:tblBorders>
      <w:tblCellMar>
        <w:top w:w="85" w:type="dxa"/>
        <w:bottom w:w="85" w:type="dxa"/>
      </w:tblCellMar>
    </w:tblPr>
    <w:tcPr>
      <w:shd w:val="clear" w:color="auto" w:fill="auto"/>
    </w:tcPr>
    <w:tblStylePr w:type="firstRow">
      <w:tblPr/>
      <w:tcPr>
        <w:shd w:val="clear" w:color="auto" w:fill="2B7EE2"/>
      </w:tcPr>
    </w:tblStylePr>
  </w:style>
  <w:style w:type="table" w:styleId="Table-Red" w:customStyle="1">
    <w:name w:val="Table - Red"/>
    <w:basedOn w:val="TableNormal"/>
    <w:uiPriority w:val="99"/>
    <w:rsid w:val="008A4611"/>
    <w:pPr>
      <w:spacing w:after="0" w:line="240" w:lineRule="auto"/>
    </w:pPr>
    <w:rPr>
      <w:rFonts w:ascii="Arial" w:hAnsi="Arial" w:eastAsia="Times New Roman" w:cs="Times New Roman"/>
      <w:lang w:eastAsia="en-GB"/>
    </w:rPr>
    <w:tblPr>
      <w:tblBorders>
        <w:top w:val="single" w:color="AC2B37" w:sz="4" w:space="0"/>
        <w:left w:val="single" w:color="AC2B37" w:sz="4" w:space="0"/>
        <w:bottom w:val="single" w:color="AC2B37" w:sz="4" w:space="0"/>
        <w:right w:val="single" w:color="AC2B37" w:sz="4" w:space="0"/>
        <w:insideH w:val="single" w:color="AC2B37" w:sz="4" w:space="0"/>
        <w:insideV w:val="single" w:color="AC2B37" w:sz="4" w:space="0"/>
      </w:tblBorders>
      <w:tblCellMar>
        <w:top w:w="85" w:type="dxa"/>
        <w:bottom w:w="85" w:type="dxa"/>
      </w:tblCellMar>
    </w:tblPr>
    <w:tcPr>
      <w:shd w:val="clear" w:color="auto" w:fill="auto"/>
    </w:tcPr>
    <w:tblStylePr w:type="firstRow">
      <w:tblPr/>
      <w:tcPr>
        <w:shd w:val="clear" w:color="auto" w:fill="AC2B37"/>
      </w:tcPr>
    </w:tblStylePr>
  </w:style>
  <w:style w:type="paragraph" w:styleId="TOC1">
    <w:name w:val="toc 1"/>
    <w:basedOn w:val="Normal"/>
    <w:next w:val="Normal"/>
    <w:autoRedefine/>
    <w:uiPriority w:val="39"/>
    <w:unhideWhenUsed/>
    <w:rsid w:val="00E45851"/>
    <w:pPr>
      <w:tabs>
        <w:tab w:val="right" w:leader="underscore" w:pos="10082"/>
      </w:tabs>
      <w:spacing w:before="120" w:after="120"/>
    </w:pPr>
    <w:rPr>
      <w:color w:val="041E42"/>
    </w:rPr>
  </w:style>
  <w:style w:type="paragraph" w:styleId="TOC2">
    <w:name w:val="toc 2"/>
    <w:basedOn w:val="Normal"/>
    <w:next w:val="Normal"/>
    <w:autoRedefine/>
    <w:uiPriority w:val="39"/>
    <w:unhideWhenUsed/>
    <w:rsid w:val="00E45851"/>
    <w:pPr>
      <w:tabs>
        <w:tab w:val="right" w:leader="underscore" w:pos="10082"/>
      </w:tabs>
      <w:spacing w:before="120" w:after="120"/>
      <w:ind w:left="238"/>
    </w:pPr>
    <w:rPr>
      <w:color w:val="041E42"/>
    </w:rPr>
  </w:style>
  <w:style w:type="paragraph" w:styleId="TOC3">
    <w:name w:val="toc 3"/>
    <w:basedOn w:val="Normal"/>
    <w:next w:val="Normal"/>
    <w:autoRedefine/>
    <w:uiPriority w:val="39"/>
    <w:unhideWhenUsed/>
    <w:rsid w:val="00E45851"/>
    <w:pPr>
      <w:spacing w:after="120"/>
      <w:ind w:left="482"/>
    </w:pPr>
    <w:rPr>
      <w:color w:val="041E42"/>
    </w:rPr>
  </w:style>
  <w:style w:type="table" w:styleId="TableGrid">
    <w:name w:val="Table Grid"/>
    <w:basedOn w:val="TableNormal"/>
    <w:uiPriority w:val="39"/>
    <w:rsid w:val="00AC531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NormalWhite" w:customStyle="1">
    <w:name w:val="Table heading - Normal (White)"/>
    <w:basedOn w:val="Normal"/>
    <w:next w:val="Normal"/>
    <w:rsid w:val="00483BA0"/>
    <w:pPr>
      <w:spacing w:before="60" w:after="60"/>
      <w:ind w:left="113" w:right="113"/>
    </w:pPr>
    <w:rPr>
      <w:rFonts w:eastAsia="Times New Roman" w:cs="Times New Roman"/>
      <w:b/>
      <w:color w:val="FFFFFF" w:themeColor="background1"/>
      <w:sz w:val="22"/>
      <w:lang w:eastAsia="en-GB"/>
    </w:rPr>
  </w:style>
  <w:style w:type="paragraph" w:styleId="Tableheading-SmallWhite" w:customStyle="1">
    <w:name w:val="Table heading - Small (White)"/>
    <w:basedOn w:val="Tableheading-NormalWhite"/>
    <w:rsid w:val="00483BA0"/>
    <w:rPr>
      <w:color w:val="FFFFFF"/>
      <w:sz w:val="20"/>
    </w:rPr>
  </w:style>
  <w:style w:type="paragraph" w:styleId="Tableheading-NormalBlack" w:customStyle="1">
    <w:name w:val="Table heading - Normal (Black)"/>
    <w:basedOn w:val="Tableheading-NormalWhite"/>
    <w:next w:val="Normal"/>
    <w:rsid w:val="00483BA0"/>
    <w:rPr>
      <w:color w:val="000000" w:themeColor="text1"/>
      <w:szCs w:val="20"/>
    </w:rPr>
  </w:style>
  <w:style w:type="paragraph" w:styleId="Tableheading-SmallBlack" w:customStyle="1">
    <w:name w:val="Table heading - Small (Black)"/>
    <w:basedOn w:val="Tableheading-NormalBlack"/>
    <w:next w:val="Normal"/>
    <w:rsid w:val="00483BA0"/>
    <w:rPr>
      <w:sz w:val="20"/>
    </w:rPr>
  </w:style>
  <w:style w:type="paragraph" w:styleId="Tabletext-Normal" w:customStyle="1">
    <w:name w:val="Table text - Normal"/>
    <w:basedOn w:val="Normal"/>
    <w:rsid w:val="00730608"/>
    <w:pPr>
      <w:spacing w:after="60"/>
      <w:ind w:left="113" w:right="113"/>
    </w:pPr>
    <w:rPr>
      <w:rFonts w:eastAsia="Times New Roman" w:cs="Times New Roman"/>
      <w:sz w:val="22"/>
      <w:lang w:eastAsia="en-GB"/>
    </w:rPr>
  </w:style>
  <w:style w:type="paragraph" w:styleId="Tabletext-Small" w:customStyle="1">
    <w:name w:val="Table text - Small"/>
    <w:basedOn w:val="Tabletext-Normal"/>
    <w:rsid w:val="00730608"/>
    <w:rPr>
      <w:sz w:val="20"/>
    </w:rPr>
  </w:style>
  <w:style w:type="paragraph" w:styleId="Tabletext-NormalBold" w:customStyle="1">
    <w:name w:val="Table text - Normal (Bold)"/>
    <w:basedOn w:val="Tabletext-Normal"/>
    <w:next w:val="Tabletext-Normal"/>
    <w:rsid w:val="00730608"/>
    <w:rPr>
      <w:b/>
    </w:rPr>
  </w:style>
  <w:style w:type="paragraph" w:styleId="Tabletext-SmallBold" w:customStyle="1">
    <w:name w:val="Table text - Small (Bold)"/>
    <w:basedOn w:val="Tabletext-Small"/>
    <w:next w:val="Tabletext-Small"/>
    <w:rsid w:val="00730608"/>
    <w:rPr>
      <w:b/>
    </w:rPr>
  </w:style>
  <w:style w:type="table" w:styleId="Table-bluegrid1" w:customStyle="1">
    <w:name w:val="Table - blue grid1"/>
    <w:basedOn w:val="TableNormal"/>
    <w:uiPriority w:val="99"/>
    <w:locked/>
    <w:rsid w:val="007D7412"/>
    <w:pPr>
      <w:spacing w:after="0" w:line="240" w:lineRule="auto"/>
    </w:pPr>
    <w:rPr>
      <w:rFonts w:ascii="Arial" w:hAnsi="Arial" w:eastAsia="Times New Roman" w:cs="Times New Roman"/>
      <w:lang w:eastAsia="en-GB"/>
    </w:rPr>
    <w:tblPr>
      <w:tblBorders>
        <w:top w:val="single" w:color="041E42" w:sz="4" w:space="0"/>
        <w:left w:val="single" w:color="041E42" w:sz="4" w:space="0"/>
        <w:bottom w:val="single" w:color="041E42" w:sz="4" w:space="0"/>
        <w:right w:val="single" w:color="041E42" w:sz="4" w:space="0"/>
        <w:insideH w:val="single" w:color="041E42" w:sz="4" w:space="0"/>
        <w:insideV w:val="single" w:color="041E42" w:sz="4" w:space="0"/>
      </w:tblBorders>
      <w:tblCellMar>
        <w:top w:w="85" w:type="dxa"/>
        <w:bottom w:w="85" w:type="dxa"/>
      </w:tblCellMar>
    </w:tblPr>
    <w:tcPr>
      <w:shd w:val="clear" w:color="auto" w:fill="auto"/>
    </w:tcPr>
    <w:tblStylePr w:type="firstRow">
      <w:pPr>
        <w:wordWrap/>
        <w:spacing w:before="0" w:beforeLines="0" w:beforeAutospacing="0" w:after="0" w:afterLines="0" w:afterAutospacing="0" w:line="240" w:lineRule="auto"/>
        <w:jc w:val="left"/>
      </w:pPr>
      <w:rPr>
        <w:rFonts w:ascii="Arial" w:hAnsi="Arial"/>
        <w:b/>
        <w:color w:val="FFFFFF" w:themeColor="background1"/>
        <w:sz w:val="22"/>
      </w:rPr>
      <w:tblPr/>
      <w:tcPr>
        <w:shd w:val="clear" w:color="auto" w:fill="041E42"/>
        <w:vAlign w:val="center"/>
      </w:tcPr>
    </w:tblStylePr>
  </w:style>
  <w:style w:type="table" w:styleId="PlainTable4">
    <w:name w:val="Plain Table 4"/>
    <w:basedOn w:val="TableNormal"/>
    <w:uiPriority w:val="44"/>
    <w:locked/>
    <w:rsid w:val="005F29F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5F29FE"/>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locked/>
    <w:rsid w:val="00B079B3"/>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locked/>
    <w:rsid w:val="00B079B3"/>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DarkblueBackground" w:customStyle="1">
    <w:name w:val="Table - Dark blue (Background)"/>
    <w:basedOn w:val="Table-Darkblue"/>
    <w:uiPriority w:val="99"/>
    <w:rsid w:val="00B90EA8"/>
    <w:tblPr>
      <w:tblBorders>
        <w:top w:val="none" w:color="auto" w:sz="0" w:space="0"/>
        <w:left w:val="none" w:color="auto" w:sz="0" w:space="0"/>
        <w:bottom w:val="none" w:color="auto" w:sz="0" w:space="0"/>
        <w:right w:val="none" w:color="auto" w:sz="0" w:space="0"/>
        <w:insideH w:val="none" w:color="auto" w:sz="0" w:space="0"/>
        <w:insideV w:val="none" w:color="auto" w:sz="0" w:space="0"/>
      </w:tblBorders>
    </w:tblPr>
    <w:tcPr>
      <w:shd w:val="clear" w:color="auto" w:fill="DFE2EB"/>
    </w:tcPr>
    <w:tblStylePr w:type="firstRow">
      <w:pPr>
        <w:wordWrap/>
        <w:spacing w:before="0" w:beforeLines="0" w:beforeAutospacing="0" w:after="0" w:afterLines="0" w:afterAutospacing="0" w:line="240" w:lineRule="auto"/>
        <w:jc w:val="left"/>
      </w:pPr>
      <w:rPr>
        <w:rFonts w:ascii="Arial" w:hAnsi="Arial"/>
        <w:b/>
        <w:color w:val="FFFFFF" w:themeColor="background1"/>
        <w:sz w:val="22"/>
      </w:rPr>
      <w:tblPr/>
      <w:tcPr>
        <w:shd w:val="clear" w:color="auto" w:fill="041E42"/>
        <w:vAlign w:val="center"/>
      </w:tcPr>
    </w:tblStylePr>
  </w:style>
  <w:style w:type="table" w:styleId="Table-DarkblueBanded" w:customStyle="1">
    <w:name w:val="Table - Dark blue (Banded)"/>
    <w:basedOn w:val="Table-DarkblueBackground"/>
    <w:uiPriority w:val="99"/>
    <w:rsid w:val="00972D3A"/>
    <w:tblPr>
      <w:tblStyleRowBandSize w:val="1"/>
    </w:tblPr>
    <w:tblStylePr w:type="firstRow">
      <w:pPr>
        <w:wordWrap/>
        <w:spacing w:before="0" w:beforeLines="0" w:beforeAutospacing="0" w:after="0" w:afterLines="0" w:afterAutospacing="0" w:line="240" w:lineRule="auto"/>
        <w:jc w:val="left"/>
      </w:pPr>
      <w:rPr>
        <w:rFonts w:ascii="Arial" w:hAnsi="Arial"/>
        <w:b/>
        <w:color w:val="FFFFFF" w:themeColor="background1"/>
        <w:sz w:val="22"/>
      </w:rPr>
      <w:tblPr/>
      <w:tcPr>
        <w:shd w:val="clear" w:color="auto" w:fill="041E42"/>
        <w:vAlign w:val="center"/>
      </w:tcPr>
    </w:tblStylePr>
    <w:tblStylePr w:type="band1Horz">
      <w:tblPr/>
      <w:tcPr>
        <w:shd w:val="clear" w:color="auto" w:fill="FFFFFF" w:themeFill="background1"/>
      </w:tcPr>
    </w:tblStylePr>
    <w:tblStylePr w:type="band2Horz">
      <w:tblPr/>
      <w:tcPr>
        <w:shd w:val="clear" w:color="auto" w:fill="DFE2EB"/>
      </w:tcPr>
    </w:tblStylePr>
  </w:style>
  <w:style w:type="table" w:styleId="Table-YellowBackground" w:customStyle="1">
    <w:name w:val="Table - Yellow (Background)"/>
    <w:basedOn w:val="Table-Yellow"/>
    <w:uiPriority w:val="99"/>
    <w:rsid w:val="00972D3A"/>
    <w:tblPr>
      <w:tblBorders>
        <w:top w:val="none" w:color="auto" w:sz="0" w:space="0"/>
        <w:left w:val="none" w:color="auto" w:sz="0" w:space="0"/>
        <w:bottom w:val="none" w:color="auto" w:sz="0" w:space="0"/>
        <w:right w:val="none" w:color="auto" w:sz="0" w:space="0"/>
        <w:insideH w:val="none" w:color="auto" w:sz="0" w:space="0"/>
        <w:insideV w:val="none" w:color="auto" w:sz="0" w:space="0"/>
      </w:tblBorders>
    </w:tblPr>
    <w:tcPr>
      <w:shd w:val="clear" w:color="auto" w:fill="FFF7ED"/>
    </w:tcPr>
    <w:tblStylePr w:type="firstRow">
      <w:tblPr/>
      <w:tcPr>
        <w:shd w:val="clear" w:color="auto" w:fill="FF9F1A"/>
      </w:tcPr>
    </w:tblStylePr>
  </w:style>
  <w:style w:type="table" w:styleId="Table-YellowBanded" w:customStyle="1">
    <w:name w:val="Table - Yellow (Banded)"/>
    <w:basedOn w:val="Table-YellowBackground"/>
    <w:uiPriority w:val="99"/>
    <w:rsid w:val="00AC5316"/>
    <w:tblPr>
      <w:tblStyleRowBandSize w:val="1"/>
    </w:tblPr>
    <w:tblStylePr w:type="firstRow">
      <w:tblPr/>
      <w:tcPr>
        <w:shd w:val="clear" w:color="auto" w:fill="FF9F1A"/>
      </w:tcPr>
    </w:tblStylePr>
    <w:tblStylePr w:type="band1Horz">
      <w:tblPr/>
      <w:tcPr>
        <w:shd w:val="clear" w:color="auto" w:fill="FFFFFF" w:themeFill="background1"/>
      </w:tcPr>
    </w:tblStylePr>
  </w:style>
  <w:style w:type="table" w:styleId="Table-GreenBackground" w:customStyle="1">
    <w:name w:val="Table - Green (Background)"/>
    <w:basedOn w:val="Table-Green"/>
    <w:uiPriority w:val="99"/>
    <w:rsid w:val="00AC5316"/>
    <w:tblPr>
      <w:tblBorders>
        <w:top w:val="none" w:color="auto" w:sz="0" w:space="0"/>
        <w:left w:val="none" w:color="auto" w:sz="0" w:space="0"/>
        <w:bottom w:val="none" w:color="auto" w:sz="0" w:space="0"/>
        <w:right w:val="none" w:color="auto" w:sz="0" w:space="0"/>
        <w:insideH w:val="none" w:color="auto" w:sz="0" w:space="0"/>
        <w:insideV w:val="none" w:color="auto" w:sz="0" w:space="0"/>
      </w:tblBorders>
    </w:tblPr>
    <w:tcPr>
      <w:shd w:val="clear" w:color="auto" w:fill="F3F7ED"/>
    </w:tcPr>
    <w:tblStylePr w:type="firstRow">
      <w:tblPr/>
      <w:tcPr>
        <w:shd w:val="clear" w:color="auto" w:fill="8EBB37"/>
      </w:tcPr>
    </w:tblStylePr>
  </w:style>
  <w:style w:type="table" w:styleId="Table-GreenBanded" w:customStyle="1">
    <w:name w:val="Table - Green (Banded)"/>
    <w:basedOn w:val="Table-GreenBackground"/>
    <w:uiPriority w:val="99"/>
    <w:rsid w:val="00AC5316"/>
    <w:tblPr>
      <w:tblStyleRowBandSize w:val="1"/>
    </w:tblPr>
    <w:tblStylePr w:type="firstRow">
      <w:tblPr/>
      <w:tcPr>
        <w:shd w:val="clear" w:color="auto" w:fill="8EBB37"/>
      </w:tcPr>
    </w:tblStylePr>
    <w:tblStylePr w:type="band1Horz">
      <w:tblPr/>
      <w:tcPr>
        <w:shd w:val="clear" w:color="auto" w:fill="FFFFFF" w:themeFill="background1"/>
      </w:tcPr>
    </w:tblStylePr>
  </w:style>
  <w:style w:type="table" w:styleId="Table-RedBackground" w:customStyle="1">
    <w:name w:val="Table - Red (Background)"/>
    <w:basedOn w:val="Table-Red"/>
    <w:uiPriority w:val="99"/>
    <w:rsid w:val="00AC5316"/>
    <w:tblPr>
      <w:tblBorders>
        <w:top w:val="none" w:color="auto" w:sz="0" w:space="0"/>
        <w:left w:val="none" w:color="auto" w:sz="0" w:space="0"/>
        <w:bottom w:val="none" w:color="auto" w:sz="0" w:space="0"/>
        <w:right w:val="none" w:color="auto" w:sz="0" w:space="0"/>
        <w:insideH w:val="none" w:color="auto" w:sz="0" w:space="0"/>
        <w:insideV w:val="none" w:color="auto" w:sz="0" w:space="0"/>
      </w:tblBorders>
    </w:tblPr>
    <w:tcPr>
      <w:shd w:val="clear" w:color="auto" w:fill="FCEDE6"/>
    </w:tcPr>
    <w:tblStylePr w:type="firstRow">
      <w:tblPr/>
      <w:tcPr>
        <w:shd w:val="clear" w:color="auto" w:fill="AC2B37"/>
      </w:tcPr>
    </w:tblStylePr>
  </w:style>
  <w:style w:type="table" w:styleId="Table-RedBanded" w:customStyle="1">
    <w:name w:val="Table - Red (Banded)"/>
    <w:basedOn w:val="Table-RedBackground"/>
    <w:uiPriority w:val="99"/>
    <w:rsid w:val="00AC5316"/>
    <w:tblPr>
      <w:tblStyleRowBandSize w:val="1"/>
    </w:tblPr>
    <w:tblStylePr w:type="firstRow">
      <w:tblPr/>
      <w:tcPr>
        <w:shd w:val="clear" w:color="auto" w:fill="AC2B37"/>
      </w:tcPr>
    </w:tblStylePr>
    <w:tblStylePr w:type="band1Horz">
      <w:tblPr/>
      <w:tcPr>
        <w:shd w:val="clear" w:color="auto" w:fill="FFFFFF" w:themeFill="background1"/>
      </w:tcPr>
    </w:tblStylePr>
  </w:style>
  <w:style w:type="table" w:styleId="Table-LightblueBackground" w:customStyle="1">
    <w:name w:val="Table - Light blue (Background)"/>
    <w:basedOn w:val="Table-Lightblue"/>
    <w:uiPriority w:val="99"/>
    <w:rsid w:val="00AC5316"/>
    <w:tblPr>
      <w:tblBorders>
        <w:top w:val="none" w:color="auto" w:sz="0" w:space="0"/>
        <w:left w:val="none" w:color="auto" w:sz="0" w:space="0"/>
        <w:bottom w:val="none" w:color="auto" w:sz="0" w:space="0"/>
        <w:right w:val="none" w:color="auto" w:sz="0" w:space="0"/>
        <w:insideH w:val="none" w:color="auto" w:sz="0" w:space="0"/>
        <w:insideV w:val="none" w:color="auto" w:sz="0" w:space="0"/>
      </w:tblBorders>
    </w:tblPr>
    <w:tcPr>
      <w:shd w:val="clear" w:color="auto" w:fill="F0F7F7"/>
    </w:tcPr>
    <w:tblStylePr w:type="firstRow">
      <w:tblPr/>
      <w:tcPr>
        <w:shd w:val="clear" w:color="auto" w:fill="2B7EE2"/>
      </w:tcPr>
    </w:tblStylePr>
  </w:style>
  <w:style w:type="table" w:styleId="Table-LightblueBanded" w:customStyle="1">
    <w:name w:val="Table - Light blue (Banded)"/>
    <w:basedOn w:val="Table-LightblueBackground"/>
    <w:uiPriority w:val="99"/>
    <w:rsid w:val="00AC5316"/>
    <w:tblPr>
      <w:tblStyleRowBandSize w:val="1"/>
    </w:tblPr>
    <w:tblStylePr w:type="firstRow">
      <w:tblPr/>
      <w:tcPr>
        <w:shd w:val="clear" w:color="auto" w:fill="2B7EE2"/>
      </w:tcPr>
    </w:tblStylePr>
    <w:tblStylePr w:type="band1Horz">
      <w:tblPr/>
      <w:tcPr>
        <w:shd w:val="clear" w:color="auto" w:fill="FFFFFF" w:themeFill="background1"/>
      </w:tcPr>
    </w:tblStylePr>
  </w:style>
  <w:style w:type="paragraph" w:styleId="ListParagraph">
    <w:name w:val="List Paragraph"/>
    <w:aliases w:val="cS List Paragraph,Dot pt,No Spacing1,List Paragraph Char Char Char,Indicator Text,Numbered Para 1,List Paragraph1,Bullet Points,MAIN CONTENT,List Paragraph12,F5 List Paragraph,OBC Bullet,Colorful List - Accent 11,Normal numbered"/>
    <w:basedOn w:val="Normal"/>
    <w:uiPriority w:val="34"/>
    <w:qFormat/>
    <w:rsid w:val="00BC00CF"/>
    <w:pPr>
      <w:spacing w:after="160" w:line="259" w:lineRule="auto"/>
      <w:ind w:left="720"/>
      <w:contextualSpacing/>
    </w:pPr>
    <w:rPr>
      <w:rFonts w:asciiTheme="minorHAnsi" w:hAnsiTheme="minorHAnsi"/>
      <w:sz w:val="22"/>
    </w:rPr>
  </w:style>
  <w:style w:type="paragraph" w:styleId="Heading1Legal-Level1" w:customStyle="1">
    <w:name w:val="Heading 1 (Legal) - Level 1"/>
    <w:basedOn w:val="Heading1"/>
    <w:next w:val="NumberedparagraphLegal-Level2"/>
    <w:rsid w:val="002F28E4"/>
    <w:pPr>
      <w:pageBreakBefore/>
      <w:numPr>
        <w:numId w:val="5"/>
      </w:numPr>
      <w:ind w:left="851" w:hanging="851"/>
    </w:pPr>
  </w:style>
  <w:style w:type="paragraph" w:styleId="NumberedparagraphLegal-Level2" w:customStyle="1">
    <w:name w:val="Numbered paragraph (Legal) - Level 2"/>
    <w:basedOn w:val="Normal"/>
    <w:rsid w:val="002F28E4"/>
    <w:pPr>
      <w:numPr>
        <w:ilvl w:val="1"/>
        <w:numId w:val="5"/>
      </w:numPr>
      <w:ind w:left="851" w:hanging="851"/>
    </w:pPr>
  </w:style>
  <w:style w:type="paragraph" w:styleId="NumberedparagraphLegal-Level3" w:customStyle="1">
    <w:name w:val="Numbered paragraph (Legal) - Level 3"/>
    <w:basedOn w:val="Normal"/>
    <w:rsid w:val="002F28E4"/>
    <w:pPr>
      <w:numPr>
        <w:ilvl w:val="2"/>
        <w:numId w:val="5"/>
      </w:numPr>
      <w:ind w:left="851" w:hanging="851"/>
    </w:pPr>
  </w:style>
  <w:style w:type="numbering" w:styleId="Legalnumbering" w:customStyle="1">
    <w:name w:val="Legal numbering"/>
    <w:uiPriority w:val="99"/>
    <w:rsid w:val="002F28E4"/>
    <w:pPr>
      <w:numPr>
        <w:numId w:val="6"/>
      </w:numPr>
    </w:pPr>
  </w:style>
  <w:style w:type="character" w:styleId="FollowedHyperlink">
    <w:name w:val="FollowedHyperlink"/>
    <w:basedOn w:val="DefaultParagraphFont"/>
    <w:uiPriority w:val="99"/>
    <w:semiHidden/>
    <w:unhideWhenUsed/>
    <w:rsid w:val="00806A69"/>
    <w:rPr>
      <w:color w:val="954F72" w:themeColor="followedHyperlink"/>
      <w:u w:val="single"/>
    </w:rPr>
  </w:style>
  <w:style w:type="paragraph" w:styleId="DESNZResearchNo" w:customStyle="1">
    <w:name w:val="DESNZ Research No."/>
    <w:basedOn w:val="DESNZDate"/>
    <w:next w:val="Normal"/>
    <w:rsid w:val="00FC1A03"/>
  </w:style>
  <w:style w:type="character" w:styleId="CommentReference">
    <w:name w:val="annotation reference"/>
    <w:basedOn w:val="DefaultParagraphFont"/>
    <w:uiPriority w:val="99"/>
    <w:semiHidden/>
    <w:unhideWhenUsed/>
    <w:rsid w:val="008C1C8D"/>
    <w:rPr>
      <w:sz w:val="16"/>
      <w:szCs w:val="16"/>
    </w:rPr>
  </w:style>
  <w:style w:type="paragraph" w:styleId="CommentText">
    <w:name w:val="annotation text"/>
    <w:basedOn w:val="Normal"/>
    <w:link w:val="CommentTextChar"/>
    <w:uiPriority w:val="99"/>
    <w:unhideWhenUsed/>
    <w:rsid w:val="008C1C8D"/>
    <w:pPr>
      <w:spacing w:after="160" w:line="240" w:lineRule="auto"/>
    </w:pPr>
    <w:rPr>
      <w:rFonts w:asciiTheme="minorHAnsi" w:hAnsiTheme="minorHAnsi"/>
      <w:kern w:val="2"/>
      <w:sz w:val="20"/>
      <w:szCs w:val="20"/>
      <w14:ligatures w14:val="standardContextual"/>
    </w:rPr>
  </w:style>
  <w:style w:type="character" w:styleId="CommentTextChar" w:customStyle="1">
    <w:name w:val="Comment Text Char"/>
    <w:basedOn w:val="DefaultParagraphFont"/>
    <w:link w:val="CommentText"/>
    <w:uiPriority w:val="99"/>
    <w:rsid w:val="008C1C8D"/>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8C1C8D"/>
    <w:pPr>
      <w:spacing w:after="240"/>
    </w:pPr>
    <w:rPr>
      <w:rFonts w:ascii="Arial" w:hAnsi="Arial"/>
      <w:b/>
      <w:bCs/>
      <w:kern w:val="0"/>
      <w14:ligatures w14:val="none"/>
    </w:rPr>
  </w:style>
  <w:style w:type="character" w:styleId="CommentSubjectChar" w:customStyle="1">
    <w:name w:val="Comment Subject Char"/>
    <w:basedOn w:val="CommentTextChar"/>
    <w:link w:val="CommentSubject"/>
    <w:uiPriority w:val="99"/>
    <w:semiHidden/>
    <w:rsid w:val="008C1C8D"/>
    <w:rPr>
      <w:rFonts w:ascii="Arial" w:hAnsi="Arial"/>
      <w:b/>
      <w:bCs/>
      <w:kern w:val="2"/>
      <w:sz w:val="20"/>
      <w:szCs w:val="20"/>
      <w14:ligatures w14:val="standardContextual"/>
    </w:rPr>
  </w:style>
  <w:style w:type="paragraph" w:styleId="Revision">
    <w:name w:val="Revision"/>
    <w:hidden/>
    <w:uiPriority w:val="99"/>
    <w:semiHidden/>
    <w:rsid w:val="00A60737"/>
    <w:pPr>
      <w:spacing w:after="0" w:line="240" w:lineRule="auto"/>
    </w:pPr>
    <w:rPr>
      <w:rFonts w:ascii="Arial" w:hAnsi="Arial"/>
      <w:sz w:val="24"/>
    </w:rPr>
  </w:style>
  <w:style w:type="character" w:styleId="Mention">
    <w:name w:val="Mention"/>
    <w:basedOn w:val="DefaultParagraphFont"/>
    <w:uiPriority w:val="99"/>
    <w:unhideWhenUsed/>
    <w:rsid w:val="007A365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0044">
      <w:bodyDiv w:val="1"/>
      <w:marLeft w:val="0"/>
      <w:marRight w:val="0"/>
      <w:marTop w:val="0"/>
      <w:marBottom w:val="0"/>
      <w:divBdr>
        <w:top w:val="none" w:sz="0" w:space="0" w:color="auto"/>
        <w:left w:val="none" w:sz="0" w:space="0" w:color="auto"/>
        <w:bottom w:val="none" w:sz="0" w:space="0" w:color="auto"/>
        <w:right w:val="none" w:sz="0" w:space="0" w:color="auto"/>
      </w:divBdr>
    </w:div>
    <w:div w:id="104430445">
      <w:bodyDiv w:val="1"/>
      <w:marLeft w:val="0"/>
      <w:marRight w:val="0"/>
      <w:marTop w:val="0"/>
      <w:marBottom w:val="0"/>
      <w:divBdr>
        <w:top w:val="none" w:sz="0" w:space="0" w:color="auto"/>
        <w:left w:val="none" w:sz="0" w:space="0" w:color="auto"/>
        <w:bottom w:val="none" w:sz="0" w:space="0" w:color="auto"/>
        <w:right w:val="none" w:sz="0" w:space="0" w:color="auto"/>
      </w:divBdr>
    </w:div>
    <w:div w:id="117333476">
      <w:bodyDiv w:val="1"/>
      <w:marLeft w:val="0"/>
      <w:marRight w:val="0"/>
      <w:marTop w:val="0"/>
      <w:marBottom w:val="0"/>
      <w:divBdr>
        <w:top w:val="none" w:sz="0" w:space="0" w:color="auto"/>
        <w:left w:val="none" w:sz="0" w:space="0" w:color="auto"/>
        <w:bottom w:val="none" w:sz="0" w:space="0" w:color="auto"/>
        <w:right w:val="none" w:sz="0" w:space="0" w:color="auto"/>
      </w:divBdr>
    </w:div>
    <w:div w:id="132210958">
      <w:bodyDiv w:val="1"/>
      <w:marLeft w:val="0"/>
      <w:marRight w:val="0"/>
      <w:marTop w:val="0"/>
      <w:marBottom w:val="0"/>
      <w:divBdr>
        <w:top w:val="none" w:sz="0" w:space="0" w:color="auto"/>
        <w:left w:val="none" w:sz="0" w:space="0" w:color="auto"/>
        <w:bottom w:val="none" w:sz="0" w:space="0" w:color="auto"/>
        <w:right w:val="none" w:sz="0" w:space="0" w:color="auto"/>
      </w:divBdr>
    </w:div>
    <w:div w:id="287199760">
      <w:bodyDiv w:val="1"/>
      <w:marLeft w:val="0"/>
      <w:marRight w:val="0"/>
      <w:marTop w:val="0"/>
      <w:marBottom w:val="0"/>
      <w:divBdr>
        <w:top w:val="none" w:sz="0" w:space="0" w:color="auto"/>
        <w:left w:val="none" w:sz="0" w:space="0" w:color="auto"/>
        <w:bottom w:val="none" w:sz="0" w:space="0" w:color="auto"/>
        <w:right w:val="none" w:sz="0" w:space="0" w:color="auto"/>
      </w:divBdr>
    </w:div>
    <w:div w:id="289675399">
      <w:bodyDiv w:val="1"/>
      <w:marLeft w:val="0"/>
      <w:marRight w:val="0"/>
      <w:marTop w:val="0"/>
      <w:marBottom w:val="0"/>
      <w:divBdr>
        <w:top w:val="none" w:sz="0" w:space="0" w:color="auto"/>
        <w:left w:val="none" w:sz="0" w:space="0" w:color="auto"/>
        <w:bottom w:val="none" w:sz="0" w:space="0" w:color="auto"/>
        <w:right w:val="none" w:sz="0" w:space="0" w:color="auto"/>
      </w:divBdr>
    </w:div>
    <w:div w:id="305745581">
      <w:bodyDiv w:val="1"/>
      <w:marLeft w:val="0"/>
      <w:marRight w:val="0"/>
      <w:marTop w:val="0"/>
      <w:marBottom w:val="0"/>
      <w:divBdr>
        <w:top w:val="none" w:sz="0" w:space="0" w:color="auto"/>
        <w:left w:val="none" w:sz="0" w:space="0" w:color="auto"/>
        <w:bottom w:val="none" w:sz="0" w:space="0" w:color="auto"/>
        <w:right w:val="none" w:sz="0" w:space="0" w:color="auto"/>
      </w:divBdr>
    </w:div>
    <w:div w:id="379675603">
      <w:bodyDiv w:val="1"/>
      <w:marLeft w:val="0"/>
      <w:marRight w:val="0"/>
      <w:marTop w:val="0"/>
      <w:marBottom w:val="0"/>
      <w:divBdr>
        <w:top w:val="none" w:sz="0" w:space="0" w:color="auto"/>
        <w:left w:val="none" w:sz="0" w:space="0" w:color="auto"/>
        <w:bottom w:val="none" w:sz="0" w:space="0" w:color="auto"/>
        <w:right w:val="none" w:sz="0" w:space="0" w:color="auto"/>
      </w:divBdr>
    </w:div>
    <w:div w:id="383985970">
      <w:bodyDiv w:val="1"/>
      <w:marLeft w:val="0"/>
      <w:marRight w:val="0"/>
      <w:marTop w:val="0"/>
      <w:marBottom w:val="0"/>
      <w:divBdr>
        <w:top w:val="none" w:sz="0" w:space="0" w:color="auto"/>
        <w:left w:val="none" w:sz="0" w:space="0" w:color="auto"/>
        <w:bottom w:val="none" w:sz="0" w:space="0" w:color="auto"/>
        <w:right w:val="none" w:sz="0" w:space="0" w:color="auto"/>
      </w:divBdr>
    </w:div>
    <w:div w:id="390275520">
      <w:bodyDiv w:val="1"/>
      <w:marLeft w:val="0"/>
      <w:marRight w:val="0"/>
      <w:marTop w:val="0"/>
      <w:marBottom w:val="0"/>
      <w:divBdr>
        <w:top w:val="none" w:sz="0" w:space="0" w:color="auto"/>
        <w:left w:val="none" w:sz="0" w:space="0" w:color="auto"/>
        <w:bottom w:val="none" w:sz="0" w:space="0" w:color="auto"/>
        <w:right w:val="none" w:sz="0" w:space="0" w:color="auto"/>
      </w:divBdr>
    </w:div>
    <w:div w:id="408038546">
      <w:bodyDiv w:val="1"/>
      <w:marLeft w:val="0"/>
      <w:marRight w:val="0"/>
      <w:marTop w:val="0"/>
      <w:marBottom w:val="0"/>
      <w:divBdr>
        <w:top w:val="none" w:sz="0" w:space="0" w:color="auto"/>
        <w:left w:val="none" w:sz="0" w:space="0" w:color="auto"/>
        <w:bottom w:val="none" w:sz="0" w:space="0" w:color="auto"/>
        <w:right w:val="none" w:sz="0" w:space="0" w:color="auto"/>
      </w:divBdr>
    </w:div>
    <w:div w:id="452165570">
      <w:bodyDiv w:val="1"/>
      <w:marLeft w:val="0"/>
      <w:marRight w:val="0"/>
      <w:marTop w:val="0"/>
      <w:marBottom w:val="0"/>
      <w:divBdr>
        <w:top w:val="none" w:sz="0" w:space="0" w:color="auto"/>
        <w:left w:val="none" w:sz="0" w:space="0" w:color="auto"/>
        <w:bottom w:val="none" w:sz="0" w:space="0" w:color="auto"/>
        <w:right w:val="none" w:sz="0" w:space="0" w:color="auto"/>
      </w:divBdr>
    </w:div>
    <w:div w:id="508562355">
      <w:bodyDiv w:val="1"/>
      <w:marLeft w:val="0"/>
      <w:marRight w:val="0"/>
      <w:marTop w:val="0"/>
      <w:marBottom w:val="0"/>
      <w:divBdr>
        <w:top w:val="none" w:sz="0" w:space="0" w:color="auto"/>
        <w:left w:val="none" w:sz="0" w:space="0" w:color="auto"/>
        <w:bottom w:val="none" w:sz="0" w:space="0" w:color="auto"/>
        <w:right w:val="none" w:sz="0" w:space="0" w:color="auto"/>
      </w:divBdr>
    </w:div>
    <w:div w:id="621426336">
      <w:bodyDiv w:val="1"/>
      <w:marLeft w:val="0"/>
      <w:marRight w:val="0"/>
      <w:marTop w:val="0"/>
      <w:marBottom w:val="0"/>
      <w:divBdr>
        <w:top w:val="none" w:sz="0" w:space="0" w:color="auto"/>
        <w:left w:val="none" w:sz="0" w:space="0" w:color="auto"/>
        <w:bottom w:val="none" w:sz="0" w:space="0" w:color="auto"/>
        <w:right w:val="none" w:sz="0" w:space="0" w:color="auto"/>
      </w:divBdr>
    </w:div>
    <w:div w:id="625966322">
      <w:bodyDiv w:val="1"/>
      <w:marLeft w:val="0"/>
      <w:marRight w:val="0"/>
      <w:marTop w:val="0"/>
      <w:marBottom w:val="0"/>
      <w:divBdr>
        <w:top w:val="none" w:sz="0" w:space="0" w:color="auto"/>
        <w:left w:val="none" w:sz="0" w:space="0" w:color="auto"/>
        <w:bottom w:val="none" w:sz="0" w:space="0" w:color="auto"/>
        <w:right w:val="none" w:sz="0" w:space="0" w:color="auto"/>
      </w:divBdr>
    </w:div>
    <w:div w:id="677730872">
      <w:bodyDiv w:val="1"/>
      <w:marLeft w:val="0"/>
      <w:marRight w:val="0"/>
      <w:marTop w:val="0"/>
      <w:marBottom w:val="0"/>
      <w:divBdr>
        <w:top w:val="none" w:sz="0" w:space="0" w:color="auto"/>
        <w:left w:val="none" w:sz="0" w:space="0" w:color="auto"/>
        <w:bottom w:val="none" w:sz="0" w:space="0" w:color="auto"/>
        <w:right w:val="none" w:sz="0" w:space="0" w:color="auto"/>
      </w:divBdr>
    </w:div>
    <w:div w:id="716465994">
      <w:bodyDiv w:val="1"/>
      <w:marLeft w:val="0"/>
      <w:marRight w:val="0"/>
      <w:marTop w:val="0"/>
      <w:marBottom w:val="0"/>
      <w:divBdr>
        <w:top w:val="none" w:sz="0" w:space="0" w:color="auto"/>
        <w:left w:val="none" w:sz="0" w:space="0" w:color="auto"/>
        <w:bottom w:val="none" w:sz="0" w:space="0" w:color="auto"/>
        <w:right w:val="none" w:sz="0" w:space="0" w:color="auto"/>
      </w:divBdr>
    </w:div>
    <w:div w:id="770053529">
      <w:bodyDiv w:val="1"/>
      <w:marLeft w:val="0"/>
      <w:marRight w:val="0"/>
      <w:marTop w:val="0"/>
      <w:marBottom w:val="0"/>
      <w:divBdr>
        <w:top w:val="none" w:sz="0" w:space="0" w:color="auto"/>
        <w:left w:val="none" w:sz="0" w:space="0" w:color="auto"/>
        <w:bottom w:val="none" w:sz="0" w:space="0" w:color="auto"/>
        <w:right w:val="none" w:sz="0" w:space="0" w:color="auto"/>
      </w:divBdr>
    </w:div>
    <w:div w:id="836001104">
      <w:bodyDiv w:val="1"/>
      <w:marLeft w:val="0"/>
      <w:marRight w:val="0"/>
      <w:marTop w:val="0"/>
      <w:marBottom w:val="0"/>
      <w:divBdr>
        <w:top w:val="none" w:sz="0" w:space="0" w:color="auto"/>
        <w:left w:val="none" w:sz="0" w:space="0" w:color="auto"/>
        <w:bottom w:val="none" w:sz="0" w:space="0" w:color="auto"/>
        <w:right w:val="none" w:sz="0" w:space="0" w:color="auto"/>
      </w:divBdr>
    </w:div>
    <w:div w:id="1061367171">
      <w:bodyDiv w:val="1"/>
      <w:marLeft w:val="0"/>
      <w:marRight w:val="0"/>
      <w:marTop w:val="0"/>
      <w:marBottom w:val="0"/>
      <w:divBdr>
        <w:top w:val="none" w:sz="0" w:space="0" w:color="auto"/>
        <w:left w:val="none" w:sz="0" w:space="0" w:color="auto"/>
        <w:bottom w:val="none" w:sz="0" w:space="0" w:color="auto"/>
        <w:right w:val="none" w:sz="0" w:space="0" w:color="auto"/>
      </w:divBdr>
    </w:div>
    <w:div w:id="1445612046">
      <w:bodyDiv w:val="1"/>
      <w:marLeft w:val="0"/>
      <w:marRight w:val="0"/>
      <w:marTop w:val="0"/>
      <w:marBottom w:val="0"/>
      <w:divBdr>
        <w:top w:val="none" w:sz="0" w:space="0" w:color="auto"/>
        <w:left w:val="none" w:sz="0" w:space="0" w:color="auto"/>
        <w:bottom w:val="none" w:sz="0" w:space="0" w:color="auto"/>
        <w:right w:val="none" w:sz="0" w:space="0" w:color="auto"/>
      </w:divBdr>
    </w:div>
    <w:div w:id="1447893905">
      <w:bodyDiv w:val="1"/>
      <w:marLeft w:val="0"/>
      <w:marRight w:val="0"/>
      <w:marTop w:val="0"/>
      <w:marBottom w:val="0"/>
      <w:divBdr>
        <w:top w:val="none" w:sz="0" w:space="0" w:color="auto"/>
        <w:left w:val="none" w:sz="0" w:space="0" w:color="auto"/>
        <w:bottom w:val="none" w:sz="0" w:space="0" w:color="auto"/>
        <w:right w:val="none" w:sz="0" w:space="0" w:color="auto"/>
      </w:divBdr>
    </w:div>
    <w:div w:id="1581864168">
      <w:bodyDiv w:val="1"/>
      <w:marLeft w:val="0"/>
      <w:marRight w:val="0"/>
      <w:marTop w:val="0"/>
      <w:marBottom w:val="0"/>
      <w:divBdr>
        <w:top w:val="none" w:sz="0" w:space="0" w:color="auto"/>
        <w:left w:val="none" w:sz="0" w:space="0" w:color="auto"/>
        <w:bottom w:val="none" w:sz="0" w:space="0" w:color="auto"/>
        <w:right w:val="none" w:sz="0" w:space="0" w:color="auto"/>
      </w:divBdr>
    </w:div>
    <w:div w:id="1598564289">
      <w:bodyDiv w:val="1"/>
      <w:marLeft w:val="0"/>
      <w:marRight w:val="0"/>
      <w:marTop w:val="0"/>
      <w:marBottom w:val="0"/>
      <w:divBdr>
        <w:top w:val="none" w:sz="0" w:space="0" w:color="auto"/>
        <w:left w:val="none" w:sz="0" w:space="0" w:color="auto"/>
        <w:bottom w:val="none" w:sz="0" w:space="0" w:color="auto"/>
        <w:right w:val="none" w:sz="0" w:space="0" w:color="auto"/>
      </w:divBdr>
    </w:div>
    <w:div w:id="2076126194">
      <w:bodyDiv w:val="1"/>
      <w:marLeft w:val="0"/>
      <w:marRight w:val="0"/>
      <w:marTop w:val="0"/>
      <w:marBottom w:val="0"/>
      <w:divBdr>
        <w:top w:val="none" w:sz="0" w:space="0" w:color="auto"/>
        <w:left w:val="none" w:sz="0" w:space="0" w:color="auto"/>
        <w:bottom w:val="none" w:sz="0" w:space="0" w:color="auto"/>
        <w:right w:val="none" w:sz="0" w:space="0" w:color="auto"/>
      </w:divBdr>
    </w:div>
    <w:div w:id="213466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theme" Target="theme/theme1.xml" Id="rId34"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mailto:psi@nationalarchives.gsi.gov.uk" TargetMode="External" Id="rId17" /><Relationship Type="http://schemas.microsoft.com/office/2016/09/relationships/commentsIds" Target="commentsIds.xml" Id="rId25" /><Relationship Type="http://schemas.microsoft.com/office/2011/relationships/people" Target="people.xml" Id="rId33" /><Relationship Type="http://schemas.openxmlformats.org/officeDocument/2006/relationships/customXml" Target="../customXml/item2.xml" Id="rId2" /><Relationship Type="http://schemas.openxmlformats.org/officeDocument/2006/relationships/hyperlink" Target="http://nationalarchives.gov.uk/doc/open-government-licence/version/3/" TargetMode="External" Id="rId16" /><Relationship Type="http://schemas.openxmlformats.org/officeDocument/2006/relationships/hyperlink" Target="mailto:xxx@energysecurity.gov.uk" TargetMode="External" Id="rId20" /><Relationship Type="http://schemas.openxmlformats.org/officeDocument/2006/relationships/hyperlink" Target="mailto:alt.formats@energysecurity.gov.uk" TargetMode="External" Id="rId29"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microsoft.com/office/2011/relationships/commentsExtended" Target="commentsExtended.xml" Id="rId24" /><Relationship Type="http://schemas.openxmlformats.org/officeDocument/2006/relationships/fontTable" Target="fontTable.xml" Id="rId32" /><Relationship Type="http://schemas.openxmlformats.org/officeDocument/2006/relationships/customXml" Target="../customXml/item5.xml" Id="rId5" /><Relationship Type="http://schemas.openxmlformats.org/officeDocument/2006/relationships/image" Target="media/image2.png" Id="rId15" /><Relationship Type="http://schemas.openxmlformats.org/officeDocument/2006/relationships/hyperlink" Target="https://www.gov.uk/government/organisations/department-for-energy-security-and-net-zero" TargetMode="External" Id="rId28" /><Relationship Type="http://schemas.openxmlformats.org/officeDocument/2006/relationships/webSettings" Target="webSettings.xml" Id="rId10" /><Relationship Type="http://schemas.openxmlformats.org/officeDocument/2006/relationships/footer" Target="footer2.xml" Id="rId19" /><Relationship Type="http://schemas.openxmlformats.org/officeDocument/2006/relationships/footer" Target="footer4.xml" Id="rId31"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footer" Target="footer3.xml" Id="rId22" /><Relationship Type="http://schemas.openxmlformats.org/officeDocument/2006/relationships/header" Target="header4.xml" Id="rId27" /><Relationship Type="http://schemas.openxmlformats.org/officeDocument/2006/relationships/header" Target="header5.xml" Id="rId30" /><Relationship Type="http://schemas.microsoft.com/office/2019/05/relationships/documenttasks" Target="documenttasks/documenttasks1.xml" Id="rId35" /><Relationship Type="http://schemas.openxmlformats.org/officeDocument/2006/relationships/styles" Target="styles.xml" Id="rId8" /></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49551/DFID-approach-value-mone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gibson2\OneDrive%20-%20Department%20for%20Business%20Energy%20and%20Industrial%20Strategy\Documents\Templates\desnz-word-template-external.dotm" TargetMode="External"/></Relationships>
</file>

<file path=word/documenttasks/documenttasks1.xml><?xml version="1.0" encoding="utf-8"?>
<t:Tasks xmlns:t="http://schemas.microsoft.com/office/tasks/2019/documenttasks" xmlns:oel="http://schemas.microsoft.com/office/2019/extlst">
  <t:Task id="{544C833A-58FD-4BBB-A294-01D3BE20CCBD}">
    <t:Anchor>
      <t:Comment id="688646726"/>
    </t:Anchor>
    <t:History>
      <t:Event id="{624E54BD-5602-473B-944C-B438B877FB4F}" time="2025-02-04T18:48:54.886Z">
        <t:Attribution userId="S::monica.poletti@energysecurity.gov.uk::f5f460f4-3905-499e-a0f1-415e66c03926" userProvider="AD" userName="Poletti, Monica (Energy Security)"/>
        <t:Anchor>
          <t:Comment id="688646726"/>
        </t:Anchor>
        <t:Create/>
      </t:Event>
      <t:Event id="{74054D13-BF0C-44B6-89BE-647B6EA0FFEF}" time="2025-02-04T18:48:54.886Z">
        <t:Attribution userId="S::monica.poletti@energysecurity.gov.uk::f5f460f4-3905-499e-a0f1-415e66c03926" userProvider="AD" userName="Poletti, Monica (Energy Security)"/>
        <t:Anchor>
          <t:Comment id="688646726"/>
        </t:Anchor>
        <t:Assign userId="S::Will.Farmer@energysecurity.gov.uk::26e714eb-4152-4911-bb4f-705b7494431b" userProvider="AD" userName="Farmer, Will (Energy Security)"/>
      </t:Event>
      <t:Event id="{0F0458E0-CF3E-43F6-BF6B-7A7B5BE7B832}" time="2025-02-04T18:48:54.886Z">
        <t:Attribution userId="S::monica.poletti@energysecurity.gov.uk::f5f460f4-3905-499e-a0f1-415e66c03926" userProvider="AD" userName="Poletti, Monica (Energy Security)"/>
        <t:Anchor>
          <t:Comment id="688646726"/>
        </t:Anchor>
        <t:SetTitle title="@Farmer, Will (Energy Security) can you please check this new version of the VfM MAGC evaluation doc, by seeing track changes from previous version here: 2209150501 MAGC outcome eval_VfM_V3_ICUO_TC.docx ? Thanks"/>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egacyData xmlns="aaacb922-5235-4a66-b188-303b9b46fbd7" xsi:nil="true"/>
    <_dlc_DocId xmlns="b9d65af1-18fa-4dc7-9941-b26f165da588">SFTTVFQA44A4-567391438-149717</_dlc_DocId>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Climate and energy</TermName>
          <TermId xmlns="http://schemas.microsoft.com/office/infopath/2007/PartnerControls">98b2efea-a649-07e6-a104-07f256801c42</TermId>
        </TermInfo>
      </Terms>
    </m817f42addf14c9a838da36e78800043>
    <_dlc_DocIdUrl xmlns="b9d65af1-18fa-4dc7-9941-b26f165da588">
      <Url>https://beisgov.sharepoint.com/sites/GreenFinanceAndCapability-ALL/_layouts/15/DocIdRedir.aspx?ID=SFTTVFQA44A4-567391438-149717</Url>
      <Description>SFTTVFQA44A4-567391438-149717</Description>
    </_dlc_DocIdUrl>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lcf76f155ced4ddcb4097134ff3c332f xmlns="374ed4d6-b127-4161-a8d5-91d2d6d266bd">
      <Terms xmlns="http://schemas.microsoft.com/office/infopath/2007/PartnerControls"/>
    </lcf76f155ced4ddcb4097134ff3c332f>
    <TaxCatchAll xmlns="b9d65af1-18fa-4dc7-9941-b26f165da588">
      <Value>3</Value>
      <Value>2</Value>
      <Value>1</Value>
    </TaxCatchAll>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International climate</TermName>
          <TermId xmlns="http://schemas.microsoft.com/office/infopath/2007/PartnerControls">5a595758-250c-1237-4802-ae3329732708</TermId>
        </TermInfo>
      </Terms>
    </h573c97cf80c4aa6b446c5363dc3ac94>
    <_ip_UnifiedCompliancePolicyUIAct xmlns="374ed4d6-b127-4161-a8d5-91d2d6d266bd"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DF02EFE51CE9C84D92B4813DC0A3B57A" ma:contentTypeVersion="22" ma:contentTypeDescription="Create a new document." ma:contentTypeScope="" ma:versionID="f3a08a560a87ca769ce0e1587b09f599">
  <xsd:schema xmlns:xsd="http://www.w3.org/2001/XMLSchema" xmlns:xs="http://www.w3.org/2001/XMLSchema" xmlns:p="http://schemas.microsoft.com/office/2006/metadata/properties" xmlns:ns1="http://schemas.microsoft.com/sharepoint/v3" xmlns:ns2="0f9fa326-da26-4ea8-b6a9-645e8136fe1d" xmlns:ns3="b9d65af1-18fa-4dc7-9941-b26f165da588" xmlns:ns4="aaacb922-5235-4a66-b188-303b9b46fbd7" xmlns:ns5="374ed4d6-b127-4161-a8d5-91d2d6d266bd" targetNamespace="http://schemas.microsoft.com/office/2006/metadata/properties" ma:root="true" ma:fieldsID="89423df18224ae45c99d1d624fe105ce" ns1:_="" ns2:_="" ns3:_="" ns4:_="" ns5:_="">
    <xsd:import namespace="http://schemas.microsoft.com/sharepoint/v3"/>
    <xsd:import namespace="0f9fa326-da26-4ea8-b6a9-645e8136fe1d"/>
    <xsd:import namespace="b9d65af1-18fa-4dc7-9941-b26f165da588"/>
    <xsd:import namespace="aaacb922-5235-4a66-b188-303b9b46fbd7"/>
    <xsd:import namespace="374ed4d6-b127-4161-a8d5-91d2d6d266bd"/>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ObjectDetectorVersions" minOccurs="0"/>
                <xsd:element ref="ns3:SharedWithUsers" minOccurs="0"/>
                <xsd:element ref="ns3:SharedWithDetails" minOccurs="0"/>
                <xsd:element ref="ns5:lcf76f155ced4ddcb4097134ff3c332f"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SearchProperties" minOccurs="0"/>
                <xsd:element ref="ns5:MediaLengthInSeconds" minOccurs="0"/>
                <xsd:element ref="ns1:_ip_UnifiedCompliancePolicyProperties" minOccurs="0"/>
                <xsd:element ref="ns1:_ip_UnifiedCompliancePolicyUIAction" minOccurs="0"/>
                <xsd:element ref="ns5:_ip_UnifiedCompliancePolicyUIAct"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BEIS|b386cac2-c28c-4db4-8fca-43733d0e74ef"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Climate and energy|98b2efea-a649-07e6-a104-07f256801c42"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International climate|5a595758-250c-1237-4802-ae3329732708"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9d65af1-18fa-4dc7-9941-b26f165da58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7b47bc4a-1520-4e4a-95b5-a23457f3f389}" ma:internalName="TaxCatchAll" ma:showField="CatchAllData" ma:web="b9d65af1-18fa-4dc7-9941-b26f165da58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b47bc4a-1520-4e4a-95b5-a23457f3f389}" ma:internalName="TaxCatchAllLabel" ma:readOnly="true" ma:showField="CatchAllDataLabel" ma:web="b9d65af1-18fa-4dc7-9941-b26f165da588">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ed4d6-b127-4161-a8d5-91d2d6d266bd"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Location" ma:index="31" nillable="true" ma:displayName="Location" ma:indexed="true" ma:internalName="MediaServiceLocation"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LengthInSeconds" ma:index="33" nillable="true" ma:displayName="MediaLengthInSeconds" ma:hidden="true" ma:internalName="MediaLengthInSeconds" ma:readOnly="true">
      <xsd:simpleType>
        <xsd:restriction base="dms:Unknown"/>
      </xsd:simpleType>
    </xsd:element>
    <xsd:element name="_ip_UnifiedCompliancePolicyUIAct" ma:index="36" nillable="true" ma:displayName="_ip_UnifiedCompliancePolicyUIAct" ma:internalName="_ip_UnifiedCompliancePolicyUIAct">
      <xsd:simpleType>
        <xsd:restriction base="dms:Text">
          <xsd:maxLength value="255"/>
        </xsd:restriction>
      </xsd:simpleType>
    </xsd:element>
    <xsd:element name="MediaServiceBillingMetadata" ma:index="3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F96752-2D05-4C16-9EA4-6A7D7CF79CE0}">
  <ds:schemaRefs>
    <ds:schemaRef ds:uri="http://schemas.microsoft.com/sharepoint/v3/contenttype/forms"/>
  </ds:schemaRefs>
</ds:datastoreItem>
</file>

<file path=customXml/itemProps2.xml><?xml version="1.0" encoding="utf-8"?>
<ds:datastoreItem xmlns:ds="http://schemas.openxmlformats.org/officeDocument/2006/customXml" ds:itemID="{ADE1E243-E275-4551-A7D8-7D06C33E4BF3}">
  <ds:schemaRefs>
    <ds:schemaRef ds:uri="http://schemas.microsoft.com/office/2006/metadata/properties"/>
    <ds:schemaRef ds:uri="http://schemas.microsoft.com/office/infopath/2007/PartnerControls"/>
    <ds:schemaRef ds:uri="http://schemas.microsoft.com/sharepoint/v3"/>
    <ds:schemaRef ds:uri="aaacb922-5235-4a66-b188-303b9b46fbd7"/>
    <ds:schemaRef ds:uri="b9d65af1-18fa-4dc7-9941-b26f165da588"/>
    <ds:schemaRef ds:uri="0f9fa326-da26-4ea8-b6a9-645e8136fe1d"/>
    <ds:schemaRef ds:uri="374ed4d6-b127-4161-a8d5-91d2d6d266bd"/>
  </ds:schemaRefs>
</ds:datastoreItem>
</file>

<file path=customXml/itemProps3.xml><?xml version="1.0" encoding="utf-8"?>
<ds:datastoreItem xmlns:ds="http://schemas.openxmlformats.org/officeDocument/2006/customXml" ds:itemID="{B4D32C87-3213-4903-9D46-999B815595D4}">
  <ds:schemaRefs>
    <ds:schemaRef ds:uri="http://schemas.microsoft.com/sharepoint/events"/>
  </ds:schemaRefs>
</ds:datastoreItem>
</file>

<file path=customXml/itemProps4.xml><?xml version="1.0" encoding="utf-8"?>
<ds:datastoreItem xmlns:ds="http://schemas.openxmlformats.org/officeDocument/2006/customXml" ds:itemID="{4D8C769D-706B-4A45-870C-B02ACF507C6C}"/>
</file>

<file path=customXml/itemProps5.xml><?xml version="1.0" encoding="utf-8"?>
<ds:datastoreItem xmlns:ds="http://schemas.openxmlformats.org/officeDocument/2006/customXml" ds:itemID="{22E3DBE3-ACD0-48F6-84D8-70D321E7FCE1}">
  <ds:schemaRefs>
    <ds:schemaRef ds:uri="http://schemas.openxmlformats.org/officeDocument/2006/bibliography"/>
  </ds:schemaRefs>
</ds:datastoreItem>
</file>

<file path=customXml/itemProps6.xml><?xml version="1.0" encoding="utf-8"?>
<ds:datastoreItem xmlns:ds="http://schemas.openxmlformats.org/officeDocument/2006/customXml" ds:itemID="{905AB741-62AD-4EC1-ACA8-FDD023BC02B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desnz-word-template-external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Gibson, Rachel (Communications)</dc:creator>
  <cp:keywords/>
  <dc:description/>
  <cp:lastModifiedBy>Jones3, Philip (Energy Security)</cp:lastModifiedBy>
  <cp:revision>21</cp:revision>
  <dcterms:created xsi:type="dcterms:W3CDTF">2025-01-27T16:54:00Z</dcterms:created>
  <dcterms:modified xsi:type="dcterms:W3CDTF">2026-04-15T08:32:28Z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5;#Internal Communications|3633d5a3-731a-4af5-ab75-e2aba398c41c</vt:lpwstr>
  </property>
  <property fmtid="{D5CDD505-2E9C-101B-9397-08002B2CF9AE}" pid="3" name="ContentTypeId">
    <vt:lpwstr>0x0101004691A8DE0991884F8E90AD6474FC73730100DF02EFE51CE9C84D92B4813DC0A3B57A</vt:lpwstr>
  </property>
  <property fmtid="{D5CDD505-2E9C-101B-9397-08002B2CF9AE}" pid="4" name="_dlc_DocIdItemGuid">
    <vt:lpwstr>4478a726-3690-4d3e-8954-1e8165fdc4dc</vt:lpwstr>
  </property>
  <property fmtid="{D5CDD505-2E9C-101B-9397-08002B2CF9AE}" pid="5" name="AuthorIds_UIVersion_2">
    <vt:lpwstr>8301</vt:lpwstr>
  </property>
  <property fmtid="{D5CDD505-2E9C-101B-9397-08002B2CF9AE}" pid="6" name="AuthorIds_UIVersion_3">
    <vt:lpwstr>8301</vt:lpwstr>
  </property>
  <property fmtid="{D5CDD505-2E9C-101B-9397-08002B2CF9AE}" pid="7" name="MSIP_Label_ba62f585-b40f-4ab9-bafe-39150f03d124_Enabled">
    <vt:lpwstr>true</vt:lpwstr>
  </property>
  <property fmtid="{D5CDD505-2E9C-101B-9397-08002B2CF9AE}" pid="8" name="MSIP_Label_ba62f585-b40f-4ab9-bafe-39150f03d124_SetDate">
    <vt:lpwstr>2020-01-16T10:35:31Z</vt:lpwstr>
  </property>
  <property fmtid="{D5CDD505-2E9C-101B-9397-08002B2CF9AE}" pid="9" name="MSIP_Label_ba62f585-b40f-4ab9-bafe-39150f03d124_Method">
    <vt:lpwstr>Standard</vt:lpwstr>
  </property>
  <property fmtid="{D5CDD505-2E9C-101B-9397-08002B2CF9AE}" pid="10" name="MSIP_Label_ba62f585-b40f-4ab9-bafe-39150f03d124_Name">
    <vt:lpwstr>OFFICIAL</vt:lpwstr>
  </property>
  <property fmtid="{D5CDD505-2E9C-101B-9397-08002B2CF9AE}" pid="11" name="MSIP_Label_ba62f585-b40f-4ab9-bafe-39150f03d124_SiteId">
    <vt:lpwstr>cbac7005-02c1-43eb-b497-e6492d1b2dd8</vt:lpwstr>
  </property>
  <property fmtid="{D5CDD505-2E9C-101B-9397-08002B2CF9AE}" pid="12" name="MSIP_Label_ba62f585-b40f-4ab9-bafe-39150f03d124_ActionId">
    <vt:lpwstr>b52d6e55-1fed-48e8-88a2-000013a69850</vt:lpwstr>
  </property>
  <property fmtid="{D5CDD505-2E9C-101B-9397-08002B2CF9AE}" pid="13" name="MSIP_Label_ba62f585-b40f-4ab9-bafe-39150f03d124_ContentBits">
    <vt:lpwstr>0</vt:lpwstr>
  </property>
  <property fmtid="{D5CDD505-2E9C-101B-9397-08002B2CF9AE}" pid="14" name="MediaServiceImageTags">
    <vt:lpwstr/>
  </property>
  <property fmtid="{D5CDD505-2E9C-101B-9397-08002B2CF9AE}" pid="15" name="Business_x0020_Unit">
    <vt:lpwstr>5;#Internal Communications|3633d5a3-731a-4af5-ab75-e2aba398c41c</vt:lpwstr>
  </property>
  <property fmtid="{D5CDD505-2E9C-101B-9397-08002B2CF9AE}" pid="16" name="KIM_Activity">
    <vt:lpwstr>2;#International climate|5a595758-250c-1237-4802-ae3329732708</vt:lpwstr>
  </property>
  <property fmtid="{D5CDD505-2E9C-101B-9397-08002B2CF9AE}" pid="17" name="KIM_GovernmentBody">
    <vt:lpwstr>3;#BEIS|b386cac2-c28c-4db4-8fca-43733d0e74ef</vt:lpwstr>
  </property>
  <property fmtid="{D5CDD505-2E9C-101B-9397-08002B2CF9AE}" pid="18" name="KIM_Function">
    <vt:lpwstr>1;#Climate and energy|98b2efea-a649-07e6-a104-07f256801c42</vt:lpwstr>
  </property>
  <property fmtid="{D5CDD505-2E9C-101B-9397-08002B2CF9AE}" pid="20" name="docLang">
    <vt:lpwstr>en</vt:lpwstr>
  </property>
</Properties>
</file>