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E0C7" w14:textId="1CBA8255" w:rsidR="00E9676C" w:rsidRDefault="008C1C8D" w:rsidP="009B7940">
      <w:pPr>
        <w:pStyle w:val="DESNZTitle"/>
      </w:pPr>
      <w:r>
        <w:t xml:space="preserve">Evaluation of the </w:t>
      </w:r>
      <w:r w:rsidR="00F46BB5">
        <w:t xml:space="preserve">International Climate Finance (ICF) portfolio’s </w:t>
      </w:r>
      <w:r>
        <w:t>Market Accelerator for Green Construction</w:t>
      </w:r>
    </w:p>
    <w:p w14:paraId="44F71F9D" w14:textId="5070E5FA" w:rsidR="00E9676C" w:rsidRDefault="0049568D" w:rsidP="00201358">
      <w:pPr>
        <w:pStyle w:val="DESNZSub-title"/>
      </w:pPr>
      <w:r>
        <w:t>GEDSI Learning annex</w:t>
      </w:r>
    </w:p>
    <w:p w14:paraId="5784A466" w14:textId="0E1FB14F" w:rsidR="00201358" w:rsidRPr="00201358" w:rsidRDefault="00C26D9C" w:rsidP="00FC1A03">
      <w:pPr>
        <w:pStyle w:val="DESNZResearchNo"/>
        <w:sectPr w:rsidR="00201358" w:rsidRPr="00201358" w:rsidSect="00054AD2">
          <w:headerReference w:type="default" r:id="rId14"/>
          <w:footerReference w:type="default" r:id="rId15"/>
          <w:pgSz w:w="11906" w:h="16838" w:code="9"/>
          <w:pgMar w:top="1418" w:right="1134" w:bottom="1418" w:left="1077" w:header="720" w:footer="868" w:gutter="0"/>
          <w:cols w:space="708"/>
          <w:vAlign w:val="center"/>
          <w:docGrid w:linePitch="360"/>
        </w:sectPr>
      </w:pPr>
      <w:r>
        <w:br/>
      </w:r>
      <w:r>
        <w:br/>
      </w:r>
      <w:r>
        <w:br/>
      </w:r>
    </w:p>
    <w:p w14:paraId="5481A065" w14:textId="77777777" w:rsidR="00C26D9C" w:rsidRDefault="00C26D9C" w:rsidP="001A2EAD"/>
    <w:p w14:paraId="0BF31C29" w14:textId="77777777" w:rsidR="00C26D9C" w:rsidRDefault="00C26D9C" w:rsidP="001A2EAD"/>
    <w:p w14:paraId="088BFFBA" w14:textId="77777777" w:rsidR="00C26D9C" w:rsidRDefault="00C26D9C" w:rsidP="001A2EAD"/>
    <w:p w14:paraId="7DDE4A33" w14:textId="77777777" w:rsidR="00C26D9C" w:rsidRDefault="00C26D9C" w:rsidP="001A2EAD"/>
    <w:p w14:paraId="53D1793E" w14:textId="77777777" w:rsidR="00C26D9C" w:rsidRDefault="00C26D9C" w:rsidP="001A2EAD"/>
    <w:p w14:paraId="26251CF6" w14:textId="77777777" w:rsidR="00C26D9C" w:rsidRDefault="00C26D9C" w:rsidP="001A2EAD"/>
    <w:p w14:paraId="78D4D03F" w14:textId="77777777" w:rsidR="00C26D9C" w:rsidRDefault="00C26D9C" w:rsidP="001A2EAD"/>
    <w:p w14:paraId="1745FAA6" w14:textId="77777777" w:rsidR="00C26D9C" w:rsidRDefault="00C26D9C" w:rsidP="001A2EAD"/>
    <w:p w14:paraId="72AD6C39" w14:textId="77777777" w:rsidR="00C26D9C" w:rsidRDefault="00C26D9C" w:rsidP="001A2EAD"/>
    <w:p w14:paraId="021DB036" w14:textId="77777777" w:rsidR="00C26D9C" w:rsidRDefault="00C26D9C" w:rsidP="001A2EAD"/>
    <w:p w14:paraId="47FDB180" w14:textId="77777777" w:rsidR="00C26D9C" w:rsidRDefault="00C26D9C" w:rsidP="001A2EAD"/>
    <w:p w14:paraId="6A8F69F2" w14:textId="77777777" w:rsidR="00C26D9C" w:rsidRDefault="00C26D9C" w:rsidP="001A2EAD"/>
    <w:p w14:paraId="1AE04FB8" w14:textId="77777777" w:rsidR="00C26D9C" w:rsidRDefault="00C26D9C" w:rsidP="001A2EAD"/>
    <w:p w14:paraId="2A5F016A" w14:textId="77777777" w:rsidR="00C26D9C" w:rsidRDefault="00C26D9C" w:rsidP="001A2EAD"/>
    <w:p w14:paraId="19C6027F" w14:textId="77777777" w:rsidR="00C26D9C" w:rsidRDefault="00C26D9C" w:rsidP="00C26D9C">
      <w:pPr>
        <w:pStyle w:val="Copyrightstatement"/>
      </w:pPr>
      <w:r>
        <w:rPr>
          <w:noProof/>
        </w:rPr>
        <w:drawing>
          <wp:inline distT="0" distB="0" distL="0" distR="0" wp14:anchorId="7B85C39B" wp14:editId="55AE05AC">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14:paraId="5C5A8472" w14:textId="77777777" w:rsidR="00C26D9C" w:rsidRDefault="00C26D9C" w:rsidP="00C26D9C">
      <w:pPr>
        <w:pStyle w:val="Copyrightstatement"/>
      </w:pPr>
      <w:r>
        <w:t>© Crown copyright 20[XX]</w:t>
      </w:r>
    </w:p>
    <w:p w14:paraId="1798001A" w14:textId="77777777" w:rsidR="00C26D9C" w:rsidRDefault="00C26D9C" w:rsidP="00C26D9C">
      <w:pPr>
        <w:pStyle w:val="Copyrightstatement"/>
      </w:pPr>
      <w:r>
        <w:t xml:space="preserve">This publication is licensed under the terms of the Open Government Licence v3.0 except where otherwise stated. To view this licence, visit </w:t>
      </w:r>
      <w:hyperlink r:id="rId17" w:history="1">
        <w:r w:rsidRPr="00BE2973">
          <w:rPr>
            <w:rStyle w:val="Hyperlink"/>
          </w:rPr>
          <w:t>nationalarchives.gov.uk/doc/open-government-licence/version/3</w:t>
        </w:r>
      </w:hyperlink>
      <w:r>
        <w:t xml:space="preserve"> or write to the Information Policy Team, The National Archives, Kew, London TW9 4DU, or email: </w:t>
      </w:r>
      <w:hyperlink r:id="rId18" w:history="1">
        <w:r w:rsidRPr="00471DE1">
          <w:rPr>
            <w:rStyle w:val="Hyperlink"/>
          </w:rPr>
          <w:t>psi@nationalarchives.gsi.gov.uk</w:t>
        </w:r>
      </w:hyperlink>
      <w:r>
        <w:t xml:space="preserve">. </w:t>
      </w:r>
    </w:p>
    <w:p w14:paraId="3D48B47F" w14:textId="77777777" w:rsidR="00C26D9C" w:rsidRDefault="00C26D9C" w:rsidP="00C26D9C">
      <w:pPr>
        <w:pStyle w:val="Copyrightstatement"/>
      </w:pPr>
      <w:r>
        <w:t>Where we have identified any third-party copyright information you will need to obtain permission from the copyright holders concerned.</w:t>
      </w:r>
    </w:p>
    <w:p w14:paraId="46D24951" w14:textId="77777777" w:rsidR="00440669" w:rsidRDefault="00440669">
      <w:pPr>
        <w:spacing w:after="160" w:line="259" w:lineRule="auto"/>
        <w:rPr>
          <w:rFonts w:eastAsiaTheme="majorEastAsia" w:cstheme="majorBidi"/>
          <w:color w:val="041E42"/>
          <w:sz w:val="52"/>
          <w:szCs w:val="32"/>
        </w:rPr>
      </w:pPr>
      <w:r>
        <w:br w:type="page"/>
      </w:r>
    </w:p>
    <w:p w14:paraId="460711EF" w14:textId="6CF67ACF" w:rsidR="008F06A2" w:rsidRDefault="004C1B6A" w:rsidP="004C1B6A">
      <w:pPr>
        <w:pStyle w:val="Contents"/>
      </w:pPr>
      <w:r>
        <w:lastRenderedPageBreak/>
        <w:t>Contents</w:t>
      </w:r>
    </w:p>
    <w:p w14:paraId="7549A306" w14:textId="74726B15" w:rsidR="00E722A0" w:rsidRDefault="00E45851">
      <w:pPr>
        <w:pStyle w:val="TOC1"/>
        <w:rPr>
          <w:rFonts w:asciiTheme="minorHAnsi" w:eastAsiaTheme="minorEastAsia" w:hAnsiTheme="minorHAnsi"/>
          <w:noProof/>
          <w:color w:val="auto"/>
          <w:kern w:val="2"/>
          <w:szCs w:val="24"/>
          <w:lang w:eastAsia="en-GB"/>
          <w14:ligatures w14:val="standardContextual"/>
        </w:rPr>
      </w:pPr>
      <w:r>
        <w:fldChar w:fldCharType="begin"/>
      </w:r>
      <w:r>
        <w:instrText xml:space="preserve"> TOC \o "2-3" \h \z \t "Heading 1,1" </w:instrText>
      </w:r>
      <w:r>
        <w:fldChar w:fldCharType="separate"/>
      </w:r>
      <w:hyperlink w:anchor="_Toc189154942" w:history="1">
        <w:r w:rsidR="00E722A0" w:rsidRPr="000C45A5">
          <w:rPr>
            <w:rStyle w:val="Hyperlink"/>
            <w:noProof/>
          </w:rPr>
          <w:t>1 Introduction</w:t>
        </w:r>
        <w:r w:rsidR="00E722A0">
          <w:rPr>
            <w:noProof/>
            <w:webHidden/>
          </w:rPr>
          <w:tab/>
        </w:r>
        <w:r w:rsidR="00E722A0">
          <w:rPr>
            <w:noProof/>
            <w:webHidden/>
          </w:rPr>
          <w:fldChar w:fldCharType="begin"/>
        </w:r>
        <w:r w:rsidR="00E722A0">
          <w:rPr>
            <w:noProof/>
            <w:webHidden/>
          </w:rPr>
          <w:instrText xml:space="preserve"> PAGEREF _Toc189154942 \h </w:instrText>
        </w:r>
        <w:r w:rsidR="00E722A0">
          <w:rPr>
            <w:noProof/>
            <w:webHidden/>
          </w:rPr>
        </w:r>
        <w:r w:rsidR="00E722A0">
          <w:rPr>
            <w:noProof/>
            <w:webHidden/>
          </w:rPr>
          <w:fldChar w:fldCharType="separate"/>
        </w:r>
        <w:r w:rsidR="00E722A0">
          <w:rPr>
            <w:noProof/>
            <w:webHidden/>
          </w:rPr>
          <w:t>4</w:t>
        </w:r>
        <w:r w:rsidR="00E722A0">
          <w:rPr>
            <w:noProof/>
            <w:webHidden/>
          </w:rPr>
          <w:fldChar w:fldCharType="end"/>
        </w:r>
      </w:hyperlink>
    </w:p>
    <w:p w14:paraId="2500070E" w14:textId="6E6F34C6" w:rsidR="00E722A0" w:rsidRDefault="00E722A0">
      <w:pPr>
        <w:pStyle w:val="TOC1"/>
        <w:rPr>
          <w:rFonts w:asciiTheme="minorHAnsi" w:eastAsiaTheme="minorEastAsia" w:hAnsiTheme="minorHAnsi"/>
          <w:noProof/>
          <w:color w:val="auto"/>
          <w:kern w:val="2"/>
          <w:szCs w:val="24"/>
          <w:lang w:eastAsia="en-GB"/>
          <w14:ligatures w14:val="standardContextual"/>
        </w:rPr>
      </w:pPr>
      <w:hyperlink w:anchor="_Toc189154943" w:history="1">
        <w:r w:rsidRPr="000C45A5">
          <w:rPr>
            <w:rStyle w:val="Hyperlink"/>
            <w:noProof/>
          </w:rPr>
          <w:t>2 Methodology</w:t>
        </w:r>
        <w:r>
          <w:rPr>
            <w:noProof/>
            <w:webHidden/>
          </w:rPr>
          <w:tab/>
        </w:r>
        <w:r>
          <w:rPr>
            <w:noProof/>
            <w:webHidden/>
          </w:rPr>
          <w:fldChar w:fldCharType="begin"/>
        </w:r>
        <w:r>
          <w:rPr>
            <w:noProof/>
            <w:webHidden/>
          </w:rPr>
          <w:instrText xml:space="preserve"> PAGEREF _Toc189154943 \h </w:instrText>
        </w:r>
        <w:r>
          <w:rPr>
            <w:noProof/>
            <w:webHidden/>
          </w:rPr>
        </w:r>
        <w:r>
          <w:rPr>
            <w:noProof/>
            <w:webHidden/>
          </w:rPr>
          <w:fldChar w:fldCharType="separate"/>
        </w:r>
        <w:r>
          <w:rPr>
            <w:noProof/>
            <w:webHidden/>
          </w:rPr>
          <w:t>5</w:t>
        </w:r>
        <w:r>
          <w:rPr>
            <w:noProof/>
            <w:webHidden/>
          </w:rPr>
          <w:fldChar w:fldCharType="end"/>
        </w:r>
      </w:hyperlink>
    </w:p>
    <w:p w14:paraId="0D1B70E4" w14:textId="6CD56006" w:rsidR="00E722A0" w:rsidRDefault="00E722A0">
      <w:pPr>
        <w:pStyle w:val="TOC1"/>
        <w:rPr>
          <w:rFonts w:asciiTheme="minorHAnsi" w:eastAsiaTheme="minorEastAsia" w:hAnsiTheme="minorHAnsi"/>
          <w:noProof/>
          <w:color w:val="auto"/>
          <w:kern w:val="2"/>
          <w:szCs w:val="24"/>
          <w:lang w:eastAsia="en-GB"/>
          <w14:ligatures w14:val="standardContextual"/>
        </w:rPr>
      </w:pPr>
      <w:hyperlink w:anchor="_Toc189154944" w:history="1">
        <w:r w:rsidRPr="000C45A5">
          <w:rPr>
            <w:rStyle w:val="Hyperlink"/>
            <w:noProof/>
          </w:rPr>
          <w:t>3 Findings</w:t>
        </w:r>
        <w:r>
          <w:rPr>
            <w:noProof/>
            <w:webHidden/>
          </w:rPr>
          <w:tab/>
        </w:r>
        <w:r>
          <w:rPr>
            <w:noProof/>
            <w:webHidden/>
          </w:rPr>
          <w:fldChar w:fldCharType="begin"/>
        </w:r>
        <w:r>
          <w:rPr>
            <w:noProof/>
            <w:webHidden/>
          </w:rPr>
          <w:instrText xml:space="preserve"> PAGEREF _Toc189154944 \h </w:instrText>
        </w:r>
        <w:r>
          <w:rPr>
            <w:noProof/>
            <w:webHidden/>
          </w:rPr>
        </w:r>
        <w:r>
          <w:rPr>
            <w:noProof/>
            <w:webHidden/>
          </w:rPr>
          <w:fldChar w:fldCharType="separate"/>
        </w:r>
        <w:r>
          <w:rPr>
            <w:noProof/>
            <w:webHidden/>
          </w:rPr>
          <w:t>8</w:t>
        </w:r>
        <w:r>
          <w:rPr>
            <w:noProof/>
            <w:webHidden/>
          </w:rPr>
          <w:fldChar w:fldCharType="end"/>
        </w:r>
      </w:hyperlink>
    </w:p>
    <w:p w14:paraId="70C69545" w14:textId="1539A5A1" w:rsidR="00E722A0" w:rsidRDefault="00E722A0">
      <w:pPr>
        <w:pStyle w:val="TOC2"/>
        <w:rPr>
          <w:rFonts w:asciiTheme="minorHAnsi" w:eastAsiaTheme="minorEastAsia" w:hAnsiTheme="minorHAnsi"/>
          <w:noProof/>
          <w:color w:val="auto"/>
          <w:kern w:val="2"/>
          <w:szCs w:val="24"/>
          <w:lang w:eastAsia="en-GB"/>
          <w14:ligatures w14:val="standardContextual"/>
        </w:rPr>
      </w:pPr>
      <w:hyperlink w:anchor="_Toc189154945" w:history="1">
        <w:r w:rsidRPr="000C45A5">
          <w:rPr>
            <w:rStyle w:val="Hyperlink"/>
            <w:noProof/>
          </w:rPr>
          <w:t>3.1 Green construction and GEDSI</w:t>
        </w:r>
        <w:r>
          <w:rPr>
            <w:noProof/>
            <w:webHidden/>
          </w:rPr>
          <w:tab/>
        </w:r>
        <w:r>
          <w:rPr>
            <w:noProof/>
            <w:webHidden/>
          </w:rPr>
          <w:fldChar w:fldCharType="begin"/>
        </w:r>
        <w:r>
          <w:rPr>
            <w:noProof/>
            <w:webHidden/>
          </w:rPr>
          <w:instrText xml:space="preserve"> PAGEREF _Toc189154945 \h </w:instrText>
        </w:r>
        <w:r>
          <w:rPr>
            <w:noProof/>
            <w:webHidden/>
          </w:rPr>
        </w:r>
        <w:r>
          <w:rPr>
            <w:noProof/>
            <w:webHidden/>
          </w:rPr>
          <w:fldChar w:fldCharType="separate"/>
        </w:r>
        <w:r>
          <w:rPr>
            <w:noProof/>
            <w:webHidden/>
          </w:rPr>
          <w:t>8</w:t>
        </w:r>
        <w:r>
          <w:rPr>
            <w:noProof/>
            <w:webHidden/>
          </w:rPr>
          <w:fldChar w:fldCharType="end"/>
        </w:r>
      </w:hyperlink>
    </w:p>
    <w:p w14:paraId="5686F398" w14:textId="58FBFB80" w:rsidR="00E722A0" w:rsidRDefault="00E722A0">
      <w:pPr>
        <w:pStyle w:val="TOC2"/>
        <w:rPr>
          <w:rFonts w:asciiTheme="minorHAnsi" w:eastAsiaTheme="minorEastAsia" w:hAnsiTheme="minorHAnsi"/>
          <w:noProof/>
          <w:color w:val="auto"/>
          <w:kern w:val="2"/>
          <w:szCs w:val="24"/>
          <w:lang w:eastAsia="en-GB"/>
          <w14:ligatures w14:val="standardContextual"/>
        </w:rPr>
      </w:pPr>
      <w:hyperlink w:anchor="_Toc189154951" w:history="1">
        <w:r w:rsidRPr="000C45A5">
          <w:rPr>
            <w:rStyle w:val="Hyperlink"/>
            <w:noProof/>
          </w:rPr>
          <w:t>3.2 Insights for future programme design</w:t>
        </w:r>
        <w:r>
          <w:rPr>
            <w:noProof/>
            <w:webHidden/>
          </w:rPr>
          <w:tab/>
        </w:r>
        <w:r>
          <w:rPr>
            <w:noProof/>
            <w:webHidden/>
          </w:rPr>
          <w:fldChar w:fldCharType="begin"/>
        </w:r>
        <w:r>
          <w:rPr>
            <w:noProof/>
            <w:webHidden/>
          </w:rPr>
          <w:instrText xml:space="preserve"> PAGEREF _Toc189154951 \h </w:instrText>
        </w:r>
        <w:r>
          <w:rPr>
            <w:noProof/>
            <w:webHidden/>
          </w:rPr>
        </w:r>
        <w:r>
          <w:rPr>
            <w:noProof/>
            <w:webHidden/>
          </w:rPr>
          <w:fldChar w:fldCharType="separate"/>
        </w:r>
        <w:r>
          <w:rPr>
            <w:noProof/>
            <w:webHidden/>
          </w:rPr>
          <w:t>18</w:t>
        </w:r>
        <w:r>
          <w:rPr>
            <w:noProof/>
            <w:webHidden/>
          </w:rPr>
          <w:fldChar w:fldCharType="end"/>
        </w:r>
      </w:hyperlink>
    </w:p>
    <w:p w14:paraId="123C00A3" w14:textId="35CAE88C" w:rsidR="00E722A0" w:rsidRDefault="00E722A0">
      <w:pPr>
        <w:pStyle w:val="TOC1"/>
        <w:rPr>
          <w:rFonts w:asciiTheme="minorHAnsi" w:eastAsiaTheme="minorEastAsia" w:hAnsiTheme="minorHAnsi"/>
          <w:noProof/>
          <w:color w:val="auto"/>
          <w:kern w:val="2"/>
          <w:szCs w:val="24"/>
          <w:lang w:eastAsia="en-GB"/>
          <w14:ligatures w14:val="standardContextual"/>
        </w:rPr>
      </w:pPr>
      <w:hyperlink w:anchor="_Toc189154952" w:history="1">
        <w:r w:rsidRPr="000C45A5">
          <w:rPr>
            <w:rStyle w:val="Hyperlink"/>
            <w:noProof/>
          </w:rPr>
          <w:t>4 Conclusions and recommendations</w:t>
        </w:r>
        <w:r>
          <w:rPr>
            <w:noProof/>
            <w:webHidden/>
          </w:rPr>
          <w:tab/>
        </w:r>
        <w:r>
          <w:rPr>
            <w:noProof/>
            <w:webHidden/>
          </w:rPr>
          <w:fldChar w:fldCharType="begin"/>
        </w:r>
        <w:r>
          <w:rPr>
            <w:noProof/>
            <w:webHidden/>
          </w:rPr>
          <w:instrText xml:space="preserve"> PAGEREF _Toc189154952 \h </w:instrText>
        </w:r>
        <w:r>
          <w:rPr>
            <w:noProof/>
            <w:webHidden/>
          </w:rPr>
        </w:r>
        <w:r>
          <w:rPr>
            <w:noProof/>
            <w:webHidden/>
          </w:rPr>
          <w:fldChar w:fldCharType="separate"/>
        </w:r>
        <w:r>
          <w:rPr>
            <w:noProof/>
            <w:webHidden/>
          </w:rPr>
          <w:t>23</w:t>
        </w:r>
        <w:r>
          <w:rPr>
            <w:noProof/>
            <w:webHidden/>
          </w:rPr>
          <w:fldChar w:fldCharType="end"/>
        </w:r>
      </w:hyperlink>
    </w:p>
    <w:p w14:paraId="607C3EE2" w14:textId="22F12EB4" w:rsidR="00CC7A35" w:rsidRDefault="00E45851" w:rsidP="002642C7">
      <w:r>
        <w:fldChar w:fldCharType="end"/>
      </w:r>
    </w:p>
    <w:p w14:paraId="0FCD29FD" w14:textId="77777777" w:rsidR="004C1B6A" w:rsidRDefault="004C1B6A"/>
    <w:p w14:paraId="4CD07892" w14:textId="77777777" w:rsidR="004C1B6A" w:rsidRDefault="004C1B6A">
      <w:pPr>
        <w:sectPr w:rsidR="004C1B6A" w:rsidSect="00471A27">
          <w:headerReference w:type="default" r:id="rId19"/>
          <w:footerReference w:type="default" r:id="rId20"/>
          <w:pgSz w:w="11906" w:h="16838"/>
          <w:pgMar w:top="1418" w:right="907" w:bottom="907" w:left="907" w:header="709" w:footer="266" w:gutter="0"/>
          <w:cols w:space="708"/>
          <w:docGrid w:linePitch="360"/>
        </w:sectPr>
      </w:pPr>
    </w:p>
    <w:p w14:paraId="1F8162FF" w14:textId="77777777" w:rsidR="00745A3B" w:rsidRDefault="00745A3B" w:rsidP="00745A3B">
      <w:pPr>
        <w:pStyle w:val="Heading1"/>
      </w:pPr>
      <w:bookmarkStart w:id="0" w:name="_Toc189154942"/>
      <w:r w:rsidRPr="00745A3B">
        <w:lastRenderedPageBreak/>
        <w:t>1 Introduction</w:t>
      </w:r>
      <w:bookmarkEnd w:id="0"/>
    </w:p>
    <w:p w14:paraId="3387583C" w14:textId="67515EF8" w:rsidR="00E15859" w:rsidRDefault="00E15859" w:rsidP="00E15859">
      <w:pPr>
        <w:pStyle w:val="Introparagraph"/>
      </w:pPr>
      <w:r>
        <w:t>Learning about how Gender, Equality,</w:t>
      </w:r>
      <w:r w:rsidR="00483CE3">
        <w:t xml:space="preserve"> Disability</w:t>
      </w:r>
      <w:r>
        <w:t xml:space="preserve"> and Social Inclusion (GEDSI) can be designed and delivered in future similar programmes is an objective of the early outcome evaluation as well as the outcome and impact evaluation. </w:t>
      </w:r>
    </w:p>
    <w:p w14:paraId="421DBB07" w14:textId="59CE09F7" w:rsidR="009A21D4" w:rsidRDefault="009A21D4" w:rsidP="009A21D4">
      <w:r w:rsidRPr="00103270">
        <w:t>Ipsos has been commissioned by the UK Department for Energy Security and Net Zero (DESNZ) to be the</w:t>
      </w:r>
      <w:r>
        <w:t xml:space="preserve"> monitoring,</w:t>
      </w:r>
      <w:r w:rsidRPr="00103270">
        <w:t xml:space="preserve"> evaluation</w:t>
      </w:r>
      <w:r>
        <w:t>,</w:t>
      </w:r>
      <w:r w:rsidRPr="00103270">
        <w:t xml:space="preserve"> and learning </w:t>
      </w:r>
      <w:r>
        <w:t xml:space="preserve">(MEL) </w:t>
      </w:r>
      <w:r w:rsidRPr="00103270">
        <w:t xml:space="preserve">partner for the </w:t>
      </w:r>
      <w:r>
        <w:t xml:space="preserve">International Climate Finance (ICF) programme </w:t>
      </w:r>
      <w:r w:rsidRPr="00103270">
        <w:t xml:space="preserve">Market Accelerator for Green Construction (MAGC). </w:t>
      </w:r>
      <w:r>
        <w:t xml:space="preserve">It is funded through Official Development Assistance (ODA) and delivered by </w:t>
      </w:r>
      <w:r w:rsidRPr="00AB6963">
        <w:t>the International Finance Corporation (IFC), member of the World Bank Group (WBG)</w:t>
      </w:r>
      <w:r>
        <w:t xml:space="preserve">. </w:t>
      </w:r>
      <w:r w:rsidRPr="00BB1404">
        <w:t xml:space="preserve">MAGC aims to combat climate change in emerging markets by crowding in public and private sector financing for certified green buildings. </w:t>
      </w:r>
      <w:r>
        <w:t xml:space="preserve">The overall objectives of the contract are to assess whether </w:t>
      </w:r>
      <w:r w:rsidRPr="00073BE9">
        <w:t>the MAGC programme is having the intended benefits, whilst maximising the learning and transformation potential</w:t>
      </w:r>
      <w:r>
        <w:t>,</w:t>
      </w:r>
      <w:r w:rsidRPr="00073BE9">
        <w:t xml:space="preserve"> and informing future strategic decisions.</w:t>
      </w:r>
    </w:p>
    <w:p w14:paraId="3B3BCDAD" w14:textId="77777777" w:rsidR="00933DC4" w:rsidRDefault="00933DC4" w:rsidP="00933DC4">
      <w:r>
        <w:t xml:space="preserve">The evaluation is </w:t>
      </w:r>
      <w:r w:rsidRPr="00103270">
        <w:t xml:space="preserve">split into two phases: </w:t>
      </w:r>
    </w:p>
    <w:p w14:paraId="004E43A9" w14:textId="1BC6586B" w:rsidR="00933DC4" w:rsidRDefault="00933DC4" w:rsidP="00596960">
      <w:pPr>
        <w:pStyle w:val="DESNZbulletedlist"/>
      </w:pPr>
      <w:r>
        <w:t>The i</w:t>
      </w:r>
      <w:r w:rsidRPr="00103270">
        <w:t xml:space="preserve">nterim </w:t>
      </w:r>
      <w:r>
        <w:t>evaluation, which includes a process evaluation (phase 1a, published here)</w:t>
      </w:r>
      <w:r>
        <w:rPr>
          <w:rStyle w:val="FootnoteReference"/>
        </w:rPr>
        <w:footnoteReference w:id="2"/>
      </w:r>
      <w:r>
        <w:t xml:space="preserve"> and an early outcome evaluation (phase 1b), the object of this report.</w:t>
      </w:r>
    </w:p>
    <w:p w14:paraId="55866DC1" w14:textId="77777777" w:rsidR="00933DC4" w:rsidRDefault="00933DC4" w:rsidP="00596960">
      <w:pPr>
        <w:pStyle w:val="DESNZbulletedlist"/>
      </w:pPr>
      <w:r>
        <w:t xml:space="preserve">The </w:t>
      </w:r>
      <w:r w:rsidRPr="00103270">
        <w:t>final evaluation</w:t>
      </w:r>
      <w:r>
        <w:t xml:space="preserve">, which will be conducted in 2026/2027. </w:t>
      </w:r>
    </w:p>
    <w:p w14:paraId="30BA801B" w14:textId="77777777" w:rsidR="00F46BB5" w:rsidRDefault="00933DC4" w:rsidP="00F46BB5">
      <w:r>
        <w:t xml:space="preserve">This report is an annex to the </w:t>
      </w:r>
      <w:r w:rsidRPr="00073BE9">
        <w:rPr>
          <w:rStyle w:val="Boldtext"/>
        </w:rPr>
        <w:t>early outcome evaluation</w:t>
      </w:r>
      <w:r>
        <w:t xml:space="preserve"> main report which includes the findings and recommendations. </w:t>
      </w:r>
      <w:r w:rsidR="00F46BB5">
        <w:t>The specific objectives of phase 1b are to:</w:t>
      </w:r>
    </w:p>
    <w:p w14:paraId="7DD15888" w14:textId="1AB37F16" w:rsidR="00F46BB5" w:rsidRPr="00073BE9" w:rsidRDefault="00F46BB5" w:rsidP="00F46BB5">
      <w:pPr>
        <w:pStyle w:val="DESNZbulletedlist"/>
      </w:pPr>
      <w:r w:rsidRPr="00073BE9">
        <w:t>Improve the ongoing MAGC delivery of results effectively</w:t>
      </w:r>
      <w:r w:rsidR="001822DC">
        <w:t>.</w:t>
      </w:r>
      <w:r w:rsidRPr="00073BE9">
        <w:t xml:space="preserve"> </w:t>
      </w:r>
    </w:p>
    <w:p w14:paraId="633E599B" w14:textId="1A2C923C" w:rsidR="00F46BB5" w:rsidRPr="00073BE9" w:rsidRDefault="00F46BB5" w:rsidP="00F46BB5">
      <w:pPr>
        <w:pStyle w:val="DESNZbulletedlist"/>
      </w:pPr>
      <w:r w:rsidRPr="00073BE9">
        <w:t>Learn for future similar programmes, e.g., green construction, mixed blended finance, and technical advisory</w:t>
      </w:r>
      <w:r w:rsidR="001822DC">
        <w:t>.</w:t>
      </w:r>
      <w:r w:rsidRPr="00073BE9">
        <w:t xml:space="preserve"> </w:t>
      </w:r>
    </w:p>
    <w:p w14:paraId="6A00876B" w14:textId="6F7C7C6D" w:rsidR="00F46BB5" w:rsidRPr="00073BE9" w:rsidRDefault="00F46BB5" w:rsidP="00F46BB5">
      <w:pPr>
        <w:pStyle w:val="DESNZbulletedlist"/>
      </w:pPr>
      <w:r w:rsidRPr="00073BE9">
        <w:t>Assess the value-for-money approach</w:t>
      </w:r>
      <w:r w:rsidR="001822DC">
        <w:t>.</w:t>
      </w:r>
      <w:r w:rsidRPr="00073BE9">
        <w:t xml:space="preserve"> </w:t>
      </w:r>
    </w:p>
    <w:p w14:paraId="3157F43B" w14:textId="5B5270D2" w:rsidR="00F46BB5" w:rsidRDefault="00F46BB5" w:rsidP="00F46BB5">
      <w:pPr>
        <w:pStyle w:val="DESNZbulletedlist"/>
      </w:pPr>
      <w:r w:rsidRPr="00073BE9">
        <w:t>Learn about GE</w:t>
      </w:r>
      <w:r>
        <w:t>D</w:t>
      </w:r>
      <w:r w:rsidRPr="00073BE9">
        <w:t>SI in MAGC delivery for future similar programmes</w:t>
      </w:r>
      <w:r w:rsidR="001822DC">
        <w:t>.</w:t>
      </w:r>
      <w:r w:rsidRPr="00073BE9">
        <w:t xml:space="preserve"> </w:t>
      </w:r>
    </w:p>
    <w:p w14:paraId="034CD704" w14:textId="6BE6B32F" w:rsidR="00E15859" w:rsidRDefault="00E15859" w:rsidP="00E15859">
      <w:bookmarkStart w:id="1" w:name="_Hlk187324272"/>
      <w:r>
        <w:t xml:space="preserve">As laid out in the scoping report, GEDSI was not a consideration in MAGC’s </w:t>
      </w:r>
      <w:r w:rsidR="00FD1C29">
        <w:t>business case</w:t>
      </w:r>
      <w:r w:rsidR="00FD1C29">
        <w:rPr>
          <w:rStyle w:val="FootnoteReference"/>
        </w:rPr>
        <w:footnoteReference w:id="3"/>
      </w:r>
      <w:r w:rsidR="00FD1C29">
        <w:t xml:space="preserve"> and </w:t>
      </w:r>
      <w:r>
        <w:t>design phase</w:t>
      </w:r>
      <w:r w:rsidR="001822DC">
        <w:t xml:space="preserve">. </w:t>
      </w:r>
      <w:proofErr w:type="gramStart"/>
      <w:r w:rsidR="001822DC">
        <w:t>Thus</w:t>
      </w:r>
      <w:proofErr w:type="gramEnd"/>
      <w:r w:rsidR="001822DC">
        <w:t xml:space="preserve"> it is</w:t>
      </w:r>
      <w:r>
        <w:t xml:space="preserve"> not an objective for IFC nor embedded into monitoring processes. However, there are </w:t>
      </w:r>
      <w:r w:rsidRPr="00A6078B">
        <w:t xml:space="preserve">opportunities for identifying </w:t>
      </w:r>
      <w:r>
        <w:t>GEDSI</w:t>
      </w:r>
      <w:r w:rsidRPr="00A6078B">
        <w:t xml:space="preserve"> learnings</w:t>
      </w:r>
      <w:r>
        <w:t xml:space="preserve"> through the evaluation.</w:t>
      </w:r>
      <w:bookmarkEnd w:id="1"/>
      <w:r>
        <w:t xml:space="preserve"> This </w:t>
      </w:r>
      <w:r w:rsidR="00483CE3">
        <w:t>annex</w:t>
      </w:r>
      <w:r>
        <w:t xml:space="preserve"> includes findings and learnings on GEDSI implications of green construction</w:t>
      </w:r>
      <w:r w:rsidRPr="00E15859">
        <w:t>, as well as overarching learnings</w:t>
      </w:r>
      <w:r>
        <w:t xml:space="preserve"> to inform future programme design</w:t>
      </w:r>
      <w:r w:rsidRPr="00E15859">
        <w:t>.</w:t>
      </w:r>
    </w:p>
    <w:p w14:paraId="3775BA6F" w14:textId="5A42BFFA" w:rsidR="00933DC4" w:rsidRDefault="00933DC4" w:rsidP="00933DC4">
      <w:r>
        <w:t>The annex is structured as follows:</w:t>
      </w:r>
    </w:p>
    <w:p w14:paraId="31E2A182" w14:textId="5C8CF462" w:rsidR="00933DC4" w:rsidRDefault="00933DC4" w:rsidP="00933DC4">
      <w:pPr>
        <w:pStyle w:val="DESNZbulletedlist"/>
      </w:pPr>
      <w:r w:rsidRPr="00596960">
        <w:rPr>
          <w:rStyle w:val="Boldtext"/>
        </w:rPr>
        <w:t xml:space="preserve">Section 2 </w:t>
      </w:r>
      <w:r>
        <w:t>presents</w:t>
      </w:r>
      <w:r w:rsidR="00EE4A3C">
        <w:t xml:space="preserve"> a summary of the methodology used for the GEDSI analysis.</w:t>
      </w:r>
    </w:p>
    <w:p w14:paraId="44D4C780" w14:textId="2788042B" w:rsidR="00933DC4" w:rsidRDefault="00EE4A3C" w:rsidP="00EE4A3C">
      <w:pPr>
        <w:pStyle w:val="DESNZbulletedlist"/>
      </w:pPr>
      <w:r w:rsidRPr="00596960">
        <w:rPr>
          <w:rStyle w:val="Boldtext"/>
        </w:rPr>
        <w:t xml:space="preserve">Section 3 </w:t>
      </w:r>
      <w:r>
        <w:t>presents the f</w:t>
      </w:r>
      <w:r w:rsidR="00933DC4">
        <w:t>indings</w:t>
      </w:r>
      <w:r>
        <w:t xml:space="preserve"> on the links between g</w:t>
      </w:r>
      <w:r w:rsidR="00933DC4">
        <w:t>reen construction and GEDSI</w:t>
      </w:r>
      <w:r>
        <w:t xml:space="preserve"> and insights</w:t>
      </w:r>
      <w:r w:rsidR="00933DC4">
        <w:t xml:space="preserve"> for future programme design</w:t>
      </w:r>
      <w:r>
        <w:t>.</w:t>
      </w:r>
    </w:p>
    <w:p w14:paraId="5FDB9432" w14:textId="6B935635" w:rsidR="00933DC4" w:rsidRDefault="00EE4A3C" w:rsidP="00596960">
      <w:pPr>
        <w:pStyle w:val="DESNZbulletedlist"/>
      </w:pPr>
      <w:r w:rsidRPr="00596960">
        <w:rPr>
          <w:rStyle w:val="Boldtext"/>
        </w:rPr>
        <w:lastRenderedPageBreak/>
        <w:t>Section 4</w:t>
      </w:r>
      <w:r>
        <w:t xml:space="preserve"> presents the conclusions, recommendations and lessons from this analysis. </w:t>
      </w:r>
    </w:p>
    <w:p w14:paraId="6D38E750" w14:textId="4897E624" w:rsidR="00745A3B" w:rsidRDefault="00EE4A3C" w:rsidP="00596960">
      <w:pPr>
        <w:pStyle w:val="Heading1"/>
      </w:pPr>
      <w:bookmarkStart w:id="2" w:name="_Toc189154943"/>
      <w:r>
        <w:t xml:space="preserve">2 </w:t>
      </w:r>
      <w:r w:rsidR="0049568D">
        <w:t>M</w:t>
      </w:r>
      <w:r w:rsidR="00745A3B" w:rsidRPr="00745A3B">
        <w:t>ethodology</w:t>
      </w:r>
      <w:bookmarkEnd w:id="2"/>
      <w:r w:rsidR="00745A3B">
        <w:t xml:space="preserve"> </w:t>
      </w:r>
    </w:p>
    <w:p w14:paraId="7D3A6506" w14:textId="31A05D5D" w:rsidR="00E15859" w:rsidRDefault="00FB69B3" w:rsidP="00E15859">
      <w:pPr>
        <w:pStyle w:val="Introparagraph"/>
      </w:pPr>
      <w:r>
        <w:t>The early outcome evaluation has involved</w:t>
      </w:r>
      <w:r w:rsidR="00E15859" w:rsidRPr="00E15859">
        <w:t xml:space="preserve"> </w:t>
      </w:r>
      <w:r>
        <w:t>identifying key audiences that could benefit from unintended GEDSI outputs and outcomes</w:t>
      </w:r>
      <w:r w:rsidR="001822DC">
        <w:t xml:space="preserve">. In addition, it has included </w:t>
      </w:r>
      <w:r>
        <w:t xml:space="preserve">hypotheses of what GEDSI outcomes could be achieved through green construction. Data collection has involved stakeholder mapping, interviews </w:t>
      </w:r>
      <w:r w:rsidR="00AB3B83">
        <w:t>with stakeholders</w:t>
      </w:r>
      <w:r>
        <w:t xml:space="preserve"> </w:t>
      </w:r>
      <w:r w:rsidR="00AB3B83">
        <w:t>at programme level, in countries with highest MAGC activity to date, and case study countries</w:t>
      </w:r>
      <w:r>
        <w:t xml:space="preserve"> and focus groups with EDGE building residents.</w:t>
      </w:r>
    </w:p>
    <w:p w14:paraId="1D6B9480" w14:textId="6150276D" w:rsidR="001822DC" w:rsidRDefault="002158F2" w:rsidP="00F76277">
      <w:r>
        <w:t>To inform the early outcome evaluation</w:t>
      </w:r>
      <w:r w:rsidR="00F76277">
        <w:t xml:space="preserve">, we sought to map the in-country stakeholders who </w:t>
      </w:r>
      <w:r w:rsidR="00F76277" w:rsidRPr="00E15859">
        <w:t>could benefit from</w:t>
      </w:r>
      <w:r w:rsidR="00F91D69">
        <w:t xml:space="preserve"> unintended MAGC</w:t>
      </w:r>
      <w:r w:rsidR="00F76277" w:rsidRPr="00E15859">
        <w:t xml:space="preserve"> GE</w:t>
      </w:r>
      <w:r w:rsidR="00F76277">
        <w:t>D</w:t>
      </w:r>
      <w:r w:rsidR="00F76277" w:rsidRPr="00E15859">
        <w:t>SI outputs and outcomes</w:t>
      </w:r>
      <w:r w:rsidR="001822DC">
        <w:t>.</w:t>
      </w:r>
      <w:r w:rsidR="00F91D69">
        <w:t xml:space="preserve"> </w:t>
      </w:r>
      <w:r w:rsidR="001822DC">
        <w:t xml:space="preserve"> </w:t>
      </w:r>
      <w:r w:rsidR="00E722A0">
        <w:t>Furthermore, green</w:t>
      </w:r>
      <w:r w:rsidR="00F91D69">
        <w:t xml:space="preserve"> construction initiatives generally, to inform learnings for future programme design</w:t>
      </w:r>
      <w:r w:rsidR="00F76277" w:rsidRPr="00E15859">
        <w:t xml:space="preserve">. </w:t>
      </w:r>
      <w:r w:rsidR="00F76277">
        <w:t xml:space="preserve">This </w:t>
      </w:r>
      <w:r w:rsidR="00F91D69">
        <w:t>mapping was</w:t>
      </w:r>
      <w:r w:rsidR="00F76277">
        <w:t xml:space="preserve"> informed by the findings from the inception and process evaluation stages, as well as the T3 stakeholder mapping. Through this, we identified the following key audiences</w:t>
      </w:r>
      <w:r w:rsidR="00EC1A0A">
        <w:t>, which w</w:t>
      </w:r>
      <w:r w:rsidR="00F91D69">
        <w:t>e have separated into two groups:</w:t>
      </w:r>
      <w:r w:rsidR="00AA754D">
        <w:t xml:space="preserve"> </w:t>
      </w:r>
    </w:p>
    <w:p w14:paraId="21D517B2" w14:textId="30FC8A9B" w:rsidR="001822DC" w:rsidRDefault="001822DC" w:rsidP="001822DC">
      <w:pPr>
        <w:pStyle w:val="DESNZbulletedlist"/>
      </w:pPr>
      <w:r>
        <w:t>C</w:t>
      </w:r>
      <w:r w:rsidR="00F91D69">
        <w:t>ommunity level</w:t>
      </w:r>
      <w:r w:rsidR="00AA754D">
        <w:t xml:space="preserve"> audiences, including p</w:t>
      </w:r>
      <w:r w:rsidR="00F76277">
        <w:t>eople from lower socio-economic backgrounds</w:t>
      </w:r>
      <w:r w:rsidR="00AA754D">
        <w:t>, s</w:t>
      </w:r>
      <w:r w:rsidR="00F76277">
        <w:t>ingle parent families</w:t>
      </w:r>
      <w:r w:rsidR="00AA754D">
        <w:t>, p</w:t>
      </w:r>
      <w:r w:rsidR="00F76277">
        <w:t>eople with disabilities</w:t>
      </w:r>
      <w:r w:rsidR="00AA754D">
        <w:t>, p</w:t>
      </w:r>
      <w:r w:rsidR="00F91D69">
        <w:t>eople from e</w:t>
      </w:r>
      <w:r w:rsidR="00F76277">
        <w:t>thnic minorit</w:t>
      </w:r>
      <w:r w:rsidR="00F91D69">
        <w:t>y groups</w:t>
      </w:r>
      <w:r>
        <w:t>.</w:t>
      </w:r>
    </w:p>
    <w:p w14:paraId="1E553737" w14:textId="635E298F" w:rsidR="00EC1A0A" w:rsidRDefault="001822DC" w:rsidP="004C1F9E">
      <w:pPr>
        <w:pStyle w:val="DESNZbulletedlist"/>
      </w:pPr>
      <w:proofErr w:type="gramStart"/>
      <w:r>
        <w:t>T</w:t>
      </w:r>
      <w:r w:rsidR="00AA754D">
        <w:t>he i</w:t>
      </w:r>
      <w:r w:rsidR="00EC1A0A">
        <w:t>nvested firm level</w:t>
      </w:r>
      <w:r w:rsidR="00AA754D">
        <w:t>,</w:t>
      </w:r>
      <w:proofErr w:type="gramEnd"/>
      <w:r w:rsidR="00AA754D">
        <w:t xml:space="preserve"> comprised of w</w:t>
      </w:r>
      <w:r w:rsidR="00F76277">
        <w:t xml:space="preserve">omen in the green building sector. </w:t>
      </w:r>
    </w:p>
    <w:p w14:paraId="6E876EDA" w14:textId="5B0564DA" w:rsidR="00C97564" w:rsidRDefault="002158F2" w:rsidP="00E722A0">
      <w:pPr>
        <w:rPr>
          <w:rFonts w:eastAsia="Times New Roman" w:cs="Times New Roman"/>
          <w:b/>
          <w:sz w:val="23"/>
          <w:szCs w:val="24"/>
        </w:rPr>
      </w:pPr>
      <w:r>
        <w:t xml:space="preserve">With the key audiences identified, we </w:t>
      </w:r>
      <w:r w:rsidR="00F91D69">
        <w:t>identif</w:t>
      </w:r>
      <w:r>
        <w:t>ied</w:t>
      </w:r>
      <w:r w:rsidR="00F91D69">
        <w:t xml:space="preserve"> some key hypotheses to be tested through the early outcome evaluation. </w:t>
      </w:r>
      <w:r w:rsidR="00011E83">
        <w:t xml:space="preserve">Since </w:t>
      </w:r>
      <w:proofErr w:type="gramStart"/>
      <w:r w:rsidR="00011E83">
        <w:t>the majority of</w:t>
      </w:r>
      <w:proofErr w:type="gramEnd"/>
      <w:r w:rsidR="00011E83">
        <w:t xml:space="preserve"> MAGC-funded green buildings have not yet been built, it is not possible at the early outcome evaluation phase to identify unplanned GEDSI outcomes</w:t>
      </w:r>
      <w:r w:rsidR="00CF10B6">
        <w:t xml:space="preserve"> at the community level</w:t>
      </w:r>
      <w:r w:rsidR="00011E83">
        <w:t>. Instead</w:t>
      </w:r>
      <w:r w:rsidR="00CF10B6">
        <w:t>,</w:t>
      </w:r>
      <w:r w:rsidR="00011E83">
        <w:t xml:space="preserve"> we have focused on </w:t>
      </w:r>
      <w:r w:rsidR="00AF1C15">
        <w:t>understanding what GEDSI outcomes can be achieved from green construction</w:t>
      </w:r>
      <w:r w:rsidR="00382715">
        <w:t>.</w:t>
      </w:r>
      <w:r w:rsidR="00AF1C15">
        <w:t xml:space="preserve"> </w:t>
      </w:r>
      <w:r w:rsidR="00382715">
        <w:t xml:space="preserve">This is </w:t>
      </w:r>
      <w:r w:rsidR="00AF1C15">
        <w:t>to</w:t>
      </w:r>
      <w:r w:rsidR="00CF10B6">
        <w:t xml:space="preserve"> </w:t>
      </w:r>
      <w:r>
        <w:t xml:space="preserve">provide a framework to </w:t>
      </w:r>
      <w:r w:rsidR="00CF10B6">
        <w:t xml:space="preserve">understand </w:t>
      </w:r>
      <w:r w:rsidR="00CF10B6" w:rsidRPr="00CF10B6">
        <w:rPr>
          <w:rStyle w:val="Boldtext"/>
        </w:rPr>
        <w:t>what opportunities arose/were missed during MAGC delivery on GEDSI</w:t>
      </w:r>
      <w:r w:rsidR="00CF10B6">
        <w:rPr>
          <w:rStyle w:val="Boldtext"/>
        </w:rPr>
        <w:t xml:space="preserve"> and</w:t>
      </w:r>
      <w:r w:rsidR="00AF1C15">
        <w:t xml:space="preserve"> </w:t>
      </w:r>
      <w:r w:rsidR="00AF1C15" w:rsidRPr="00CF10B6">
        <w:rPr>
          <w:rStyle w:val="Boldtext"/>
        </w:rPr>
        <w:t>inform learnings for future programme design</w:t>
      </w:r>
      <w:r w:rsidR="00AF1C15">
        <w:t>.</w:t>
      </w:r>
      <w:r w:rsidR="00C64945" w:rsidRPr="00C64945">
        <w:t xml:space="preserve"> </w:t>
      </w:r>
      <w:r w:rsidR="00C64945">
        <w:t>T</w:t>
      </w:r>
      <w:r w:rsidR="00C64945" w:rsidRPr="00C64945">
        <w:t xml:space="preserve">hese hypotheses </w:t>
      </w:r>
      <w:r w:rsidR="00C64945">
        <w:t xml:space="preserve">have been developed at the early outcome phase and </w:t>
      </w:r>
      <w:r w:rsidR="00F3094E">
        <w:t>we</w:t>
      </w:r>
      <w:r w:rsidR="00C64945">
        <w:t>re therefore not includ</w:t>
      </w:r>
      <w:r w:rsidR="00526958">
        <w:t>ed</w:t>
      </w:r>
      <w:r w:rsidR="00C64945">
        <w:t xml:space="preserve"> </w:t>
      </w:r>
      <w:r w:rsidR="00C64945" w:rsidRPr="00C64945">
        <w:t xml:space="preserve">in the </w:t>
      </w:r>
      <w:proofErr w:type="spellStart"/>
      <w:r w:rsidR="00C64945" w:rsidRPr="00C64945">
        <w:t>ToC</w:t>
      </w:r>
      <w:proofErr w:type="spellEnd"/>
      <w:r w:rsidR="00C64945">
        <w:t>/ GEDSI learning questions.</w:t>
      </w:r>
      <w:r w:rsidR="00CF10B6">
        <w:t xml:space="preserve"> We have also included some questions at the invested firm level relating to emerging MAGC outcomes.</w:t>
      </w:r>
      <w:r w:rsidR="00AF1C15">
        <w:t xml:space="preserve"> </w:t>
      </w:r>
      <w:r>
        <w:t xml:space="preserve">The hypotheses were identified based on evidence from the inception and process evaluation stages, experience of what </w:t>
      </w:r>
      <w:r w:rsidRPr="002158F2">
        <w:t>GEDSI-related outcome</w:t>
      </w:r>
      <w:r>
        <w:t>s</w:t>
      </w:r>
      <w:r w:rsidRPr="002158F2">
        <w:t xml:space="preserve"> </w:t>
      </w:r>
      <w:r>
        <w:t>other DESNZ/ICF programmes seek to achieve, and our expertise of how GEDSI principles can be applied to international development programming. The</w:t>
      </w:r>
      <w:r w:rsidR="00011E83">
        <w:t xml:space="preserve"> key </w:t>
      </w:r>
      <w:r w:rsidR="00CF10B6">
        <w:t xml:space="preserve">outcomes </w:t>
      </w:r>
      <w:r w:rsidR="00011E83">
        <w:t>hypothese</w:t>
      </w:r>
      <w:r w:rsidR="00AF1C15">
        <w:t>s</w:t>
      </w:r>
      <w:r>
        <w:t xml:space="preserve"> are detailed below.</w:t>
      </w:r>
      <w:r w:rsidR="00C97564">
        <w:br w:type="page"/>
      </w:r>
    </w:p>
    <w:p w14:paraId="30B02BDD" w14:textId="394D88D7" w:rsidR="002F00EC" w:rsidRPr="00E722A0" w:rsidRDefault="002F00EC" w:rsidP="00E722A0">
      <w:pPr>
        <w:rPr>
          <w:rStyle w:val="Boldtext"/>
        </w:rPr>
      </w:pPr>
      <w:r w:rsidRPr="00E722A0">
        <w:rPr>
          <w:rStyle w:val="Boldtext"/>
        </w:rPr>
        <w:lastRenderedPageBreak/>
        <w:t>Table 1: Outcomes hypotheses</w:t>
      </w:r>
    </w:p>
    <w:tbl>
      <w:tblPr>
        <w:tblStyle w:val="Table-Darkblue"/>
        <w:tblW w:w="4892" w:type="pct"/>
        <w:tblLayout w:type="fixed"/>
        <w:tblLook w:val="01E0" w:firstRow="1" w:lastRow="1" w:firstColumn="1" w:lastColumn="1" w:noHBand="0" w:noVBand="0"/>
      </w:tblPr>
      <w:tblGrid>
        <w:gridCol w:w="3113"/>
        <w:gridCol w:w="6751"/>
      </w:tblGrid>
      <w:tr w:rsidR="002F00EC" w:rsidRPr="000D2D4B" w14:paraId="5FB38172" w14:textId="77777777" w:rsidTr="00E722A0">
        <w:trPr>
          <w:cnfStyle w:val="100000000000" w:firstRow="1" w:lastRow="0" w:firstColumn="0" w:lastColumn="0" w:oddVBand="0" w:evenVBand="0" w:oddHBand="0" w:evenHBand="0" w:firstRowFirstColumn="0" w:firstRowLastColumn="0" w:lastRowFirstColumn="0" w:lastRowLastColumn="0"/>
          <w:trHeight w:val="166"/>
        </w:trPr>
        <w:tc>
          <w:tcPr>
            <w:tcW w:w="1578" w:type="pct"/>
          </w:tcPr>
          <w:p w14:paraId="718F7E3F" w14:textId="15E64F16" w:rsidR="002F00EC" w:rsidRPr="002F00EC" w:rsidRDefault="002F00EC" w:rsidP="002F00EC">
            <w:pPr>
              <w:pStyle w:val="Tableheading-NormalWhite"/>
            </w:pPr>
            <w:r>
              <w:t>Evaluation questions</w:t>
            </w:r>
          </w:p>
        </w:tc>
        <w:tc>
          <w:tcPr>
            <w:tcW w:w="3422" w:type="pct"/>
          </w:tcPr>
          <w:p w14:paraId="28EB233C" w14:textId="650C5B49" w:rsidR="002F00EC" w:rsidRPr="002F00EC" w:rsidRDefault="002F00EC" w:rsidP="002F00EC">
            <w:pPr>
              <w:pStyle w:val="Tableheading-NormalWhite"/>
            </w:pPr>
            <w:r>
              <w:t xml:space="preserve">Sub-questions/ hypotheses </w:t>
            </w:r>
            <w:r w:rsidR="00C64945">
              <w:t>on green construction and GEDSI</w:t>
            </w:r>
          </w:p>
        </w:tc>
      </w:tr>
      <w:tr w:rsidR="002F00EC" w:rsidRPr="00432A26" w14:paraId="6C003918" w14:textId="77777777" w:rsidTr="002F00EC">
        <w:trPr>
          <w:trHeight w:val="328"/>
        </w:trPr>
        <w:tc>
          <w:tcPr>
            <w:tcW w:w="5000" w:type="pct"/>
            <w:gridSpan w:val="2"/>
          </w:tcPr>
          <w:p w14:paraId="54521519" w14:textId="481B10DB" w:rsidR="002F00EC" w:rsidRPr="002F00EC" w:rsidRDefault="002F00EC" w:rsidP="002F00EC">
            <w:r>
              <w:t>Community l</w:t>
            </w:r>
            <w:r w:rsidRPr="002F00EC">
              <w:t>evel</w:t>
            </w:r>
          </w:p>
        </w:tc>
      </w:tr>
      <w:tr w:rsidR="002F00EC" w:rsidRPr="00432A26" w14:paraId="48AE2AD9" w14:textId="77777777" w:rsidTr="00E722A0">
        <w:trPr>
          <w:trHeight w:val="237"/>
        </w:trPr>
        <w:tc>
          <w:tcPr>
            <w:tcW w:w="1578" w:type="pct"/>
            <w:vMerge w:val="restart"/>
          </w:tcPr>
          <w:p w14:paraId="5F9B45D4" w14:textId="6911B0FB" w:rsidR="002F00EC" w:rsidRPr="002F00EC" w:rsidRDefault="002F00EC" w:rsidP="00596960">
            <w:bookmarkStart w:id="3" w:name="_Hlk178082386"/>
            <w:r w:rsidRPr="002F00EC">
              <w:t>What opportunities arose/were missed during MAGC delivery on GEDSI?</w:t>
            </w:r>
            <w:r w:rsidR="00C64945">
              <w:t xml:space="preserve"> </w:t>
            </w:r>
            <w:r w:rsidR="00C64945" w:rsidRPr="00C64945">
              <w:t>How could we address GEDSI in future programme design?</w:t>
            </w:r>
          </w:p>
        </w:tc>
        <w:tc>
          <w:tcPr>
            <w:tcW w:w="3422" w:type="pct"/>
          </w:tcPr>
          <w:p w14:paraId="62D2B672" w14:textId="6DB9DE90" w:rsidR="002F00EC" w:rsidRPr="002F00EC" w:rsidRDefault="002F00EC" w:rsidP="002F00EC">
            <w:r w:rsidRPr="00AF1C15">
              <w:t xml:space="preserve">Overarching hypothesis 1: Green buildings reduce the </w:t>
            </w:r>
            <w:r w:rsidRPr="00F615DF">
              <w:rPr>
                <w:rStyle w:val="Boldtext"/>
              </w:rPr>
              <w:t>cost of living for</w:t>
            </w:r>
            <w:r w:rsidRPr="00AF1C15">
              <w:t xml:space="preserve"> </w:t>
            </w:r>
            <w:r w:rsidRPr="00F615DF">
              <w:rPr>
                <w:rStyle w:val="Boldtext"/>
              </w:rPr>
              <w:t>marginalised groups</w:t>
            </w:r>
            <w:r w:rsidRPr="002F00EC">
              <w:t xml:space="preserve"> (with findings split by different marginalised groups)</w:t>
            </w:r>
            <w:r w:rsidR="00382715">
              <w:t>.</w:t>
            </w:r>
          </w:p>
        </w:tc>
      </w:tr>
      <w:tr w:rsidR="002F00EC" w:rsidRPr="00432A26" w14:paraId="6B5A9449" w14:textId="77777777" w:rsidTr="00E722A0">
        <w:trPr>
          <w:trHeight w:val="237"/>
        </w:trPr>
        <w:tc>
          <w:tcPr>
            <w:tcW w:w="1578" w:type="pct"/>
            <w:vMerge/>
          </w:tcPr>
          <w:p w14:paraId="302C7DFC" w14:textId="77777777" w:rsidR="002F00EC" w:rsidRPr="002F00EC" w:rsidRDefault="002F00EC" w:rsidP="002F00EC">
            <w:pPr>
              <w:pStyle w:val="Tabletext-Normal"/>
            </w:pPr>
          </w:p>
        </w:tc>
        <w:tc>
          <w:tcPr>
            <w:tcW w:w="3422" w:type="pct"/>
          </w:tcPr>
          <w:p w14:paraId="35E9F4A1" w14:textId="0B23CFC6" w:rsidR="002F00EC" w:rsidRPr="00AF1C15" w:rsidRDefault="002F00EC" w:rsidP="002F00EC">
            <w:r w:rsidRPr="00AF1C15">
              <w:t xml:space="preserve">Overarching hypothesis 2: Green buildings are more </w:t>
            </w:r>
            <w:r w:rsidRPr="00F615DF">
              <w:rPr>
                <w:rStyle w:val="Boldtext"/>
              </w:rPr>
              <w:t>accessible for people with</w:t>
            </w:r>
            <w:r w:rsidRPr="00AF1C15">
              <w:t xml:space="preserve"> </w:t>
            </w:r>
            <w:r w:rsidRPr="00F615DF">
              <w:rPr>
                <w:rStyle w:val="Boldtext"/>
              </w:rPr>
              <w:t>disabilities</w:t>
            </w:r>
            <w:r w:rsidR="00382715">
              <w:rPr>
                <w:rStyle w:val="Boldtext"/>
              </w:rPr>
              <w:t>.</w:t>
            </w:r>
          </w:p>
        </w:tc>
      </w:tr>
      <w:tr w:rsidR="002F00EC" w:rsidRPr="00432A26" w14:paraId="58173362" w14:textId="77777777" w:rsidTr="00E722A0">
        <w:trPr>
          <w:trHeight w:val="237"/>
        </w:trPr>
        <w:tc>
          <w:tcPr>
            <w:tcW w:w="1578" w:type="pct"/>
            <w:vMerge/>
          </w:tcPr>
          <w:p w14:paraId="6FEDF811" w14:textId="77777777" w:rsidR="002F00EC" w:rsidRPr="002F00EC" w:rsidRDefault="002F00EC" w:rsidP="002F00EC">
            <w:pPr>
              <w:pStyle w:val="Tabletext-Normal"/>
            </w:pPr>
          </w:p>
        </w:tc>
        <w:tc>
          <w:tcPr>
            <w:tcW w:w="3422" w:type="pct"/>
          </w:tcPr>
          <w:p w14:paraId="1752A1D5" w14:textId="2EEBA114" w:rsidR="002F00EC" w:rsidRPr="00AF1C15" w:rsidRDefault="002F00EC" w:rsidP="002F00EC">
            <w:r w:rsidRPr="00AF1C15">
              <w:t xml:space="preserve">Overarching hypothesis 3:  Green buildings </w:t>
            </w:r>
            <w:r w:rsidRPr="00F615DF">
              <w:rPr>
                <w:rStyle w:val="Boldtext"/>
              </w:rPr>
              <w:t>improve the standard of living for people from</w:t>
            </w:r>
            <w:r w:rsidRPr="00AF1C15">
              <w:t xml:space="preserve"> </w:t>
            </w:r>
            <w:r w:rsidRPr="00F615DF">
              <w:rPr>
                <w:rStyle w:val="Boldtext"/>
              </w:rPr>
              <w:t>marginalised groups</w:t>
            </w:r>
            <w:r w:rsidRPr="002F00EC">
              <w:t xml:space="preserve"> (with findings split by different marginalised groups)</w:t>
            </w:r>
            <w:r w:rsidR="00382715">
              <w:t>.</w:t>
            </w:r>
          </w:p>
        </w:tc>
      </w:tr>
      <w:tr w:rsidR="002F00EC" w:rsidRPr="00432A26" w14:paraId="3A7DA360" w14:textId="77777777" w:rsidTr="002F00EC">
        <w:trPr>
          <w:trHeight w:val="237"/>
        </w:trPr>
        <w:tc>
          <w:tcPr>
            <w:tcW w:w="5000" w:type="pct"/>
            <w:gridSpan w:val="2"/>
          </w:tcPr>
          <w:p w14:paraId="698F535A" w14:textId="26D1579E" w:rsidR="002F00EC" w:rsidRPr="00AF1C15" w:rsidRDefault="002F00EC" w:rsidP="002F00EC">
            <w:r>
              <w:t>Invested f</w:t>
            </w:r>
            <w:r w:rsidRPr="002F00EC">
              <w:t>irm level</w:t>
            </w:r>
          </w:p>
        </w:tc>
      </w:tr>
      <w:tr w:rsidR="00F3094E" w:rsidRPr="00432A26" w14:paraId="1B4990CE" w14:textId="77777777" w:rsidTr="00E722A0">
        <w:trPr>
          <w:trHeight w:val="237"/>
        </w:trPr>
        <w:tc>
          <w:tcPr>
            <w:tcW w:w="1578" w:type="pct"/>
            <w:vMerge w:val="restart"/>
          </w:tcPr>
          <w:p w14:paraId="6A28EDAC" w14:textId="5CBCCADA" w:rsidR="00F3094E" w:rsidRPr="002F00EC" w:rsidRDefault="00F3094E" w:rsidP="00596960">
            <w:r w:rsidRPr="002F00EC">
              <w:t>What opportunities arose/were missed during MAGC delivery on GEDSI?</w:t>
            </w:r>
            <w:r>
              <w:t xml:space="preserve"> </w:t>
            </w:r>
            <w:r w:rsidRPr="00C64945">
              <w:t>How could we address GEDSI in future programme design?</w:t>
            </w:r>
          </w:p>
        </w:tc>
        <w:tc>
          <w:tcPr>
            <w:tcW w:w="3422" w:type="pct"/>
          </w:tcPr>
          <w:p w14:paraId="3F32CF5A" w14:textId="3F1E9D5C" w:rsidR="00F3094E" w:rsidRPr="00AF1C15" w:rsidRDefault="00F3094E" w:rsidP="002F00EC">
            <w:r w:rsidRPr="00AF1C15">
              <w:t xml:space="preserve">Overarching hypothesis </w:t>
            </w:r>
            <w:r w:rsidRPr="002F00EC">
              <w:t xml:space="preserve">4: MAGC has encouraged </w:t>
            </w:r>
            <w:r w:rsidRPr="00F615DF">
              <w:rPr>
                <w:rStyle w:val="Boldtext"/>
              </w:rPr>
              <w:t>more women to become EDGE expert</w:t>
            </w:r>
            <w:r w:rsidR="002F548E">
              <w:rPr>
                <w:rStyle w:val="Boldtext"/>
              </w:rPr>
              <w:t>s</w:t>
            </w:r>
            <w:r w:rsidRPr="00F615DF">
              <w:rPr>
                <w:rStyle w:val="Boldtext"/>
              </w:rPr>
              <w:t xml:space="preserve"> accredited</w:t>
            </w:r>
            <w:r w:rsidR="00382715">
              <w:rPr>
                <w:rStyle w:val="Boldtext"/>
              </w:rPr>
              <w:t>.</w:t>
            </w:r>
            <w:r w:rsidRPr="002F00EC">
              <w:t xml:space="preserve"> </w:t>
            </w:r>
          </w:p>
        </w:tc>
      </w:tr>
      <w:tr w:rsidR="00F3094E" w:rsidRPr="00432A26" w14:paraId="258B094A" w14:textId="77777777" w:rsidTr="00E722A0">
        <w:trPr>
          <w:trHeight w:val="237"/>
        </w:trPr>
        <w:tc>
          <w:tcPr>
            <w:tcW w:w="1578" w:type="pct"/>
            <w:vMerge/>
          </w:tcPr>
          <w:p w14:paraId="20FDD0EE" w14:textId="77777777" w:rsidR="00F3094E" w:rsidRPr="002F00EC" w:rsidRDefault="00F3094E" w:rsidP="002F00EC">
            <w:pPr>
              <w:pStyle w:val="Tabletext-Normal"/>
            </w:pPr>
          </w:p>
        </w:tc>
        <w:tc>
          <w:tcPr>
            <w:tcW w:w="3422" w:type="pct"/>
          </w:tcPr>
          <w:p w14:paraId="4444FC2C" w14:textId="1AE129AC" w:rsidR="00F3094E" w:rsidRPr="00AF1C15" w:rsidRDefault="00F3094E" w:rsidP="002F00EC">
            <w:r w:rsidRPr="00F3094E">
              <w:rPr>
                <w:lang w:eastAsia="en-US"/>
              </w:rPr>
              <w:t xml:space="preserve">Any </w:t>
            </w:r>
            <w:r w:rsidRPr="00F615DF">
              <w:rPr>
                <w:rStyle w:val="Boldtext"/>
              </w:rPr>
              <w:t>other outcomes</w:t>
            </w:r>
            <w:r w:rsidRPr="00F3094E">
              <w:rPr>
                <w:lang w:eastAsia="en-US"/>
              </w:rPr>
              <w:t xml:space="preserve"> observed in relation to GEDSI and MAGC</w:t>
            </w:r>
            <w:r w:rsidR="00382715">
              <w:t>.</w:t>
            </w:r>
          </w:p>
        </w:tc>
      </w:tr>
    </w:tbl>
    <w:bookmarkEnd w:id="3"/>
    <w:p w14:paraId="34C9E810" w14:textId="10542220" w:rsidR="00CF10B6" w:rsidRPr="00CF10B6" w:rsidRDefault="00CF10B6" w:rsidP="00CF10B6">
      <w:pPr>
        <w:rPr>
          <w:rStyle w:val="Boldtext"/>
        </w:rPr>
      </w:pPr>
      <w:r>
        <w:rPr>
          <w:rStyle w:val="Boldtext"/>
        </w:rPr>
        <w:t xml:space="preserve">Learning questions </w:t>
      </w:r>
    </w:p>
    <w:p w14:paraId="5FF0B163" w14:textId="23E86E6F" w:rsidR="00AF1C15" w:rsidRDefault="00AF1C15" w:rsidP="00CF10B6">
      <w:pPr>
        <w:pStyle w:val="DESNZbulletedlist"/>
        <w:numPr>
          <w:ilvl w:val="0"/>
          <w:numId w:val="0"/>
        </w:numPr>
      </w:pPr>
      <w:r>
        <w:t xml:space="preserve">We also sought to </w:t>
      </w:r>
      <w:r w:rsidR="002F00EC">
        <w:t xml:space="preserve">answer </w:t>
      </w:r>
      <w:r w:rsidR="00954047">
        <w:t>the following learning questions:</w:t>
      </w:r>
    </w:p>
    <w:p w14:paraId="37A63719" w14:textId="431EE8FB" w:rsidR="002F00EC" w:rsidRDefault="002F00EC" w:rsidP="002F00EC">
      <w:pPr>
        <w:pStyle w:val="Caption"/>
      </w:pPr>
      <w:r w:rsidRPr="002F00EC">
        <w:t xml:space="preserve">Table </w:t>
      </w:r>
      <w:r w:rsidR="00DF3F07">
        <w:t>2</w:t>
      </w:r>
      <w:r w:rsidRPr="002F00EC">
        <w:t xml:space="preserve">: </w:t>
      </w:r>
      <w:r>
        <w:t>Learning questions</w:t>
      </w:r>
    </w:p>
    <w:tbl>
      <w:tblPr>
        <w:tblStyle w:val="Table-Darkblue"/>
        <w:tblW w:w="4892" w:type="pct"/>
        <w:tblLayout w:type="fixed"/>
        <w:tblLook w:val="01E0" w:firstRow="1" w:lastRow="1" w:firstColumn="1" w:lastColumn="1" w:noHBand="0" w:noVBand="0"/>
      </w:tblPr>
      <w:tblGrid>
        <w:gridCol w:w="3113"/>
        <w:gridCol w:w="6751"/>
      </w:tblGrid>
      <w:tr w:rsidR="002F00EC" w:rsidRPr="000D2D4B" w14:paraId="00E35AA2" w14:textId="77777777" w:rsidTr="00E722A0">
        <w:trPr>
          <w:cnfStyle w:val="100000000000" w:firstRow="1" w:lastRow="0" w:firstColumn="0" w:lastColumn="0" w:oddVBand="0" w:evenVBand="0" w:oddHBand="0" w:evenHBand="0" w:firstRowFirstColumn="0" w:firstRowLastColumn="0" w:lastRowFirstColumn="0" w:lastRowLastColumn="0"/>
          <w:trHeight w:val="166"/>
        </w:trPr>
        <w:tc>
          <w:tcPr>
            <w:tcW w:w="1578" w:type="pct"/>
          </w:tcPr>
          <w:p w14:paraId="7E9C7CFD" w14:textId="77777777" w:rsidR="002F00EC" w:rsidRPr="002F00EC" w:rsidRDefault="002F00EC" w:rsidP="002F00EC">
            <w:pPr>
              <w:pStyle w:val="Tableheading-NormalWhite"/>
            </w:pPr>
            <w:r>
              <w:t>Evaluation questions</w:t>
            </w:r>
          </w:p>
        </w:tc>
        <w:tc>
          <w:tcPr>
            <w:tcW w:w="3422" w:type="pct"/>
          </w:tcPr>
          <w:p w14:paraId="5473FDFB" w14:textId="4DF3D7D9" w:rsidR="002F00EC" w:rsidRPr="002F00EC" w:rsidRDefault="002F00EC" w:rsidP="002F00EC">
            <w:pPr>
              <w:pStyle w:val="Tableheading-NormalWhite"/>
            </w:pPr>
            <w:r>
              <w:t>Sub-q</w:t>
            </w:r>
            <w:r w:rsidRPr="002F00EC">
              <w:t>uestions</w:t>
            </w:r>
          </w:p>
        </w:tc>
      </w:tr>
      <w:tr w:rsidR="002F00EC" w:rsidRPr="00432A26" w14:paraId="36E9EFA0" w14:textId="77777777" w:rsidTr="00E722A0">
        <w:trPr>
          <w:trHeight w:val="756"/>
        </w:trPr>
        <w:tc>
          <w:tcPr>
            <w:tcW w:w="1578" w:type="pct"/>
            <w:vMerge w:val="restart"/>
          </w:tcPr>
          <w:p w14:paraId="7D1E489E" w14:textId="5AA839A7" w:rsidR="002F00EC" w:rsidRPr="002F00EC" w:rsidRDefault="002F00EC" w:rsidP="00596960">
            <w:r w:rsidRPr="002F00EC">
              <w:t>What opportunities arose/were missed during MAGC delivery on GE</w:t>
            </w:r>
            <w:r>
              <w:t>D</w:t>
            </w:r>
            <w:r w:rsidRPr="002F00EC">
              <w:t>SI?</w:t>
            </w:r>
          </w:p>
        </w:tc>
        <w:tc>
          <w:tcPr>
            <w:tcW w:w="3422" w:type="pct"/>
          </w:tcPr>
          <w:p w14:paraId="0DD4C72E" w14:textId="5F17E8B7" w:rsidR="002F00EC" w:rsidRPr="002F00EC" w:rsidRDefault="002F00EC" w:rsidP="002F00EC">
            <w:r w:rsidRPr="00954047">
              <w:t xml:space="preserve">What </w:t>
            </w:r>
            <w:r w:rsidRPr="00F615DF">
              <w:rPr>
                <w:rStyle w:val="Boldtext"/>
              </w:rPr>
              <w:t>aspects</w:t>
            </w:r>
            <w:r w:rsidRPr="00954047">
              <w:t xml:space="preserve"> (if any) of MAGC supported (or prevented) GE</w:t>
            </w:r>
            <w:r w:rsidRPr="002F00EC">
              <w:t>D</w:t>
            </w:r>
            <w:r w:rsidR="00F8140E">
              <w:t>S</w:t>
            </w:r>
            <w:r w:rsidRPr="002F00EC">
              <w:t>I benefits from occurring, and any external factors?</w:t>
            </w:r>
          </w:p>
        </w:tc>
      </w:tr>
      <w:tr w:rsidR="002F00EC" w:rsidRPr="00432A26" w14:paraId="6BFFFA91" w14:textId="77777777" w:rsidTr="00E722A0">
        <w:trPr>
          <w:trHeight w:val="20"/>
        </w:trPr>
        <w:tc>
          <w:tcPr>
            <w:tcW w:w="1578" w:type="pct"/>
            <w:vMerge/>
          </w:tcPr>
          <w:p w14:paraId="6CAE3930" w14:textId="77777777" w:rsidR="002F00EC" w:rsidRPr="002F00EC" w:rsidRDefault="002F00EC" w:rsidP="00596960"/>
        </w:tc>
        <w:tc>
          <w:tcPr>
            <w:tcW w:w="3422" w:type="pct"/>
          </w:tcPr>
          <w:p w14:paraId="72D4E271" w14:textId="47E83CBA" w:rsidR="002F00EC" w:rsidRPr="00954047" w:rsidRDefault="002F00EC" w:rsidP="002F00EC">
            <w:r>
              <w:t>W</w:t>
            </w:r>
            <w:r w:rsidRPr="002F00EC">
              <w:t xml:space="preserve">hat </w:t>
            </w:r>
            <w:r w:rsidRPr="00F615DF">
              <w:rPr>
                <w:rStyle w:val="Boldtext"/>
              </w:rPr>
              <w:t>indicators</w:t>
            </w:r>
            <w:r w:rsidRPr="002F00EC">
              <w:t xml:space="preserve"> would it have been useful to include in the original </w:t>
            </w:r>
            <w:proofErr w:type="spellStart"/>
            <w:r w:rsidRPr="002F00EC">
              <w:t>logframe</w:t>
            </w:r>
            <w:proofErr w:type="spellEnd"/>
            <w:r w:rsidRPr="002F00EC">
              <w:t xml:space="preserve"> to monitor GEDSI objectives</w:t>
            </w:r>
            <w:r>
              <w:t>?</w:t>
            </w:r>
          </w:p>
        </w:tc>
      </w:tr>
      <w:tr w:rsidR="002F00EC" w:rsidRPr="00432A26" w14:paraId="60A7C8EE" w14:textId="77777777" w:rsidTr="00E722A0">
        <w:trPr>
          <w:trHeight w:val="20"/>
        </w:trPr>
        <w:tc>
          <w:tcPr>
            <w:tcW w:w="1578" w:type="pct"/>
            <w:vMerge w:val="restart"/>
          </w:tcPr>
          <w:p w14:paraId="40E5A8BB" w14:textId="1C850F87" w:rsidR="002F00EC" w:rsidRPr="002F00EC" w:rsidRDefault="002F00EC" w:rsidP="00596960">
            <w:r w:rsidRPr="002F00EC">
              <w:t>How could we address GEDSI in future programme design?</w:t>
            </w:r>
          </w:p>
        </w:tc>
        <w:tc>
          <w:tcPr>
            <w:tcW w:w="3422" w:type="pct"/>
          </w:tcPr>
          <w:p w14:paraId="4586D50A" w14:textId="2CCBA57D" w:rsidR="002F00EC" w:rsidRDefault="002F00EC" w:rsidP="002F00EC">
            <w:r w:rsidRPr="002F00EC">
              <w:t xml:space="preserve">To what extent have </w:t>
            </w:r>
            <w:r w:rsidRPr="00F615DF">
              <w:rPr>
                <w:rStyle w:val="Boldtext"/>
              </w:rPr>
              <w:t>GEDSI lessons been systematically captured and shared</w:t>
            </w:r>
            <w:r w:rsidRPr="002F00EC">
              <w:t xml:space="preserve"> to support onward and wider sector learning for supporting GEDSI in green construction globally?</w:t>
            </w:r>
          </w:p>
        </w:tc>
      </w:tr>
      <w:tr w:rsidR="002F00EC" w:rsidRPr="00432A26" w14:paraId="4804ABB4" w14:textId="77777777" w:rsidTr="00E722A0">
        <w:trPr>
          <w:trHeight w:val="20"/>
        </w:trPr>
        <w:tc>
          <w:tcPr>
            <w:tcW w:w="1578" w:type="pct"/>
            <w:vMerge/>
          </w:tcPr>
          <w:p w14:paraId="25950DA5" w14:textId="77777777" w:rsidR="002F00EC" w:rsidRPr="002F00EC" w:rsidRDefault="002F00EC" w:rsidP="002F00EC">
            <w:pPr>
              <w:pStyle w:val="Tabletext-Normal"/>
            </w:pPr>
          </w:p>
        </w:tc>
        <w:tc>
          <w:tcPr>
            <w:tcW w:w="3422" w:type="pct"/>
          </w:tcPr>
          <w:p w14:paraId="62393720" w14:textId="227A1805" w:rsidR="002F00EC" w:rsidRPr="002F00EC" w:rsidRDefault="002F00EC" w:rsidP="002F00EC">
            <w:r w:rsidRPr="002F00EC">
              <w:t xml:space="preserve">How feasible is it for future programming on green construction to include </w:t>
            </w:r>
            <w:r w:rsidRPr="00F615DF">
              <w:rPr>
                <w:rStyle w:val="Boldtext"/>
              </w:rPr>
              <w:t>social impact</w:t>
            </w:r>
            <w:r w:rsidRPr="002F00EC">
              <w:t xml:space="preserve"> as a key aim (including business case development, </w:t>
            </w:r>
            <w:proofErr w:type="spellStart"/>
            <w:r w:rsidRPr="002F00EC">
              <w:t>ToRs</w:t>
            </w:r>
            <w:proofErr w:type="spellEnd"/>
            <w:r w:rsidRPr="002F00EC">
              <w:t xml:space="preserve">, programme design, design of </w:t>
            </w:r>
            <w:r w:rsidR="00846B27">
              <w:t>monitoring and evaluation (</w:t>
            </w:r>
            <w:r w:rsidRPr="002F00EC">
              <w:t>M&amp;E</w:t>
            </w:r>
            <w:r w:rsidR="00846B27">
              <w:t>)</w:t>
            </w:r>
            <w:r w:rsidRPr="002F00EC">
              <w:t xml:space="preserve"> processes)</w:t>
            </w:r>
            <w:r>
              <w:t>?</w:t>
            </w:r>
          </w:p>
        </w:tc>
      </w:tr>
      <w:tr w:rsidR="002F00EC" w:rsidRPr="00432A26" w14:paraId="119264E7" w14:textId="77777777" w:rsidTr="00E722A0">
        <w:trPr>
          <w:trHeight w:val="20"/>
        </w:trPr>
        <w:tc>
          <w:tcPr>
            <w:tcW w:w="1578" w:type="pct"/>
            <w:vMerge/>
          </w:tcPr>
          <w:p w14:paraId="206D546B" w14:textId="77777777" w:rsidR="002F00EC" w:rsidRPr="002F00EC" w:rsidRDefault="002F00EC" w:rsidP="002F00EC">
            <w:pPr>
              <w:pStyle w:val="Tabletext-Normal"/>
            </w:pPr>
          </w:p>
        </w:tc>
        <w:tc>
          <w:tcPr>
            <w:tcW w:w="3422" w:type="pct"/>
          </w:tcPr>
          <w:p w14:paraId="1D4C4226" w14:textId="0DDA5739" w:rsidR="002F00EC" w:rsidRPr="002F00EC" w:rsidRDefault="002F00EC" w:rsidP="002F00EC">
            <w:r w:rsidRPr="002F00EC">
              <w:t xml:space="preserve">How can different stakeholder groups in future programming facilitate the </w:t>
            </w:r>
            <w:r w:rsidRPr="00F615DF">
              <w:rPr>
                <w:rStyle w:val="Boldtext"/>
              </w:rPr>
              <w:t>inclusion of GEDSI in design and delivery</w:t>
            </w:r>
            <w:r w:rsidRPr="002F00EC">
              <w:t>?</w:t>
            </w:r>
          </w:p>
        </w:tc>
      </w:tr>
      <w:tr w:rsidR="002F00EC" w:rsidRPr="00432A26" w14:paraId="60BF8483" w14:textId="77777777" w:rsidTr="00E722A0">
        <w:trPr>
          <w:trHeight w:val="20"/>
        </w:trPr>
        <w:tc>
          <w:tcPr>
            <w:tcW w:w="1578" w:type="pct"/>
            <w:vMerge/>
          </w:tcPr>
          <w:p w14:paraId="682CD736" w14:textId="77777777" w:rsidR="002F00EC" w:rsidRPr="002F00EC" w:rsidRDefault="002F00EC" w:rsidP="002F00EC">
            <w:pPr>
              <w:pStyle w:val="Tabletext-Normal"/>
            </w:pPr>
          </w:p>
        </w:tc>
        <w:tc>
          <w:tcPr>
            <w:tcW w:w="3422" w:type="pct"/>
          </w:tcPr>
          <w:p w14:paraId="1B49293B" w14:textId="72ED2F37" w:rsidR="002F00EC" w:rsidRPr="002F00EC" w:rsidRDefault="002F00EC" w:rsidP="002F00EC">
            <w:r w:rsidRPr="002F00EC">
              <w:t xml:space="preserve">Which </w:t>
            </w:r>
            <w:r w:rsidRPr="00F615DF">
              <w:rPr>
                <w:rStyle w:val="Boldtext"/>
              </w:rPr>
              <w:t>GEDSI indicators</w:t>
            </w:r>
            <w:r w:rsidRPr="002F00EC">
              <w:t xml:space="preserve"> would it be useful to include in future programme monitoring processes?</w:t>
            </w:r>
          </w:p>
        </w:tc>
      </w:tr>
    </w:tbl>
    <w:p w14:paraId="22B1D7F8" w14:textId="10393384" w:rsidR="00E15859" w:rsidRPr="00E15859" w:rsidRDefault="00E15859" w:rsidP="00E15859">
      <w:r w:rsidRPr="00E15859">
        <w:t xml:space="preserve">Key evidence sources in the interim (early outcome) phase </w:t>
      </w:r>
      <w:r>
        <w:t xml:space="preserve">have </w:t>
      </w:r>
      <w:r w:rsidRPr="00E15859">
        <w:t>include</w:t>
      </w:r>
      <w:r>
        <w:t>d</w:t>
      </w:r>
      <w:r w:rsidRPr="00E15859">
        <w:t>:</w:t>
      </w:r>
    </w:p>
    <w:p w14:paraId="1BB71C76" w14:textId="63066DA1" w:rsidR="00E15859" w:rsidRPr="00E15859" w:rsidRDefault="00E15859" w:rsidP="00E15859">
      <w:pPr>
        <w:pStyle w:val="DESNZbulletedlist"/>
      </w:pPr>
      <w:r w:rsidRPr="004C1F9E">
        <w:rPr>
          <w:rStyle w:val="Boldtext"/>
        </w:rPr>
        <w:t>T3 stakeholder mapping</w:t>
      </w:r>
      <w:r w:rsidRPr="00E15859">
        <w:t xml:space="preserve">: </w:t>
      </w:r>
      <w:r w:rsidR="00215C7E">
        <w:t>M</w:t>
      </w:r>
      <w:r w:rsidRPr="00E15859">
        <w:t>apping to identify the main in-country stakeholders (both participants and non-participants in MAGC) who could benefit from GE</w:t>
      </w:r>
      <w:r>
        <w:t>D</w:t>
      </w:r>
      <w:r w:rsidRPr="00E15859">
        <w:t xml:space="preserve">SI outputs and outcomes. </w:t>
      </w:r>
    </w:p>
    <w:p w14:paraId="5ACBACC3" w14:textId="08A89D26" w:rsidR="00E15859" w:rsidRPr="00E15859" w:rsidRDefault="00E15859" w:rsidP="00E15859">
      <w:pPr>
        <w:pStyle w:val="DESNZbulletedlist"/>
      </w:pPr>
      <w:r w:rsidRPr="004C1F9E">
        <w:rPr>
          <w:rStyle w:val="Boldtext"/>
        </w:rPr>
        <w:t>T2 and T3 interviews with in-country stakeholders</w:t>
      </w:r>
      <w:r w:rsidR="00FE535A">
        <w:rPr>
          <w:rStyle w:val="FootnoteReference"/>
        </w:rPr>
        <w:footnoteReference w:id="4"/>
      </w:r>
      <w:r w:rsidR="00FB69B3">
        <w:t xml:space="preserve"> </w:t>
      </w:r>
      <w:r w:rsidR="00FB69B3" w:rsidRPr="004C1F9E">
        <w:rPr>
          <w:rStyle w:val="Boldtext"/>
        </w:rPr>
        <w:t>and T0 level interviews</w:t>
      </w:r>
      <w:r w:rsidRPr="004C1F9E">
        <w:rPr>
          <w:rStyle w:val="Boldtext"/>
        </w:rPr>
        <w:t>:</w:t>
      </w:r>
      <w:r w:rsidRPr="00E15859">
        <w:t xml:space="preserve"> </w:t>
      </w:r>
      <w:r w:rsidR="00215C7E">
        <w:t>Q</w:t>
      </w:r>
      <w:r w:rsidRPr="00E15859">
        <w:t>uestions sought to understand whether unplanned GE</w:t>
      </w:r>
      <w:r>
        <w:t>D</w:t>
      </w:r>
      <w:r w:rsidRPr="00E15859">
        <w:t>SI outputs and interim outcomes had been achieved and explored learnings for future delivery, including barriers and enablers, and the role of context.</w:t>
      </w:r>
    </w:p>
    <w:p w14:paraId="52AFA322" w14:textId="323690F5" w:rsidR="00E15859" w:rsidRPr="00E15859" w:rsidRDefault="00E15859" w:rsidP="00E15859">
      <w:pPr>
        <w:pStyle w:val="DESNZbulletedlist"/>
      </w:pPr>
      <w:r w:rsidRPr="004C1F9E">
        <w:rPr>
          <w:rStyle w:val="Boldtext"/>
        </w:rPr>
        <w:t>T3 focus groups with EDGE building residents</w:t>
      </w:r>
      <w:r w:rsidRPr="00E15859">
        <w:t xml:space="preserve">: </w:t>
      </w:r>
      <w:r w:rsidR="00215C7E">
        <w:t>Q</w:t>
      </w:r>
      <w:r w:rsidRPr="00E15859">
        <w:t xml:space="preserve">uestions were included to understand </w:t>
      </w:r>
      <w:r w:rsidR="00E722A0">
        <w:t>if</w:t>
      </w:r>
      <w:r w:rsidRPr="00E15859">
        <w:t xml:space="preserve"> unplanned GE</w:t>
      </w:r>
      <w:r>
        <w:t>D</w:t>
      </w:r>
      <w:r w:rsidRPr="00E15859">
        <w:t>SI outputs and interim outcomes had been achieved.</w:t>
      </w:r>
    </w:p>
    <w:p w14:paraId="37123794" w14:textId="77777777" w:rsidR="00E15859" w:rsidRPr="00E15859" w:rsidRDefault="00E15859" w:rsidP="00E15859">
      <w:r w:rsidRPr="00E15859">
        <w:t xml:space="preserve">Key evidence sources in the final evaluation phase </w:t>
      </w:r>
      <w:r>
        <w:t xml:space="preserve">will </w:t>
      </w:r>
      <w:r w:rsidRPr="00E15859">
        <w:t>include:</w:t>
      </w:r>
    </w:p>
    <w:p w14:paraId="50EAF5A4" w14:textId="14A96D82" w:rsidR="00E15859" w:rsidRPr="00E15859" w:rsidRDefault="00E15859" w:rsidP="00E15859">
      <w:pPr>
        <w:pStyle w:val="DESNZbulletedlist"/>
      </w:pPr>
      <w:r w:rsidRPr="00E15859">
        <w:tab/>
      </w:r>
      <w:r w:rsidRPr="004C1F9E">
        <w:rPr>
          <w:rStyle w:val="Boldtext"/>
        </w:rPr>
        <w:t>T2 and T3 interviews with in-country stakeholders</w:t>
      </w:r>
      <w:r w:rsidR="001F423F">
        <w:rPr>
          <w:rStyle w:val="FootnoteReference"/>
        </w:rPr>
        <w:footnoteReference w:id="5"/>
      </w:r>
      <w:r w:rsidRPr="00E15859">
        <w:t xml:space="preserve">: </w:t>
      </w:r>
      <w:r w:rsidR="00215C7E">
        <w:t>Q</w:t>
      </w:r>
      <w:r w:rsidRPr="00E15859">
        <w:t>uestions will explore whether unplanned GE</w:t>
      </w:r>
      <w:r>
        <w:t>D</w:t>
      </w:r>
      <w:r w:rsidRPr="00E15859">
        <w:t>SI outcomes have been achieved, and explore learnings for future delivery, including barriers and enablers, and the role of context.</w:t>
      </w:r>
    </w:p>
    <w:p w14:paraId="60DE7C5A" w14:textId="42DAC6CE" w:rsidR="00E15859" w:rsidRPr="004C016F" w:rsidRDefault="00E15859" w:rsidP="00E15859">
      <w:pPr>
        <w:pStyle w:val="DESNZbulletedlist"/>
      </w:pPr>
      <w:r w:rsidRPr="004C1F9E">
        <w:rPr>
          <w:rStyle w:val="Boldtext"/>
        </w:rPr>
        <w:t>T3 focus groups with EDGE building residents</w:t>
      </w:r>
      <w:r w:rsidRPr="00E15859">
        <w:t xml:space="preserve">: </w:t>
      </w:r>
      <w:r w:rsidR="00215C7E">
        <w:t>Q</w:t>
      </w:r>
      <w:r w:rsidRPr="00E15859">
        <w:t>uestions will explore whether unplanned GE</w:t>
      </w:r>
      <w:r>
        <w:t>D</w:t>
      </w:r>
      <w:r w:rsidRPr="00E15859">
        <w:t>SI outcomes have been achieved.</w:t>
      </w:r>
    </w:p>
    <w:p w14:paraId="6F81441A" w14:textId="310A4684" w:rsidR="0049568D" w:rsidRDefault="00B02784" w:rsidP="0020253D">
      <w:r>
        <w:t>At this early outcome phase, we have structured our analysis and findings around the hypotheses and sub-questions to identify key learnings. During the final evaluation phase, we</w:t>
      </w:r>
      <w:r w:rsidR="0020253D">
        <w:t xml:space="preserve"> will </w:t>
      </w:r>
      <w:r w:rsidR="00FB69B3">
        <w:t>seek to understand what</w:t>
      </w:r>
      <w:r w:rsidR="0020253D">
        <w:t xml:space="preserve"> unintended outcomes </w:t>
      </w:r>
      <w:r w:rsidR="00FB69B3">
        <w:t>have been achieved</w:t>
      </w:r>
      <w:r w:rsidR="00C27041">
        <w:t>.</w:t>
      </w:r>
      <w:r w:rsidR="00FB69B3">
        <w:t xml:space="preserve"> </w:t>
      </w:r>
      <w:r w:rsidR="00C27041">
        <w:t xml:space="preserve">In addition, we will </w:t>
      </w:r>
      <w:r w:rsidR="0020253D">
        <w:t>examin</w:t>
      </w:r>
      <w:r w:rsidR="00FB69B3">
        <w:t>e</w:t>
      </w:r>
      <w:r w:rsidR="0020253D">
        <w:t xml:space="preserve"> what changed, for whom, when, where, why it matters, MAGC’s contribution and whether there were any unintended effects. This will support a detailed understanding of what changes may have occurred, and how different </w:t>
      </w:r>
      <w:r w:rsidR="00FB69B3">
        <w:t>audiences</w:t>
      </w:r>
      <w:r w:rsidR="0020253D">
        <w:t xml:space="preserve"> have been affected.</w:t>
      </w:r>
    </w:p>
    <w:p w14:paraId="569423B5" w14:textId="77777777" w:rsidR="00C27041" w:rsidRDefault="00C27041">
      <w:pPr>
        <w:spacing w:after="160" w:line="259" w:lineRule="auto"/>
        <w:rPr>
          <w:rFonts w:eastAsiaTheme="majorEastAsia" w:cstheme="majorBidi"/>
          <w:color w:val="041E42"/>
          <w:sz w:val="52"/>
          <w:szCs w:val="32"/>
        </w:rPr>
      </w:pPr>
      <w:r>
        <w:br w:type="page"/>
      </w:r>
    </w:p>
    <w:p w14:paraId="52DBC772" w14:textId="3CB3BE31" w:rsidR="0049568D" w:rsidRDefault="00EE4A3C" w:rsidP="004C1F9E">
      <w:pPr>
        <w:pStyle w:val="Heading1"/>
      </w:pPr>
      <w:bookmarkStart w:id="4" w:name="_Toc189154944"/>
      <w:r>
        <w:lastRenderedPageBreak/>
        <w:t xml:space="preserve">3 </w:t>
      </w:r>
      <w:r w:rsidR="0049568D">
        <w:t>Findings</w:t>
      </w:r>
      <w:bookmarkEnd w:id="4"/>
    </w:p>
    <w:p w14:paraId="5AA6B94F" w14:textId="2140C9BD" w:rsidR="00891FD5" w:rsidRPr="00891FD5" w:rsidRDefault="00891FD5" w:rsidP="00891FD5">
      <w:pPr>
        <w:pStyle w:val="NumberedparagraphLegal-Level2"/>
        <w:numPr>
          <w:ilvl w:val="0"/>
          <w:numId w:val="0"/>
        </w:numPr>
      </w:pPr>
      <w:r>
        <w:t xml:space="preserve">As outlined in the methodology, this annex analyses the findings </w:t>
      </w:r>
      <w:r w:rsidR="00722A5E">
        <w:t>relating to hypotheses about how GEDSI outcomes can be achieved through green construction. It also provides evidence against the learning questions outlined in the scoping report.</w:t>
      </w:r>
    </w:p>
    <w:p w14:paraId="266C9684" w14:textId="697A67C4" w:rsidR="00C64945" w:rsidRDefault="00E722A0" w:rsidP="00C64945">
      <w:pPr>
        <w:pStyle w:val="Heading2"/>
      </w:pPr>
      <w:bookmarkStart w:id="5" w:name="_Toc189154945"/>
      <w:r>
        <w:t xml:space="preserve">3.1 </w:t>
      </w:r>
      <w:r w:rsidR="00C64945">
        <w:t>Green construction and GEDSI</w:t>
      </w:r>
      <w:bookmarkEnd w:id="5"/>
    </w:p>
    <w:p w14:paraId="7C4A53E5" w14:textId="7A6AE28D" w:rsidR="00722A5E" w:rsidRPr="00722A5E" w:rsidRDefault="00722A5E" w:rsidP="00722A5E">
      <w:r>
        <w:t xml:space="preserve">This section provides evidence against four key hypotheses on how GEDSI outcomes can be achieved through green construction, as well as summarising the additional evidence relating to other potential outcomes. </w:t>
      </w:r>
    </w:p>
    <w:p w14:paraId="0BCFBD2F" w14:textId="46C96401" w:rsidR="00C64945" w:rsidRDefault="00C64945" w:rsidP="00C64945">
      <w:pPr>
        <w:pStyle w:val="Heading3"/>
      </w:pPr>
      <w:bookmarkStart w:id="6" w:name="_Toc178618221"/>
      <w:bookmarkStart w:id="7" w:name="_Toc179906716"/>
      <w:bookmarkStart w:id="8" w:name="_Toc181887381"/>
      <w:bookmarkStart w:id="9" w:name="_Toc189154946"/>
      <w:r w:rsidRPr="00C64945">
        <w:t>Overarching hypothesis 1: Green buildings reduce the cost of living for marginalised groups</w:t>
      </w:r>
      <w:bookmarkEnd w:id="6"/>
      <w:bookmarkEnd w:id="7"/>
      <w:bookmarkEnd w:id="8"/>
      <w:bookmarkEnd w:id="9"/>
      <w:r w:rsidRPr="00C64945">
        <w:t xml:space="preserve"> </w:t>
      </w:r>
    </w:p>
    <w:p w14:paraId="52AA3417" w14:textId="701FA2CD" w:rsidR="00640374" w:rsidRPr="00640374" w:rsidRDefault="00640374" w:rsidP="00640374">
      <w:r>
        <w:t xml:space="preserve">A key hypothesis expressed by stakeholders </w:t>
      </w:r>
      <w:bookmarkStart w:id="10" w:name="_Hlk186804343"/>
      <w:r w:rsidR="006C3740">
        <w:t>at the T0,</w:t>
      </w:r>
      <w:r w:rsidR="00E33E4A">
        <w:t xml:space="preserve"> </w:t>
      </w:r>
      <w:bookmarkEnd w:id="10"/>
      <w:r w:rsidR="00E33E4A">
        <w:t>T2 and</w:t>
      </w:r>
      <w:r w:rsidR="006C3740">
        <w:t xml:space="preserve"> T3 </w:t>
      </w:r>
      <w:r w:rsidR="00E33E4A">
        <w:t xml:space="preserve">levels in </w:t>
      </w:r>
      <w:r w:rsidR="006C3740">
        <w:t xml:space="preserve">Colombia, </w:t>
      </w:r>
      <w:r w:rsidR="00E33E4A">
        <w:t>Ghana, Kenya, Peru</w:t>
      </w:r>
      <w:r w:rsidR="00C103D8">
        <w:t xml:space="preserve"> and</w:t>
      </w:r>
      <w:r w:rsidR="00E33E4A">
        <w:t xml:space="preserve"> </w:t>
      </w:r>
      <w:r w:rsidR="006C3740">
        <w:t xml:space="preserve">Vietnam </w:t>
      </w:r>
      <w:r>
        <w:t>is</w:t>
      </w:r>
      <w:r w:rsidRPr="00640374">
        <w:t xml:space="preserve"> that green buildings</w:t>
      </w:r>
      <w:r>
        <w:t xml:space="preserve"> can</w:t>
      </w:r>
      <w:r w:rsidRPr="00640374">
        <w:t xml:space="preserve"> </w:t>
      </w:r>
      <w:r w:rsidRPr="004E026C">
        <w:rPr>
          <w:rStyle w:val="Boldtext"/>
        </w:rPr>
        <w:t>reduce the cost of living for marginalised groups</w:t>
      </w:r>
      <w:r>
        <w:t xml:space="preserve">. </w:t>
      </w:r>
      <w:bookmarkStart w:id="11" w:name="_Hlk193990908"/>
      <w:r w:rsidR="00BE4A54">
        <w:t xml:space="preserve">This could be any group that faces discrimination due to the interplay of their personal characteristics, including gender, sex, ethnicity, sexual orientation, social class etc. in the society. </w:t>
      </w:r>
      <w:bookmarkEnd w:id="11"/>
      <w:r>
        <w:t>The evidence shows this to be complex and</w:t>
      </w:r>
      <w:r w:rsidRPr="00640374">
        <w:t xml:space="preserve"> context-dependent</w:t>
      </w:r>
      <w:r w:rsidR="00DF6500">
        <w:t>; w</w:t>
      </w:r>
      <w:r>
        <w:t xml:space="preserve">hile green buildings can reduce living costs, marginalised groups are not necessarily benefitting from this. </w:t>
      </w:r>
    </w:p>
    <w:p w14:paraId="3533C4BD" w14:textId="156EF894" w:rsidR="00640374" w:rsidRPr="00640374" w:rsidRDefault="00C454E8" w:rsidP="00640374">
      <w:r>
        <w:t xml:space="preserve">Firstly, </w:t>
      </w:r>
      <w:r w:rsidRPr="004E026C">
        <w:rPr>
          <w:rStyle w:val="Boldtext"/>
        </w:rPr>
        <w:t>stakeholders</w:t>
      </w:r>
      <w:r w:rsidR="00C103D8">
        <w:rPr>
          <w:rStyle w:val="Boldtext"/>
        </w:rPr>
        <w:t xml:space="preserve"> </w:t>
      </w:r>
      <w:r w:rsidR="00C103D8" w:rsidRPr="00C103D8">
        <w:rPr>
          <w:rStyle w:val="Boldtext"/>
        </w:rPr>
        <w:t>at the T0</w:t>
      </w:r>
      <w:r w:rsidR="00C103D8">
        <w:rPr>
          <w:rStyle w:val="Boldtext"/>
        </w:rPr>
        <w:t xml:space="preserve"> level</w:t>
      </w:r>
      <w:r w:rsidRPr="004E026C">
        <w:rPr>
          <w:rStyle w:val="Boldtext"/>
        </w:rPr>
        <w:t xml:space="preserve"> hypothesised that</w:t>
      </w:r>
      <w:r w:rsidR="001B139F" w:rsidRPr="004E026C">
        <w:rPr>
          <w:rStyle w:val="Boldtext"/>
        </w:rPr>
        <w:t xml:space="preserve"> </w:t>
      </w:r>
      <w:r w:rsidR="00640374" w:rsidRPr="004E026C">
        <w:rPr>
          <w:rStyle w:val="Boldtext"/>
        </w:rPr>
        <w:t>green buildings can potentially reduce the cost of living through increased energy and water efficiency</w:t>
      </w:r>
      <w:r w:rsidR="00640374" w:rsidRPr="00640374">
        <w:t>. This efficiency translates into lower utility bills, which can make housing more affordable for lower-income households</w:t>
      </w:r>
      <w:r w:rsidR="00874047">
        <w:t>, a positive unintended social benefit</w:t>
      </w:r>
      <w:r w:rsidR="00640374" w:rsidRPr="00640374">
        <w:t xml:space="preserve">. For example, residents of green buildings in Colombia confirmed that </w:t>
      </w:r>
      <w:r>
        <w:t>their</w:t>
      </w:r>
      <w:r w:rsidR="00640374" w:rsidRPr="00640374">
        <w:t xml:space="preserve"> homes are more cost-effective in terms of energy and water consumption</w:t>
      </w:r>
      <w:r w:rsidR="005D2A99">
        <w:t>.</w:t>
      </w:r>
      <w:r w:rsidR="004C1F9E">
        <w:t xml:space="preserve"> </w:t>
      </w:r>
      <w:r w:rsidR="005D2A99">
        <w:t>T</w:t>
      </w:r>
      <w:r w:rsidR="00640374" w:rsidRPr="00640374">
        <w:t xml:space="preserve">hey also noted reduced upkeep costs related to homeowner association fees. In Vietnam, </w:t>
      </w:r>
      <w:r>
        <w:t xml:space="preserve">EDGE </w:t>
      </w:r>
      <w:r w:rsidR="00640374" w:rsidRPr="00640374">
        <w:t>residents highlighted that</w:t>
      </w:r>
      <w:r>
        <w:t xml:space="preserve"> they rarely needed to use</w:t>
      </w:r>
      <w:r w:rsidR="00640374" w:rsidRPr="00640374">
        <w:t xml:space="preserve"> air conditioning, resulting in </w:t>
      </w:r>
      <w:r>
        <w:t>their</w:t>
      </w:r>
      <w:r w:rsidR="00640374" w:rsidRPr="00640374">
        <w:t xml:space="preserve"> energy bills</w:t>
      </w:r>
      <w:r>
        <w:t xml:space="preserve"> reducing by half</w:t>
      </w:r>
      <w:r w:rsidR="00640374" w:rsidRPr="00640374">
        <w:t xml:space="preserve">. </w:t>
      </w:r>
    </w:p>
    <w:p w14:paraId="39EF45FB" w14:textId="298CF8AB" w:rsidR="00C454E8" w:rsidRDefault="00C454E8" w:rsidP="00C454E8">
      <w:r w:rsidRPr="004E026C">
        <w:rPr>
          <w:rStyle w:val="Boldtext"/>
        </w:rPr>
        <w:t>Another way in which green construction can reduce the cost of living for marginalised groups is through providing financial support</w:t>
      </w:r>
      <w:r w:rsidR="003A0D69" w:rsidRPr="004E026C">
        <w:rPr>
          <w:rStyle w:val="Boldtext"/>
        </w:rPr>
        <w:t xml:space="preserve"> to people from lower income backgrounds</w:t>
      </w:r>
      <w:r w:rsidRPr="004E026C">
        <w:rPr>
          <w:rStyle w:val="Boldtext"/>
        </w:rPr>
        <w:t xml:space="preserve"> to buy or build a home.</w:t>
      </w:r>
      <w:r>
        <w:t xml:space="preserve"> For example, </w:t>
      </w:r>
      <w:r w:rsidR="003A0D69">
        <w:t xml:space="preserve">the </w:t>
      </w:r>
      <w:r w:rsidRPr="00C454E8">
        <w:t>EDGE self-build certificate programme</w:t>
      </w:r>
      <w:r w:rsidR="002973E1">
        <w:t xml:space="preserve"> in India</w:t>
      </w:r>
      <w:r w:rsidR="002973E1">
        <w:rPr>
          <w:rStyle w:val="FootnoteReference"/>
        </w:rPr>
        <w:footnoteReference w:id="6"/>
      </w:r>
      <w:r w:rsidRPr="00C454E8">
        <w:t xml:space="preserve"> </w:t>
      </w:r>
      <w:r w:rsidR="00BB1426" w:rsidRPr="00BB1426">
        <w:t>provid</w:t>
      </w:r>
      <w:r w:rsidR="00BB1426">
        <w:t>es</w:t>
      </w:r>
      <w:r w:rsidR="00BB1426" w:rsidRPr="00BB1426">
        <w:t xml:space="preserve"> financial support </w:t>
      </w:r>
      <w:r w:rsidR="00BB1426">
        <w:t>to</w:t>
      </w:r>
      <w:r w:rsidR="00BB1426" w:rsidRPr="00BB1426">
        <w:t xml:space="preserve"> self-build green homes </w:t>
      </w:r>
      <w:r w:rsidR="00BB1426">
        <w:t>to</w:t>
      </w:r>
      <w:r w:rsidR="003A0D69">
        <w:t xml:space="preserve"> people who would not normally get a mortgage due to lower incomes</w:t>
      </w:r>
      <w:r w:rsidRPr="00C454E8">
        <w:t>. This is an example of how targeted financial mechanisms can make green housing accessible to marginalised groups.</w:t>
      </w:r>
      <w:r w:rsidR="00FB00FB">
        <w:t xml:space="preserve"> </w:t>
      </w:r>
    </w:p>
    <w:p w14:paraId="35A712EF" w14:textId="680B7E2E" w:rsidR="004E026C" w:rsidRDefault="004E026C" w:rsidP="004E026C">
      <w:r w:rsidRPr="004E026C">
        <w:rPr>
          <w:rStyle w:val="Boldtext"/>
        </w:rPr>
        <w:t xml:space="preserve">Evidence from </w:t>
      </w:r>
      <w:r w:rsidR="00C103D8">
        <w:rPr>
          <w:rStyle w:val="Boldtext"/>
        </w:rPr>
        <w:t xml:space="preserve">across the </w:t>
      </w:r>
      <w:r w:rsidRPr="004E026C">
        <w:rPr>
          <w:rStyle w:val="Boldtext"/>
        </w:rPr>
        <w:t xml:space="preserve">stakeholders </w:t>
      </w:r>
      <w:r w:rsidR="004B3D78">
        <w:rPr>
          <w:rStyle w:val="Boldtext"/>
        </w:rPr>
        <w:t xml:space="preserve">interviewed for this evaluation </w:t>
      </w:r>
      <w:r w:rsidRPr="004E026C">
        <w:rPr>
          <w:rStyle w:val="Boldtext"/>
        </w:rPr>
        <w:t>demonstrates that t</w:t>
      </w:r>
      <w:r w:rsidR="00640374" w:rsidRPr="004E026C">
        <w:rPr>
          <w:rStyle w:val="Boldtext"/>
        </w:rPr>
        <w:t>he benefits of green buildings are highly context-specific</w:t>
      </w:r>
      <w:r w:rsidR="00640374" w:rsidRPr="00640374">
        <w:t xml:space="preserve">, influenced by local housing markets and </w:t>
      </w:r>
      <w:r>
        <w:t xml:space="preserve">trends in </w:t>
      </w:r>
      <w:r w:rsidR="00640374" w:rsidRPr="00640374">
        <w:t>construction</w:t>
      </w:r>
      <w:r>
        <w:t xml:space="preserve"> sectors</w:t>
      </w:r>
      <w:r w:rsidR="00640374" w:rsidRPr="00640374">
        <w:t xml:space="preserve">. </w:t>
      </w:r>
    </w:p>
    <w:p w14:paraId="53D9315A" w14:textId="77777777" w:rsidR="00C97564" w:rsidRPr="004E026C" w:rsidRDefault="00C97564" w:rsidP="004E026C"/>
    <w:p w14:paraId="60CC7F01" w14:textId="6009415D" w:rsidR="004E026C" w:rsidRDefault="004E026C" w:rsidP="004E026C">
      <w:pPr>
        <w:pStyle w:val="Tintbox"/>
        <w:rPr>
          <w:rStyle w:val="Boldtext"/>
        </w:rPr>
      </w:pPr>
      <w:r w:rsidRPr="004E026C">
        <w:rPr>
          <w:rStyle w:val="Boldtext"/>
        </w:rPr>
        <w:t>Case study</w:t>
      </w:r>
      <w:r>
        <w:rPr>
          <w:rStyle w:val="Boldtext"/>
        </w:rPr>
        <w:t>:</w:t>
      </w:r>
      <w:r w:rsidRPr="004E026C">
        <w:rPr>
          <w:rStyle w:val="Boldtext"/>
        </w:rPr>
        <w:t xml:space="preserve"> </w:t>
      </w:r>
      <w:r>
        <w:rPr>
          <w:rStyle w:val="Boldtext"/>
        </w:rPr>
        <w:t xml:space="preserve">India, </w:t>
      </w:r>
      <w:r w:rsidR="005306A9">
        <w:rPr>
          <w:rStyle w:val="Boldtext"/>
        </w:rPr>
        <w:t>integration of green building practices into housing finance packages</w:t>
      </w:r>
      <w:r w:rsidRPr="004E026C">
        <w:rPr>
          <w:rStyle w:val="Boldtext"/>
        </w:rPr>
        <w:t xml:space="preserve"> </w:t>
      </w:r>
    </w:p>
    <w:p w14:paraId="2497D819" w14:textId="4FCFBC76" w:rsidR="004E026C" w:rsidRDefault="002F72DE" w:rsidP="004E026C">
      <w:pPr>
        <w:pStyle w:val="Tintbox"/>
      </w:pPr>
      <w:r>
        <w:t>A</w:t>
      </w:r>
      <w:r w:rsidRPr="002F72DE">
        <w:t>adhar Housing</w:t>
      </w:r>
      <w:r>
        <w:t xml:space="preserve"> is </w:t>
      </w:r>
      <w:r w:rsidRPr="002F72DE">
        <w:t>a housing financial intermediary catering to the lower income segment of India</w:t>
      </w:r>
      <w:r>
        <w:t xml:space="preserve">, covering those who are </w:t>
      </w:r>
      <w:r w:rsidRPr="002F72DE">
        <w:t>economically vulnerable and lower income groups</w:t>
      </w:r>
      <w:r>
        <w:t xml:space="preserve">. They provide home loans and technical advisory to customers. </w:t>
      </w:r>
      <w:r w:rsidRPr="002F72DE">
        <w:t xml:space="preserve">Aadhar Housing </w:t>
      </w:r>
      <w:r>
        <w:t>received support from MAGC and IFC</w:t>
      </w:r>
      <w:r w:rsidRPr="002F72DE">
        <w:t xml:space="preserve"> to </w:t>
      </w:r>
      <w:r w:rsidR="00E47D87">
        <w:t xml:space="preserve">pilot the </w:t>
      </w:r>
      <w:r w:rsidRPr="002F72DE">
        <w:t>integrat</w:t>
      </w:r>
      <w:r w:rsidR="00E47D87">
        <w:t>ion</w:t>
      </w:r>
      <w:r w:rsidRPr="002F72DE">
        <w:t xml:space="preserve"> </w:t>
      </w:r>
      <w:r w:rsidR="00B87E62">
        <w:t xml:space="preserve">of </w:t>
      </w:r>
      <w:r w:rsidRPr="002F72DE">
        <w:t>green building practices into their portfolio.</w:t>
      </w:r>
      <w:r w:rsidR="00B646F0">
        <w:t xml:space="preserve"> This support include</w:t>
      </w:r>
      <w:r w:rsidR="00EC313E">
        <w:t>d</w:t>
      </w:r>
      <w:r w:rsidR="00B646F0">
        <w:t>:</w:t>
      </w:r>
    </w:p>
    <w:p w14:paraId="31763415" w14:textId="19DA9878" w:rsidR="00B646F0" w:rsidRDefault="00B646F0" w:rsidP="00B646F0">
      <w:pPr>
        <w:pStyle w:val="Tintbox"/>
        <w:numPr>
          <w:ilvl w:val="0"/>
          <w:numId w:val="42"/>
        </w:numPr>
      </w:pPr>
      <w:r>
        <w:t xml:space="preserve">Capacity building support from IFC to the technical and sales teams to enhance their knowledge of green building technologies and certification processes. The training and support </w:t>
      </w:r>
      <w:r w:rsidR="00672F76">
        <w:t>were</w:t>
      </w:r>
      <w:r>
        <w:t xml:space="preserve"> designed to enable participants to pitch green products to customers and answer questions. </w:t>
      </w:r>
    </w:p>
    <w:p w14:paraId="1B59D78A" w14:textId="3A3C2C15" w:rsidR="00B646F0" w:rsidRDefault="002973E1" w:rsidP="00B646F0">
      <w:pPr>
        <w:pStyle w:val="Tintbox"/>
        <w:numPr>
          <w:ilvl w:val="0"/>
          <w:numId w:val="42"/>
        </w:numPr>
      </w:pPr>
      <w:r>
        <w:t>Environmental, Social and Governance (</w:t>
      </w:r>
      <w:r w:rsidR="00B646F0">
        <w:t>ESG</w:t>
      </w:r>
      <w:r>
        <w:t>)</w:t>
      </w:r>
      <w:r w:rsidR="00B646F0">
        <w:t xml:space="preserve"> framework development support from IFC, focusing specifically on environment to support their green building initiatives.</w:t>
      </w:r>
    </w:p>
    <w:p w14:paraId="1E5D180E" w14:textId="7ED76488" w:rsidR="00B646F0" w:rsidRDefault="00B646F0" w:rsidP="00B646F0">
      <w:pPr>
        <w:pStyle w:val="Tintbox"/>
        <w:numPr>
          <w:ilvl w:val="0"/>
          <w:numId w:val="42"/>
        </w:numPr>
      </w:pPr>
      <w:r>
        <w:t>Financial subsidies from MAGC for customers adopting green building technologies.</w:t>
      </w:r>
    </w:p>
    <w:p w14:paraId="2134A3A9" w14:textId="2D1BA114" w:rsidR="00B646F0" w:rsidRDefault="00B646F0" w:rsidP="00B646F0">
      <w:pPr>
        <w:pStyle w:val="Tintbox"/>
      </w:pPr>
      <w:bookmarkStart w:id="12" w:name="_Hlk178678191"/>
      <w:r>
        <w:t xml:space="preserve">To supplement the financial subsidies, </w:t>
      </w:r>
      <w:r w:rsidRPr="00B646F0">
        <w:t>Aadhar Housin</w:t>
      </w:r>
      <w:r>
        <w:t xml:space="preserve">g offered concessional interest rates for </w:t>
      </w:r>
      <w:r w:rsidRPr="00B646F0">
        <w:t>customers</w:t>
      </w:r>
      <w:r>
        <w:t xml:space="preserve"> choosing green building certification.</w:t>
      </w:r>
    </w:p>
    <w:bookmarkEnd w:id="12"/>
    <w:p w14:paraId="3C9DFB73" w14:textId="6100A6D7" w:rsidR="00B646F0" w:rsidRDefault="00150A6C" w:rsidP="00B646F0">
      <w:pPr>
        <w:pStyle w:val="Tintbox"/>
      </w:pPr>
      <w:r>
        <w:t>Through the initiatives, s</w:t>
      </w:r>
      <w:r w:rsidR="00B646F0">
        <w:t>taff reported that their customers</w:t>
      </w:r>
      <w:r>
        <w:t>’</w:t>
      </w:r>
      <w:r w:rsidR="00B646F0">
        <w:t xml:space="preserve"> awareness of green construction increased</w:t>
      </w:r>
      <w:r w:rsidR="00232778">
        <w:t>.</w:t>
      </w:r>
      <w:r w:rsidR="00B646F0">
        <w:t xml:space="preserve"> </w:t>
      </w:r>
      <w:r w:rsidR="00232778">
        <w:t>Furthermore,</w:t>
      </w:r>
      <w:r w:rsidR="00B646F0">
        <w:t xml:space="preserve"> while overall adoption remain</w:t>
      </w:r>
      <w:r>
        <w:t>ed</w:t>
      </w:r>
      <w:r w:rsidR="00B646F0">
        <w:t xml:space="preserve"> low, they </w:t>
      </w:r>
      <w:r>
        <w:t>had</w:t>
      </w:r>
      <w:r w:rsidR="00B646F0">
        <w:t xml:space="preserve"> supported the construction and certification of a small </w:t>
      </w:r>
      <w:r w:rsidR="00B646F0" w:rsidRPr="00B646F0">
        <w:t>but growing number of green homes</w:t>
      </w:r>
      <w:r>
        <w:t>, with plans to</w:t>
      </w:r>
      <w:r w:rsidR="00E47D87">
        <w:t xml:space="preserve"> adopt and scale up this strategy. To support this, staff flagged the importance of government support to incentivise green building and ensure there is a wider enabling environment, for example through standardised and more flexible certification processes, financial incentives and awareness campaigns. </w:t>
      </w:r>
    </w:p>
    <w:p w14:paraId="34AE948F" w14:textId="2AAD8700" w:rsidR="00B646F0" w:rsidRPr="004E026C" w:rsidRDefault="00B646F0" w:rsidP="00B646F0">
      <w:pPr>
        <w:pStyle w:val="Tintbox"/>
      </w:pPr>
      <w:r>
        <w:t>This case study demonstrates how green construction can</w:t>
      </w:r>
      <w:r w:rsidR="008B52A9">
        <w:t xml:space="preserve"> be integrated into</w:t>
      </w:r>
      <w:r w:rsidR="00E47D87">
        <w:t xml:space="preserve"> affordable housing</w:t>
      </w:r>
      <w:r w:rsidR="008B52A9">
        <w:t xml:space="preserve"> </w:t>
      </w:r>
      <w:r w:rsidR="00232778">
        <w:t>programmes and</w:t>
      </w:r>
      <w:r w:rsidR="00E47D87">
        <w:t xml:space="preserve"> highlights how providers who are currently supporting this market segment are well placed to enact this.</w:t>
      </w:r>
    </w:p>
    <w:p w14:paraId="62694D01" w14:textId="3B280370" w:rsidR="00640374" w:rsidRDefault="00640374" w:rsidP="00640374">
      <w:r w:rsidRPr="004E026C">
        <w:rPr>
          <w:rStyle w:val="Boldtext"/>
        </w:rPr>
        <w:t xml:space="preserve">Despite </w:t>
      </w:r>
      <w:r w:rsidR="004E026C" w:rsidRPr="004E026C">
        <w:rPr>
          <w:rStyle w:val="Boldtext"/>
        </w:rPr>
        <w:t>the opportunities presented by green buildings</w:t>
      </w:r>
      <w:r w:rsidRPr="004E026C">
        <w:rPr>
          <w:rStyle w:val="Boldtext"/>
        </w:rPr>
        <w:t xml:space="preserve">, there are significant limitations and challenges </w:t>
      </w:r>
      <w:r w:rsidR="004E026C" w:rsidRPr="004E026C">
        <w:rPr>
          <w:rStyle w:val="Boldtext"/>
        </w:rPr>
        <w:t>to</w:t>
      </w:r>
      <w:r w:rsidRPr="004E026C">
        <w:rPr>
          <w:rStyle w:val="Boldtext"/>
        </w:rPr>
        <w:t xml:space="preserve"> ensuring that the </w:t>
      </w:r>
      <w:r w:rsidR="00150A6C">
        <w:rPr>
          <w:rStyle w:val="Boldtext"/>
        </w:rPr>
        <w:t>cost savings from</w:t>
      </w:r>
      <w:r w:rsidRPr="004E026C">
        <w:rPr>
          <w:rStyle w:val="Boldtext"/>
        </w:rPr>
        <w:t xml:space="preserve"> green buildings </w:t>
      </w:r>
      <w:proofErr w:type="gramStart"/>
      <w:r w:rsidR="0012593F">
        <w:rPr>
          <w:rStyle w:val="Boldtext"/>
        </w:rPr>
        <w:t xml:space="preserve">actually </w:t>
      </w:r>
      <w:r w:rsidRPr="004E026C">
        <w:rPr>
          <w:rStyle w:val="Boldtext"/>
        </w:rPr>
        <w:t>reach</w:t>
      </w:r>
      <w:proofErr w:type="gramEnd"/>
      <w:r w:rsidRPr="004E026C">
        <w:rPr>
          <w:rStyle w:val="Boldtext"/>
        </w:rPr>
        <w:t xml:space="preserve"> marginalised groups.</w:t>
      </w:r>
      <w:r w:rsidRPr="00640374">
        <w:t xml:space="preserve"> </w:t>
      </w:r>
      <w:r w:rsidR="00670D37">
        <w:t xml:space="preserve">Interviews with T2 and T3 level stakeholders demonstrated that </w:t>
      </w:r>
      <w:r w:rsidR="002B2647" w:rsidRPr="002B2647">
        <w:rPr>
          <w:rStyle w:val="Boldtext"/>
        </w:rPr>
        <w:t xml:space="preserve">GEDSI is often not integrated into </w:t>
      </w:r>
      <w:r w:rsidR="00140011">
        <w:rPr>
          <w:rStyle w:val="Boldtext"/>
        </w:rPr>
        <w:t>the</w:t>
      </w:r>
      <w:r w:rsidR="00140011" w:rsidRPr="002B2647">
        <w:rPr>
          <w:rStyle w:val="Boldtext"/>
        </w:rPr>
        <w:t xml:space="preserve"> </w:t>
      </w:r>
      <w:r w:rsidR="002B2647" w:rsidRPr="002B2647">
        <w:rPr>
          <w:rStyle w:val="Boldtext"/>
        </w:rPr>
        <w:t>design</w:t>
      </w:r>
      <w:r w:rsidR="00140011">
        <w:rPr>
          <w:rStyle w:val="Boldtext"/>
        </w:rPr>
        <w:t xml:space="preserve"> of green building programmes (although all new DENZ ICF programmes are now required to incorporate GEDSI into programme design)</w:t>
      </w:r>
      <w:r w:rsidR="002B2647" w:rsidRPr="002B2647">
        <w:rPr>
          <w:rStyle w:val="Boldtext"/>
        </w:rPr>
        <w:t xml:space="preserve">, meaning organisations do not have to ensure </w:t>
      </w:r>
      <w:r w:rsidR="00150A6C">
        <w:rPr>
          <w:rStyle w:val="Boldtext"/>
        </w:rPr>
        <w:t xml:space="preserve">that </w:t>
      </w:r>
      <w:r w:rsidR="002B2647" w:rsidRPr="002B2647">
        <w:rPr>
          <w:rStyle w:val="Boldtext"/>
        </w:rPr>
        <w:t>green buildings are accessible for marginalised groups</w:t>
      </w:r>
      <w:r w:rsidR="002B2647">
        <w:t xml:space="preserve">. In the T2 stakeholder research </w:t>
      </w:r>
      <w:r w:rsidR="002B2647" w:rsidRPr="002B2647">
        <w:t>in Ghana and Egypt</w:t>
      </w:r>
      <w:r w:rsidR="002B2647">
        <w:t xml:space="preserve">, several </w:t>
      </w:r>
      <w:r w:rsidR="00150A6C">
        <w:t>participants</w:t>
      </w:r>
      <w:r w:rsidR="002B2647">
        <w:t xml:space="preserve"> were confused about the relevance of </w:t>
      </w:r>
      <w:r w:rsidR="00150A6C">
        <w:t xml:space="preserve">discussing </w:t>
      </w:r>
      <w:r w:rsidR="002B2647">
        <w:t xml:space="preserve">GEDSI considerations, indicating that </w:t>
      </w:r>
      <w:r w:rsidR="001A566E">
        <w:t xml:space="preserve">GEDSI integration is </w:t>
      </w:r>
      <w:r w:rsidR="00150A6C">
        <w:t>uncommon</w:t>
      </w:r>
      <w:r w:rsidR="001A566E">
        <w:t xml:space="preserve"> within these country’s green building sectors</w:t>
      </w:r>
      <w:r w:rsidR="002B2647">
        <w:t xml:space="preserve">. </w:t>
      </w:r>
      <w:r w:rsidR="00150A6C">
        <w:t>S</w:t>
      </w:r>
      <w:r w:rsidR="001A566E">
        <w:t xml:space="preserve">ome countries have legislation that ensures building of social housing is prioritised, </w:t>
      </w:r>
      <w:r w:rsidR="00150A6C">
        <w:t xml:space="preserve">but </w:t>
      </w:r>
      <w:r w:rsidR="001A566E">
        <w:t xml:space="preserve">these rules </w:t>
      </w:r>
      <w:r w:rsidR="001A566E">
        <w:lastRenderedPageBreak/>
        <w:t xml:space="preserve">can vary widely both within and between countries. </w:t>
      </w:r>
      <w:r w:rsidRPr="00640374">
        <w:t xml:space="preserve">In Colombia, </w:t>
      </w:r>
      <w:r w:rsidR="001A566E">
        <w:t xml:space="preserve">while </w:t>
      </w:r>
      <w:proofErr w:type="gramStart"/>
      <w:r w:rsidR="001A566E">
        <w:t>the majority of</w:t>
      </w:r>
      <w:proofErr w:type="gramEnd"/>
      <w:r w:rsidR="001A566E">
        <w:t xml:space="preserve"> properties constructed are </w:t>
      </w:r>
      <w:r w:rsidRPr="00640374">
        <w:t>social housing</w:t>
      </w:r>
      <w:r w:rsidR="001A566E">
        <w:t>, stakeholders reported that these are</w:t>
      </w:r>
      <w:r w:rsidRPr="00640374">
        <w:t xml:space="preserve"> </w:t>
      </w:r>
      <w:r w:rsidR="001A566E">
        <w:t xml:space="preserve">often </w:t>
      </w:r>
      <w:r w:rsidRPr="00640374">
        <w:t xml:space="preserve">bought by individuals who can afford to buy </w:t>
      </w:r>
      <w:r w:rsidR="00BE4A54">
        <w:t>other forms of housing</w:t>
      </w:r>
      <w:r w:rsidRPr="00640374">
        <w:t>, or by those intending to resell or rent them</w:t>
      </w:r>
      <w:r w:rsidR="00232778">
        <w:t>.</w:t>
      </w:r>
      <w:r w:rsidR="00150A6C">
        <w:t xml:space="preserve"> </w:t>
      </w:r>
      <w:r w:rsidR="00232778">
        <w:t xml:space="preserve">This </w:t>
      </w:r>
      <w:r w:rsidR="00150A6C">
        <w:t>result</w:t>
      </w:r>
      <w:r w:rsidR="00232778">
        <w:t>s</w:t>
      </w:r>
      <w:r w:rsidR="00150A6C">
        <w:t xml:space="preserve"> in</w:t>
      </w:r>
      <w:r w:rsidR="001A566E">
        <w:t xml:space="preserve"> fewer green buildings </w:t>
      </w:r>
      <w:r w:rsidR="00150A6C">
        <w:t xml:space="preserve">being </w:t>
      </w:r>
      <w:r w:rsidR="001A566E">
        <w:t>available to those from lower-income households</w:t>
      </w:r>
      <w:r w:rsidRPr="00640374">
        <w:t xml:space="preserve">. </w:t>
      </w:r>
      <w:r w:rsidR="001A566E">
        <w:t>I</w:t>
      </w:r>
      <w:r w:rsidRPr="00640374">
        <w:t xml:space="preserve">n the Philippines, </w:t>
      </w:r>
      <w:r w:rsidR="001A566E">
        <w:t xml:space="preserve">stakeholders reported that </w:t>
      </w:r>
      <w:r w:rsidRPr="00640374">
        <w:t>green buildings are predominantly high-end residential properties, thus not accessible to lower-income groups.</w:t>
      </w:r>
    </w:p>
    <w:p w14:paraId="44725D8B" w14:textId="0918B1AA" w:rsidR="00DB4543" w:rsidRDefault="00B830AD" w:rsidP="00DB4543">
      <w:r w:rsidRPr="00B830AD">
        <w:rPr>
          <w:rStyle w:val="Boldtext"/>
        </w:rPr>
        <w:t>Another key challenge</w:t>
      </w:r>
      <w:r w:rsidR="001D7D1C">
        <w:rPr>
          <w:rStyle w:val="Boldtext"/>
        </w:rPr>
        <w:t xml:space="preserve"> raised by stakeholders at the T0</w:t>
      </w:r>
      <w:r w:rsidR="00DE3ED2">
        <w:rPr>
          <w:rStyle w:val="Boldtext"/>
        </w:rPr>
        <w:t xml:space="preserve"> level, T2 level in Peru, and T3 level in Kenya and Vietnam</w:t>
      </w:r>
      <w:r w:rsidRPr="00B830AD">
        <w:rPr>
          <w:rStyle w:val="Boldtext"/>
        </w:rPr>
        <w:t xml:space="preserve"> is the higher upfront costs associated with green construction. </w:t>
      </w:r>
      <w:r w:rsidRPr="00B830AD">
        <w:t xml:space="preserve">Despite the long-term savings green construction can offer, the initial investment required can be prohibitive, especially for marginalised groups. Recent years have seen increased building costs due to inflation, further exacerbating this issue. </w:t>
      </w:r>
      <w:r w:rsidR="00DB4543">
        <w:t xml:space="preserve">Several stakeholders in Vietnam flagged that there was a lack of affordable green housing for </w:t>
      </w:r>
      <w:r w:rsidR="00C74238">
        <w:t>low-income</w:t>
      </w:r>
      <w:r w:rsidR="00DB4543">
        <w:t xml:space="preserve"> groups. </w:t>
      </w:r>
      <w:r w:rsidR="00DB4543" w:rsidRPr="00B830AD">
        <w:t xml:space="preserve"> </w:t>
      </w:r>
    </w:p>
    <w:p w14:paraId="03720CE8" w14:textId="4D562711" w:rsidR="00B830AD" w:rsidRPr="00B830AD" w:rsidRDefault="00DB4543" w:rsidP="00B830AD">
      <w:r w:rsidRPr="00804B35">
        <w:rPr>
          <w:rStyle w:val="Boldtext"/>
        </w:rPr>
        <w:t xml:space="preserve">Findings from residents demonstrated that green construction does not </w:t>
      </w:r>
      <w:r w:rsidR="00346089">
        <w:rPr>
          <w:rStyle w:val="Boldtext"/>
        </w:rPr>
        <w:t xml:space="preserve">necessarily </w:t>
      </w:r>
      <w:r w:rsidRPr="00804B35">
        <w:rPr>
          <w:rStyle w:val="Boldtext"/>
        </w:rPr>
        <w:t>offer cost savings for end-users.</w:t>
      </w:r>
      <w:r>
        <w:t xml:space="preserve"> In Kenya, some residents noted that they have saved on electricity bills, although this did not necessarily offset the higher overall costs of living in a green building. In South Africa, residents reported that there were limited cost savings. This highlights the importance of efficiency savings being passed on to end-users </w:t>
      </w:r>
      <w:proofErr w:type="gramStart"/>
      <w:r>
        <w:t>in order to</w:t>
      </w:r>
      <w:proofErr w:type="gramEnd"/>
      <w:r>
        <w:t xml:space="preserve"> benefit lower-income groups.</w:t>
      </w:r>
    </w:p>
    <w:p w14:paraId="29CDFFC6" w14:textId="63C35418" w:rsidR="001A566E" w:rsidRPr="00640374" w:rsidRDefault="001A566E" w:rsidP="00640374">
      <w:r w:rsidRPr="00001F6B">
        <w:rPr>
          <w:rStyle w:val="Boldtext"/>
        </w:rPr>
        <w:t xml:space="preserve">One of the reasons green </w:t>
      </w:r>
      <w:r w:rsidR="00001F6B" w:rsidRPr="00001F6B">
        <w:rPr>
          <w:rStyle w:val="Boldtext"/>
        </w:rPr>
        <w:t>building programmes are</w:t>
      </w:r>
      <w:r w:rsidRPr="00001F6B">
        <w:rPr>
          <w:rStyle w:val="Boldtext"/>
        </w:rPr>
        <w:t xml:space="preserve"> more likely to focus on mid-end and luxury buildings is that these buildings reportedly offer the opportunity for higher mitigation outcomes.</w:t>
      </w:r>
      <w:r>
        <w:t xml:space="preserve"> Several stakeholders</w:t>
      </w:r>
      <w:r w:rsidR="00DE3ED2">
        <w:t xml:space="preserve"> at the T0</w:t>
      </w:r>
      <w:r w:rsidR="00C65F96">
        <w:t xml:space="preserve"> level</w:t>
      </w:r>
      <w:r>
        <w:t xml:space="preserve"> reported that mitigation outcomes for affordable housing are minimal compared to high end and commercial buildings</w:t>
      </w:r>
      <w:r w:rsidR="00346089">
        <w:t xml:space="preserve"> </w:t>
      </w:r>
      <w:bookmarkStart w:id="13" w:name="_Hlk193990720"/>
      <w:r w:rsidR="00346089">
        <w:t>which typically have much higher energy usage, meaning the savings associated with green buildings are higher</w:t>
      </w:r>
      <w:bookmarkEnd w:id="13"/>
      <w:r>
        <w:t>.</w:t>
      </w:r>
      <w:r w:rsidR="00140011">
        <w:t xml:space="preserve"> This </w:t>
      </w:r>
      <w:r w:rsidR="00D612E9">
        <w:t>suggests that different approaches are needed when considering green construction for affordable housing compared to mid-end and luxury housing</w:t>
      </w:r>
      <w:r w:rsidR="0099712D">
        <w:t>.</w:t>
      </w:r>
      <w:r w:rsidR="00D612E9">
        <w:t xml:space="preserve"> </w:t>
      </w:r>
      <w:r w:rsidR="0099712D">
        <w:t xml:space="preserve">This is </w:t>
      </w:r>
      <w:r w:rsidR="00D612E9">
        <w:t xml:space="preserve">especially </w:t>
      </w:r>
      <w:r w:rsidR="0099712D">
        <w:t xml:space="preserve">significant </w:t>
      </w:r>
      <w:r w:rsidR="00D612E9">
        <w:t>given the risk of costs being prohibitive for lower-income groups</w:t>
      </w:r>
      <w:r w:rsidR="00140011">
        <w:t>.</w:t>
      </w:r>
    </w:p>
    <w:p w14:paraId="38D5CF15" w14:textId="34FF9009" w:rsidR="00640374" w:rsidRPr="00640374" w:rsidRDefault="001A566E" w:rsidP="00640374">
      <w:r>
        <w:t>Some stakeholders</w:t>
      </w:r>
      <w:r w:rsidR="00DE3ED2">
        <w:t xml:space="preserve"> at the T0</w:t>
      </w:r>
      <w:r w:rsidR="00C65F96">
        <w:t xml:space="preserve"> level and the T3 level in Kenya</w:t>
      </w:r>
      <w:r>
        <w:t xml:space="preserve"> noted that for green building programmes such as MAGC to focus on affordable housing, </w:t>
      </w:r>
      <w:r w:rsidR="00640374" w:rsidRPr="00640374">
        <w:t>more heavily subsidised government funding</w:t>
      </w:r>
      <w:r>
        <w:t xml:space="preserve"> is needed</w:t>
      </w:r>
      <w:r w:rsidR="00640374" w:rsidRPr="00640374">
        <w:t>.</w:t>
      </w:r>
      <w:r w:rsidR="00B830AD">
        <w:t xml:space="preserve"> </w:t>
      </w:r>
    </w:p>
    <w:p w14:paraId="1F11EE5A" w14:textId="13646F4C" w:rsidR="001A566E" w:rsidRDefault="001A566E" w:rsidP="001A566E">
      <w:r w:rsidRPr="001A566E">
        <w:rPr>
          <w:rStyle w:val="Italic"/>
        </w:rPr>
        <w:t>“I think there is a gap in the MAGC mode</w:t>
      </w:r>
      <w:r>
        <w:rPr>
          <w:rStyle w:val="Italic"/>
        </w:rPr>
        <w:t>l</w:t>
      </w:r>
      <w:r w:rsidRPr="001A566E">
        <w:rPr>
          <w:rStyle w:val="Italic"/>
        </w:rPr>
        <w:t>, where it's not designed to target that very bottom layer, which would need much more heavily subsidised government funding to rebuild that housing stock, which is fine, I think it's just being clear about that in the objectives, which is around growing the private sector market and growing the green buildings market. That's the big chunk of the market, I think</w:t>
      </w:r>
      <w:r>
        <w:rPr>
          <w:rStyle w:val="Italic"/>
        </w:rPr>
        <w:t>.</w:t>
      </w:r>
      <w:r w:rsidRPr="001A566E">
        <w:rPr>
          <w:rStyle w:val="Italic"/>
        </w:rPr>
        <w:t xml:space="preserve">" </w:t>
      </w:r>
      <w:r w:rsidR="0048052D">
        <w:t>(</w:t>
      </w:r>
      <w:r w:rsidR="003375FE">
        <w:t>DESNZ</w:t>
      </w:r>
      <w:r w:rsidR="003375FE" w:rsidRPr="001A566E">
        <w:t xml:space="preserve"> </w:t>
      </w:r>
      <w:r w:rsidRPr="001A566E">
        <w:t>stakeholder</w:t>
      </w:r>
      <w:r w:rsidR="0048052D">
        <w:t>)</w:t>
      </w:r>
    </w:p>
    <w:p w14:paraId="4C585C21" w14:textId="3517CAA0" w:rsidR="00B830AD" w:rsidRPr="001A566E" w:rsidRDefault="00B830AD" w:rsidP="001A566E">
      <w:r w:rsidRPr="00B830AD">
        <w:rPr>
          <w:rStyle w:val="Boldtext"/>
        </w:rPr>
        <w:t xml:space="preserve">Discussion </w:t>
      </w:r>
      <w:r w:rsidR="0048052D">
        <w:rPr>
          <w:rStyle w:val="Boldtext"/>
        </w:rPr>
        <w:t xml:space="preserve">amongst stakeholders at all levels </w:t>
      </w:r>
      <w:r w:rsidRPr="00B830AD">
        <w:rPr>
          <w:rStyle w:val="Boldtext"/>
        </w:rPr>
        <w:t>of how green buildings can reduce the cost of living for marginalised groups tended to centre on people from lower income backgrounds</w:t>
      </w:r>
      <w:r w:rsidR="00CE5AA2">
        <w:t>.</w:t>
      </w:r>
      <w:r w:rsidRPr="00B830AD">
        <w:t xml:space="preserve"> </w:t>
      </w:r>
      <w:r w:rsidR="00CE5AA2">
        <w:t>This also included</w:t>
      </w:r>
      <w:r w:rsidR="00CE5AA2" w:rsidRPr="00B830AD">
        <w:t xml:space="preserve"> </w:t>
      </w:r>
      <w:r w:rsidRPr="00B830AD">
        <w:t xml:space="preserve">some references to female-headed households also benefitting. </w:t>
      </w:r>
      <w:r w:rsidR="00EE0A03">
        <w:t>This suggests that other</w:t>
      </w:r>
      <w:r w:rsidRPr="00B830AD">
        <w:t xml:space="preserve"> marginalised groups are rarely considered as potential beneficiaries of green construction. </w:t>
      </w:r>
    </w:p>
    <w:p w14:paraId="56E09D58" w14:textId="5AAE4262" w:rsidR="001512E7" w:rsidRPr="001512E7" w:rsidRDefault="00CE5AA2" w:rsidP="00640374">
      <w:r>
        <w:lastRenderedPageBreak/>
        <w:t>T</w:t>
      </w:r>
      <w:r w:rsidR="00640374" w:rsidRPr="00640374">
        <w:t>here is evidence that green buildings can reduce the cost of living through increased efficiency and targeted financial support mechanisms</w:t>
      </w:r>
      <w:r>
        <w:t>. However</w:t>
      </w:r>
      <w:r w:rsidR="00640374" w:rsidRPr="00640374">
        <w:t xml:space="preserve">, </w:t>
      </w:r>
      <w:r w:rsidR="00B830AD">
        <w:t xml:space="preserve">in practice </w:t>
      </w:r>
      <w:r w:rsidR="00640374" w:rsidRPr="00640374">
        <w:t xml:space="preserve">these benefits </w:t>
      </w:r>
      <w:r w:rsidR="00B830AD">
        <w:t xml:space="preserve">often do not reach </w:t>
      </w:r>
      <w:r w:rsidR="00640374" w:rsidRPr="00640374">
        <w:t xml:space="preserve">marginalised groups. </w:t>
      </w:r>
    </w:p>
    <w:p w14:paraId="3B997197" w14:textId="77777777" w:rsidR="00C64945" w:rsidRDefault="00C64945" w:rsidP="00C64945">
      <w:pPr>
        <w:pStyle w:val="Heading3"/>
      </w:pPr>
      <w:bookmarkStart w:id="14" w:name="_Toc178618222"/>
      <w:bookmarkStart w:id="15" w:name="_Toc179906717"/>
      <w:bookmarkStart w:id="16" w:name="_Toc181887382"/>
      <w:bookmarkStart w:id="17" w:name="_Toc189154947"/>
      <w:r w:rsidRPr="00C64945">
        <w:t>Overarching hypothesis 2: Green buildings are more accessible for people with disabilities</w:t>
      </w:r>
      <w:bookmarkEnd w:id="14"/>
      <w:bookmarkEnd w:id="15"/>
      <w:bookmarkEnd w:id="16"/>
      <w:bookmarkEnd w:id="17"/>
    </w:p>
    <w:p w14:paraId="56F4738D" w14:textId="6A357F78" w:rsidR="0064549A" w:rsidRPr="0064549A" w:rsidRDefault="00B12E88" w:rsidP="0064549A">
      <w:r w:rsidRPr="00470162">
        <w:rPr>
          <w:rStyle w:val="Boldtext"/>
        </w:rPr>
        <w:t xml:space="preserve">Some stakeholders </w:t>
      </w:r>
      <w:r w:rsidR="00D612E9">
        <w:rPr>
          <w:rStyle w:val="Boldtext"/>
        </w:rPr>
        <w:t xml:space="preserve">at the T0 </w:t>
      </w:r>
      <w:r w:rsidR="003F5F5F">
        <w:rPr>
          <w:rStyle w:val="Boldtext"/>
        </w:rPr>
        <w:t xml:space="preserve">level and T3 level in Kenya and Vietnam </w:t>
      </w:r>
      <w:r w:rsidRPr="00470162">
        <w:rPr>
          <w:rStyle w:val="Boldtext"/>
        </w:rPr>
        <w:t xml:space="preserve">hypothesised that green buildings could be more accessible for people with disabilities </w:t>
      </w:r>
      <w:r w:rsidR="00874047">
        <w:rPr>
          <w:rStyle w:val="Boldtext"/>
        </w:rPr>
        <w:t xml:space="preserve">(a potential </w:t>
      </w:r>
      <w:r w:rsidR="00874047" w:rsidRPr="00F615DF">
        <w:rPr>
          <w:rStyle w:val="Boldtext"/>
        </w:rPr>
        <w:t>unintended social benefit that could be achieved by MAGC)</w:t>
      </w:r>
      <w:r w:rsidR="00874047" w:rsidRPr="00874047">
        <w:rPr>
          <w:rStyle w:val="Boldtext"/>
        </w:rPr>
        <w:t xml:space="preserve"> </w:t>
      </w:r>
      <w:r w:rsidRPr="00874047">
        <w:rPr>
          <w:rStyle w:val="Boldtext"/>
        </w:rPr>
        <w:t>but</w:t>
      </w:r>
      <w:r w:rsidRPr="00470162">
        <w:rPr>
          <w:rStyle w:val="Boldtext"/>
        </w:rPr>
        <w:t xml:space="preserve"> did not provide detail on why</w:t>
      </w:r>
      <w:r w:rsidR="005310B7" w:rsidRPr="00470162">
        <w:rPr>
          <w:rStyle w:val="Boldtext"/>
        </w:rPr>
        <w:t xml:space="preserve"> they thought this</w:t>
      </w:r>
      <w:r w:rsidRPr="00470162">
        <w:rPr>
          <w:rStyle w:val="Boldtext"/>
        </w:rPr>
        <w:t xml:space="preserve"> or the mechanisms that could support this outcome.</w:t>
      </w:r>
      <w:r w:rsidR="0064549A">
        <w:t xml:space="preserve"> To gather evidence to further understand this hypothesis, we conducted desk research to identify best practices and examples of how green buildings can be made more accessible for people with disabilities</w:t>
      </w:r>
      <w:r w:rsidR="00BE4ED1">
        <w:t>, to provide learnings for future programme design</w:t>
      </w:r>
      <w:r w:rsidR="0064549A">
        <w:t xml:space="preserve">. Ensuring </w:t>
      </w:r>
      <w:r w:rsidR="00790553">
        <w:t>green buildings are accessible and provide a high quality of living for people with disabilities is important</w:t>
      </w:r>
      <w:r w:rsidR="004823DE">
        <w:t>. This is</w:t>
      </w:r>
      <w:r w:rsidR="00790553">
        <w:t xml:space="preserve"> to </w:t>
      </w:r>
      <w:r w:rsidR="004823DE">
        <w:t xml:space="preserve">ensure </w:t>
      </w:r>
      <w:r w:rsidR="00790553">
        <w:t xml:space="preserve">they can </w:t>
      </w:r>
      <w:r w:rsidR="00790553" w:rsidRPr="00A8564B">
        <w:rPr>
          <w:rStyle w:val="Boldtext"/>
        </w:rPr>
        <w:t>adapt to climate change</w:t>
      </w:r>
      <w:r w:rsidR="00790553" w:rsidRPr="00790553">
        <w:t xml:space="preserve"> and </w:t>
      </w:r>
      <w:r w:rsidR="00790553" w:rsidRPr="00A8564B">
        <w:rPr>
          <w:rStyle w:val="Boldtext"/>
        </w:rPr>
        <w:t>gain from lower energy costs and nature-enhanced benefits</w:t>
      </w:r>
      <w:r w:rsidR="00790553">
        <w:t xml:space="preserve"> associated with green buildings.</w:t>
      </w:r>
      <w:r w:rsidR="00790553" w:rsidRPr="00790553">
        <w:rPr>
          <w:rStyle w:val="FootnoteReference"/>
        </w:rPr>
        <w:footnoteReference w:id="7"/>
      </w:r>
      <w:r w:rsidR="00790553">
        <w:t xml:space="preserve"> </w:t>
      </w:r>
      <w:r w:rsidR="0064549A" w:rsidRPr="0064549A">
        <w:t>Climate change is experienced unevenly, with poorer regions and nations facing more negative consequences</w:t>
      </w:r>
      <w:r w:rsidR="00790553">
        <w:t>, and p</w:t>
      </w:r>
      <w:r w:rsidR="0064549A" w:rsidRPr="0064549A">
        <w:t>eople with disabilities living in these areas fac</w:t>
      </w:r>
      <w:r w:rsidR="00790553">
        <w:t>ing</w:t>
      </w:r>
      <w:r w:rsidR="0064549A" w:rsidRPr="0064549A">
        <w:t xml:space="preserve"> intersecting disadvantage</w:t>
      </w:r>
      <w:r w:rsidR="00790553">
        <w:t xml:space="preserve">s. </w:t>
      </w:r>
      <w:r w:rsidR="00790553" w:rsidRPr="00A8564B">
        <w:rPr>
          <w:rStyle w:val="Boldtext"/>
        </w:rPr>
        <w:t>D</w:t>
      </w:r>
      <w:r w:rsidR="0064549A" w:rsidRPr="00A8564B">
        <w:rPr>
          <w:rStyle w:val="Boldtext"/>
        </w:rPr>
        <w:t xml:space="preserve">isabilities or health conditions can make </w:t>
      </w:r>
      <w:r w:rsidR="00790553" w:rsidRPr="00A8564B">
        <w:rPr>
          <w:rStyle w:val="Boldtext"/>
        </w:rPr>
        <w:t xml:space="preserve">people </w:t>
      </w:r>
      <w:r w:rsidR="0064549A" w:rsidRPr="00A8564B">
        <w:rPr>
          <w:rStyle w:val="Boldtext"/>
        </w:rPr>
        <w:t>more vulnerable</w:t>
      </w:r>
      <w:r w:rsidR="0064549A" w:rsidRPr="0064549A">
        <w:t xml:space="preserve"> </w:t>
      </w:r>
      <w:r w:rsidR="0064549A" w:rsidRPr="00A8564B">
        <w:rPr>
          <w:rStyle w:val="Boldtext"/>
        </w:rPr>
        <w:t>to the effects of climate change</w:t>
      </w:r>
      <w:r w:rsidR="00790553">
        <w:t>, for example</w:t>
      </w:r>
      <w:r w:rsidR="0064549A" w:rsidRPr="0064549A">
        <w:t xml:space="preserve"> ventilation needs </w:t>
      </w:r>
      <w:r w:rsidR="00790553">
        <w:t xml:space="preserve">are </w:t>
      </w:r>
      <w:r w:rsidR="0064549A" w:rsidRPr="0064549A">
        <w:t>different for wheelchair</w:t>
      </w:r>
      <w:r w:rsidR="00790553">
        <w:t xml:space="preserve"> user</w:t>
      </w:r>
      <w:r w:rsidR="0064549A" w:rsidRPr="0064549A">
        <w:t>s and people with prosthetics</w:t>
      </w:r>
      <w:r w:rsidR="00790553">
        <w:t>.</w:t>
      </w:r>
      <w:r w:rsidR="0064549A" w:rsidRPr="0064549A">
        <w:rPr>
          <w:rStyle w:val="FootnoteReference"/>
        </w:rPr>
        <w:footnoteReference w:id="8"/>
      </w:r>
      <w:r w:rsidR="00790553">
        <w:t xml:space="preserve"> </w:t>
      </w:r>
    </w:p>
    <w:p w14:paraId="2B5A6546" w14:textId="332449CB" w:rsidR="00790553" w:rsidRDefault="0064549A" w:rsidP="0064549A">
      <w:r w:rsidRPr="0064549A">
        <w:t xml:space="preserve">Disabled and neurodivergent environmental activists </w:t>
      </w:r>
      <w:r w:rsidR="00790553">
        <w:t xml:space="preserve">have </w:t>
      </w:r>
      <w:r w:rsidRPr="0064549A">
        <w:t>coined the term </w:t>
      </w:r>
      <w:r w:rsidR="00790553">
        <w:t>‘</w:t>
      </w:r>
      <w:r w:rsidRPr="00A8564B">
        <w:rPr>
          <w:rStyle w:val="Boldtext"/>
        </w:rPr>
        <w:t>eco-ableism</w:t>
      </w:r>
      <w:r w:rsidR="00790553">
        <w:t>’</w:t>
      </w:r>
      <w:r w:rsidRPr="0064549A">
        <w:t xml:space="preserve"> to name </w:t>
      </w:r>
      <w:r w:rsidR="00790553">
        <w:t xml:space="preserve">and highlight the issue of </w:t>
      </w:r>
      <w:r w:rsidR="00790553" w:rsidRPr="00790553">
        <w:t xml:space="preserve">ableism </w:t>
      </w:r>
      <w:r w:rsidRPr="0064549A">
        <w:t>(</w:t>
      </w:r>
      <w:r w:rsidR="00790553" w:rsidRPr="00790553">
        <w:t>discrimination toward disabled people</w:t>
      </w:r>
      <w:r w:rsidRPr="0064549A">
        <w:t xml:space="preserve">) </w:t>
      </w:r>
      <w:r w:rsidR="00790553">
        <w:t>which arises</w:t>
      </w:r>
      <w:r w:rsidRPr="0064549A">
        <w:t xml:space="preserve"> in environmental policy, planning, and activism</w:t>
      </w:r>
      <w:r w:rsidR="00790553">
        <w:t>.</w:t>
      </w:r>
      <w:r w:rsidRPr="0064549A">
        <w:rPr>
          <w:rStyle w:val="FootnoteReference"/>
        </w:rPr>
        <w:footnoteReference w:id="9"/>
      </w:r>
      <w:r w:rsidR="00790553">
        <w:t xml:space="preserve"> Two key issues to </w:t>
      </w:r>
      <w:r w:rsidR="00466465">
        <w:t xml:space="preserve">challenging eco-ableism and </w:t>
      </w:r>
      <w:r w:rsidR="00790553">
        <w:t xml:space="preserve">ensuring accessibility in green construction were highlighted in the </w:t>
      </w:r>
      <w:r w:rsidR="00790553" w:rsidRPr="00790553">
        <w:t xml:space="preserve">reviewed </w:t>
      </w:r>
      <w:r w:rsidR="00790553">
        <w:t>documentation:</w:t>
      </w:r>
    </w:p>
    <w:p w14:paraId="10AAD481" w14:textId="2167FE94" w:rsidR="00C012D0" w:rsidRDefault="00C012D0" w:rsidP="00C012D0">
      <w:pPr>
        <w:pStyle w:val="DESNZbulletedlist"/>
      </w:pPr>
      <w:r>
        <w:t>Architects, designers and developers of g</w:t>
      </w:r>
      <w:r w:rsidR="00790553">
        <w:t xml:space="preserve">reen construction </w:t>
      </w:r>
      <w:r>
        <w:t xml:space="preserve">programmes </w:t>
      </w:r>
      <w:r w:rsidR="00790553">
        <w:t>often assume</w:t>
      </w:r>
      <w:r>
        <w:t xml:space="preserve"> that</w:t>
      </w:r>
      <w:r w:rsidR="00790553">
        <w:t xml:space="preserve"> buildings will be used by able-bodied people</w:t>
      </w:r>
      <w:r w:rsidR="00CE5AA2">
        <w:t>.</w:t>
      </w:r>
    </w:p>
    <w:p w14:paraId="74893439" w14:textId="1A059FCC" w:rsidR="00790553" w:rsidRPr="00790553" w:rsidRDefault="00C012D0" w:rsidP="00A8564B">
      <w:pPr>
        <w:pStyle w:val="DESNZbulletedlist"/>
      </w:pPr>
      <w:r w:rsidRPr="00C012D0">
        <w:t>Architects, designers and developers of green construction programmes</w:t>
      </w:r>
      <w:r>
        <w:t xml:space="preserve"> can be</w:t>
      </w:r>
      <w:r w:rsidR="00790553" w:rsidRPr="00790553">
        <w:t xml:space="preserve"> so focused upon the ecological aspects of construction, that </w:t>
      </w:r>
      <w:r>
        <w:t xml:space="preserve">insufficient focus is placed on </w:t>
      </w:r>
      <w:r w:rsidR="00790553" w:rsidRPr="00790553">
        <w:t>accessibility and making the environments as liveable and as comfortable as possible for people with wide ranging abilities.</w:t>
      </w:r>
      <w:r w:rsidR="00790553" w:rsidRPr="00790553">
        <w:rPr>
          <w:rStyle w:val="FootnoteReference"/>
        </w:rPr>
        <w:footnoteReference w:id="10"/>
      </w:r>
    </w:p>
    <w:p w14:paraId="3A2A7E8F" w14:textId="2B3F7A10" w:rsidR="000176BA" w:rsidRDefault="00C012D0" w:rsidP="00C012D0">
      <w:r>
        <w:t xml:space="preserve">Several documents highlighted the </w:t>
      </w:r>
      <w:r w:rsidRPr="00A8564B">
        <w:rPr>
          <w:rStyle w:val="Boldtext"/>
        </w:rPr>
        <w:t>need for c</w:t>
      </w:r>
      <w:r w:rsidR="0064549A" w:rsidRPr="00A8564B">
        <w:rPr>
          <w:rStyle w:val="Boldtext"/>
        </w:rPr>
        <w:t>ollaboration</w:t>
      </w:r>
      <w:r w:rsidR="0064549A" w:rsidRPr="0064549A">
        <w:t xml:space="preserve"> between architects, designers, and accessibility experts </w:t>
      </w:r>
      <w:r>
        <w:t>to ensure</w:t>
      </w:r>
      <w:r w:rsidR="0064549A" w:rsidRPr="0064549A">
        <w:t xml:space="preserve"> that inclusive design principles are incorporated into building projects. Accessibility experts </w:t>
      </w:r>
      <w:r>
        <w:t xml:space="preserve">can </w:t>
      </w:r>
      <w:r w:rsidR="0064549A" w:rsidRPr="0064549A">
        <w:t xml:space="preserve">provide valuable insights into the needs and challenges faced by </w:t>
      </w:r>
      <w:r>
        <w:t>people</w:t>
      </w:r>
      <w:r w:rsidR="0064549A" w:rsidRPr="0064549A">
        <w:t xml:space="preserve"> with disabilities</w:t>
      </w:r>
      <w:r w:rsidR="00CE5AA2">
        <w:t>.</w:t>
      </w:r>
      <w:r>
        <w:t xml:space="preserve"> </w:t>
      </w:r>
      <w:r w:rsidR="00CE5AA2">
        <w:t xml:space="preserve">This is to ensure </w:t>
      </w:r>
      <w:r>
        <w:t>that architects and</w:t>
      </w:r>
      <w:r w:rsidR="0064549A" w:rsidRPr="0064549A">
        <w:t xml:space="preserve"> designers can create </w:t>
      </w:r>
      <w:r w:rsidR="0064549A" w:rsidRPr="0064549A">
        <w:lastRenderedPageBreak/>
        <w:t>spaces that are accessible</w:t>
      </w:r>
      <w:r>
        <w:t xml:space="preserve">, as well as being </w:t>
      </w:r>
      <w:r w:rsidR="0064549A" w:rsidRPr="0064549A">
        <w:t>aesthetically pleasing and functional.</w:t>
      </w:r>
      <w:r w:rsidR="0064549A" w:rsidRPr="0064549A">
        <w:rPr>
          <w:rStyle w:val="FootnoteReference"/>
        </w:rPr>
        <w:footnoteReference w:id="11"/>
      </w:r>
      <w:r>
        <w:t xml:space="preserve"> Another key stakeholder involved in this process should be </w:t>
      </w:r>
      <w:r w:rsidR="0064549A" w:rsidRPr="0064549A">
        <w:t>people with disabilities</w:t>
      </w:r>
      <w:r>
        <w:t xml:space="preserve">. An </w:t>
      </w:r>
      <w:r w:rsidR="0064549A" w:rsidRPr="0064549A">
        <w:t xml:space="preserve">article on </w:t>
      </w:r>
      <w:r>
        <w:t>e</w:t>
      </w:r>
      <w:r w:rsidR="0064549A" w:rsidRPr="0064549A">
        <w:t xml:space="preserve">co-ableism and access circularity in natural building </w:t>
      </w:r>
      <w:r>
        <w:t>described</w:t>
      </w:r>
      <w:r w:rsidR="0064549A" w:rsidRPr="0064549A">
        <w:t xml:space="preserve"> how </w:t>
      </w:r>
      <w:r w:rsidR="000176BA">
        <w:t>people with disabilities should be involved</w:t>
      </w:r>
      <w:r w:rsidR="00466465">
        <w:t xml:space="preserve"> throughout</w:t>
      </w:r>
      <w:r w:rsidR="000176BA">
        <w:t>:</w:t>
      </w:r>
    </w:p>
    <w:p w14:paraId="75EA4DE4" w14:textId="3D3A7E65" w:rsidR="000176BA" w:rsidRDefault="000176BA" w:rsidP="000176BA">
      <w:pPr>
        <w:pStyle w:val="DESNZbulletedlist"/>
      </w:pPr>
      <w:r>
        <w:t>A</w:t>
      </w:r>
      <w:r w:rsidR="0064549A" w:rsidRPr="0064549A">
        <w:t>t the design phase, involv</w:t>
      </w:r>
      <w:r>
        <w:t>ing</w:t>
      </w:r>
      <w:r w:rsidR="0064549A" w:rsidRPr="0064549A">
        <w:t xml:space="preserve"> people with different budgets and needs</w:t>
      </w:r>
      <w:r w:rsidR="00CE5AA2">
        <w:t>.</w:t>
      </w:r>
    </w:p>
    <w:p w14:paraId="0E57DAF8" w14:textId="6041E618" w:rsidR="000176BA" w:rsidRDefault="000176BA" w:rsidP="000176BA">
      <w:pPr>
        <w:pStyle w:val="DESNZbulletedlist"/>
      </w:pPr>
      <w:r>
        <w:t>D</w:t>
      </w:r>
      <w:r w:rsidR="0064549A" w:rsidRPr="0064549A">
        <w:t>uring the building phases</w:t>
      </w:r>
      <w:r>
        <w:t>, using</w:t>
      </w:r>
      <w:r w:rsidR="0064549A" w:rsidRPr="0064549A">
        <w:t xml:space="preserve"> accessible workshops </w:t>
      </w:r>
      <w:r>
        <w:t xml:space="preserve">to </w:t>
      </w:r>
      <w:r w:rsidR="0064549A" w:rsidRPr="0064549A">
        <w:t>inform the approach</w:t>
      </w:r>
      <w:r w:rsidR="00CE5AA2">
        <w:t>.</w:t>
      </w:r>
      <w:r w:rsidR="0064549A" w:rsidRPr="0064549A">
        <w:t xml:space="preserve"> </w:t>
      </w:r>
    </w:p>
    <w:p w14:paraId="5A5CA278" w14:textId="79D6A275" w:rsidR="0064549A" w:rsidRPr="0064549A" w:rsidRDefault="000176BA" w:rsidP="00A8564B">
      <w:pPr>
        <w:pStyle w:val="DESNZbulletedlist"/>
      </w:pPr>
      <w:r>
        <w:t>D</w:t>
      </w:r>
      <w:r w:rsidRPr="000176BA">
        <w:t>uring the occupation phase</w:t>
      </w:r>
      <w:r>
        <w:t xml:space="preserve">, where projects should </w:t>
      </w:r>
      <w:r w:rsidR="0064549A" w:rsidRPr="0064549A">
        <w:t>receive and respond to feedback from occupants</w:t>
      </w:r>
      <w:r>
        <w:t>.</w:t>
      </w:r>
      <w:r>
        <w:rPr>
          <w:rStyle w:val="FootnoteReference"/>
        </w:rPr>
        <w:footnoteReference w:id="12"/>
      </w:r>
    </w:p>
    <w:p w14:paraId="75FF786C" w14:textId="78F5C522" w:rsidR="00BE4ED1" w:rsidRDefault="00BE4ED1" w:rsidP="0064549A">
      <w:r>
        <w:t xml:space="preserve">If future MAGC programming </w:t>
      </w:r>
      <w:r w:rsidR="00FE535A">
        <w:t xml:space="preserve">is to </w:t>
      </w:r>
      <w:r>
        <w:t>include</w:t>
      </w:r>
      <w:r w:rsidR="00FE535A">
        <w:t xml:space="preserve"> </w:t>
      </w:r>
      <w:r>
        <w:t>social impact as a key aim,</w:t>
      </w:r>
      <w:r w:rsidR="00846B27">
        <w:t xml:space="preserve"> representatives of</w:t>
      </w:r>
      <w:r>
        <w:t xml:space="preserve"> these key stakeholder groups should all be involved in design and implementation.   </w:t>
      </w:r>
    </w:p>
    <w:p w14:paraId="2ED1BC52" w14:textId="0C593149" w:rsidR="0064549A" w:rsidRDefault="000176BA" w:rsidP="0064549A">
      <w:r>
        <w:t>Several articles discussed how green buildings can integrate accessibility features</w:t>
      </w:r>
      <w:r w:rsidR="00BE4ED1">
        <w:t>, highlighting key features that could be recommended for inclusion in future green construction programmes</w:t>
      </w:r>
      <w:r>
        <w:t>. This included:</w:t>
      </w:r>
    </w:p>
    <w:p w14:paraId="4F890D56" w14:textId="36A73335" w:rsidR="000176BA" w:rsidRDefault="000176BA" w:rsidP="000176BA">
      <w:pPr>
        <w:pStyle w:val="DESNZbulletedlist"/>
      </w:pPr>
      <w:r w:rsidRPr="00A8564B">
        <w:rPr>
          <w:rStyle w:val="Boldtext"/>
        </w:rPr>
        <w:t>Accessibility of key building features</w:t>
      </w:r>
      <w:r>
        <w:t xml:space="preserve">, e.g. strategically placed entrances and exits; </w:t>
      </w:r>
      <w:r w:rsidR="00466465" w:rsidRPr="000176BA">
        <w:t>level or ramped thresholds</w:t>
      </w:r>
      <w:r w:rsidR="00466465">
        <w:t>;</w:t>
      </w:r>
      <w:r w:rsidR="00466465" w:rsidRPr="000176BA">
        <w:t xml:space="preserve"> </w:t>
      </w:r>
      <w:r>
        <w:t>l</w:t>
      </w:r>
      <w:r w:rsidRPr="000176BA">
        <w:t>arge doorframes</w:t>
      </w:r>
      <w:r>
        <w:t>;</w:t>
      </w:r>
      <w:r w:rsidRPr="000176BA">
        <w:t xml:space="preserve"> </w:t>
      </w:r>
      <w:r>
        <w:t>energy-efficient</w:t>
      </w:r>
      <w:r w:rsidRPr="000176BA">
        <w:t xml:space="preserve"> windows</w:t>
      </w:r>
      <w:r>
        <w:t xml:space="preserve"> and doors that are easy to operate;</w:t>
      </w:r>
      <w:r w:rsidRPr="000176BA">
        <w:t xml:space="preserve"> </w:t>
      </w:r>
      <w:r>
        <w:t xml:space="preserve">accessible </w:t>
      </w:r>
      <w:r w:rsidRPr="000176BA">
        <w:t>switches and sockets</w:t>
      </w:r>
      <w:r>
        <w:t xml:space="preserve">; </w:t>
      </w:r>
      <w:r w:rsidRPr="000176BA">
        <w:t>accessible toilets and showers</w:t>
      </w:r>
      <w:r>
        <w:t>;</w:t>
      </w:r>
      <w:r w:rsidRPr="000176BA">
        <w:t xml:space="preserve"> accessible door handles</w:t>
      </w:r>
      <w:r w:rsidR="009C7697">
        <w:t>.</w:t>
      </w:r>
      <w:r w:rsidR="009C7697" w:rsidRPr="000176BA">
        <w:rPr>
          <w:rStyle w:val="FootnoteReference"/>
        </w:rPr>
        <w:t xml:space="preserve"> </w:t>
      </w:r>
      <w:r w:rsidRPr="000176BA">
        <w:rPr>
          <w:rStyle w:val="FootnoteReference"/>
        </w:rPr>
        <w:footnoteReference w:id="13"/>
      </w:r>
      <w:r w:rsidRPr="000176BA">
        <w:rPr>
          <w:rStyle w:val="FootnoteReference"/>
        </w:rPr>
        <w:footnoteReference w:id="14"/>
      </w:r>
    </w:p>
    <w:p w14:paraId="579690B6" w14:textId="476445A8" w:rsidR="000176BA" w:rsidRDefault="000176BA" w:rsidP="00CF33B3">
      <w:pPr>
        <w:pStyle w:val="DESNZbulletedlist"/>
      </w:pPr>
      <w:r w:rsidRPr="00A8564B">
        <w:rPr>
          <w:rStyle w:val="Boldtext"/>
        </w:rPr>
        <w:t>Consideration of acoustics, texture, and lighting</w:t>
      </w:r>
      <w:r w:rsidRPr="000176BA">
        <w:t xml:space="preserve"> for neurodivergent people</w:t>
      </w:r>
      <w:r w:rsidR="009C7697">
        <w:t>.</w:t>
      </w:r>
      <w:r w:rsidRPr="000176BA">
        <w:rPr>
          <w:rStyle w:val="FootnoteReference"/>
        </w:rPr>
        <w:footnoteReference w:id="15"/>
      </w:r>
    </w:p>
    <w:p w14:paraId="0D1C6339" w14:textId="785F4C89" w:rsidR="0064549A" w:rsidRPr="0064549A" w:rsidRDefault="000176BA" w:rsidP="00A8564B">
      <w:pPr>
        <w:pStyle w:val="DESNZbulletedlist"/>
      </w:pPr>
      <w:r w:rsidRPr="00A8564B">
        <w:rPr>
          <w:rStyle w:val="Boldtext"/>
        </w:rPr>
        <w:t>C</w:t>
      </w:r>
      <w:r w:rsidR="0064549A" w:rsidRPr="00A8564B">
        <w:rPr>
          <w:rStyle w:val="Boldtext"/>
        </w:rPr>
        <w:t>onsideration of accessibility beyond the thresholds</w:t>
      </w:r>
      <w:r w:rsidR="0064549A" w:rsidRPr="0064549A">
        <w:t xml:space="preserve"> of </w:t>
      </w:r>
      <w:r w:rsidR="008E0DAA">
        <w:t>buildings</w:t>
      </w:r>
      <w:r w:rsidR="0064549A" w:rsidRPr="0064549A">
        <w:t xml:space="preserve"> e.g. gardens, community spaces</w:t>
      </w:r>
      <w:r>
        <w:t>.</w:t>
      </w:r>
      <w:r w:rsidRPr="000176BA">
        <w:rPr>
          <w:rStyle w:val="FootnoteReference"/>
        </w:rPr>
        <w:footnoteReference w:id="16"/>
      </w:r>
    </w:p>
    <w:p w14:paraId="3ADC347D" w14:textId="77777777" w:rsidR="00466465" w:rsidRPr="00A8564B" w:rsidRDefault="00466465" w:rsidP="00466465">
      <w:pPr>
        <w:pStyle w:val="Tintbox"/>
        <w:rPr>
          <w:rStyle w:val="Boldtext"/>
        </w:rPr>
      </w:pPr>
      <w:r w:rsidRPr="00466465">
        <w:rPr>
          <w:rStyle w:val="Boldtext"/>
        </w:rPr>
        <w:t xml:space="preserve">Case study: </w:t>
      </w:r>
      <w:r w:rsidRPr="00A8564B">
        <w:rPr>
          <w:rStyle w:val="Boldtext"/>
        </w:rPr>
        <w:t xml:space="preserve">Ed Roberts Campus at Berkeley in California, USA </w:t>
      </w:r>
    </w:p>
    <w:p w14:paraId="7C13850F" w14:textId="2718EF83" w:rsidR="00466465" w:rsidRDefault="00466465" w:rsidP="00466465">
      <w:pPr>
        <w:pStyle w:val="Tintbox"/>
      </w:pPr>
      <w:r w:rsidRPr="00466465">
        <w:t>The Ed Roberts Campus in Berkeley, California, integrat</w:t>
      </w:r>
      <w:r>
        <w:t>es</w:t>
      </w:r>
      <w:r w:rsidRPr="00466465">
        <w:t xml:space="preserve"> green construction with universal design, creating an accessible and sustainable environment. </w:t>
      </w:r>
      <w:r w:rsidR="00BB6B39">
        <w:t xml:space="preserve">In terms of accessibility features, the campus </w:t>
      </w:r>
      <w:r w:rsidRPr="00466465">
        <w:t>features clear building organi</w:t>
      </w:r>
      <w:r>
        <w:t>s</w:t>
      </w:r>
      <w:r w:rsidRPr="00466465">
        <w:t xml:space="preserve">ation and </w:t>
      </w:r>
      <w:r w:rsidR="00BB6B39">
        <w:t>signage</w:t>
      </w:r>
      <w:r w:rsidRPr="00466465">
        <w:t xml:space="preserve"> to accommodate all users, including those with disabilities. Key accessibility features include a ramp, wide corridors, </w:t>
      </w:r>
      <w:r w:rsidR="00BB6B39">
        <w:t xml:space="preserve">and </w:t>
      </w:r>
      <w:r w:rsidRPr="00466465">
        <w:t>speciali</w:t>
      </w:r>
      <w:r w:rsidR="00BB6B39">
        <w:t>s</w:t>
      </w:r>
      <w:r w:rsidRPr="00466465">
        <w:t xml:space="preserve">ed controls in </w:t>
      </w:r>
      <w:r w:rsidR="00BB6B39">
        <w:t>large lifts</w:t>
      </w:r>
      <w:r w:rsidRPr="00466465">
        <w:t xml:space="preserve"> level. The campus offers various public </w:t>
      </w:r>
      <w:r w:rsidR="00BB6B39">
        <w:t>transport options</w:t>
      </w:r>
      <w:r w:rsidRPr="00466465">
        <w:t xml:space="preserve"> with coordinated access, speciali</w:t>
      </w:r>
      <w:r w:rsidR="00BB6B39">
        <w:t>s</w:t>
      </w:r>
      <w:r w:rsidRPr="00466465">
        <w:t xml:space="preserve">ed vehicle access, and accessible parking. </w:t>
      </w:r>
      <w:r w:rsidR="00BB6B39">
        <w:t>Toilets</w:t>
      </w:r>
      <w:r w:rsidRPr="00466465">
        <w:t xml:space="preserve"> cater to a range of abilities, </w:t>
      </w:r>
      <w:r w:rsidR="00BB6B39">
        <w:t>and</w:t>
      </w:r>
      <w:r w:rsidRPr="00466465">
        <w:t xml:space="preserve"> hand-free access is facilitated by automatic doors with long-range card readers. To aid individuals with </w:t>
      </w:r>
      <w:r w:rsidRPr="00466465">
        <w:lastRenderedPageBreak/>
        <w:t xml:space="preserve">Photosensitive Epilepsy, low-pattern flooring and low-frequency fire alarm lights are used. Innovative acoustical design supports those with hearing disabilities, and Braille maps are available upon request. The building's design also incorporates occupancy-sensor-controlled lighting and high-contrast interior finishes </w:t>
      </w:r>
      <w:r w:rsidR="00BB6B39">
        <w:t>to make buildings easier to navigate</w:t>
      </w:r>
      <w:r w:rsidRPr="00466465">
        <w:t>.</w:t>
      </w:r>
    </w:p>
    <w:p w14:paraId="6A82307F" w14:textId="2A740FDF" w:rsidR="00F1732F" w:rsidRDefault="00BB6B39" w:rsidP="00F1732F">
      <w:pPr>
        <w:pStyle w:val="Tintbox"/>
        <w:numPr>
          <w:ilvl w:val="0"/>
          <w:numId w:val="42"/>
        </w:numPr>
      </w:pPr>
      <w:r w:rsidRPr="00BB6B39">
        <w:t xml:space="preserve">Sustainability is a core consideration at the </w:t>
      </w:r>
      <w:r>
        <w:t>c</w:t>
      </w:r>
      <w:r w:rsidRPr="00BB6B39">
        <w:t xml:space="preserve">ampus, with </w:t>
      </w:r>
      <w:r>
        <w:t xml:space="preserve">a range of </w:t>
      </w:r>
      <w:r w:rsidRPr="00BB6B39">
        <w:t xml:space="preserve">features </w:t>
      </w:r>
      <w:r>
        <w:t xml:space="preserve">in place </w:t>
      </w:r>
      <w:proofErr w:type="gramStart"/>
      <w:r>
        <w:t>including</w:t>
      </w:r>
      <w:r w:rsidR="00F1732F">
        <w:t>:</w:t>
      </w:r>
      <w:proofErr w:type="gramEnd"/>
      <w:r w:rsidRPr="00BB6B39">
        <w:t xml:space="preserve"> </w:t>
      </w:r>
      <w:r w:rsidR="009C7697">
        <w:t>S</w:t>
      </w:r>
      <w:r w:rsidRPr="00BB6B39">
        <w:t>olar control and daylighting</w:t>
      </w:r>
      <w:r w:rsidR="00F1732F">
        <w:t>.</w:t>
      </w:r>
      <w:r w:rsidRPr="00BB6B39">
        <w:t xml:space="preserve"> </w:t>
      </w:r>
    </w:p>
    <w:p w14:paraId="151E9FAD" w14:textId="08FA34EA" w:rsidR="00F1732F" w:rsidRDefault="009C7697" w:rsidP="00F1732F">
      <w:pPr>
        <w:pStyle w:val="Tintbox"/>
        <w:numPr>
          <w:ilvl w:val="0"/>
          <w:numId w:val="42"/>
        </w:numPr>
      </w:pPr>
      <w:r>
        <w:t>N</w:t>
      </w:r>
      <w:r w:rsidR="00BB6B39" w:rsidRPr="00BB6B39">
        <w:t>atural ventilation</w:t>
      </w:r>
      <w:r w:rsidR="008E0DAA">
        <w:t>;</w:t>
      </w:r>
      <w:r w:rsidR="00BB6B39" w:rsidRPr="00BB6B39">
        <w:t xml:space="preserve"> </w:t>
      </w:r>
      <w:r>
        <w:t>R</w:t>
      </w:r>
      <w:r w:rsidR="00BB6B39" w:rsidRPr="00BB6B39">
        <w:t>eflective roofing</w:t>
      </w:r>
      <w:r w:rsidR="00F1732F">
        <w:t xml:space="preserve">. </w:t>
      </w:r>
    </w:p>
    <w:p w14:paraId="519381EE" w14:textId="01CC9CA6" w:rsidR="00F1732F" w:rsidRDefault="009C7697" w:rsidP="00F1732F">
      <w:pPr>
        <w:pStyle w:val="Tintbox"/>
        <w:numPr>
          <w:ilvl w:val="0"/>
          <w:numId w:val="42"/>
        </w:numPr>
      </w:pPr>
      <w:r>
        <w:t>E</w:t>
      </w:r>
      <w:r w:rsidR="00BB6B39" w:rsidRPr="00BB6B39">
        <w:t>nergy-efficient mechanical systems</w:t>
      </w:r>
      <w:r w:rsidR="008E0DAA">
        <w:t xml:space="preserve"> e.g.</w:t>
      </w:r>
      <w:r w:rsidR="00BB6B39" w:rsidRPr="00BB6B39">
        <w:t xml:space="preserve"> </w:t>
      </w:r>
      <w:r w:rsidR="00BB6B39">
        <w:t>e</w:t>
      </w:r>
      <w:r w:rsidR="00BB6B39" w:rsidRPr="00BB6B39">
        <w:t>nergy-efficient lighting integrated with occupancy and time controls</w:t>
      </w:r>
      <w:r w:rsidR="00F1732F">
        <w:t xml:space="preserve">. </w:t>
      </w:r>
    </w:p>
    <w:p w14:paraId="358AC106" w14:textId="778201FF" w:rsidR="00BB6B39" w:rsidRPr="004E026C" w:rsidRDefault="009C7697" w:rsidP="004C1F9E">
      <w:pPr>
        <w:pStyle w:val="Tintbox"/>
        <w:numPr>
          <w:ilvl w:val="0"/>
          <w:numId w:val="42"/>
        </w:numPr>
      </w:pPr>
      <w:r>
        <w:t>E</w:t>
      </w:r>
      <w:r w:rsidR="008E0DAA" w:rsidRPr="00BB6B39">
        <w:t xml:space="preserve">nhanced indoor air quality achieved </w:t>
      </w:r>
      <w:proofErr w:type="gramStart"/>
      <w:r w:rsidR="008E0DAA" w:rsidRPr="00BB6B39">
        <w:t>through the use of</w:t>
      </w:r>
      <w:proofErr w:type="gramEnd"/>
      <w:r w:rsidR="008E0DAA" w:rsidRPr="00BB6B39">
        <w:t xml:space="preserve"> non-toxic materials and filtered outside air, supported by an Indoor Air Quality program initiated during construction</w:t>
      </w:r>
      <w:r w:rsidR="008E0DAA">
        <w:t>.</w:t>
      </w:r>
      <w:r w:rsidR="00BB6B39" w:rsidRPr="00BB6B39">
        <w:rPr>
          <w:rStyle w:val="FootnoteReference"/>
        </w:rPr>
        <w:t xml:space="preserve"> </w:t>
      </w:r>
      <w:r w:rsidR="00BB6B39" w:rsidRPr="0064549A">
        <w:rPr>
          <w:rStyle w:val="FootnoteReference"/>
        </w:rPr>
        <w:footnoteReference w:id="17"/>
      </w:r>
    </w:p>
    <w:p w14:paraId="67F1C4D0" w14:textId="1C6B58B5" w:rsidR="00075787" w:rsidRDefault="00075787" w:rsidP="00075787">
      <w:r w:rsidRPr="00075787">
        <w:rPr>
          <w:rStyle w:val="Boldtext"/>
        </w:rPr>
        <w:t>Evidence from the focus groups suggests that while</w:t>
      </w:r>
      <w:r w:rsidR="008E0DAA">
        <w:rPr>
          <w:rStyle w:val="Boldtext"/>
        </w:rPr>
        <w:t xml:space="preserve"> the</w:t>
      </w:r>
      <w:r w:rsidRPr="00075787">
        <w:rPr>
          <w:rStyle w:val="Boldtext"/>
        </w:rPr>
        <w:t xml:space="preserve"> green buildings </w:t>
      </w:r>
      <w:r w:rsidR="008E0DAA">
        <w:rPr>
          <w:rStyle w:val="Boldtext"/>
        </w:rPr>
        <w:t xml:space="preserve">participants lived in </w:t>
      </w:r>
      <w:r w:rsidRPr="00075787">
        <w:rPr>
          <w:rStyle w:val="Boldtext"/>
        </w:rPr>
        <w:t>ha</w:t>
      </w:r>
      <w:r w:rsidR="008E0DAA">
        <w:rPr>
          <w:rStyle w:val="Boldtext"/>
        </w:rPr>
        <w:t>d</w:t>
      </w:r>
      <w:r w:rsidRPr="00075787">
        <w:rPr>
          <w:rStyle w:val="Boldtext"/>
        </w:rPr>
        <w:t xml:space="preserve"> some accessibility features, more could be done.</w:t>
      </w:r>
      <w:r>
        <w:t xml:space="preserve"> </w:t>
      </w:r>
      <w:r w:rsidR="00EE0A03">
        <w:t>G</w:t>
      </w:r>
      <w:r w:rsidR="005310B7">
        <w:t xml:space="preserve">reen building residents in Colombia </w:t>
      </w:r>
      <w:r w:rsidR="00EE0A03">
        <w:t>described how the</w:t>
      </w:r>
      <w:r>
        <w:t xml:space="preserve"> building</w:t>
      </w:r>
      <w:r w:rsidR="00EE0A03">
        <w:t xml:space="preserve"> had</w:t>
      </w:r>
      <w:r w:rsidRPr="00075787">
        <w:t xml:space="preserve"> ramps at most entrances and lifts</w:t>
      </w:r>
      <w:r w:rsidR="00F1732F">
        <w:t>.</w:t>
      </w:r>
      <w:r w:rsidR="00EE0A03">
        <w:t xml:space="preserve"> </w:t>
      </w:r>
      <w:r w:rsidR="00F1732F">
        <w:t xml:space="preserve">However, </w:t>
      </w:r>
      <w:r w:rsidR="00EE0A03">
        <w:t xml:space="preserve">they </w:t>
      </w:r>
      <w:r>
        <w:t xml:space="preserve">did not feel the building </w:t>
      </w:r>
      <w:r w:rsidR="00EE0A03">
        <w:t>was</w:t>
      </w:r>
      <w:r>
        <w:t xml:space="preserve"> accessible for those with visual impairments</w:t>
      </w:r>
      <w:r w:rsidR="00EE0A03">
        <w:t xml:space="preserve"> and there</w:t>
      </w:r>
      <w:r>
        <w:t xml:space="preserve"> was no evidence that people with disabilities were living in the building. EDGE residents in Vietnam reported that there were people with disabilities living in the </w:t>
      </w:r>
      <w:r w:rsidR="00C97564">
        <w:t>building</w:t>
      </w:r>
      <w:r w:rsidR="00F1732F">
        <w:t>.</w:t>
      </w:r>
      <w:r>
        <w:t xml:space="preserve"> </w:t>
      </w:r>
      <w:r w:rsidR="00F1732F">
        <w:t xml:space="preserve">However, </w:t>
      </w:r>
      <w:r>
        <w:t>they could not identify any accessibility features, suggesting more could be done</w:t>
      </w:r>
      <w:r w:rsidR="008E0DAA">
        <w:t xml:space="preserve"> to improve accessibility and ensure disabled people had the opportunity to live in these buildings</w:t>
      </w:r>
      <w:r>
        <w:t xml:space="preserve">. </w:t>
      </w:r>
      <w:r w:rsidR="00346089">
        <w:t xml:space="preserve">In Kenya, residents described how a shared amenity space was only accessible via stairs, excluding people with disabilities </w:t>
      </w:r>
      <w:r w:rsidR="00346089" w:rsidRPr="009C1087">
        <w:t>from enjoying and participating in the social activities and events held in that space.</w:t>
      </w:r>
      <w:r w:rsidR="00346089">
        <w:t xml:space="preserve"> They also described how</w:t>
      </w:r>
      <w:r w:rsidR="00346089" w:rsidRPr="009C1087">
        <w:t xml:space="preserve"> the use of access cards or keys</w:t>
      </w:r>
      <w:r w:rsidR="00346089">
        <w:t xml:space="preserve"> rather than automatic doors or accessible entry systems </w:t>
      </w:r>
      <w:r w:rsidR="00346089" w:rsidRPr="009C1087">
        <w:t>may be difficult for individuals with limited mobility or dexterity to operate independently.</w:t>
      </w:r>
      <w:r w:rsidR="00346089">
        <w:t xml:space="preserve"> Other issues included </w:t>
      </w:r>
      <w:r w:rsidR="00346089" w:rsidRPr="009C1087">
        <w:t>inadequate provision of accessible parking spaces near the entrances of the buildings</w:t>
      </w:r>
      <w:r w:rsidR="00346089">
        <w:t xml:space="preserve"> and the </w:t>
      </w:r>
      <w:r w:rsidR="00346089" w:rsidRPr="009C1087">
        <w:t xml:space="preserve">absence of audible announcements in </w:t>
      </w:r>
      <w:r w:rsidR="00346089">
        <w:t>lifts. These ongoing gaps in accessible design disadvantage disabled people and may deter them from choosing to live in these buildings.</w:t>
      </w:r>
    </w:p>
    <w:p w14:paraId="3DB24969" w14:textId="632AB104" w:rsidR="005310B7" w:rsidRDefault="00EA6F35" w:rsidP="00DB39D7">
      <w:r>
        <w:t xml:space="preserve">The final evaluation report will </w:t>
      </w:r>
      <w:r w:rsidR="00E10B8C">
        <w:t>include further analysis of</w:t>
      </w:r>
      <w:r w:rsidR="00075787">
        <w:t xml:space="preserve"> </w:t>
      </w:r>
      <w:r w:rsidR="00470162">
        <w:t xml:space="preserve">how commonly accessibility is considered in the design of green buildings how often green buildings are used by people with disabilities, and some key enablers and barriers. </w:t>
      </w:r>
      <w:r w:rsidR="00E10B8C">
        <w:t xml:space="preserve">It will also consider </w:t>
      </w:r>
      <w:r w:rsidR="00470162">
        <w:t xml:space="preserve">learnings about whether improving accessibility for people with disabilities should be a priority for future MAGC programming if GEDSI outcomes are to be integrated into programme objectives. </w:t>
      </w:r>
    </w:p>
    <w:p w14:paraId="08A78C92" w14:textId="114B6165" w:rsidR="00C64945" w:rsidRDefault="00C64945" w:rsidP="00C64945">
      <w:pPr>
        <w:pStyle w:val="Heading3"/>
      </w:pPr>
      <w:bookmarkStart w:id="18" w:name="_Toc178618223"/>
      <w:bookmarkStart w:id="19" w:name="_Toc179906718"/>
      <w:bookmarkStart w:id="20" w:name="_Toc181887383"/>
      <w:bookmarkStart w:id="21" w:name="_Toc189154948"/>
      <w:r w:rsidRPr="00C64945">
        <w:lastRenderedPageBreak/>
        <w:t>Overarching hypothesis 3:  Green buildings improve the standard of living for people from marginalised groups</w:t>
      </w:r>
      <w:bookmarkEnd w:id="18"/>
      <w:bookmarkEnd w:id="19"/>
      <w:bookmarkEnd w:id="20"/>
      <w:bookmarkEnd w:id="21"/>
      <w:r w:rsidRPr="00C64945">
        <w:t xml:space="preserve"> </w:t>
      </w:r>
    </w:p>
    <w:p w14:paraId="2F5A0718" w14:textId="60EDD002" w:rsidR="00D83008" w:rsidRPr="00D83008" w:rsidRDefault="005835BD" w:rsidP="00D83008">
      <w:r w:rsidRPr="00531C19">
        <w:rPr>
          <w:rStyle w:val="Boldtext"/>
        </w:rPr>
        <w:t>Green buildings have the potential to significantly improve the standard of living for people from marginalised groups</w:t>
      </w:r>
      <w:r w:rsidRPr="005835BD">
        <w:t xml:space="preserve"> through environmental benefits, thoughtful design, improved health and well-being, and community engagement.</w:t>
      </w:r>
      <w:r w:rsidR="00874047">
        <w:t xml:space="preserve"> This could be a potential unintended positive social benefit of the MAGC programme.</w:t>
      </w:r>
      <w:r w:rsidRPr="005835BD">
        <w:t xml:space="preserve"> </w:t>
      </w:r>
      <w:r w:rsidR="003F5F5F">
        <w:t>This was highlighted by stakeholders at the T0 level</w:t>
      </w:r>
      <w:r w:rsidR="00F37064">
        <w:t>, at the T2 level in Ghana, Mexico, Peru, Philippines</w:t>
      </w:r>
      <w:r w:rsidR="00F1732F">
        <w:t>.</w:t>
      </w:r>
      <w:r w:rsidR="00F37064">
        <w:t xml:space="preserve"> </w:t>
      </w:r>
      <w:r w:rsidR="00F1732F">
        <w:t xml:space="preserve">This was also highlighted </w:t>
      </w:r>
      <w:r w:rsidR="00F37064">
        <w:t>at the T3 level in Colombia, Kenya and Vietnam, although some only stated that these benefits could support residents rather than marginalised groups specifically. T</w:t>
      </w:r>
      <w:r w:rsidRPr="005835BD">
        <w:t>he realisation of these benefits is contingent upon the inclusive and person-centric design of green buildings, as well as the presence of supportive community programmes.</w:t>
      </w:r>
    </w:p>
    <w:p w14:paraId="5391A4D6" w14:textId="41A75566" w:rsidR="00D83008" w:rsidRPr="00D83008" w:rsidRDefault="00D83008" w:rsidP="00D83008">
      <w:r w:rsidRPr="00D83008">
        <w:rPr>
          <w:rStyle w:val="Boldtext"/>
        </w:rPr>
        <w:t>Stakeholders</w:t>
      </w:r>
      <w:r w:rsidR="00DB635F">
        <w:rPr>
          <w:rStyle w:val="Boldtext"/>
        </w:rPr>
        <w:t xml:space="preserve"> at the T0</w:t>
      </w:r>
      <w:r w:rsidR="000146F7">
        <w:rPr>
          <w:rStyle w:val="Boldtext"/>
        </w:rPr>
        <w:t xml:space="preserve"> level and the T3 level in Colombia</w:t>
      </w:r>
      <w:r w:rsidRPr="00D83008">
        <w:rPr>
          <w:rStyle w:val="Boldtext"/>
        </w:rPr>
        <w:t xml:space="preserve"> highlighted how people-centric, thoughtful design is key if green buildings are to improve the standard of living for marginalised groups.</w:t>
      </w:r>
      <w:r w:rsidRPr="00D83008">
        <w:t xml:space="preserve"> </w:t>
      </w:r>
      <w:bookmarkStart w:id="22" w:name="_Hlk187232545"/>
      <w:r w:rsidR="00F70105">
        <w:t xml:space="preserve">T0 level </w:t>
      </w:r>
      <w:r w:rsidR="00E51009">
        <w:t>s</w:t>
      </w:r>
      <w:r>
        <w:t>takeholders described a</w:t>
      </w:r>
      <w:r w:rsidRPr="00D83008">
        <w:t xml:space="preserve"> green building project in Johannesburg, South Africa</w:t>
      </w:r>
      <w:r>
        <w:t xml:space="preserve"> which</w:t>
      </w:r>
      <w:r w:rsidRPr="00D83008">
        <w:t xml:space="preserve"> </w:t>
      </w:r>
      <w:r>
        <w:t>has supported</w:t>
      </w:r>
      <w:r w:rsidRPr="00D83008">
        <w:t xml:space="preserve"> single mothers. The project offer</w:t>
      </w:r>
      <w:r w:rsidR="00531C19">
        <w:t>ed</w:t>
      </w:r>
      <w:r w:rsidRPr="00D83008">
        <w:t xml:space="preserve"> a safe environment</w:t>
      </w:r>
      <w:r w:rsidR="00531C19" w:rsidRPr="00531C19">
        <w:t xml:space="preserve"> </w:t>
      </w:r>
      <w:r w:rsidR="00531C19">
        <w:t xml:space="preserve">with a </w:t>
      </w:r>
      <w:r w:rsidR="00531C19" w:rsidRPr="00D83008">
        <w:t>controlled access and a clean environment</w:t>
      </w:r>
      <w:r w:rsidRPr="00D83008">
        <w:t>, low utility costs, and proximity to job opportunities, improving their quality of life.</w:t>
      </w:r>
      <w:r>
        <w:t xml:space="preserve"> This demonstrates how designing green buildings with end-users’ needs in mind can improve the quality of living for people in marginalised groups</w:t>
      </w:r>
      <w:r w:rsidR="00F1732F">
        <w:t xml:space="preserve"> Furthermore it</w:t>
      </w:r>
      <w:r w:rsidR="00466853">
        <w:t xml:space="preserve"> highlights that this should be a key consideration for green building programmes aiming to have a social impact</w:t>
      </w:r>
      <w:r>
        <w:t xml:space="preserve">. </w:t>
      </w:r>
    </w:p>
    <w:bookmarkEnd w:id="22"/>
    <w:p w14:paraId="66BF3DB8" w14:textId="566A752C" w:rsidR="00D83008" w:rsidRPr="00D83008" w:rsidRDefault="00D83008" w:rsidP="00D83008">
      <w:r w:rsidRPr="00D83008">
        <w:rPr>
          <w:rStyle w:val="Boldtext"/>
        </w:rPr>
        <w:t>High-quality</w:t>
      </w:r>
      <w:r w:rsidR="00531C19">
        <w:rPr>
          <w:rStyle w:val="Boldtext"/>
        </w:rPr>
        <w:t>,</w:t>
      </w:r>
      <w:r w:rsidRPr="00D83008">
        <w:rPr>
          <w:rStyle w:val="Boldtext"/>
        </w:rPr>
        <w:t xml:space="preserve"> </w:t>
      </w:r>
      <w:r w:rsidR="00531C19" w:rsidRPr="00D83008">
        <w:rPr>
          <w:rStyle w:val="Boldtext"/>
        </w:rPr>
        <w:t>person-centr</w:t>
      </w:r>
      <w:r w:rsidR="00A8461A">
        <w:rPr>
          <w:rStyle w:val="Boldtext"/>
        </w:rPr>
        <w:t>ed</w:t>
      </w:r>
      <w:r w:rsidR="00531C19" w:rsidRPr="00D83008">
        <w:rPr>
          <w:rStyle w:val="Boldtext"/>
        </w:rPr>
        <w:t xml:space="preserve"> </w:t>
      </w:r>
      <w:r w:rsidRPr="00D83008">
        <w:rPr>
          <w:rStyle w:val="Boldtext"/>
        </w:rPr>
        <w:t xml:space="preserve">green construction can </w:t>
      </w:r>
      <w:r w:rsidR="00531C19">
        <w:rPr>
          <w:rStyle w:val="Boldtext"/>
        </w:rPr>
        <w:t xml:space="preserve">also </w:t>
      </w:r>
      <w:r w:rsidRPr="00D83008">
        <w:rPr>
          <w:rStyle w:val="Boldtext"/>
        </w:rPr>
        <w:t>significantly improve the standard of living by offering improved ventilation</w:t>
      </w:r>
      <w:r w:rsidR="00531C19" w:rsidRPr="00531C19">
        <w:rPr>
          <w:rStyle w:val="Boldtext"/>
        </w:rPr>
        <w:t xml:space="preserve"> </w:t>
      </w:r>
      <w:r w:rsidR="00531C19">
        <w:rPr>
          <w:rStyle w:val="Boldtext"/>
        </w:rPr>
        <w:t xml:space="preserve">and </w:t>
      </w:r>
      <w:r w:rsidR="00531C19" w:rsidRPr="00D83008">
        <w:rPr>
          <w:rStyle w:val="Boldtext"/>
        </w:rPr>
        <w:t>thermal</w:t>
      </w:r>
      <w:r w:rsidR="00531C19">
        <w:rPr>
          <w:rStyle w:val="Boldtext"/>
        </w:rPr>
        <w:t xml:space="preserve"> control</w:t>
      </w:r>
      <w:r w:rsidRPr="00D83008">
        <w:rPr>
          <w:rStyle w:val="Boldtext"/>
        </w:rPr>
        <w:t>.</w:t>
      </w:r>
      <w:r w:rsidRPr="00D83008">
        <w:t xml:space="preserve"> </w:t>
      </w:r>
      <w:r w:rsidR="003009ED">
        <w:t xml:space="preserve">Although </w:t>
      </w:r>
      <w:r w:rsidR="003009ED" w:rsidRPr="00D83008">
        <w:t xml:space="preserve">not </w:t>
      </w:r>
      <w:r w:rsidR="003009ED">
        <w:t>referenced</w:t>
      </w:r>
      <w:r w:rsidR="003009ED" w:rsidRPr="00D83008">
        <w:t xml:space="preserve"> by stakeholders</w:t>
      </w:r>
      <w:r w:rsidR="003009ED">
        <w:t>, this could benefit</w:t>
      </w:r>
      <w:r w:rsidRPr="00D83008">
        <w:t xml:space="preserve"> individuals with long-term health conditions</w:t>
      </w:r>
      <w:r w:rsidR="003009ED">
        <w:t xml:space="preserve"> and</w:t>
      </w:r>
      <w:r w:rsidRPr="00D83008">
        <w:t xml:space="preserve"> provide a healthier and more comfortable living environment. </w:t>
      </w:r>
      <w:r w:rsidRPr="005835BD">
        <w:rPr>
          <w:rStyle w:val="Boldtext"/>
        </w:rPr>
        <w:t xml:space="preserve">However, </w:t>
      </w:r>
      <w:r w:rsidR="005835BD" w:rsidRPr="005835BD">
        <w:rPr>
          <w:rStyle w:val="Boldtext"/>
        </w:rPr>
        <w:t>for marginalised groups to benefit from this, they need to be able to access green buildings</w:t>
      </w:r>
      <w:r w:rsidR="005835BD">
        <w:t xml:space="preserve"> – linking back to concerns around green buildings not being accessible to those from lower incomes. Other marginalised groups are often likely to fall into low-income categories due to intersecting disadvantages. </w:t>
      </w:r>
    </w:p>
    <w:p w14:paraId="6B042217" w14:textId="71E660F4" w:rsidR="00D83008" w:rsidRPr="00D83008" w:rsidRDefault="00D83008" w:rsidP="00D83008">
      <w:r w:rsidRPr="005835BD">
        <w:rPr>
          <w:rStyle w:val="Boldtext"/>
        </w:rPr>
        <w:t>Green buildings also offer key opportunities for community buy-in and engagement, which can enhance the standard of living.</w:t>
      </w:r>
      <w:r w:rsidRPr="00D83008">
        <w:t xml:space="preserve"> Stakeholders </w:t>
      </w:r>
      <w:r w:rsidR="00CB4866">
        <w:t xml:space="preserve">in Colombia, Ghana, Kenya and Peru </w:t>
      </w:r>
      <w:r w:rsidRPr="00D83008">
        <w:t xml:space="preserve">described </w:t>
      </w:r>
      <w:r w:rsidR="005835BD">
        <w:t xml:space="preserve">several </w:t>
      </w:r>
      <w:r w:rsidRPr="00D83008">
        <w:t xml:space="preserve">projects </w:t>
      </w:r>
      <w:r w:rsidR="005835BD">
        <w:t xml:space="preserve">targeted at </w:t>
      </w:r>
      <w:r w:rsidRPr="00D83008">
        <w:t xml:space="preserve">lower-income groups </w:t>
      </w:r>
      <w:r w:rsidR="005835BD">
        <w:t>living in green buildings</w:t>
      </w:r>
      <w:r w:rsidR="00F1732F">
        <w:t>. This includes</w:t>
      </w:r>
      <w:r w:rsidR="005835BD">
        <w:t xml:space="preserve"> initiatives aimed at </w:t>
      </w:r>
      <w:r w:rsidRPr="00D83008">
        <w:t>encouraging residents to care for the buildings</w:t>
      </w:r>
      <w:r w:rsidR="005835BD">
        <w:t xml:space="preserve">, children’s activities and </w:t>
      </w:r>
      <w:r w:rsidRPr="00D83008">
        <w:t>improve</w:t>
      </w:r>
      <w:r w:rsidR="005835BD">
        <w:t>ments to</w:t>
      </w:r>
      <w:r w:rsidRPr="00D83008">
        <w:t xml:space="preserve"> public spaces. These programmes not only enhance the physical living environment but also promote social cohesion and community well-being.</w:t>
      </w:r>
    </w:p>
    <w:p w14:paraId="303D24A6" w14:textId="14E68136" w:rsidR="005835BD" w:rsidRPr="005835BD" w:rsidRDefault="005835BD" w:rsidP="005835BD">
      <w:pPr>
        <w:pStyle w:val="Tintbox"/>
        <w:rPr>
          <w:rStyle w:val="Boldtext"/>
        </w:rPr>
      </w:pPr>
      <w:r w:rsidRPr="005835BD">
        <w:rPr>
          <w:rStyle w:val="Boldtext"/>
        </w:rPr>
        <w:t>Case study: Colombia</w:t>
      </w:r>
      <w:r w:rsidR="003009ED">
        <w:rPr>
          <w:rStyle w:val="Boldtext"/>
        </w:rPr>
        <w:t xml:space="preserve"> sustainable housing initiative </w:t>
      </w:r>
    </w:p>
    <w:p w14:paraId="03883001" w14:textId="34A9BAF2" w:rsidR="003009ED" w:rsidRDefault="005835BD" w:rsidP="005835BD">
      <w:pPr>
        <w:pStyle w:val="Tintbox"/>
      </w:pPr>
      <w:r w:rsidRPr="005835BD">
        <w:t>One</w:t>
      </w:r>
      <w:r w:rsidR="006E3408">
        <w:t xml:space="preserve"> T3 level</w:t>
      </w:r>
      <w:r w:rsidRPr="005835BD">
        <w:t xml:space="preserve"> stakeholder in Colombia </w:t>
      </w:r>
      <w:r w:rsidR="006E3408">
        <w:t xml:space="preserve">in the </w:t>
      </w:r>
      <w:r w:rsidR="00FE535A">
        <w:t xml:space="preserve">construction </w:t>
      </w:r>
      <w:r w:rsidR="00207745">
        <w:t xml:space="preserve">and EDGE </w:t>
      </w:r>
      <w:r w:rsidR="006E3408">
        <w:t xml:space="preserve">sector </w:t>
      </w:r>
      <w:r w:rsidRPr="005835BD">
        <w:t xml:space="preserve">described an initiative being run by a partner organisation which specialises in building sustainable social housing projects, catering to middle and low-income </w:t>
      </w:r>
      <w:r w:rsidR="003009ED">
        <w:t>groups</w:t>
      </w:r>
      <w:r w:rsidRPr="005835BD">
        <w:t xml:space="preserve">. </w:t>
      </w:r>
    </w:p>
    <w:p w14:paraId="6D0A2060" w14:textId="5E9E8CB0" w:rsidR="005835BD" w:rsidRPr="005835BD" w:rsidRDefault="005835BD" w:rsidP="005835BD">
      <w:pPr>
        <w:pStyle w:val="Tintbox"/>
      </w:pPr>
      <w:r w:rsidRPr="005835BD">
        <w:lastRenderedPageBreak/>
        <w:t>The organisation has implemented several initiatives to support their residents and promote sustainability:</w:t>
      </w:r>
    </w:p>
    <w:p w14:paraId="3888F331" w14:textId="1AA657B4" w:rsidR="005835BD" w:rsidRPr="005835BD" w:rsidRDefault="005835BD" w:rsidP="005835BD">
      <w:pPr>
        <w:pStyle w:val="Tintbox"/>
        <w:numPr>
          <w:ilvl w:val="0"/>
          <w:numId w:val="42"/>
        </w:numPr>
      </w:pPr>
      <w:r w:rsidRPr="005835BD">
        <w:t>Involvement of future residents in the construction of their homes, creating a strong sense of community and ownership. This involvement extends from the initial stages of acquiring the house to participating in social activities that promote sustainability.</w:t>
      </w:r>
    </w:p>
    <w:p w14:paraId="78E6836D" w14:textId="095DFF90" w:rsidR="005835BD" w:rsidRPr="005835BD" w:rsidRDefault="003009ED" w:rsidP="005835BD">
      <w:pPr>
        <w:pStyle w:val="Tintbox"/>
        <w:numPr>
          <w:ilvl w:val="0"/>
          <w:numId w:val="42"/>
        </w:numPr>
      </w:pPr>
      <w:r>
        <w:t>A</w:t>
      </w:r>
      <w:r w:rsidR="005835BD" w:rsidRPr="005835BD">
        <w:t xml:space="preserve"> comprehensive programme to assist residents </w:t>
      </w:r>
      <w:r>
        <w:t xml:space="preserve">to acquire a property, including support accessing </w:t>
      </w:r>
      <w:r w:rsidR="005835BD" w:rsidRPr="005835BD">
        <w:t>subsidies and guiding them through bureaucratic procedures.</w:t>
      </w:r>
    </w:p>
    <w:p w14:paraId="3E4CEAA1" w14:textId="04FFC64B" w:rsidR="005835BD" w:rsidRPr="005835BD" w:rsidRDefault="005835BD" w:rsidP="005835BD">
      <w:pPr>
        <w:pStyle w:val="Tintbox"/>
        <w:numPr>
          <w:ilvl w:val="0"/>
          <w:numId w:val="42"/>
        </w:numPr>
      </w:pPr>
      <w:r w:rsidRPr="005835BD">
        <w:t>Ongoing support</w:t>
      </w:r>
      <w:r w:rsidR="00A843D7">
        <w:t xml:space="preserve"> to</w:t>
      </w:r>
      <w:r w:rsidRPr="005835BD">
        <w:t xml:space="preserve"> residents e.g. social activities promot</w:t>
      </w:r>
      <w:r w:rsidR="00A843D7">
        <w:t>ing</w:t>
      </w:r>
      <w:r w:rsidRPr="005835BD">
        <w:t xml:space="preserve"> sustainable living practices.</w:t>
      </w:r>
    </w:p>
    <w:p w14:paraId="27D1EA0C" w14:textId="77777777" w:rsidR="005835BD" w:rsidRPr="005835BD" w:rsidRDefault="005835BD" w:rsidP="005835BD">
      <w:pPr>
        <w:pStyle w:val="Tintbox"/>
      </w:pPr>
      <w:r w:rsidRPr="005835BD">
        <w:t>This innovative approach has reportedly led to several positive outcomes:</w:t>
      </w:r>
    </w:p>
    <w:p w14:paraId="3B0C93BE" w14:textId="71B1165E" w:rsidR="005835BD" w:rsidRPr="005835BD" w:rsidRDefault="005835BD" w:rsidP="005835BD">
      <w:pPr>
        <w:pStyle w:val="Tintbox"/>
        <w:numPr>
          <w:ilvl w:val="0"/>
          <w:numId w:val="42"/>
        </w:numPr>
      </w:pPr>
      <w:r w:rsidRPr="005835BD">
        <w:t>Increased awareness about sustainable living practices amongst residents.</w:t>
      </w:r>
    </w:p>
    <w:p w14:paraId="6C8CC181" w14:textId="79DBF86B" w:rsidR="005835BD" w:rsidRPr="005835BD" w:rsidRDefault="005835BD" w:rsidP="005835BD">
      <w:pPr>
        <w:pStyle w:val="Tintbox"/>
        <w:numPr>
          <w:ilvl w:val="0"/>
          <w:numId w:val="42"/>
        </w:numPr>
      </w:pPr>
      <w:r w:rsidRPr="005835BD">
        <w:t>Fostering community cohesion amongst residents, supporting them to be active participants in maintaining and improving their living environment.</w:t>
      </w:r>
    </w:p>
    <w:p w14:paraId="6EE857C3" w14:textId="77777777" w:rsidR="005835BD" w:rsidRPr="005835BD" w:rsidRDefault="005835BD" w:rsidP="005835BD">
      <w:pPr>
        <w:pStyle w:val="Tintbox"/>
      </w:pPr>
      <w:r w:rsidRPr="005835BD">
        <w:t xml:space="preserve">This model demonstrates how sustainable social housing can benefit low and middle-income groups while fostering community involvement and environmental stewardship. Their approach highlights the importance of integrating residents into the construction and sustainability processes, ensuring that they are not just passive beneficiaries but active participants. </w:t>
      </w:r>
    </w:p>
    <w:p w14:paraId="7D0AF395" w14:textId="5BF21BF5" w:rsidR="00D83008" w:rsidRPr="00D83008" w:rsidRDefault="00D83008" w:rsidP="00D83008">
      <w:r w:rsidRPr="005835BD">
        <w:rPr>
          <w:rStyle w:val="Boldtext"/>
        </w:rPr>
        <w:t xml:space="preserve">Beyond </w:t>
      </w:r>
      <w:r w:rsidR="005835BD" w:rsidRPr="005835BD">
        <w:rPr>
          <w:rStyle w:val="Boldtext"/>
        </w:rPr>
        <w:t xml:space="preserve">potential benefits for </w:t>
      </w:r>
      <w:r w:rsidRPr="005835BD">
        <w:rPr>
          <w:rStyle w:val="Boldtext"/>
        </w:rPr>
        <w:t>residents</w:t>
      </w:r>
      <w:r w:rsidR="005835BD" w:rsidRPr="005835BD">
        <w:rPr>
          <w:rStyle w:val="Boldtext"/>
        </w:rPr>
        <w:t xml:space="preserve">, </w:t>
      </w:r>
      <w:r w:rsidRPr="005835BD">
        <w:rPr>
          <w:rStyle w:val="Boldtext"/>
        </w:rPr>
        <w:t>green buildings</w:t>
      </w:r>
      <w:r w:rsidR="005835BD" w:rsidRPr="005835BD">
        <w:rPr>
          <w:rStyle w:val="Boldtext"/>
        </w:rPr>
        <w:t xml:space="preserve"> can also</w:t>
      </w:r>
      <w:r w:rsidRPr="005835BD">
        <w:rPr>
          <w:rStyle w:val="Boldtext"/>
        </w:rPr>
        <w:t xml:space="preserve"> address wider environmental issues that indirectly improve the standard of living for marginalised communities.</w:t>
      </w:r>
      <w:r w:rsidRPr="00D83008">
        <w:t xml:space="preserve"> For example, in Lima, where water</w:t>
      </w:r>
      <w:r w:rsidR="00A843D7">
        <w:t xml:space="preserve"> scarcity is a key issue</w:t>
      </w:r>
      <w:r w:rsidRPr="00D83008">
        <w:t xml:space="preserve">, green buildings can save water which </w:t>
      </w:r>
      <w:r w:rsidR="005835BD">
        <w:t>can</w:t>
      </w:r>
      <w:r w:rsidRPr="00D83008">
        <w:t xml:space="preserve"> then be redirected to communities in need</w:t>
      </w:r>
      <w:r w:rsidR="005835BD">
        <w:t xml:space="preserve"> and improve </w:t>
      </w:r>
      <w:r w:rsidR="005835BD" w:rsidRPr="005835BD">
        <w:t>their overall living conditions</w:t>
      </w:r>
      <w:r w:rsidRPr="00D83008">
        <w:t xml:space="preserve">. </w:t>
      </w:r>
      <w:r w:rsidR="00A843D7">
        <w:t>However</w:t>
      </w:r>
      <w:r w:rsidR="005835BD">
        <w:t>, t</w:t>
      </w:r>
      <w:r w:rsidRPr="00D83008">
        <w:t xml:space="preserve">his </w:t>
      </w:r>
      <w:r w:rsidR="005835BD">
        <w:t xml:space="preserve">is another example of </w:t>
      </w:r>
      <w:r w:rsidRPr="00D83008">
        <w:t xml:space="preserve">'trickle-down' </w:t>
      </w:r>
      <w:proofErr w:type="gramStart"/>
      <w:r w:rsidR="005835BD">
        <w:t>outcomes, and</w:t>
      </w:r>
      <w:proofErr w:type="gramEnd"/>
      <w:r w:rsidR="005835BD">
        <w:t xml:space="preserve"> highlights a need for </w:t>
      </w:r>
      <w:r w:rsidRPr="00D83008">
        <w:t>marginalised populations</w:t>
      </w:r>
      <w:r w:rsidR="005835BD">
        <w:t xml:space="preserve"> to be primary beneficiaries of green construction</w:t>
      </w:r>
      <w:r w:rsidRPr="00D83008">
        <w:t>.</w:t>
      </w:r>
    </w:p>
    <w:p w14:paraId="6D1DF150" w14:textId="0AD4AFF0" w:rsidR="00483CE3" w:rsidRPr="00483CE3" w:rsidRDefault="00D83008" w:rsidP="00D83008">
      <w:r w:rsidRPr="00D83008">
        <w:t>Future green construction initiatives should prioritise these elements to ensure that the advantages of sustainable living are accessible to all, particularly the most marginalised.</w:t>
      </w:r>
    </w:p>
    <w:p w14:paraId="083B6487" w14:textId="09107467" w:rsidR="00C64945" w:rsidRDefault="00C64945" w:rsidP="00C64945">
      <w:pPr>
        <w:pStyle w:val="Heading3"/>
      </w:pPr>
      <w:bookmarkStart w:id="23" w:name="_Toc178618224"/>
      <w:bookmarkStart w:id="24" w:name="_Toc179906719"/>
      <w:bookmarkStart w:id="25" w:name="_Toc181887384"/>
      <w:bookmarkStart w:id="26" w:name="_Toc189154949"/>
      <w:r w:rsidRPr="00C64945">
        <w:t xml:space="preserve">Overarching hypothesis 4: MAGC has encouraged more women to become EDGE </w:t>
      </w:r>
      <w:r w:rsidR="004C48CB">
        <w:t>Expert</w:t>
      </w:r>
      <w:r w:rsidR="002F548E">
        <w:t>s</w:t>
      </w:r>
      <w:r w:rsidR="004C48CB">
        <w:t xml:space="preserve"> </w:t>
      </w:r>
      <w:r w:rsidRPr="00C64945">
        <w:t>accredited and has encouraged increased participation from women in the green building sector</w:t>
      </w:r>
      <w:bookmarkEnd w:id="23"/>
      <w:bookmarkEnd w:id="24"/>
      <w:bookmarkEnd w:id="25"/>
      <w:bookmarkEnd w:id="26"/>
    </w:p>
    <w:p w14:paraId="2456090F" w14:textId="5BBE3655" w:rsidR="00191CE2" w:rsidRPr="00702D5A" w:rsidRDefault="00EE7917" w:rsidP="009B37A8">
      <w:r w:rsidRPr="00D779AA">
        <w:rPr>
          <w:rStyle w:val="Boldtext"/>
        </w:rPr>
        <w:t xml:space="preserve">Construction is traditionally a male-dominated field in many countries, and women often face significant barriers to entering and advancing in the sector. Becoming EDGE accredited is seen as a route </w:t>
      </w:r>
      <w:r w:rsidR="00D779AA">
        <w:rPr>
          <w:rStyle w:val="Boldtext"/>
        </w:rPr>
        <w:t>to help</w:t>
      </w:r>
      <w:r w:rsidRPr="00D779AA">
        <w:rPr>
          <w:rStyle w:val="Boldtext"/>
        </w:rPr>
        <w:t xml:space="preserve"> women </w:t>
      </w:r>
      <w:r w:rsidR="00D779AA">
        <w:rPr>
          <w:rStyle w:val="Boldtext"/>
        </w:rPr>
        <w:t>to overcome these barriers</w:t>
      </w:r>
      <w:r w:rsidRPr="00D779AA">
        <w:rPr>
          <w:rStyle w:val="Boldtext"/>
        </w:rPr>
        <w:t>.</w:t>
      </w:r>
      <w:r>
        <w:t xml:space="preserve"> </w:t>
      </w:r>
      <w:r w:rsidR="00702D5A" w:rsidRPr="00702D5A">
        <w:t xml:space="preserve">Gender </w:t>
      </w:r>
      <w:r w:rsidR="009B37A8">
        <w:t>d</w:t>
      </w:r>
      <w:r w:rsidR="00702D5A" w:rsidRPr="00702D5A">
        <w:t xml:space="preserve">isaggregated </w:t>
      </w:r>
      <w:r w:rsidR="009B37A8">
        <w:t>d</w:t>
      </w:r>
      <w:r w:rsidR="00702D5A" w:rsidRPr="00702D5A">
        <w:t>ata</w:t>
      </w:r>
      <w:r w:rsidR="009B37A8">
        <w:t xml:space="preserve"> has been collected by IFC on the number of EDGE auditors and experts in MAGC countries. It shows that</w:t>
      </w:r>
      <w:r w:rsidR="002C5A99">
        <w:t xml:space="preserve"> since MAGC’s inception,</w:t>
      </w:r>
      <w:r w:rsidR="009B37A8">
        <w:t xml:space="preserve"> </w:t>
      </w:r>
      <w:r w:rsidR="00F70105">
        <w:t>642</w:t>
      </w:r>
      <w:r w:rsidR="00F70105" w:rsidRPr="00702D5A">
        <w:t xml:space="preserve"> </w:t>
      </w:r>
      <w:r w:rsidR="00702D5A" w:rsidRPr="00702D5A">
        <w:t xml:space="preserve">out of </w:t>
      </w:r>
      <w:r w:rsidR="00F70105">
        <w:t>1,348</w:t>
      </w:r>
      <w:r w:rsidR="00F70105" w:rsidRPr="00702D5A">
        <w:t xml:space="preserve"> </w:t>
      </w:r>
      <w:r w:rsidR="002C5A99">
        <w:t>EDGE</w:t>
      </w:r>
      <w:r w:rsidR="002C5A99" w:rsidRPr="00702D5A">
        <w:t xml:space="preserve"> </w:t>
      </w:r>
      <w:r w:rsidR="005766EC">
        <w:t>A</w:t>
      </w:r>
      <w:r w:rsidR="00702D5A" w:rsidRPr="00702D5A">
        <w:t xml:space="preserve">uditors </w:t>
      </w:r>
      <w:r w:rsidR="002C5A99">
        <w:t xml:space="preserve">and </w:t>
      </w:r>
      <w:r w:rsidR="005766EC">
        <w:t>E</w:t>
      </w:r>
      <w:r w:rsidR="002C5A99">
        <w:t xml:space="preserve">xperts in MAGC countries </w:t>
      </w:r>
      <w:r w:rsidR="00702D5A" w:rsidRPr="00702D5A">
        <w:t>were women</w:t>
      </w:r>
      <w:r w:rsidR="00A843D7">
        <w:t xml:space="preserve"> (</w:t>
      </w:r>
      <w:r w:rsidR="00F70105">
        <w:t>48</w:t>
      </w:r>
      <w:r w:rsidR="00A843D7">
        <w:t>%)</w:t>
      </w:r>
      <w:r w:rsidR="00702D5A" w:rsidRPr="00702D5A">
        <w:t>.</w:t>
      </w:r>
      <w:r w:rsidR="005766EC">
        <w:t xml:space="preserve"> In total, </w:t>
      </w:r>
      <w:r w:rsidR="00DB1CF2">
        <w:t>68.5</w:t>
      </w:r>
      <w:r w:rsidR="005766EC">
        <w:t>% of</w:t>
      </w:r>
      <w:r w:rsidR="00702D5A" w:rsidRPr="00702D5A">
        <w:t xml:space="preserve"> </w:t>
      </w:r>
      <w:r w:rsidR="005766EC">
        <w:t xml:space="preserve">Edge Auditors and Experts </w:t>
      </w:r>
      <w:r w:rsidR="005766EC">
        <w:lastRenderedPageBreak/>
        <w:t xml:space="preserve">are in MAGC countries. </w:t>
      </w:r>
      <w:r w:rsidR="00F23D44">
        <w:t>There is a</w:t>
      </w:r>
      <w:r w:rsidR="005766EC">
        <w:t xml:space="preserve"> need for continued</w:t>
      </w:r>
      <w:r w:rsidR="00056355">
        <w:t xml:space="preserve"> engage</w:t>
      </w:r>
      <w:r w:rsidR="005766EC">
        <w:t>ment</w:t>
      </w:r>
      <w:r w:rsidR="00056355">
        <w:t xml:space="preserve"> and support </w:t>
      </w:r>
      <w:r w:rsidR="005766EC">
        <w:t xml:space="preserve">to </w:t>
      </w:r>
      <w:r w:rsidR="00056355">
        <w:t>women on this.</w:t>
      </w:r>
    </w:p>
    <w:p w14:paraId="6B7CC042" w14:textId="7747C321" w:rsidR="00702D5A" w:rsidRPr="00702D5A" w:rsidRDefault="00056355" w:rsidP="00702D5A">
      <w:r w:rsidRPr="00D779AA">
        <w:rPr>
          <w:rStyle w:val="Boldtext"/>
        </w:rPr>
        <w:t>To date, s</w:t>
      </w:r>
      <w:r w:rsidR="00702D5A" w:rsidRPr="00D779AA">
        <w:rPr>
          <w:rStyle w:val="Boldtext"/>
        </w:rPr>
        <w:t xml:space="preserve">everal initiatives have been undertaken to encourage more women to become EDGE </w:t>
      </w:r>
      <w:r w:rsidR="00F70105">
        <w:rPr>
          <w:rStyle w:val="Boldtext"/>
        </w:rPr>
        <w:t xml:space="preserve">Experts </w:t>
      </w:r>
      <w:r w:rsidR="00702D5A" w:rsidRPr="00D779AA">
        <w:rPr>
          <w:rStyle w:val="Boldtext"/>
        </w:rPr>
        <w:t>accredited.</w:t>
      </w:r>
      <w:r w:rsidR="00702D5A" w:rsidRPr="00702D5A">
        <w:t xml:space="preserve"> </w:t>
      </w:r>
      <w:r w:rsidR="00EE7917">
        <w:t xml:space="preserve">Women </w:t>
      </w:r>
      <w:proofErr w:type="gramStart"/>
      <w:r w:rsidR="00EE7917">
        <w:t>are able to</w:t>
      </w:r>
      <w:proofErr w:type="gramEnd"/>
      <w:r w:rsidR="00EE7917">
        <w:t xml:space="preserve"> take the EDGE Prometric exam for free. </w:t>
      </w:r>
      <w:r w:rsidR="003B76B5">
        <w:t>A range of training sessions have been run for women in the construction sector</w:t>
      </w:r>
      <w:r w:rsidR="007D1E9E">
        <w:t xml:space="preserve"> through the MAGC programme</w:t>
      </w:r>
      <w:r w:rsidR="00F21121">
        <w:t>.</w:t>
      </w:r>
      <w:r w:rsidR="003B76B5">
        <w:t xml:space="preserve"> </w:t>
      </w:r>
      <w:r w:rsidR="00F21121">
        <w:t xml:space="preserve">This </w:t>
      </w:r>
      <w:r w:rsidR="003B76B5">
        <w:t>includ</w:t>
      </w:r>
      <w:r w:rsidR="00F21121">
        <w:t>es</w:t>
      </w:r>
      <w:r w:rsidR="003B76B5">
        <w:t xml:space="preserve"> </w:t>
      </w:r>
      <w:r w:rsidR="00702D5A" w:rsidRPr="00702D5A">
        <w:t>IFC</w:t>
      </w:r>
      <w:r w:rsidR="003B76B5">
        <w:t>-</w:t>
      </w:r>
      <w:r w:rsidR="00702D5A" w:rsidRPr="00702D5A">
        <w:t>run training sessions in Ghana and South Africa</w:t>
      </w:r>
      <w:r w:rsidRPr="00056355">
        <w:t xml:space="preserve"> </w:t>
      </w:r>
      <w:r>
        <w:t>through the A</w:t>
      </w:r>
      <w:r w:rsidRPr="00056355">
        <w:t xml:space="preserve">ssociation of </w:t>
      </w:r>
      <w:r>
        <w:t>F</w:t>
      </w:r>
      <w:r w:rsidRPr="00056355">
        <w:t xml:space="preserve">emale </w:t>
      </w:r>
      <w:r>
        <w:t>A</w:t>
      </w:r>
      <w:r w:rsidRPr="00056355">
        <w:t>rchitects</w:t>
      </w:r>
      <w:r w:rsidR="003B76B5">
        <w:t xml:space="preserve">. </w:t>
      </w:r>
      <w:r w:rsidR="00702D5A" w:rsidRPr="00702D5A">
        <w:t>These targeted initiatives aim to reduce the financial and educational barriers that women face in entering the construction sector.</w:t>
      </w:r>
    </w:p>
    <w:p w14:paraId="50FE8FBD" w14:textId="7282819D" w:rsidR="00C27B4D" w:rsidRPr="00702D5A" w:rsidRDefault="00C27B4D" w:rsidP="00702D5A">
      <w:r w:rsidRPr="00C27B4D">
        <w:rPr>
          <w:rStyle w:val="Boldtext"/>
        </w:rPr>
        <w:t xml:space="preserve">More widely, there is </w:t>
      </w:r>
      <w:r w:rsidR="00DB43AF">
        <w:rPr>
          <w:rStyle w:val="Boldtext"/>
        </w:rPr>
        <w:t xml:space="preserve">some </w:t>
      </w:r>
      <w:r w:rsidRPr="00C27B4D">
        <w:rPr>
          <w:rStyle w:val="Boldtext"/>
        </w:rPr>
        <w:t xml:space="preserve">evidence that MAGC is encouraging participation from women in the green building </w:t>
      </w:r>
      <w:r w:rsidR="00317CB9">
        <w:rPr>
          <w:rStyle w:val="Boldtext"/>
        </w:rPr>
        <w:t>sector</w:t>
      </w:r>
      <w:r w:rsidR="00317CB9" w:rsidRPr="00C27B4D">
        <w:rPr>
          <w:rStyle w:val="Boldtext"/>
        </w:rPr>
        <w:t xml:space="preserve"> </w:t>
      </w:r>
      <w:r w:rsidRPr="00C27B4D">
        <w:rPr>
          <w:rStyle w:val="Boldtext"/>
        </w:rPr>
        <w:t xml:space="preserve">through its dissemination events. </w:t>
      </w:r>
      <w:r w:rsidR="00F23D44">
        <w:t xml:space="preserve">Non-audited data </w:t>
      </w:r>
      <w:r w:rsidRPr="00C27B4D">
        <w:t xml:space="preserve">gathered </w:t>
      </w:r>
      <w:r w:rsidR="00F23D44">
        <w:t xml:space="preserve">by IFC </w:t>
      </w:r>
      <w:r w:rsidRPr="00C27B4D">
        <w:t xml:space="preserve">shows that in </w:t>
      </w:r>
      <w:r w:rsidR="00F23D44">
        <w:t>FY</w:t>
      </w:r>
      <w:r w:rsidRPr="00C27B4D">
        <w:t xml:space="preserve">2023, </w:t>
      </w:r>
      <w:r w:rsidR="00F23D44">
        <w:t xml:space="preserve">3,003 </w:t>
      </w:r>
      <w:r w:rsidR="00DB43AF" w:rsidRPr="00C27B4D">
        <w:t>female</w:t>
      </w:r>
      <w:r w:rsidR="00DB43AF">
        <w:t xml:space="preserve"> </w:t>
      </w:r>
      <w:r w:rsidR="00F23D44">
        <w:t>key stakeholders attended MAGC workshops, accounting for 26% of participants</w:t>
      </w:r>
      <w:r>
        <w:t>.</w:t>
      </w:r>
      <w:r w:rsidR="00F23D44">
        <w:t xml:space="preserve"> </w:t>
      </w:r>
      <w:r w:rsidR="00DB43AF">
        <w:t>However,</w:t>
      </w:r>
      <w:r w:rsidR="00F23D44">
        <w:t xml:space="preserve"> IFC </w:t>
      </w:r>
      <w:r w:rsidR="00DB43AF">
        <w:t xml:space="preserve">believes </w:t>
      </w:r>
      <w:r w:rsidR="00F23D44">
        <w:t xml:space="preserve">that </w:t>
      </w:r>
      <w:r w:rsidR="00DB43AF">
        <w:t>this figure has been</w:t>
      </w:r>
      <w:r w:rsidR="00F23D44">
        <w:t xml:space="preserve"> underestimated</w:t>
      </w:r>
      <w:r w:rsidR="00F21121">
        <w:t>.</w:t>
      </w:r>
      <w:r w:rsidR="00F23D44">
        <w:t xml:space="preserve"> </w:t>
      </w:r>
      <w:r w:rsidR="00F21121">
        <w:t xml:space="preserve">This is because </w:t>
      </w:r>
      <w:r w:rsidR="00F23D44">
        <w:t>gender-disaggregated data on workshop attendance was not collected consistently across the programme</w:t>
      </w:r>
      <w:r w:rsidR="00DB43AF">
        <w:t>,</w:t>
      </w:r>
      <w:r w:rsidR="00F23D44">
        <w:t xml:space="preserve"> </w:t>
      </w:r>
      <w:proofErr w:type="gramStart"/>
      <w:r w:rsidR="00F23D44">
        <w:t>due to the fact that</w:t>
      </w:r>
      <w:proofErr w:type="gramEnd"/>
      <w:r w:rsidR="00F23D44">
        <w:t xml:space="preserve"> </w:t>
      </w:r>
      <w:r w:rsidR="00DB43AF">
        <w:t xml:space="preserve">this </w:t>
      </w:r>
      <w:r w:rsidR="00846B27">
        <w:t>wa</w:t>
      </w:r>
      <w:r w:rsidR="00DB43AF">
        <w:t>s not a</w:t>
      </w:r>
      <w:r w:rsidR="00F23D44">
        <w:t xml:space="preserve"> programme</w:t>
      </w:r>
      <w:r w:rsidR="00DB43AF">
        <w:t xml:space="preserve"> objective</w:t>
      </w:r>
      <w:r w:rsidR="00F23D44">
        <w:t xml:space="preserve">. </w:t>
      </w:r>
      <w:r w:rsidR="00DB43AF">
        <w:t>It should be noted that</w:t>
      </w:r>
      <w:r w:rsidR="00F23D44" w:rsidRPr="00F23D44">
        <w:t xml:space="preserve"> IFC does not consider </w:t>
      </w:r>
      <w:r w:rsidR="00F23D44">
        <w:t xml:space="preserve">assessing the </w:t>
      </w:r>
      <w:r w:rsidR="00F23D44" w:rsidRPr="00F23D44">
        <w:t>number of</w:t>
      </w:r>
      <w:r w:rsidR="00F23D44">
        <w:t xml:space="preserve"> women attending</w:t>
      </w:r>
      <w:r w:rsidR="00F23D44" w:rsidRPr="00F23D44">
        <w:t xml:space="preserve"> workshops</w:t>
      </w:r>
      <w:r w:rsidR="00F23D44">
        <w:t xml:space="preserve"> to be</w:t>
      </w:r>
      <w:r w:rsidR="00F23D44" w:rsidRPr="00F23D44">
        <w:t xml:space="preserve"> an appropriate metric to assess whether </w:t>
      </w:r>
      <w:r w:rsidR="00F23D44">
        <w:t xml:space="preserve">the programme has </w:t>
      </w:r>
      <w:r w:rsidR="00DB43AF">
        <w:t>addressed gender inequalities</w:t>
      </w:r>
      <w:r w:rsidR="00F21121">
        <w:t>.</w:t>
      </w:r>
      <w:r w:rsidR="00BD64AB">
        <w:t xml:space="preserve"> </w:t>
      </w:r>
      <w:r w:rsidR="00F21121">
        <w:t xml:space="preserve">The IFC </w:t>
      </w:r>
      <w:r w:rsidR="00BD64AB">
        <w:t xml:space="preserve">prefers to report </w:t>
      </w:r>
      <w:r w:rsidR="00BD64AB" w:rsidRPr="00BD64AB">
        <w:rPr>
          <w:lang w:val="en-US"/>
        </w:rPr>
        <w:t>to report</w:t>
      </w:r>
      <w:r w:rsidR="00BD64AB">
        <w:t xml:space="preserve"> on</w:t>
      </w:r>
      <w:r w:rsidR="00BD64AB" w:rsidRPr="00BD64AB">
        <w:rPr>
          <w:lang w:val="en-US"/>
        </w:rPr>
        <w:t xml:space="preserve"> the </w:t>
      </w:r>
      <w:r w:rsidR="00BD64AB">
        <w:t>n</w:t>
      </w:r>
      <w:proofErr w:type="spellStart"/>
      <w:r w:rsidR="00BD64AB" w:rsidRPr="00BD64AB">
        <w:rPr>
          <w:lang w:val="en-US"/>
        </w:rPr>
        <w:t>umber</w:t>
      </w:r>
      <w:proofErr w:type="spellEnd"/>
      <w:r w:rsidR="00BD64AB" w:rsidRPr="00BD64AB">
        <w:rPr>
          <w:lang w:val="en-US"/>
        </w:rPr>
        <w:t xml:space="preserve"> of female EDGE experts/auditors</w:t>
      </w:r>
      <w:r w:rsidR="00BD64AB">
        <w:t xml:space="preserve"> </w:t>
      </w:r>
      <w:r w:rsidR="00BD64AB" w:rsidRPr="00BD64AB">
        <w:rPr>
          <w:lang w:val="en-US"/>
        </w:rPr>
        <w:t xml:space="preserve">to assess whether </w:t>
      </w:r>
      <w:r w:rsidR="00BD64AB">
        <w:t>MAGC</w:t>
      </w:r>
      <w:r w:rsidR="00BD64AB" w:rsidRPr="00BD64AB">
        <w:rPr>
          <w:lang w:val="en-US"/>
        </w:rPr>
        <w:t xml:space="preserve"> contributes to </w:t>
      </w:r>
      <w:r w:rsidR="00351392">
        <w:t>reducing</w:t>
      </w:r>
      <w:r w:rsidR="00BD64AB" w:rsidRPr="00BD64AB">
        <w:rPr>
          <w:lang w:val="en-US"/>
        </w:rPr>
        <w:t xml:space="preserve"> gender gaps</w:t>
      </w:r>
      <w:r w:rsidR="00F23D44" w:rsidRPr="00F23D44">
        <w:t>.</w:t>
      </w:r>
      <w:r w:rsidR="00BD64AB">
        <w:t xml:space="preserve"> While this indicator could be seen to demonstrate improved gender balance in the green construction sector, it does not provide sufficient evidence of how MAGC has contributed to this. Additionally, arguably </w:t>
      </w:r>
      <w:r w:rsidR="00BD64AB" w:rsidRPr="00D83008">
        <w:t>marginalised populations</w:t>
      </w:r>
      <w:r w:rsidR="00BD64AB">
        <w:t xml:space="preserve"> should be the primary focus rather than stakeholders. </w:t>
      </w:r>
    </w:p>
    <w:p w14:paraId="3C1487E3" w14:textId="25954B8E" w:rsidR="00483CE3" w:rsidRPr="00483CE3" w:rsidRDefault="00D779AA" w:rsidP="00702D5A">
      <w:bookmarkStart w:id="27" w:name="_Hlk187233728"/>
      <w:r>
        <w:t xml:space="preserve">While </w:t>
      </w:r>
      <w:r w:rsidR="00702D5A" w:rsidRPr="00702D5A">
        <w:t xml:space="preserve">continued support for women </w:t>
      </w:r>
      <w:r>
        <w:t xml:space="preserve">to enter and succeed in the building sector </w:t>
      </w:r>
      <w:r w:rsidR="00702D5A" w:rsidRPr="00702D5A">
        <w:t>through targeted programmes</w:t>
      </w:r>
      <w:r>
        <w:t xml:space="preserve"> will be crucial</w:t>
      </w:r>
      <w:r w:rsidR="00702D5A" w:rsidRPr="00702D5A">
        <w:t xml:space="preserve">, broader cultural changes within the industry </w:t>
      </w:r>
      <w:r>
        <w:t xml:space="preserve">also need to be addressed </w:t>
      </w:r>
      <w:proofErr w:type="gramStart"/>
      <w:r>
        <w:t>in order to</w:t>
      </w:r>
      <w:proofErr w:type="gramEnd"/>
      <w:r>
        <w:t xml:space="preserve"> achieve stronger outcomes</w:t>
      </w:r>
      <w:r w:rsidR="00702D5A" w:rsidRPr="00702D5A">
        <w:t>.</w:t>
      </w:r>
    </w:p>
    <w:p w14:paraId="75C5EEF1" w14:textId="145A9366" w:rsidR="009D4B60" w:rsidRDefault="00AD06A8" w:rsidP="009D4B60">
      <w:pPr>
        <w:pStyle w:val="Heading3"/>
      </w:pPr>
      <w:bookmarkStart w:id="28" w:name="_Toc178618225"/>
      <w:bookmarkStart w:id="29" w:name="_Toc179906720"/>
      <w:bookmarkStart w:id="30" w:name="_Toc181887385"/>
      <w:bookmarkStart w:id="31" w:name="_Toc189154950"/>
      <w:bookmarkStart w:id="32" w:name="_Hlk178242566"/>
      <w:bookmarkEnd w:id="27"/>
      <w:r>
        <w:t>Other potential</w:t>
      </w:r>
      <w:r w:rsidR="009D4B60" w:rsidRPr="009D4B60">
        <w:t xml:space="preserve"> </w:t>
      </w:r>
      <w:r w:rsidR="00FF1ADB">
        <w:t xml:space="preserve">GEDSI </w:t>
      </w:r>
      <w:r w:rsidR="009D4B60" w:rsidRPr="009D4B60">
        <w:t xml:space="preserve">outcomes </w:t>
      </w:r>
      <w:r w:rsidR="00FF1ADB">
        <w:t>of</w:t>
      </w:r>
      <w:r w:rsidR="009D4B60" w:rsidRPr="009D4B60">
        <w:t xml:space="preserve"> MAGC</w:t>
      </w:r>
      <w:bookmarkEnd w:id="28"/>
      <w:bookmarkEnd w:id="29"/>
      <w:bookmarkEnd w:id="30"/>
      <w:bookmarkEnd w:id="31"/>
      <w:r w:rsidR="009D4B60" w:rsidRPr="009D4B60">
        <w:t xml:space="preserve"> </w:t>
      </w:r>
    </w:p>
    <w:p w14:paraId="1E8ADA22" w14:textId="553B11FF" w:rsidR="00E5778E" w:rsidRPr="00E5778E" w:rsidRDefault="00A52919" w:rsidP="00E5778E">
      <w:r>
        <w:t xml:space="preserve">Evidence at the early outcome phase has indicated </w:t>
      </w:r>
      <w:r w:rsidRPr="00A52919">
        <w:t xml:space="preserve">several additional </w:t>
      </w:r>
      <w:r>
        <w:t xml:space="preserve">potential </w:t>
      </w:r>
      <w:r w:rsidR="00874047">
        <w:t xml:space="preserve">unintended </w:t>
      </w:r>
      <w:r w:rsidRPr="00A52919">
        <w:t xml:space="preserve">outcomes </w:t>
      </w:r>
      <w:r>
        <w:t xml:space="preserve">from green construction </w:t>
      </w:r>
      <w:r w:rsidRPr="00A52919">
        <w:t>related to</w:t>
      </w:r>
      <w:r>
        <w:t xml:space="preserve"> </w:t>
      </w:r>
      <w:r w:rsidRPr="00A52919">
        <w:t>GEDSI</w:t>
      </w:r>
      <w:r w:rsidR="00F21121">
        <w:t xml:space="preserve">. </w:t>
      </w:r>
      <w:r w:rsidR="004C1F9E">
        <w:t>This highlights</w:t>
      </w:r>
      <w:r w:rsidR="00F21121" w:rsidRPr="00A52919">
        <w:t xml:space="preserve"> </w:t>
      </w:r>
      <w:r w:rsidR="00F21121">
        <w:t xml:space="preserve">the </w:t>
      </w:r>
      <w:r w:rsidRPr="00A52919">
        <w:t>opportunities and challenges in integrating GEDSI principles more deeply into green construction initiatives.</w:t>
      </w:r>
      <w:r w:rsidR="00E5778E">
        <w:t xml:space="preserve"> </w:t>
      </w:r>
    </w:p>
    <w:p w14:paraId="7A6D08AD" w14:textId="204F69D0" w:rsidR="00E5778E" w:rsidRPr="00E5778E" w:rsidRDefault="00E5778E" w:rsidP="00E5778E">
      <w:r w:rsidRPr="00E5778E">
        <w:rPr>
          <w:rStyle w:val="Boldtext"/>
        </w:rPr>
        <w:t xml:space="preserve">Some stakeholders </w:t>
      </w:r>
      <w:r w:rsidR="00513717">
        <w:rPr>
          <w:rStyle w:val="Boldtext"/>
        </w:rPr>
        <w:t xml:space="preserve">in Vietnam, Kenya and at the programme level </w:t>
      </w:r>
      <w:r w:rsidR="00AD543A">
        <w:rPr>
          <w:rStyle w:val="Boldtext"/>
        </w:rPr>
        <w:t>felt there was an</w:t>
      </w:r>
      <w:r w:rsidRPr="00E5778E">
        <w:rPr>
          <w:rStyle w:val="Boldtext"/>
        </w:rPr>
        <w:t xml:space="preserve"> opportunity for MAGC to prioritise working with women-led companies in the green building sector.</w:t>
      </w:r>
      <w:r w:rsidRPr="00E5778E">
        <w:t xml:space="preserve"> By promoting and supporting women-led enterprises, the MAGC programme c</w:t>
      </w:r>
      <w:r w:rsidR="00AD543A">
        <w:t>ould</w:t>
      </w:r>
      <w:r w:rsidRPr="00E5778E">
        <w:t xml:space="preserve"> contribute to greater gender equality in the sector.</w:t>
      </w:r>
      <w:r w:rsidR="00AD543A">
        <w:t xml:space="preserve"> </w:t>
      </w:r>
      <w:r w:rsidR="00950281">
        <w:t>While</w:t>
      </w:r>
      <w:r w:rsidR="00AD543A">
        <w:t xml:space="preserve"> this change would not help the programme to achieve its end goal of </w:t>
      </w:r>
      <w:r w:rsidR="00AD543A" w:rsidRPr="00BB1404">
        <w:t>combat</w:t>
      </w:r>
      <w:r w:rsidR="00AD543A">
        <w:t>ing</w:t>
      </w:r>
      <w:r w:rsidR="00AD543A" w:rsidRPr="00BB1404">
        <w:t xml:space="preserve"> climate change in emerging markets</w:t>
      </w:r>
      <w:r w:rsidR="00950281">
        <w:t>, DESNZ have made commitments to including GEDSI components in ICF programme aims, meaning that this opportunity to engage with women-led companies is relevant for future programme iterations at least</w:t>
      </w:r>
      <w:r w:rsidR="00AD543A">
        <w:t xml:space="preserve">. An alternative option could be for MAGC </w:t>
      </w:r>
      <w:r w:rsidR="00950281">
        <w:t>investments to be blended</w:t>
      </w:r>
      <w:r w:rsidR="00AD543A">
        <w:t xml:space="preserve"> with other IFC blended finance facilities that prioritise supporting women-led companies, such as the Women Entrepreneurs Finance Initiative (We-Fi)</w:t>
      </w:r>
      <w:r w:rsidR="00CD1407">
        <w:t xml:space="preserve">, </w:t>
      </w:r>
      <w:r w:rsidR="00CD1407" w:rsidRPr="00CD1407">
        <w:t>Women Entrepreneurs Opportunity Facility</w:t>
      </w:r>
      <w:r w:rsidR="00CD1407">
        <w:t xml:space="preserve"> (WEOF) and t</w:t>
      </w:r>
      <w:r w:rsidR="00CD1407" w:rsidRPr="00CD1407">
        <w:t xml:space="preserve">he Advancing Gender Equality, Resilience, Opportunity, and Inclusion </w:t>
      </w:r>
      <w:r w:rsidR="00CD1407" w:rsidRPr="00CD1407">
        <w:lastRenderedPageBreak/>
        <w:t>Worldwide (GROW) Facility</w:t>
      </w:r>
      <w:r w:rsidR="00AD543A">
        <w:t>.</w:t>
      </w:r>
      <w:r w:rsidR="00266885">
        <w:t xml:space="preserve"> </w:t>
      </w:r>
      <w:r w:rsidR="00950281">
        <w:t xml:space="preserve">Given the need for future iterations of the MAGC programme to integrate GEDSI considerations, there will be a need for close collaboration between IFC and DESNZ to </w:t>
      </w:r>
      <w:r w:rsidR="00266885">
        <w:t>avoid duplication across IFC’s blended finance programmes.</w:t>
      </w:r>
      <w:r w:rsidR="00950281">
        <w:t xml:space="preserve"> </w:t>
      </w:r>
    </w:p>
    <w:p w14:paraId="43F2CDA2" w14:textId="77777777" w:rsidR="00E5778E" w:rsidRDefault="00E5778E" w:rsidP="00E5778E">
      <w:r w:rsidRPr="00E5778E">
        <w:t xml:space="preserve">Stakeholders noted that </w:t>
      </w:r>
      <w:r w:rsidRPr="00E5778E">
        <w:rPr>
          <w:rStyle w:val="Boldtext"/>
        </w:rPr>
        <w:t>recognising and promoting programmes committed to addressing gender barriers, such as networks of women in sustainable construction and empowerment programmes for women, are essential for increasing women's access to the sector</w:t>
      </w:r>
      <w:r w:rsidRPr="00E5778E">
        <w:t xml:space="preserve">, including in leadership roles. </w:t>
      </w:r>
    </w:p>
    <w:p w14:paraId="4FDC16BE" w14:textId="7F6DB2C7" w:rsidR="005F145A" w:rsidRPr="005F145A" w:rsidRDefault="005F145A" w:rsidP="005F145A">
      <w:pPr>
        <w:pStyle w:val="Tintbox"/>
        <w:rPr>
          <w:rStyle w:val="Boldtext"/>
        </w:rPr>
      </w:pPr>
      <w:r w:rsidRPr="005F145A">
        <w:rPr>
          <w:rStyle w:val="Boldtext"/>
        </w:rPr>
        <w:t>Case study: Colombia</w:t>
      </w:r>
      <w:r w:rsidR="003B76B5">
        <w:rPr>
          <w:rStyle w:val="Boldtext"/>
        </w:rPr>
        <w:t xml:space="preserve"> gender inclusion programme</w:t>
      </w:r>
    </w:p>
    <w:p w14:paraId="61D31723" w14:textId="6300F794" w:rsidR="005F145A" w:rsidRDefault="005F145A" w:rsidP="005F145A">
      <w:pPr>
        <w:pStyle w:val="Tintbox"/>
      </w:pPr>
      <w:r>
        <w:t>Several s</w:t>
      </w:r>
      <w:r w:rsidRPr="005F145A">
        <w:t>takeholder</w:t>
      </w:r>
      <w:r>
        <w:t>s</w:t>
      </w:r>
      <w:r w:rsidRPr="005F145A">
        <w:t xml:space="preserve"> in Colombia described an innovative programme aimed at promoting gender inclusion within the construction sector</w:t>
      </w:r>
      <w:r>
        <w:t>.</w:t>
      </w:r>
      <w:r w:rsidR="00A8461A" w:rsidRPr="00A8461A">
        <w:t xml:space="preserve"> </w:t>
      </w:r>
      <w:r w:rsidR="00A8461A">
        <w:t>The programme is not MAGC funded or supported but is a useful example of how programmes can support the</w:t>
      </w:r>
      <w:r w:rsidRPr="005F145A">
        <w:t xml:space="preserve"> integrati</w:t>
      </w:r>
      <w:r w:rsidR="00A8461A">
        <w:t xml:space="preserve">on of </w:t>
      </w:r>
      <w:r w:rsidRPr="005F145A">
        <w:t xml:space="preserve">women </w:t>
      </w:r>
      <w:r w:rsidR="003B76B5">
        <w:t>into the</w:t>
      </w:r>
      <w:r w:rsidRPr="005F145A">
        <w:t xml:space="preserve"> construction</w:t>
      </w:r>
      <w:r w:rsidR="003B76B5">
        <w:t xml:space="preserve"> sector</w:t>
      </w:r>
      <w:r w:rsidRPr="005F145A">
        <w:t xml:space="preserve">. The programme recognises and addresses the challenges women face in </w:t>
      </w:r>
      <w:r w:rsidR="00323FEA">
        <w:t>an</w:t>
      </w:r>
      <w:r w:rsidRPr="005F145A">
        <w:t xml:space="preserve"> industry</w:t>
      </w:r>
      <w:r w:rsidR="00323FEA">
        <w:t xml:space="preserve"> where there is a much higher representation of men</w:t>
      </w:r>
      <w:r w:rsidRPr="005F145A">
        <w:t>, aiming to create a more balanced and equitable workforce.</w:t>
      </w:r>
    </w:p>
    <w:p w14:paraId="4E7017A2" w14:textId="4BFA43A6" w:rsidR="005F145A" w:rsidRDefault="005F145A" w:rsidP="005F145A">
      <w:pPr>
        <w:pStyle w:val="Tintbox"/>
      </w:pPr>
      <w:r w:rsidRPr="005F145A">
        <w:t>The programme actively encourages the inclusion of women on construction sites. It highlights women</w:t>
      </w:r>
      <w:r w:rsidR="003B76B5">
        <w:t>’s</w:t>
      </w:r>
      <w:r w:rsidRPr="005F145A">
        <w:t xml:space="preserve"> </w:t>
      </w:r>
      <w:r w:rsidR="003B76B5" w:rsidRPr="005F145A">
        <w:t xml:space="preserve">valuable qualities </w:t>
      </w:r>
      <w:r>
        <w:t>and</w:t>
      </w:r>
      <w:r w:rsidRPr="005F145A">
        <w:t xml:space="preserve"> challenges the stereotype that physical strength is the primary requirement for construction work</w:t>
      </w:r>
      <w:r>
        <w:t xml:space="preserve">. It </w:t>
      </w:r>
      <w:r w:rsidRPr="005F145A">
        <w:t xml:space="preserve">also emphasises the importance of women </w:t>
      </w:r>
      <w:r w:rsidR="003B76B5">
        <w:t>having</w:t>
      </w:r>
      <w:r w:rsidRPr="005F145A">
        <w:t xml:space="preserve"> management and leadership positions within construction companies</w:t>
      </w:r>
      <w:r w:rsidR="003B76B5">
        <w:t>, and</w:t>
      </w:r>
      <w:r w:rsidRPr="005F145A">
        <w:t xml:space="preserve"> supports companies to include women in decision-making roles, fostering a more inclusive and diverse leadership structure.</w:t>
      </w:r>
    </w:p>
    <w:p w14:paraId="35EADE4E" w14:textId="65B2A464" w:rsidR="00E5778E" w:rsidRPr="00E5778E" w:rsidRDefault="003C07CD" w:rsidP="00891FD5">
      <w:pPr>
        <w:pStyle w:val="Tintbox"/>
      </w:pPr>
      <w:r>
        <w:t xml:space="preserve">According to stakeholders, the </w:t>
      </w:r>
      <w:r w:rsidR="005F145A">
        <w:t>programme</w:t>
      </w:r>
      <w:r w:rsidR="005F145A" w:rsidRPr="005F145A">
        <w:t xml:space="preserve"> </w:t>
      </w:r>
      <w:r>
        <w:t>has been successful in</w:t>
      </w:r>
      <w:r w:rsidR="005F145A" w:rsidRPr="005F145A">
        <w:t xml:space="preserve"> encouraging other companies within the sector to develop and implement their own gender equity programmes. </w:t>
      </w:r>
      <w:r w:rsidR="005F145A">
        <w:t xml:space="preserve"> </w:t>
      </w:r>
    </w:p>
    <w:p w14:paraId="1143C7E3" w14:textId="050F3BCA" w:rsidR="00A52919" w:rsidRPr="00A52919" w:rsidRDefault="00A52919" w:rsidP="00594CA6">
      <w:r w:rsidRPr="00A52919">
        <w:rPr>
          <w:rStyle w:val="Boldtext"/>
        </w:rPr>
        <w:t xml:space="preserve">Green construction, when integrated into wider urban regeneration projects, has the potential to contribute to </w:t>
      </w:r>
      <w:r w:rsidR="002F548E">
        <w:rPr>
          <w:rStyle w:val="Boldtext"/>
        </w:rPr>
        <w:t xml:space="preserve">unintended </w:t>
      </w:r>
      <w:r w:rsidRPr="00A52919">
        <w:rPr>
          <w:rStyle w:val="Boldtext"/>
        </w:rPr>
        <w:t>broader social benefits.</w:t>
      </w:r>
      <w:r w:rsidRPr="00A52919">
        <w:t xml:space="preserve"> </w:t>
      </w:r>
      <w:r>
        <w:t xml:space="preserve">Stakeholders </w:t>
      </w:r>
      <w:r w:rsidR="00266885">
        <w:t>at the T0</w:t>
      </w:r>
      <w:r w:rsidR="003C3B55">
        <w:t xml:space="preserve"> level</w:t>
      </w:r>
      <w:r w:rsidR="00266885">
        <w:t xml:space="preserve">, </w:t>
      </w:r>
      <w:r w:rsidR="003C3B55">
        <w:t>at the T2 level in Ghana, and at the T3 level in Colombia</w:t>
      </w:r>
      <w:r w:rsidR="004008EC">
        <w:t xml:space="preserve"> and</w:t>
      </w:r>
      <w:r w:rsidR="003C3B55">
        <w:t xml:space="preserve"> </w:t>
      </w:r>
      <w:r w:rsidR="004008EC">
        <w:t>Kenya</w:t>
      </w:r>
      <w:r w:rsidR="003C3B55">
        <w:t xml:space="preserve"> </w:t>
      </w:r>
      <w:r>
        <w:t>described how these</w:t>
      </w:r>
      <w:r w:rsidRPr="00A52919">
        <w:t xml:space="preserve"> projects can revitalise neighbourhoods, improve safety, and create job opportunities</w:t>
      </w:r>
      <w:r w:rsidR="00594CA6">
        <w:t xml:space="preserve"> for local workers</w:t>
      </w:r>
      <w:r w:rsidRPr="00A52919">
        <w:t xml:space="preserve">. </w:t>
      </w:r>
      <w:bookmarkStart w:id="33" w:name="_Hlk187233802"/>
      <w:r w:rsidR="00594CA6">
        <w:t xml:space="preserve">For example, projects can provide </w:t>
      </w:r>
      <w:r w:rsidR="00594CA6" w:rsidRPr="00E5778E">
        <w:rPr>
          <w:rStyle w:val="Boldtext"/>
        </w:rPr>
        <w:t>opportunities for upskilling and supporting construction workers</w:t>
      </w:r>
      <w:r w:rsidR="00594CA6">
        <w:t>, such as a</w:t>
      </w:r>
      <w:r w:rsidR="00594CA6" w:rsidRPr="00A52919">
        <w:t xml:space="preserve"> programme </w:t>
      </w:r>
      <w:r w:rsidR="00594CA6">
        <w:t xml:space="preserve">in </w:t>
      </w:r>
      <w:r w:rsidR="00594CA6" w:rsidRPr="00A52919">
        <w:t>Colombia provid</w:t>
      </w:r>
      <w:r w:rsidR="00594CA6">
        <w:t>ing</w:t>
      </w:r>
      <w:r w:rsidR="00594CA6" w:rsidRPr="00A52919">
        <w:t xml:space="preserve"> literacy training on construction sites</w:t>
      </w:r>
      <w:r w:rsidR="00594CA6">
        <w:t>.</w:t>
      </w:r>
      <w:r w:rsidR="00594CA6" w:rsidRPr="00A52919">
        <w:t xml:space="preserve"> </w:t>
      </w:r>
      <w:bookmarkEnd w:id="33"/>
      <w:r w:rsidRPr="00A52919">
        <w:t>These broader impacts, often the result of comprehensive urban regeneration efforts, can have a more significant social impact than green construction alone</w:t>
      </w:r>
      <w:r w:rsidR="00F21121">
        <w:t>.</w:t>
      </w:r>
      <w:r w:rsidR="00594CA6">
        <w:t xml:space="preserve"> </w:t>
      </w:r>
      <w:r w:rsidR="00F21121">
        <w:t xml:space="preserve">In addition, they </w:t>
      </w:r>
      <w:r w:rsidR="00594CA6">
        <w:t xml:space="preserve">can </w:t>
      </w:r>
      <w:r w:rsidR="00594CA6" w:rsidRPr="00A52919">
        <w:t>foster community engagement and support for green construction initiatives</w:t>
      </w:r>
      <w:r w:rsidRPr="00A52919">
        <w:t xml:space="preserve">. This highlights the </w:t>
      </w:r>
      <w:r>
        <w:t>opportunity</w:t>
      </w:r>
      <w:r w:rsidRPr="00A52919">
        <w:t xml:space="preserve"> to maximise social benefits </w:t>
      </w:r>
      <w:r>
        <w:t>by</w:t>
      </w:r>
      <w:r w:rsidRPr="00A52919">
        <w:t xml:space="preserve"> situating green building projects within larger urban development frameworks.</w:t>
      </w:r>
    </w:p>
    <w:p w14:paraId="433455BB" w14:textId="5DF6198E" w:rsidR="00A52919" w:rsidRPr="00A52919" w:rsidRDefault="00A52919" w:rsidP="00A52919">
      <w:r w:rsidRPr="00E5778E">
        <w:rPr>
          <w:rStyle w:val="Boldtext"/>
        </w:rPr>
        <w:t xml:space="preserve">One potential </w:t>
      </w:r>
      <w:r w:rsidR="002F548E">
        <w:rPr>
          <w:rStyle w:val="Boldtext"/>
        </w:rPr>
        <w:t xml:space="preserve">unintended </w:t>
      </w:r>
      <w:r w:rsidRPr="00E5778E">
        <w:rPr>
          <w:rStyle w:val="Boldtext"/>
        </w:rPr>
        <w:t>negative outcome of green construction</w:t>
      </w:r>
      <w:r w:rsidR="00C74238">
        <w:rPr>
          <w:rStyle w:val="Boldtext"/>
        </w:rPr>
        <w:t xml:space="preserve"> identified</w:t>
      </w:r>
      <w:r w:rsidRPr="00E5778E">
        <w:rPr>
          <w:rStyle w:val="Boldtext"/>
        </w:rPr>
        <w:t xml:space="preserve"> is the displac</w:t>
      </w:r>
      <w:r w:rsidR="00594CA6">
        <w:rPr>
          <w:rStyle w:val="Boldtext"/>
        </w:rPr>
        <w:t>ement of</w:t>
      </w:r>
      <w:r w:rsidRPr="00E5778E">
        <w:rPr>
          <w:rStyle w:val="Boldtext"/>
        </w:rPr>
        <w:t xml:space="preserve"> local communities.</w:t>
      </w:r>
      <w:r w:rsidRPr="00A52919">
        <w:t xml:space="preserve"> </w:t>
      </w:r>
      <w:r w:rsidR="00594CA6">
        <w:t>D</w:t>
      </w:r>
      <w:r w:rsidRPr="00A52919">
        <w:t>isplacement c</w:t>
      </w:r>
      <w:r w:rsidR="00E5778E">
        <w:t>ould</w:t>
      </w:r>
      <w:r w:rsidRPr="00A52919">
        <w:t xml:space="preserve"> occur when green building projects </w:t>
      </w:r>
      <w:r w:rsidR="00594CA6">
        <w:t>result in</w:t>
      </w:r>
      <w:r w:rsidRPr="00A52919">
        <w:t xml:space="preserve"> increased property values and living costs, making it unaffordable for existing residents. </w:t>
      </w:r>
      <w:r w:rsidR="003B48A0" w:rsidRPr="003B48A0">
        <w:t>When integrating GEDSI considerations into MAGC, considering this risk is crucial</w:t>
      </w:r>
      <w:r w:rsidRPr="00A52919">
        <w:t xml:space="preserve"> to ensure that green construction projects </w:t>
      </w:r>
      <w:r w:rsidR="00E5778E">
        <w:t>benefit rather than</w:t>
      </w:r>
      <w:r w:rsidRPr="00A52919">
        <w:t xml:space="preserve"> harm </w:t>
      </w:r>
      <w:r w:rsidR="00E5778E">
        <w:t xml:space="preserve">local </w:t>
      </w:r>
      <w:r w:rsidRPr="00A52919">
        <w:t>communities.</w:t>
      </w:r>
      <w:r w:rsidR="003B48A0">
        <w:t xml:space="preserve"> </w:t>
      </w:r>
      <w:r w:rsidR="003B48A0" w:rsidRPr="003B48A0">
        <w:t xml:space="preserve">While </w:t>
      </w:r>
      <w:r w:rsidR="003B48A0" w:rsidRPr="003B48A0">
        <w:lastRenderedPageBreak/>
        <w:t>developers bear primary responsibility for mitigating this risk, MAGC can play a role by rigorously monitoring project adherence to affordable housing targets, ensuring they reflect local affordability needs</w:t>
      </w:r>
      <w:r w:rsidR="003B48A0">
        <w:t>.</w:t>
      </w:r>
    </w:p>
    <w:bookmarkEnd w:id="32"/>
    <w:p w14:paraId="6F94E75A" w14:textId="77777777" w:rsidR="00C97564" w:rsidRDefault="00C97564">
      <w:pPr>
        <w:spacing w:after="160" w:line="259" w:lineRule="auto"/>
        <w:rPr>
          <w:rFonts w:eastAsiaTheme="majorEastAsia" w:cstheme="majorBidi"/>
          <w:color w:val="041E42"/>
          <w:sz w:val="36"/>
          <w:szCs w:val="26"/>
        </w:rPr>
      </w:pPr>
      <w:r>
        <w:br w:type="page"/>
      </w:r>
    </w:p>
    <w:p w14:paraId="7EEF18C4" w14:textId="7F901C2E" w:rsidR="0049568D" w:rsidRDefault="00E722A0" w:rsidP="009D4B60">
      <w:pPr>
        <w:pStyle w:val="Heading2"/>
      </w:pPr>
      <w:bookmarkStart w:id="34" w:name="_Toc189154951"/>
      <w:r>
        <w:lastRenderedPageBreak/>
        <w:t xml:space="preserve">3.2 </w:t>
      </w:r>
      <w:r w:rsidR="0049568D" w:rsidRPr="0049568D">
        <w:t>Insights for future programme design</w:t>
      </w:r>
      <w:bookmarkEnd w:id="34"/>
    </w:p>
    <w:p w14:paraId="6FA100E8" w14:textId="4781FCE0" w:rsidR="00483CE3" w:rsidRDefault="00722A5E" w:rsidP="00B60386">
      <w:r>
        <w:t>This section provides responses to the learning questions outlined in the scoping report.</w:t>
      </w:r>
    </w:p>
    <w:p w14:paraId="5B4718BA" w14:textId="11DEB6F7" w:rsidR="00B60386" w:rsidRPr="00BD6949" w:rsidRDefault="00B60386" w:rsidP="00B60386">
      <w:pPr>
        <w:pStyle w:val="Textbox"/>
        <w:rPr>
          <w:rStyle w:val="Italic"/>
        </w:rPr>
      </w:pPr>
      <w:r>
        <w:rPr>
          <w:rStyle w:val="Italic"/>
        </w:rPr>
        <w:t xml:space="preserve">What </w:t>
      </w:r>
      <w:r w:rsidRPr="00B60386">
        <w:rPr>
          <w:rStyle w:val="Italic"/>
        </w:rPr>
        <w:t>aspects (if any) of the MAGC supported (or prevented) GEDSI benefits from occurring, and any external factors?</w:t>
      </w:r>
    </w:p>
    <w:p w14:paraId="6CEE6822" w14:textId="2256F748" w:rsidR="007C3BD7" w:rsidRPr="007C3BD7" w:rsidRDefault="007C3BD7" w:rsidP="00EF4832">
      <w:bookmarkStart w:id="35" w:name="_Hlk178085315"/>
      <w:r>
        <w:t>Evidence from stakeholders demonstrates that several key aspects of MAGC have supported potential GEDSI outcomes.</w:t>
      </w:r>
      <w:r w:rsidR="00676C5E" w:rsidRPr="00676C5E">
        <w:t xml:space="preserve"> DESNZ and IFC agreed </w:t>
      </w:r>
      <w:r w:rsidR="00676C5E">
        <w:t>i</w:t>
      </w:r>
      <w:r w:rsidR="00676C5E" w:rsidRPr="00676C5E">
        <w:t>n May 2023</w:t>
      </w:r>
      <w:r w:rsidR="00676C5E">
        <w:t xml:space="preserve"> </w:t>
      </w:r>
      <w:r w:rsidR="00676C5E" w:rsidRPr="00676C5E">
        <w:t xml:space="preserve">to a target of 17.5% of MAGC housing to be affordable housing. </w:t>
      </w:r>
      <w:r w:rsidR="00676C5E">
        <w:t>T</w:t>
      </w:r>
      <w:r w:rsidR="00676C5E" w:rsidRPr="00676C5E">
        <w:t xml:space="preserve">he programme </w:t>
      </w:r>
      <w:proofErr w:type="gramStart"/>
      <w:r w:rsidR="00676C5E">
        <w:t>was described as</w:t>
      </w:r>
      <w:r w:rsidR="00676C5E" w:rsidRPr="00676C5E">
        <w:t xml:space="preserve"> </w:t>
      </w:r>
      <w:r w:rsidR="00676C5E">
        <w:t>being</w:t>
      </w:r>
      <w:proofErr w:type="gramEnd"/>
      <w:r w:rsidR="00676C5E">
        <w:t xml:space="preserve"> </w:t>
      </w:r>
      <w:r w:rsidR="00676C5E" w:rsidRPr="00676C5E">
        <w:t xml:space="preserve">on track to </w:t>
      </w:r>
      <w:r w:rsidR="00676C5E">
        <w:t>achieve</w:t>
      </w:r>
      <w:r w:rsidR="00676C5E" w:rsidRPr="00676C5E">
        <w:t xml:space="preserve"> this in the MAGC Annual Report 2023, having committed approximately 21% of MAGC funding to be used for affordable housing.</w:t>
      </w:r>
      <w:r w:rsidR="00676C5E">
        <w:rPr>
          <w:rStyle w:val="FootnoteReference"/>
        </w:rPr>
        <w:footnoteReference w:id="18"/>
      </w:r>
      <w:r w:rsidR="00676C5E" w:rsidRPr="00676C5E">
        <w:t xml:space="preserve"> </w:t>
      </w:r>
      <w:r w:rsidRPr="007C3BD7">
        <w:rPr>
          <w:rStyle w:val="Boldtext"/>
        </w:rPr>
        <w:t>MAGC has provided financial subsidies and concessional interest rates to support lower-income groups</w:t>
      </w:r>
      <w:r w:rsidRPr="007C3BD7">
        <w:t>, including female-headed households, to adopt green building technologies. For instance, the EDGE self-build certificate programme offers financial support to individuals who typically would not qualify for a mortgage, making green housing more accessible to marginalised groups.</w:t>
      </w:r>
      <w:r>
        <w:t xml:space="preserve"> The case study of </w:t>
      </w:r>
      <w:r w:rsidRPr="007C3BD7">
        <w:t xml:space="preserve">Aadhar Housing </w:t>
      </w:r>
      <w:r>
        <w:t xml:space="preserve">in </w:t>
      </w:r>
      <w:r w:rsidRPr="007C3BD7">
        <w:t>India</w:t>
      </w:r>
      <w:r>
        <w:t xml:space="preserve"> demonstrates how </w:t>
      </w:r>
      <w:r w:rsidRPr="007C3BD7">
        <w:t>capacity-building support from IFC and financial subsidies from MAGC</w:t>
      </w:r>
      <w:r w:rsidR="00547739">
        <w:t xml:space="preserve"> and We-Fi</w:t>
      </w:r>
      <w:r w:rsidR="00547739">
        <w:rPr>
          <w:rStyle w:val="FootnoteReference"/>
        </w:rPr>
        <w:footnoteReference w:id="19"/>
      </w:r>
      <w:r>
        <w:t xml:space="preserve"> can enable organisations</w:t>
      </w:r>
      <w:r w:rsidRPr="007C3BD7">
        <w:t xml:space="preserve"> to integrate green building practices into their portfolio</w:t>
      </w:r>
      <w:r w:rsidR="00EF4832">
        <w:t>s</w:t>
      </w:r>
      <w:r w:rsidRPr="007C3BD7">
        <w:t xml:space="preserve">. </w:t>
      </w:r>
    </w:p>
    <w:p w14:paraId="6C976780" w14:textId="076A7FA2" w:rsidR="00A843D7" w:rsidRPr="007C3BD7" w:rsidRDefault="007C3BD7" w:rsidP="007C3BD7">
      <w:r w:rsidRPr="00EF4832">
        <w:rPr>
          <w:rStyle w:val="Boldtext"/>
        </w:rPr>
        <w:t>MAGC has</w:t>
      </w:r>
      <w:r w:rsidR="00EF4832" w:rsidRPr="00EF4832">
        <w:rPr>
          <w:rStyle w:val="Boldtext"/>
        </w:rPr>
        <w:t xml:space="preserve"> also</w:t>
      </w:r>
      <w:r w:rsidRPr="00EF4832">
        <w:rPr>
          <w:rStyle w:val="Boldtext"/>
        </w:rPr>
        <w:t xml:space="preserve"> supported capacity-building initiatives targeting women in the construction sector.</w:t>
      </w:r>
      <w:r w:rsidRPr="007C3BD7">
        <w:t xml:space="preserve"> Training sessions specifically for women, such as those conducted in Ghana and South Africa, aim to reduce financial and educational barriers, encouraging more women to become EDGE </w:t>
      </w:r>
      <w:r w:rsidR="00F96335">
        <w:t xml:space="preserve">experts </w:t>
      </w:r>
      <w:r w:rsidRPr="007C3BD7">
        <w:t>accredited.</w:t>
      </w:r>
    </w:p>
    <w:p w14:paraId="4FFCC4D4" w14:textId="13D78D42" w:rsidR="007C3BD7" w:rsidRPr="007C3BD7" w:rsidRDefault="00EF4832" w:rsidP="007C3BD7">
      <w:r>
        <w:t xml:space="preserve">Stakeholders also identified some barriers to GEDSI benefits occurring. Firstly, </w:t>
      </w:r>
      <w:r w:rsidR="007C3BD7" w:rsidRPr="00EF4832">
        <w:rPr>
          <w:rStyle w:val="Boldtext"/>
        </w:rPr>
        <w:t xml:space="preserve">GEDSI principles </w:t>
      </w:r>
      <w:r w:rsidRPr="00EF4832">
        <w:rPr>
          <w:rStyle w:val="Boldtext"/>
        </w:rPr>
        <w:t xml:space="preserve">not being integrated </w:t>
      </w:r>
      <w:r w:rsidR="007C3BD7" w:rsidRPr="00EF4832">
        <w:rPr>
          <w:rStyle w:val="Boldtext"/>
        </w:rPr>
        <w:t>into the programme design</w:t>
      </w:r>
      <w:r w:rsidRPr="00EF4832">
        <w:rPr>
          <w:rStyle w:val="Boldtext"/>
        </w:rPr>
        <w:t xml:space="preserve"> is a key barrier</w:t>
      </w:r>
      <w:r w:rsidR="007C3BD7" w:rsidRPr="00EF4832">
        <w:rPr>
          <w:rStyle w:val="Boldtext"/>
        </w:rPr>
        <w:t>.</w:t>
      </w:r>
      <w:r w:rsidR="007C3BD7" w:rsidRPr="007C3BD7">
        <w:t xml:space="preserve"> The current MAGC approach does not ensure that green buildings are accessible to marginalised groups</w:t>
      </w:r>
      <w:r w:rsidR="003219E7">
        <w:t xml:space="preserve"> due to this not being the programme’s objective</w:t>
      </w:r>
      <w:r>
        <w:t xml:space="preserve">, meaning often GEDSI benefits are limited to ‘trickle-down’ effects. </w:t>
      </w:r>
    </w:p>
    <w:p w14:paraId="783C5972" w14:textId="66920A13" w:rsidR="007C3BD7" w:rsidRPr="007C3BD7" w:rsidRDefault="00EF4832" w:rsidP="00EF4832">
      <w:r w:rsidRPr="00EF4832">
        <w:rPr>
          <w:rStyle w:val="Boldtext"/>
        </w:rPr>
        <w:t>An additional barrier relates to GEDSI often being conceptualised in terms of income and gender.</w:t>
      </w:r>
      <w:r w:rsidR="007C3BD7" w:rsidRPr="00EF4832">
        <w:rPr>
          <w:rStyle w:val="Boldtext"/>
        </w:rPr>
        <w:t xml:space="preserve"> </w:t>
      </w:r>
      <w:r>
        <w:t>Stakeholders identified a need for additional research to understand how</w:t>
      </w:r>
      <w:r w:rsidR="007C3BD7" w:rsidRPr="007C3BD7">
        <w:t xml:space="preserve"> other groups, such as people with disabilities, </w:t>
      </w:r>
      <w:r>
        <w:t xml:space="preserve">could benefit from green construction. </w:t>
      </w:r>
    </w:p>
    <w:p w14:paraId="106BDA83" w14:textId="77777777" w:rsidR="00EF4832" w:rsidRPr="00EF4832" w:rsidRDefault="00EF4832" w:rsidP="00EF4832">
      <w:r w:rsidRPr="00EF4832">
        <w:rPr>
          <w:rStyle w:val="Boldtext"/>
        </w:rPr>
        <w:t xml:space="preserve">A key external factor is that higher upfront costs of green construction mean these are unattainable for many marginalised groups. </w:t>
      </w:r>
      <w:r w:rsidRPr="00EF4832">
        <w:t>Inflation and increased building costs in recent years have exacerbated this issue, making it difficult for lower-income groups to access green buildings.</w:t>
      </w:r>
    </w:p>
    <w:p w14:paraId="0A8EF233" w14:textId="78DC31EC" w:rsidR="007C3BD7" w:rsidRPr="007C3BD7" w:rsidRDefault="00EF4832" w:rsidP="007C3BD7">
      <w:r w:rsidRPr="00EF4832">
        <w:rPr>
          <w:rStyle w:val="Boldtext"/>
        </w:rPr>
        <w:lastRenderedPageBreak/>
        <w:t>Additionally, l</w:t>
      </w:r>
      <w:r w:rsidR="007C3BD7" w:rsidRPr="00EF4832">
        <w:rPr>
          <w:rStyle w:val="Boldtext"/>
        </w:rPr>
        <w:t>egislation mandating accessibility and social housing varies widely within and between countries.</w:t>
      </w:r>
      <w:r w:rsidR="007C3BD7" w:rsidRPr="007C3BD7">
        <w:t xml:space="preserve"> </w:t>
      </w:r>
      <w:r w:rsidR="00513717">
        <w:t xml:space="preserve">For example, </w:t>
      </w:r>
      <w:r w:rsidR="00625370">
        <w:t xml:space="preserve">stakeholders </w:t>
      </w:r>
      <w:r w:rsidR="00513717">
        <w:t>i</w:t>
      </w:r>
      <w:r w:rsidR="00513717" w:rsidRPr="00513717">
        <w:t>n Colombia</w:t>
      </w:r>
      <w:r w:rsidR="00513717">
        <w:t xml:space="preserve"> </w:t>
      </w:r>
      <w:r w:rsidR="00625370">
        <w:t xml:space="preserve">noted that national </w:t>
      </w:r>
      <w:r w:rsidR="00513717">
        <w:t xml:space="preserve">legislation </w:t>
      </w:r>
      <w:r w:rsidR="00846B27">
        <w:t>has a requirement that</w:t>
      </w:r>
      <w:r w:rsidR="00513717" w:rsidRPr="00513717">
        <w:t xml:space="preserve"> </w:t>
      </w:r>
      <w:proofErr w:type="gramStart"/>
      <w:r w:rsidR="00513717" w:rsidRPr="00513717">
        <w:t>the majority of</w:t>
      </w:r>
      <w:proofErr w:type="gramEnd"/>
      <w:r w:rsidR="00513717" w:rsidRPr="00513717">
        <w:t xml:space="preserve"> properties constructed are social housing</w:t>
      </w:r>
      <w:r w:rsidR="00513717">
        <w:t xml:space="preserve">, although further safeguards are </w:t>
      </w:r>
      <w:r w:rsidR="00846B27">
        <w:t xml:space="preserve">reportedly </w:t>
      </w:r>
      <w:r w:rsidR="00513717">
        <w:t xml:space="preserve">needed to ensure social housing is reaching groups </w:t>
      </w:r>
      <w:r w:rsidR="003219E7">
        <w:t>with the highest levels of</w:t>
      </w:r>
      <w:r w:rsidR="00513717">
        <w:t xml:space="preserve"> need</w:t>
      </w:r>
      <w:r w:rsidR="00424FAC">
        <w:t xml:space="preserve"> as currently there are no eligibility requirements</w:t>
      </w:r>
      <w:r w:rsidR="00513717">
        <w:t>.</w:t>
      </w:r>
      <w:r w:rsidR="00513717" w:rsidRPr="00513717">
        <w:t xml:space="preserve"> </w:t>
      </w:r>
      <w:r w:rsidR="007C3BD7" w:rsidRPr="007C3BD7">
        <w:t xml:space="preserve">Policies that prioritise social housing can significantly impact the inclusion of marginalised groups in green building projects. </w:t>
      </w:r>
      <w:r>
        <w:t xml:space="preserve">This demonstrates the benefits of </w:t>
      </w:r>
      <w:r w:rsidR="007C3BD7" w:rsidRPr="007C3BD7">
        <w:t>align</w:t>
      </w:r>
      <w:r>
        <w:t>ing programme design</w:t>
      </w:r>
      <w:r w:rsidR="007C3BD7" w:rsidRPr="007C3BD7">
        <w:t xml:space="preserve"> with and advocat</w:t>
      </w:r>
      <w:r>
        <w:t>ing</w:t>
      </w:r>
      <w:r w:rsidR="007C3BD7" w:rsidRPr="007C3BD7">
        <w:t xml:space="preserve"> for supportive policies and regulations.</w:t>
      </w:r>
    </w:p>
    <w:p w14:paraId="7A584C02" w14:textId="46AE0065" w:rsidR="00B60386" w:rsidRPr="00BD6949" w:rsidRDefault="00B60386" w:rsidP="00B60386">
      <w:pPr>
        <w:pStyle w:val="Textbox"/>
        <w:rPr>
          <w:rStyle w:val="Italic"/>
        </w:rPr>
      </w:pPr>
      <w:bookmarkStart w:id="36" w:name="_Hlk189208692"/>
      <w:bookmarkStart w:id="37" w:name="_Hlk178085338"/>
      <w:bookmarkEnd w:id="35"/>
      <w:r w:rsidRPr="003D52E3">
        <w:rPr>
          <w:rStyle w:val="Italic"/>
        </w:rPr>
        <w:t xml:space="preserve">To </w:t>
      </w:r>
      <w:r w:rsidRPr="00B60386">
        <w:rPr>
          <w:rStyle w:val="Italic"/>
        </w:rPr>
        <w:t>what extent have GEDSI lessons been systematically captured and shared to support onward and wider sector learning for supporting GEDSI in green construction globally?</w:t>
      </w:r>
    </w:p>
    <w:bookmarkEnd w:id="36"/>
    <w:p w14:paraId="1D75991B" w14:textId="70E88269" w:rsidR="00817471" w:rsidRDefault="00E938BE" w:rsidP="00E938BE">
      <w:r w:rsidRPr="005145B2">
        <w:rPr>
          <w:rStyle w:val="Boldtext"/>
        </w:rPr>
        <w:t>Given GEDSI was not a consideration in MAGC’s design phase and is therefore not part of the programme objectives, minimal GEDSI lessons have been systematically captured and shared to support onward and wider sector learning.</w:t>
      </w:r>
      <w:r>
        <w:t xml:space="preserve"> </w:t>
      </w:r>
      <w:r w:rsidR="00817471">
        <w:t>Several</w:t>
      </w:r>
      <w:r w:rsidR="00BA1A8F">
        <w:t xml:space="preserve"> T0</w:t>
      </w:r>
      <w:r w:rsidR="00817471">
        <w:t xml:space="preserve"> stakeholders highlighted how focusing on GEDSI considerations risked there being insufficient focus on achieving the intended objectives.</w:t>
      </w:r>
    </w:p>
    <w:p w14:paraId="573221E0" w14:textId="24FB0691" w:rsidR="00817471" w:rsidRPr="00817471" w:rsidRDefault="00817471" w:rsidP="00817471">
      <w:pPr>
        <w:rPr>
          <w:rStyle w:val="Italic"/>
        </w:rPr>
      </w:pPr>
      <w:r w:rsidRPr="00817471">
        <w:rPr>
          <w:rStyle w:val="Italic"/>
        </w:rPr>
        <w:t xml:space="preserve">“Our resistance, a little bit… in this programme was that [GEDSI related outcomes are] not what we were aiming for, that wasn't what we said we would do </w:t>
      </w:r>
      <w:r w:rsidR="004C1F9E" w:rsidRPr="00817471">
        <w:rPr>
          <w:rStyle w:val="Italic"/>
        </w:rPr>
        <w:t>upfront,</w:t>
      </w:r>
      <w:r w:rsidRPr="00817471">
        <w:rPr>
          <w:rStyle w:val="Italic"/>
        </w:rPr>
        <w:t xml:space="preserve"> and we don't want to take our eye off the goals a little bit</w:t>
      </w:r>
      <w:r w:rsidR="00594CA6">
        <w:rPr>
          <w:rStyle w:val="Italic"/>
        </w:rPr>
        <w:t>..</w:t>
      </w:r>
      <w:r w:rsidRPr="00817471">
        <w:rPr>
          <w:rStyle w:val="Italic"/>
        </w:rPr>
        <w:t>. If we suddenly start aiming at</w:t>
      </w:r>
      <w:r w:rsidR="00594CA6">
        <w:rPr>
          <w:rStyle w:val="Italic"/>
        </w:rPr>
        <w:t xml:space="preserve"> </w:t>
      </w:r>
      <w:r w:rsidRPr="00817471">
        <w:rPr>
          <w:rStyle w:val="Italic"/>
        </w:rPr>
        <w:t xml:space="preserve">four different things, rather than the one or two that we were, that makes it more complicated and provides additional risk." </w:t>
      </w:r>
      <w:r w:rsidR="003375FE">
        <w:rPr>
          <w:rStyle w:val="Italic"/>
        </w:rPr>
        <w:t>(IFC</w:t>
      </w:r>
      <w:r w:rsidRPr="00817471">
        <w:rPr>
          <w:rStyle w:val="Italic"/>
        </w:rPr>
        <w:t xml:space="preserve"> </w:t>
      </w:r>
      <w:r w:rsidR="003375FE">
        <w:rPr>
          <w:rStyle w:val="Italic"/>
        </w:rPr>
        <w:t>programme team)</w:t>
      </w:r>
    </w:p>
    <w:p w14:paraId="6E7E2C0F" w14:textId="46CE861E" w:rsidR="00E938BE" w:rsidRDefault="00E938BE" w:rsidP="00E938BE">
      <w:r>
        <w:t xml:space="preserve">The </w:t>
      </w:r>
      <w:r w:rsidR="00E32C92">
        <w:t xml:space="preserve">MAGC </w:t>
      </w:r>
      <w:proofErr w:type="spellStart"/>
      <w:r w:rsidR="00C74238">
        <w:t>Logframe</w:t>
      </w:r>
      <w:proofErr w:type="spellEnd"/>
      <w:r>
        <w:t xml:space="preserve"> includes information on numbers of women gaining EDGE </w:t>
      </w:r>
      <w:r w:rsidR="009F1A1F">
        <w:t xml:space="preserve">experts/auditors </w:t>
      </w:r>
      <w:r>
        <w:t>accreditation</w:t>
      </w:r>
      <w:r w:rsidR="00CE4C78">
        <w:t>.</w:t>
      </w:r>
      <w:r>
        <w:t xml:space="preserve"> </w:t>
      </w:r>
      <w:proofErr w:type="gramStart"/>
      <w:r w:rsidR="00CE4C78">
        <w:t>H</w:t>
      </w:r>
      <w:r>
        <w:t>owever</w:t>
      </w:r>
      <w:proofErr w:type="gramEnd"/>
      <w:r>
        <w:t xml:space="preserve"> this data was not collected before the 2022/2023 financial year, limiting analysis of change over time. </w:t>
      </w:r>
      <w:r w:rsidR="005145B2">
        <w:t>The</w:t>
      </w:r>
      <w:r w:rsidR="00E32C92">
        <w:t xml:space="preserve"> FY2024</w:t>
      </w:r>
      <w:r w:rsidR="005145B2">
        <w:t xml:space="preserve"> </w:t>
      </w:r>
      <w:proofErr w:type="spellStart"/>
      <w:r w:rsidR="00C74238">
        <w:t>Logframe</w:t>
      </w:r>
      <w:proofErr w:type="spellEnd"/>
      <w:r w:rsidR="00E32C92">
        <w:rPr>
          <w:rStyle w:val="FootnoteReference"/>
        </w:rPr>
        <w:footnoteReference w:id="20"/>
      </w:r>
      <w:r w:rsidR="005145B2">
        <w:t xml:space="preserve"> also tracks how many women </w:t>
      </w:r>
      <w:r w:rsidR="00BA1A8F">
        <w:t xml:space="preserve">have </w:t>
      </w:r>
      <w:r w:rsidR="005145B2">
        <w:t xml:space="preserve">attended MAGC research dissemination events in </w:t>
      </w:r>
      <w:r w:rsidR="00470821">
        <w:t>FY</w:t>
      </w:r>
      <w:r w:rsidR="005145B2">
        <w:t>2022</w:t>
      </w:r>
      <w:r w:rsidR="00600713">
        <w:t>,</w:t>
      </w:r>
      <w:r w:rsidR="005145B2">
        <w:t xml:space="preserve"> </w:t>
      </w:r>
      <w:r w:rsidR="00470821">
        <w:t>FY</w:t>
      </w:r>
      <w:r w:rsidR="005145B2">
        <w:t xml:space="preserve">2023 </w:t>
      </w:r>
      <w:r w:rsidR="00600713">
        <w:t xml:space="preserve">and </w:t>
      </w:r>
      <w:r w:rsidR="00470821">
        <w:t>FY2024</w:t>
      </w:r>
      <w:r w:rsidR="005145B2">
        <w:t>, and is referenced in the MAGC Year 4 Annual Review (2021/2022)</w:t>
      </w:r>
      <w:r w:rsidR="00E32C92">
        <w:rPr>
          <w:rStyle w:val="FootnoteReference"/>
        </w:rPr>
        <w:footnoteReference w:id="21"/>
      </w:r>
      <w:r w:rsidR="005145B2">
        <w:t xml:space="preserve">. </w:t>
      </w:r>
      <w:proofErr w:type="gramStart"/>
      <w:r w:rsidR="005145B2">
        <w:t>In order to</w:t>
      </w:r>
      <w:proofErr w:type="gramEnd"/>
      <w:r w:rsidR="005145B2">
        <w:t xml:space="preserve"> provide </w:t>
      </w:r>
      <w:r w:rsidR="00600713">
        <w:t xml:space="preserve">additional </w:t>
      </w:r>
      <w:r w:rsidR="005145B2">
        <w:t xml:space="preserve">learnings on this, more detailed analysis and discussion around the involvement of women in the sector would be beneficial. </w:t>
      </w:r>
    </w:p>
    <w:p w14:paraId="796D2FCF" w14:textId="0D25A326" w:rsidR="00E938BE" w:rsidRDefault="005145B2" w:rsidP="00E938BE">
      <w:r>
        <w:t xml:space="preserve">IFC reportedly also </w:t>
      </w:r>
      <w:r w:rsidR="00E938BE" w:rsidRPr="00E938BE">
        <w:t>track</w:t>
      </w:r>
      <w:r>
        <w:t>s</w:t>
      </w:r>
      <w:r w:rsidR="00E938BE" w:rsidRPr="00E938BE">
        <w:t xml:space="preserve"> which MAGC investments are </w:t>
      </w:r>
      <w:r>
        <w:t>used to support</w:t>
      </w:r>
      <w:r w:rsidR="00E938BE" w:rsidRPr="00E938BE">
        <w:t xml:space="preserve"> affordable housing </w:t>
      </w:r>
      <w:r>
        <w:t xml:space="preserve">projects, but this data </w:t>
      </w:r>
      <w:r w:rsidR="00600713">
        <w:t>is not</w:t>
      </w:r>
      <w:r>
        <w:t xml:space="preserve"> </w:t>
      </w:r>
      <w:r w:rsidR="00B11FBC">
        <w:t xml:space="preserve">currently </w:t>
      </w:r>
      <w:r>
        <w:t xml:space="preserve">included in the </w:t>
      </w:r>
      <w:proofErr w:type="spellStart"/>
      <w:proofErr w:type="gramStart"/>
      <w:r w:rsidR="00C74238">
        <w:t>L</w:t>
      </w:r>
      <w:r>
        <w:t>ogframe</w:t>
      </w:r>
      <w:proofErr w:type="spellEnd"/>
      <w:r w:rsidR="00B11FBC">
        <w:t xml:space="preserve"> </w:t>
      </w:r>
      <w:r>
        <w:t>.</w:t>
      </w:r>
      <w:proofErr w:type="gramEnd"/>
      <w:r>
        <w:t xml:space="preserve"> The MAGC Year 4 Annual Review</w:t>
      </w:r>
      <w:r w:rsidR="00E32C92">
        <w:rPr>
          <w:rStyle w:val="FootnoteReference"/>
        </w:rPr>
        <w:footnoteReference w:id="22"/>
      </w:r>
      <w:r>
        <w:t xml:space="preserve"> does reference one investment with an affordable housing component</w:t>
      </w:r>
      <w:r w:rsidR="00CE4C78">
        <w:t>.</w:t>
      </w:r>
      <w:r>
        <w:t xml:space="preserve"> </w:t>
      </w:r>
      <w:r w:rsidR="00CE4C78">
        <w:t>A</w:t>
      </w:r>
      <w:r>
        <w:t>gain,</w:t>
      </w:r>
      <w:r w:rsidR="00CE4C78">
        <w:t xml:space="preserve"> however,</w:t>
      </w:r>
      <w:r>
        <w:t xml:space="preserve"> analysis and discussion of how the programme could support lower-income households would be beneficial for onward and sectoral learnings. </w:t>
      </w:r>
    </w:p>
    <w:p w14:paraId="420BEE9C" w14:textId="77777777" w:rsidR="00E722A0" w:rsidRDefault="00E722A0" w:rsidP="00E722A0">
      <w:pPr>
        <w:pStyle w:val="Introparagraph"/>
      </w:pPr>
      <w:bookmarkStart w:id="38" w:name="_Toc178618229"/>
      <w:bookmarkStart w:id="39" w:name="_Toc179906724"/>
      <w:bookmarkStart w:id="40" w:name="_Toc181887389"/>
    </w:p>
    <w:bookmarkEnd w:id="38"/>
    <w:bookmarkEnd w:id="39"/>
    <w:bookmarkEnd w:id="40"/>
    <w:p w14:paraId="0E4F363B" w14:textId="1247AC0D" w:rsidR="00B60386" w:rsidRPr="00B60386" w:rsidRDefault="00B60386" w:rsidP="00B60386">
      <w:pPr>
        <w:pStyle w:val="Textbox"/>
      </w:pPr>
      <w:r w:rsidRPr="00B60386">
        <w:rPr>
          <w:rStyle w:val="Italic"/>
        </w:rPr>
        <w:lastRenderedPageBreak/>
        <w:t xml:space="preserve">How feasible is it for future programming on green construction to include social impact as a key aim (including business case development, </w:t>
      </w:r>
      <w:proofErr w:type="spellStart"/>
      <w:r w:rsidRPr="00B60386">
        <w:rPr>
          <w:rStyle w:val="Italic"/>
        </w:rPr>
        <w:t>ToRs</w:t>
      </w:r>
      <w:proofErr w:type="spellEnd"/>
      <w:r w:rsidRPr="00B60386">
        <w:rPr>
          <w:rStyle w:val="Italic"/>
        </w:rPr>
        <w:t>, programme design, design of monitoring and evaluation processes)?</w:t>
      </w:r>
    </w:p>
    <w:p w14:paraId="16AE2B73" w14:textId="26F0691B" w:rsidR="00814C5D" w:rsidRPr="00267ADE" w:rsidRDefault="00267ADE" w:rsidP="00267ADE">
      <w:r>
        <w:t>Evidence from the early outcomes phase indicates that i</w:t>
      </w:r>
      <w:r w:rsidRPr="00267ADE">
        <w:t xml:space="preserve">ncorporating social impact as a key aim in future programming on green construction is both feasible and necessary to ensure that the benefits of sustainable building practices are equitably distributed. </w:t>
      </w:r>
      <w:r w:rsidR="000F77D9">
        <w:t xml:space="preserve">This aligns with the broader UK government context. </w:t>
      </w:r>
      <w:r w:rsidR="00BF2849">
        <w:t xml:space="preserve">As set out in the UK International Climate Finance Strategy, ‘Together for People and Planet’ in 2023, </w:t>
      </w:r>
      <w:r w:rsidR="0078054D">
        <w:t>the UK government is committed to integrating social inclusion benefits into its investments and targeting those most vulnerable to climate impacts.</w:t>
      </w:r>
      <w:r w:rsidR="0078054D" w:rsidRPr="0078054D">
        <w:rPr>
          <w:rStyle w:val="FootnoteReference"/>
        </w:rPr>
        <w:footnoteReference w:id="23"/>
      </w:r>
      <w:r w:rsidR="0078054D">
        <w:t xml:space="preserve"> They committed to strengthening the gender-responsiveness and inclusivity of UK climate finance for adaptation and mitigation. This is not expected to change under the new government. This sits within the b</w:t>
      </w:r>
      <w:r w:rsidR="00814C5D">
        <w:t>roader context of the UN Sustainable Development Goals (SDGs) which calls for the systematic mainstreaming of gender perspectives across all goals.</w:t>
      </w:r>
      <w:r w:rsidR="0078054D">
        <w:rPr>
          <w:rStyle w:val="FootnoteReference"/>
        </w:rPr>
        <w:footnoteReference w:id="24"/>
      </w:r>
      <w:r w:rsidR="00BF2849">
        <w:t xml:space="preserve"> </w:t>
      </w:r>
      <w:r w:rsidR="0078054D">
        <w:t xml:space="preserve">The </w:t>
      </w:r>
      <w:r w:rsidR="00BF2849">
        <w:t xml:space="preserve">UK government has </w:t>
      </w:r>
      <w:r w:rsidR="0078054D">
        <w:t xml:space="preserve">also </w:t>
      </w:r>
      <w:r w:rsidR="00BF2849">
        <w:t>committed to achieving the SDGs.</w:t>
      </w:r>
    </w:p>
    <w:p w14:paraId="40C0DE3C" w14:textId="706C3863" w:rsidR="00267ADE" w:rsidRDefault="00267ADE" w:rsidP="006813DB">
      <w:r w:rsidRPr="00E714FE">
        <w:rPr>
          <w:rStyle w:val="Boldtext"/>
        </w:rPr>
        <w:t>Several</w:t>
      </w:r>
      <w:r w:rsidR="00600713">
        <w:rPr>
          <w:rStyle w:val="Boldtext"/>
        </w:rPr>
        <w:t xml:space="preserve"> T0</w:t>
      </w:r>
      <w:r w:rsidRPr="00E714FE">
        <w:rPr>
          <w:rStyle w:val="Boldtext"/>
        </w:rPr>
        <w:t xml:space="preserve"> stakeholders described the importance of making changes to future iterations of MAGC to incorporate social impact and boost its overall impact</w:t>
      </w:r>
      <w:r>
        <w:t xml:space="preserve"> beyond sustainability objectives</w:t>
      </w:r>
      <w:r w:rsidRPr="00267ADE">
        <w:t xml:space="preserve">. </w:t>
      </w:r>
      <w:r w:rsidR="006813DB">
        <w:t xml:space="preserve">These stakeholders saw integration into design as a valuable opportunity to move away from a ‘trickle-down’ approach which does not actively promote social inclusion. </w:t>
      </w:r>
      <w:r w:rsidR="00C26FE6">
        <w:t xml:space="preserve">The quote below illustrates the key considerations informing conversations about future programme changes.  </w:t>
      </w:r>
    </w:p>
    <w:p w14:paraId="5A130EDF" w14:textId="2BD53CEB" w:rsidR="00C26FE6" w:rsidRPr="006813DB" w:rsidRDefault="00C26FE6" w:rsidP="006813DB">
      <w:pPr>
        <w:rPr>
          <w:rStyle w:val="Italic"/>
        </w:rPr>
      </w:pPr>
      <w:r w:rsidRPr="00E714FE">
        <w:rPr>
          <w:rStyle w:val="Italic"/>
        </w:rPr>
        <w:t xml:space="preserve">“Are we comfortable potentially supporting a large hotel group to green its estate, recognizing that that will have vast visibility, but do virtually nothing for social inclusion or gender equality? Or do we want to focus much more on disadvantaged communities and making sure they live in good quality housing, with energy efficient housing that reduces their energy costs over the lifetime of their tenancy. And that's obviously a much bigger opportunity." </w:t>
      </w:r>
      <w:r w:rsidR="003375FE">
        <w:rPr>
          <w:rStyle w:val="Italic"/>
        </w:rPr>
        <w:t>(</w:t>
      </w:r>
      <w:r>
        <w:rPr>
          <w:rStyle w:val="Italic"/>
        </w:rPr>
        <w:t>DESNZ</w:t>
      </w:r>
      <w:r w:rsidRPr="00E714FE">
        <w:rPr>
          <w:rStyle w:val="Italic"/>
        </w:rPr>
        <w:t xml:space="preserve"> stakeholder</w:t>
      </w:r>
      <w:r w:rsidR="003375FE">
        <w:rPr>
          <w:rStyle w:val="Italic"/>
        </w:rPr>
        <w:t>)</w:t>
      </w:r>
      <w:r w:rsidRPr="00E714FE">
        <w:rPr>
          <w:rStyle w:val="Italic"/>
        </w:rPr>
        <w:t xml:space="preserve"> </w:t>
      </w:r>
    </w:p>
    <w:p w14:paraId="697680DF" w14:textId="77F09A7B" w:rsidR="00E714FE" w:rsidRDefault="006813DB" w:rsidP="00267ADE">
      <w:r>
        <w:rPr>
          <w:rStyle w:val="Boldtext"/>
        </w:rPr>
        <w:t>Nevertheless,</w:t>
      </w:r>
      <w:r w:rsidR="00E714FE" w:rsidRPr="00E714FE">
        <w:rPr>
          <w:rStyle w:val="Boldtext"/>
        </w:rPr>
        <w:t xml:space="preserve"> s</w:t>
      </w:r>
      <w:r w:rsidR="00267ADE" w:rsidRPr="00E714FE">
        <w:rPr>
          <w:rStyle w:val="Boldtext"/>
        </w:rPr>
        <w:t xml:space="preserve">ome stakeholders </w:t>
      </w:r>
      <w:r>
        <w:rPr>
          <w:rStyle w:val="Boldtext"/>
        </w:rPr>
        <w:t>remained</w:t>
      </w:r>
      <w:r w:rsidR="00267ADE" w:rsidRPr="00E714FE">
        <w:rPr>
          <w:rStyle w:val="Boldtext"/>
        </w:rPr>
        <w:t xml:space="preserve"> sceptical about </w:t>
      </w:r>
      <w:r w:rsidR="00E714FE" w:rsidRPr="00E714FE">
        <w:rPr>
          <w:rStyle w:val="Boldtext"/>
        </w:rPr>
        <w:t>whether</w:t>
      </w:r>
      <w:r w:rsidR="00267ADE" w:rsidRPr="00E714FE">
        <w:rPr>
          <w:rStyle w:val="Boldtext"/>
        </w:rPr>
        <w:t xml:space="preserve"> GEDSI outcomes</w:t>
      </w:r>
      <w:r w:rsidR="00E714FE" w:rsidRPr="00E714FE">
        <w:rPr>
          <w:rStyle w:val="Boldtext"/>
        </w:rPr>
        <w:t xml:space="preserve"> should be integrated into a green building </w:t>
      </w:r>
      <w:r w:rsidR="004C1F9E" w:rsidRPr="00E714FE">
        <w:rPr>
          <w:rStyle w:val="Boldtext"/>
        </w:rPr>
        <w:t>programme and</w:t>
      </w:r>
      <w:r w:rsidR="00E714FE" w:rsidRPr="00E714FE">
        <w:rPr>
          <w:rStyle w:val="Boldtext"/>
        </w:rPr>
        <w:t xml:space="preserve"> were concerned about this affecting the achievement of the original objectives</w:t>
      </w:r>
      <w:r>
        <w:rPr>
          <w:rStyle w:val="Boldtext"/>
        </w:rPr>
        <w:t xml:space="preserve">. </w:t>
      </w:r>
      <w:r w:rsidR="00E714FE" w:rsidRPr="00E714FE">
        <w:t>This disagreement amongst stakeholders highlights the need for a policy decision to determine the programme's stance on GEDSI and social impact.</w:t>
      </w:r>
    </w:p>
    <w:p w14:paraId="604C876A" w14:textId="4E2525F5" w:rsidR="00267ADE" w:rsidRPr="00267ADE" w:rsidRDefault="00E714FE" w:rsidP="00E714FE">
      <w:r>
        <w:rPr>
          <w:rStyle w:val="Boldtext"/>
        </w:rPr>
        <w:t>If</w:t>
      </w:r>
      <w:r w:rsidRPr="00E714FE">
        <w:rPr>
          <w:rStyle w:val="Boldtext"/>
        </w:rPr>
        <w:t xml:space="preserve"> social impact </w:t>
      </w:r>
      <w:r>
        <w:rPr>
          <w:rStyle w:val="Boldtext"/>
        </w:rPr>
        <w:t xml:space="preserve">is </w:t>
      </w:r>
      <w:r w:rsidRPr="00E714FE">
        <w:rPr>
          <w:rStyle w:val="Boldtext"/>
        </w:rPr>
        <w:t>to be effectively integrated into green construction programm</w:t>
      </w:r>
      <w:r>
        <w:rPr>
          <w:rStyle w:val="Boldtext"/>
        </w:rPr>
        <w:t>ing</w:t>
      </w:r>
      <w:r w:rsidRPr="00E714FE">
        <w:rPr>
          <w:rStyle w:val="Boldtext"/>
        </w:rPr>
        <w:t>, it needs to be embedded in the initial design and programme objectives.</w:t>
      </w:r>
      <w:r w:rsidRPr="00E714FE">
        <w:t xml:space="preserve"> </w:t>
      </w:r>
      <w:r>
        <w:t xml:space="preserve">Stakeholders </w:t>
      </w:r>
      <w:r w:rsidR="00DD4222">
        <w:t xml:space="preserve">at the T0 level </w:t>
      </w:r>
      <w:r>
        <w:t>highlighted how t</w:t>
      </w:r>
      <w:r w:rsidR="00267ADE" w:rsidRPr="00267ADE">
        <w:t xml:space="preserve">rying to retrofit GEDSI considerations into </w:t>
      </w:r>
      <w:r>
        <w:t>MAGC</w:t>
      </w:r>
      <w:r w:rsidR="00267ADE" w:rsidRPr="00267ADE">
        <w:t xml:space="preserve"> has caused tensions. It is crucial to include these elements as part of the programme requirements from the outset to avoid these issues.</w:t>
      </w:r>
      <w:r w:rsidR="00FC621A" w:rsidRPr="00FC621A">
        <w:t xml:space="preserve"> </w:t>
      </w:r>
      <w:r w:rsidR="00FC621A">
        <w:t xml:space="preserve">This view was echoed amongst some stakeholders from financial institutions in Vietnam, who were opposed to adding affordable housing requirements </w:t>
      </w:r>
      <w:r w:rsidR="00FC621A">
        <w:lastRenderedPageBreak/>
        <w:t xml:space="preserve">to MAGC delivery. They felt that given the fact that this is a relatively new industry in Vietnam, additional requirements could complicate the rating system, making it less accessible and appealing to developers. </w:t>
      </w:r>
      <w:r w:rsidR="00DD4222">
        <w:t xml:space="preserve">One counterpoint is that embedding these requirements from the outset would allow it to be integrated as standard, rather than it being seen as an additional burden. </w:t>
      </w:r>
    </w:p>
    <w:p w14:paraId="0D47921A" w14:textId="082EC3E3" w:rsidR="00267ADE" w:rsidRPr="00267ADE" w:rsidRDefault="00EB156C" w:rsidP="00267ADE">
      <w:r>
        <w:rPr>
          <w:rStyle w:val="Boldtext"/>
        </w:rPr>
        <w:t>One IFC</w:t>
      </w:r>
      <w:r w:rsidRPr="00E714FE">
        <w:rPr>
          <w:rStyle w:val="Boldtext"/>
        </w:rPr>
        <w:t xml:space="preserve"> </w:t>
      </w:r>
      <w:r w:rsidR="00267ADE" w:rsidRPr="00E714FE">
        <w:rPr>
          <w:rStyle w:val="Boldtext"/>
        </w:rPr>
        <w:t>stakeholder recommended separate funding for GEDSI initiatives</w:t>
      </w:r>
      <w:r>
        <w:rPr>
          <w:rStyle w:val="Boldtext"/>
        </w:rPr>
        <w:t xml:space="preserve"> within the MAGC programme</w:t>
      </w:r>
      <w:r w:rsidR="00267ADE" w:rsidRPr="00267ADE">
        <w:t>, particularly on the advisory side, to ensure adequate resources are dedicated to achieving social impact outcomes.</w:t>
      </w:r>
      <w:r w:rsidR="00600713">
        <w:t xml:space="preserve"> As noted above, this would require careful </w:t>
      </w:r>
      <w:r>
        <w:t>collaboration with the delivery partner, if they are already delivering against social inclusion objectives in other areas of work</w:t>
      </w:r>
      <w:r w:rsidR="00600713">
        <w:t xml:space="preserve">. </w:t>
      </w:r>
    </w:p>
    <w:p w14:paraId="1ADB2AD6" w14:textId="72575FF5" w:rsidR="00267ADE" w:rsidRPr="00267ADE" w:rsidRDefault="00E714FE" w:rsidP="00267ADE">
      <w:r>
        <w:t xml:space="preserve">As discussed under the next question, </w:t>
      </w:r>
      <w:r w:rsidRPr="006813DB">
        <w:rPr>
          <w:rStyle w:val="Boldtext"/>
        </w:rPr>
        <w:t>w</w:t>
      </w:r>
      <w:r w:rsidR="00267ADE" w:rsidRPr="006813DB">
        <w:rPr>
          <w:rStyle w:val="Boldtext"/>
        </w:rPr>
        <w:t>orking with experts to identify key entry points for GEDSI outcomes is essential.</w:t>
      </w:r>
      <w:r w:rsidR="00267ADE" w:rsidRPr="00267ADE">
        <w:t xml:space="preserve"> </w:t>
      </w:r>
      <w:r w:rsidR="006813DB" w:rsidRPr="006813DB">
        <w:t>One approach suggested is to prioritise specific objectives such as increasing the participation of women in the workforce</w:t>
      </w:r>
      <w:r w:rsidR="00600713">
        <w:t xml:space="preserve"> amongst IFC clients</w:t>
      </w:r>
      <w:r w:rsidR="006813DB" w:rsidRPr="006813DB">
        <w:t xml:space="preserve"> or enhancing social housing initiatives, rather than setting broad objectives that are harder to achieve.</w:t>
      </w:r>
    </w:p>
    <w:p w14:paraId="241E4423" w14:textId="7E5A7E79" w:rsidR="00267ADE" w:rsidRPr="00267ADE" w:rsidRDefault="006813DB" w:rsidP="00267ADE">
      <w:r>
        <w:t xml:space="preserve">There was support for integration of GEDSI considerations into programming objectives across all stakeholder groups, and for some organisations already aligns with their objectives and approaches.  </w:t>
      </w:r>
    </w:p>
    <w:p w14:paraId="1F456CCE" w14:textId="051D8069" w:rsidR="00483CE3" w:rsidRPr="006813DB" w:rsidRDefault="006813DB" w:rsidP="00483CE3">
      <w:pPr>
        <w:rPr>
          <w:i/>
        </w:rPr>
      </w:pPr>
      <w:r w:rsidRPr="006813DB">
        <w:rPr>
          <w:rStyle w:val="Italic"/>
        </w:rPr>
        <w:t>“Maybe we can define certain income categories, and maybe women, or maybe widows</w:t>
      </w:r>
      <w:r w:rsidR="00600713">
        <w:rPr>
          <w:rStyle w:val="FootnoteReference"/>
          <w:i/>
        </w:rPr>
        <w:footnoteReference w:id="25"/>
      </w:r>
      <w:r w:rsidRPr="006813DB">
        <w:rPr>
          <w:rStyle w:val="Italic"/>
        </w:rPr>
        <w:t>, or more marginalised groups, and we provide them with more incentives and more subsidies related to green houses and their deliveries to them."</w:t>
      </w:r>
      <w:r w:rsidR="00E722A0">
        <w:rPr>
          <w:rStyle w:val="Italic"/>
        </w:rPr>
        <w:t xml:space="preserve"> </w:t>
      </w:r>
      <w:r w:rsidR="003375FE">
        <w:rPr>
          <w:rStyle w:val="Italic"/>
        </w:rPr>
        <w:t>(Policy stakeholder, Egypt)</w:t>
      </w:r>
      <w:r w:rsidRPr="006813DB">
        <w:rPr>
          <w:rStyle w:val="Italic"/>
        </w:rPr>
        <w:t xml:space="preserve"> </w:t>
      </w:r>
    </w:p>
    <w:p w14:paraId="7851D785" w14:textId="2FF589A8" w:rsidR="00B60386" w:rsidRPr="00BD6949" w:rsidRDefault="00B60386" w:rsidP="00B60386">
      <w:pPr>
        <w:pStyle w:val="Textbox"/>
        <w:rPr>
          <w:rStyle w:val="Italic"/>
        </w:rPr>
      </w:pPr>
      <w:r w:rsidRPr="00B60386">
        <w:rPr>
          <w:rStyle w:val="Italic"/>
        </w:rPr>
        <w:t>How can different stakeholder groups in future programming facilitate the inclusion of GEDSI in design and delivery?</w:t>
      </w:r>
    </w:p>
    <w:p w14:paraId="65EE4849" w14:textId="76D3F920" w:rsidR="004711F9" w:rsidRPr="004711F9" w:rsidRDefault="00D77F5C" w:rsidP="004711F9">
      <w:r w:rsidRPr="00D77F5C">
        <w:t xml:space="preserve">The inclusion of GEDSI in the design and delivery of green construction programmes is feasible with the active participation of diverse stakeholder groups </w:t>
      </w:r>
      <w:r>
        <w:t xml:space="preserve">and a </w:t>
      </w:r>
      <w:r w:rsidRPr="00D77F5C">
        <w:t xml:space="preserve">collaborative, multi-stakeholder approach. </w:t>
      </w:r>
    </w:p>
    <w:p w14:paraId="6B699BCE" w14:textId="2AA1C806" w:rsidR="00D77F5C" w:rsidRDefault="004711F9" w:rsidP="004711F9">
      <w:r w:rsidRPr="004711F9">
        <w:rPr>
          <w:rStyle w:val="Boldtext"/>
        </w:rPr>
        <w:t>A multi-stakeholder approach involving collaboration among experts in different fields is critical for the successful integration of GEDSI objectives.</w:t>
      </w:r>
      <w:r w:rsidRPr="004711F9">
        <w:t xml:space="preserve"> </w:t>
      </w:r>
      <w:r w:rsidR="008B7271">
        <w:t>T0 s</w:t>
      </w:r>
      <w:r w:rsidR="00D77F5C">
        <w:t>takeholders cited the importance of IFC and DESNZ working with the following groups to support re-design and delivery approaches where possible:</w:t>
      </w:r>
    </w:p>
    <w:p w14:paraId="011F2DD5" w14:textId="546875FA" w:rsidR="00D77F5C" w:rsidRDefault="00D77F5C" w:rsidP="00D77F5C">
      <w:pPr>
        <w:pStyle w:val="DESNZbulletedlist"/>
      </w:pPr>
      <w:r>
        <w:t>Experts in</w:t>
      </w:r>
      <w:r w:rsidR="004711F9" w:rsidRPr="004711F9">
        <w:t xml:space="preserve"> international climate finance</w:t>
      </w:r>
      <w:r w:rsidR="00CE4C78">
        <w:t>.</w:t>
      </w:r>
    </w:p>
    <w:p w14:paraId="6FB46FC4" w14:textId="60A48751" w:rsidR="00D77F5C" w:rsidRDefault="00D77F5C" w:rsidP="00D77F5C">
      <w:pPr>
        <w:pStyle w:val="DESNZbulletedlist"/>
      </w:pPr>
      <w:r>
        <w:t>GEDSI experts</w:t>
      </w:r>
      <w:r w:rsidR="00CE4C78">
        <w:t>.</w:t>
      </w:r>
    </w:p>
    <w:p w14:paraId="058F8E16" w14:textId="5813566A" w:rsidR="00D77F5C" w:rsidRDefault="00D77F5C" w:rsidP="00D77F5C">
      <w:pPr>
        <w:pStyle w:val="DESNZbulletedlist"/>
      </w:pPr>
      <w:r>
        <w:t>G</w:t>
      </w:r>
      <w:r w:rsidR="004711F9" w:rsidRPr="004711F9">
        <w:t>overnment ministries</w:t>
      </w:r>
      <w:r w:rsidR="00CE4C78">
        <w:t>.</w:t>
      </w:r>
    </w:p>
    <w:p w14:paraId="08A9FD24" w14:textId="33E19E70" w:rsidR="00D77F5C" w:rsidRDefault="00D77F5C" w:rsidP="00D77F5C">
      <w:pPr>
        <w:pStyle w:val="DESNZbulletedlist"/>
      </w:pPr>
      <w:r>
        <w:t>F</w:t>
      </w:r>
      <w:r w:rsidR="004711F9" w:rsidRPr="004711F9">
        <w:t>inancial institutions</w:t>
      </w:r>
      <w:r w:rsidR="00CE4C78">
        <w:t>.</w:t>
      </w:r>
    </w:p>
    <w:p w14:paraId="2A0176AB" w14:textId="0CA607C8" w:rsidR="004711F9" w:rsidRPr="004711F9" w:rsidRDefault="00D77F5C" w:rsidP="00C55EA0">
      <w:pPr>
        <w:pStyle w:val="DESNZbulletedlist"/>
      </w:pPr>
      <w:r>
        <w:lastRenderedPageBreak/>
        <w:t>C</w:t>
      </w:r>
      <w:r w:rsidR="004711F9" w:rsidRPr="004711F9">
        <w:t>ommunity organisations</w:t>
      </w:r>
      <w:r w:rsidR="00CE4C78">
        <w:t>.</w:t>
      </w:r>
      <w:r w:rsidR="004711F9" w:rsidRPr="004711F9">
        <w:t xml:space="preserve"> </w:t>
      </w:r>
    </w:p>
    <w:p w14:paraId="026B716E" w14:textId="1AB5C305" w:rsidR="004711F9" w:rsidRPr="004711F9" w:rsidRDefault="00D77F5C" w:rsidP="004711F9">
      <w:proofErr w:type="gramStart"/>
      <w:r>
        <w:rPr>
          <w:rStyle w:val="Boldtext"/>
        </w:rPr>
        <w:t>I</w:t>
      </w:r>
      <w:r w:rsidRPr="00D77F5C">
        <w:rPr>
          <w:rStyle w:val="Boldtext"/>
        </w:rPr>
        <w:t>n part</w:t>
      </w:r>
      <w:r>
        <w:rPr>
          <w:rStyle w:val="Boldtext"/>
        </w:rPr>
        <w:t>i</w:t>
      </w:r>
      <w:r w:rsidRPr="00D77F5C">
        <w:rPr>
          <w:rStyle w:val="Boldtext"/>
        </w:rPr>
        <w:t>cular</w:t>
      </w:r>
      <w:r>
        <w:rPr>
          <w:rStyle w:val="Boldtext"/>
        </w:rPr>
        <w:t xml:space="preserve">, </w:t>
      </w:r>
      <w:r w:rsidR="008B7271">
        <w:rPr>
          <w:rStyle w:val="Boldtext"/>
        </w:rPr>
        <w:t>T0</w:t>
      </w:r>
      <w:proofErr w:type="gramEnd"/>
      <w:r w:rsidR="008B7271">
        <w:rPr>
          <w:rStyle w:val="Boldtext"/>
        </w:rPr>
        <w:t xml:space="preserve"> </w:t>
      </w:r>
      <w:r>
        <w:rPr>
          <w:rStyle w:val="Boldtext"/>
        </w:rPr>
        <w:t>stakeholders highlighted the need to i</w:t>
      </w:r>
      <w:r w:rsidR="004711F9" w:rsidRPr="00D77F5C">
        <w:rPr>
          <w:rStyle w:val="Boldtext"/>
        </w:rPr>
        <w:t>ncorpora</w:t>
      </w:r>
      <w:r>
        <w:rPr>
          <w:rStyle w:val="Boldtext"/>
        </w:rPr>
        <w:t>te</w:t>
      </w:r>
      <w:r w:rsidR="004711F9" w:rsidRPr="00D77F5C">
        <w:rPr>
          <w:rStyle w:val="Boldtext"/>
        </w:rPr>
        <w:t xml:space="preserve"> GEDSI advisory support into the programme.</w:t>
      </w:r>
      <w:r w:rsidR="004711F9" w:rsidRPr="004711F9">
        <w:t xml:space="preserve"> </w:t>
      </w:r>
      <w:r>
        <w:t>One suggested approach was to hire</w:t>
      </w:r>
      <w:r w:rsidR="004711F9" w:rsidRPr="004711F9">
        <w:t xml:space="preserve"> </w:t>
      </w:r>
      <w:r>
        <w:t>one or multiple</w:t>
      </w:r>
      <w:r w:rsidR="004711F9" w:rsidRPr="004711F9">
        <w:t xml:space="preserve"> dedicated social development advisor</w:t>
      </w:r>
      <w:r w:rsidR="0078054D">
        <w:t>s</w:t>
      </w:r>
      <w:r w:rsidR="004711F9" w:rsidRPr="004711F9">
        <w:t xml:space="preserve"> </w:t>
      </w:r>
      <w:r>
        <w:t>to work with</w:t>
      </w:r>
      <w:r w:rsidR="004711F9" w:rsidRPr="004711F9">
        <w:t xml:space="preserve"> DESNZ and IFC</w:t>
      </w:r>
      <w:r w:rsidR="008B7271">
        <w:t xml:space="preserve"> and</w:t>
      </w:r>
      <w:r w:rsidR="004711F9" w:rsidRPr="004711F9">
        <w:t xml:space="preserve"> provide the necessary expertise to integrate GEDSI aims into programme design and implementation.</w:t>
      </w:r>
      <w:r w:rsidR="008B7271">
        <w:t xml:space="preserve"> As previously </w:t>
      </w:r>
      <w:proofErr w:type="gramStart"/>
      <w:r w:rsidR="008B7271">
        <w:t>noted,  if</w:t>
      </w:r>
      <w:proofErr w:type="gramEnd"/>
      <w:r w:rsidR="008B7271">
        <w:t xml:space="preserve"> MAGC were to integrate GEDSI aims into its design and implementation</w:t>
      </w:r>
      <w:r w:rsidR="00EB156C">
        <w:t>,</w:t>
      </w:r>
      <w:r w:rsidR="00EB156C" w:rsidRPr="00EB156C">
        <w:t xml:space="preserve"> </w:t>
      </w:r>
      <w:r w:rsidR="00EB156C">
        <w:t>this would need to be carefully designed in collaboration with the delivery partner, who may already be delivering against social inclusion objectives in other areas of work.</w:t>
      </w:r>
    </w:p>
    <w:p w14:paraId="507A91DF" w14:textId="22C02FD8" w:rsidR="004711F9" w:rsidRDefault="00D77F5C" w:rsidP="004711F9">
      <w:r w:rsidRPr="00D77F5C">
        <w:rPr>
          <w:rStyle w:val="Boldtext"/>
        </w:rPr>
        <w:t xml:space="preserve">Stakeholders </w:t>
      </w:r>
      <w:r>
        <w:rPr>
          <w:rStyle w:val="Boldtext"/>
        </w:rPr>
        <w:t xml:space="preserve">also </w:t>
      </w:r>
      <w:r w:rsidRPr="00D77F5C">
        <w:rPr>
          <w:rStyle w:val="Boldtext"/>
        </w:rPr>
        <w:t>described how d</w:t>
      </w:r>
      <w:r w:rsidR="004711F9" w:rsidRPr="00D77F5C">
        <w:rPr>
          <w:rStyle w:val="Boldtext"/>
        </w:rPr>
        <w:t>evelopers and investors play a key role in driving the business case for green building projects and influencing social outcomes.</w:t>
      </w:r>
      <w:r w:rsidR="004711F9" w:rsidRPr="004711F9">
        <w:t xml:space="preserve"> </w:t>
      </w:r>
      <w:r>
        <w:t xml:space="preserve">For example, </w:t>
      </w:r>
      <w:r w:rsidR="004711F9" w:rsidRPr="004711F9">
        <w:t xml:space="preserve">financial institutions </w:t>
      </w:r>
      <w:r>
        <w:t>can</w:t>
      </w:r>
      <w:r w:rsidR="004711F9" w:rsidRPr="004711F9">
        <w:t xml:space="preserve"> incorporat</w:t>
      </w:r>
      <w:r>
        <w:t>e</w:t>
      </w:r>
      <w:r w:rsidR="004711F9" w:rsidRPr="004711F9">
        <w:t xml:space="preserve"> GEDSI features into green building financial products. Developers can commit to minimum quotas for women and other underrepresented groups in their project workforce and supply chain, partner with local SMEs and community organisations, and adopt universal design principles for accessibility.</w:t>
      </w:r>
    </w:p>
    <w:p w14:paraId="43992B1D" w14:textId="22DB106D" w:rsidR="000E77C6" w:rsidRPr="004711F9" w:rsidRDefault="000E77C6" w:rsidP="004711F9">
      <w:r>
        <w:t xml:space="preserve">In terms of next steps, a stakeholder mapping activity would support ICF and DESNZ to ensure the right experts are involved in designing future iterations of the programme. If GEDSI principles are to be further integrated into future programme design, working with experts will be key to ensuring this is done appropriately, feasibly and in line with best practice. </w:t>
      </w:r>
    </w:p>
    <w:p w14:paraId="02EA7F3E" w14:textId="3A3F7473" w:rsidR="00B60386" w:rsidRPr="00BD6949" w:rsidRDefault="00B60386" w:rsidP="00B60386">
      <w:pPr>
        <w:pStyle w:val="Textbox"/>
        <w:rPr>
          <w:rStyle w:val="Italic"/>
        </w:rPr>
      </w:pPr>
      <w:r w:rsidRPr="00B60386">
        <w:rPr>
          <w:rStyle w:val="Italic"/>
        </w:rPr>
        <w:t xml:space="preserve">What indicators would it have been useful to include in the original </w:t>
      </w:r>
      <w:proofErr w:type="spellStart"/>
      <w:r w:rsidRPr="00B60386">
        <w:rPr>
          <w:rStyle w:val="Italic"/>
        </w:rPr>
        <w:t>logframe</w:t>
      </w:r>
      <w:proofErr w:type="spellEnd"/>
      <w:r w:rsidRPr="00B60386">
        <w:rPr>
          <w:rStyle w:val="Italic"/>
        </w:rPr>
        <w:t xml:space="preserve"> to monitor GEDSI objectives? Which GEDSI indicators would it be useful to include in future programme monitoring processes?</w:t>
      </w:r>
    </w:p>
    <w:bookmarkEnd w:id="37"/>
    <w:p w14:paraId="25C502CB" w14:textId="18AF057D" w:rsidR="0004203E" w:rsidRPr="0004203E" w:rsidRDefault="0004203E" w:rsidP="0004203E">
      <w:r>
        <w:t xml:space="preserve">Stakeholders identified a range of </w:t>
      </w:r>
      <w:bookmarkStart w:id="41" w:name="_Hlk181092716"/>
      <w:r>
        <w:t>GEDSI</w:t>
      </w:r>
      <w:r w:rsidRPr="0004203E">
        <w:t xml:space="preserve"> indicators </w:t>
      </w:r>
      <w:r>
        <w:t xml:space="preserve">that would support monitoring processes and </w:t>
      </w:r>
      <w:r w:rsidRPr="0004203E">
        <w:t>ensure that green construction initiatives are inclusive and equitable</w:t>
      </w:r>
      <w:bookmarkEnd w:id="41"/>
      <w:r>
        <w:t>. These indicators are summarised below:</w:t>
      </w:r>
    </w:p>
    <w:p w14:paraId="73F0B099" w14:textId="14DC7D71" w:rsidR="0004203E" w:rsidRDefault="0004203E" w:rsidP="0004203E">
      <w:pPr>
        <w:pStyle w:val="DESNZbulletedlist"/>
      </w:pPr>
      <w:r w:rsidRPr="0004203E">
        <w:rPr>
          <w:rStyle w:val="Boldtext"/>
        </w:rPr>
        <w:t>Gender representation in training and events:</w:t>
      </w:r>
      <w:r w:rsidRPr="0004203E">
        <w:t xml:space="preserve"> Track</w:t>
      </w:r>
      <w:r>
        <w:t>ing</w:t>
      </w:r>
      <w:r w:rsidRPr="0004203E">
        <w:t xml:space="preserve"> the gender representation of participants in</w:t>
      </w:r>
      <w:r>
        <w:t xml:space="preserve"> MAGC</w:t>
      </w:r>
      <w:r w:rsidRPr="0004203E">
        <w:t xml:space="preserve"> training sessions, workshops, and events.</w:t>
      </w:r>
    </w:p>
    <w:p w14:paraId="1BD778B9" w14:textId="14BF6F5D" w:rsidR="0004203E" w:rsidRDefault="0004203E" w:rsidP="0004203E">
      <w:pPr>
        <w:pStyle w:val="DESNZbulletedlist"/>
      </w:pPr>
      <w:r w:rsidRPr="0004203E">
        <w:rPr>
          <w:rStyle w:val="Boldtext"/>
        </w:rPr>
        <w:t xml:space="preserve">Contextually relevant project indicators: </w:t>
      </w:r>
      <w:r w:rsidRPr="0004203E">
        <w:t>Indicators</w:t>
      </w:r>
      <w:r>
        <w:t xml:space="preserve"> relating to</w:t>
      </w:r>
      <w:r w:rsidRPr="0004203E">
        <w:t xml:space="preserve"> </w:t>
      </w:r>
      <w:r>
        <w:t>specific marginalised groups who would be most likely to benefit from a</w:t>
      </w:r>
      <w:r w:rsidRPr="0004203E">
        <w:t xml:space="preserve"> project</w:t>
      </w:r>
      <w:r>
        <w:t>, e.g. proportion of affordable houses built, proportion of female heads of household accessing green finance packages.</w:t>
      </w:r>
      <w:r w:rsidR="008B7271">
        <w:t xml:space="preserve"> Given the presence of other IFC facilities which have social inclusion aims, contextual information would need to be recorded to provide information on MAGC’s potential attribution.</w:t>
      </w:r>
    </w:p>
    <w:p w14:paraId="13FF567E" w14:textId="3D948CB0" w:rsidR="0004203E" w:rsidRDefault="0004203E" w:rsidP="005043A2">
      <w:pPr>
        <w:pStyle w:val="DESNZbulletedlist"/>
      </w:pPr>
      <w:r w:rsidRPr="007C3BD7">
        <w:rPr>
          <w:rStyle w:val="Boldtext"/>
        </w:rPr>
        <w:t>Women-led or owned SMEs in green building projects:</w:t>
      </w:r>
      <w:r>
        <w:t xml:space="preserve"> </w:t>
      </w:r>
      <w:r w:rsidRPr="0004203E">
        <w:t>Monitor</w:t>
      </w:r>
      <w:r>
        <w:t>ing</w:t>
      </w:r>
      <w:r w:rsidRPr="0004203E">
        <w:t xml:space="preserve"> the involvement of women-led or owned </w:t>
      </w:r>
      <w:r>
        <w:t>SMEs</w:t>
      </w:r>
      <w:r w:rsidRPr="0004203E">
        <w:t xml:space="preserve"> in green building projects supported by MAGC</w:t>
      </w:r>
      <w:r>
        <w:t xml:space="preserve">, </w:t>
      </w:r>
      <w:r w:rsidR="007C3BD7">
        <w:t>t</w:t>
      </w:r>
      <w:r w:rsidR="002251D8">
        <w:t>o</w:t>
      </w:r>
      <w:r w:rsidR="007C3BD7">
        <w:t xml:space="preserve"> understand whether MAGC is </w:t>
      </w:r>
      <w:r w:rsidRPr="0004203E">
        <w:t>encouraging the participation of women entrepreneurs in green construction.</w:t>
      </w:r>
      <w:r w:rsidR="008B7271">
        <w:t xml:space="preserve"> Currently IFC has no access to information about developers’ suppliers and sub-contractors</w:t>
      </w:r>
      <w:r w:rsidR="00CE4C78">
        <w:t>.</w:t>
      </w:r>
      <w:r w:rsidR="008B7271">
        <w:t xml:space="preserve"> </w:t>
      </w:r>
      <w:r w:rsidR="00CE4C78">
        <w:t xml:space="preserve">However, </w:t>
      </w:r>
      <w:r w:rsidR="008B7271">
        <w:t>it could be explored whether adding these metrics to suppliers’ monitoring information reports could be feasible.</w:t>
      </w:r>
    </w:p>
    <w:p w14:paraId="35349C8D" w14:textId="4A075202" w:rsidR="0004203E" w:rsidRDefault="0004203E" w:rsidP="0004203E">
      <w:pPr>
        <w:pStyle w:val="DESNZbulletedlist"/>
      </w:pPr>
      <w:r w:rsidRPr="007C3BD7">
        <w:rPr>
          <w:rStyle w:val="Boldtext"/>
        </w:rPr>
        <w:lastRenderedPageBreak/>
        <w:t>Affordable housing allocation:</w:t>
      </w:r>
      <w:r w:rsidRPr="0004203E">
        <w:t xml:space="preserve"> </w:t>
      </w:r>
      <w:r w:rsidR="00C74238">
        <w:t>As MAGC now includes an affordable housing allocation, m</w:t>
      </w:r>
      <w:r w:rsidRPr="0004203E">
        <w:t>easur</w:t>
      </w:r>
      <w:r>
        <w:t>ing</w:t>
      </w:r>
      <w:r w:rsidRPr="0004203E">
        <w:t xml:space="preserve"> the </w:t>
      </w:r>
      <w:r>
        <w:t>proportion</w:t>
      </w:r>
      <w:r w:rsidRPr="0004203E">
        <w:t xml:space="preserve"> of affordable housing units within MAGC-supported green developments allocated to low-income families and other marginalised groups</w:t>
      </w:r>
      <w:r>
        <w:t>.</w:t>
      </w:r>
      <w:r w:rsidR="004B251C">
        <w:t xml:space="preserve"> Reviewing monitoring systems to make it easier to track the impact of affordable housing on marginalised groups.</w:t>
      </w:r>
    </w:p>
    <w:p w14:paraId="48DB6BF7" w14:textId="5D9A9689" w:rsidR="007C3BD7" w:rsidRDefault="0004203E" w:rsidP="0004203E">
      <w:pPr>
        <w:pStyle w:val="DESNZbulletedlist"/>
      </w:pPr>
      <w:r w:rsidRPr="007C3BD7">
        <w:rPr>
          <w:rStyle w:val="Boldtext"/>
        </w:rPr>
        <w:t>Local community enterprise contracts:</w:t>
      </w:r>
      <w:r>
        <w:t xml:space="preserve"> M</w:t>
      </w:r>
      <w:r w:rsidRPr="0004203E">
        <w:t>onitor</w:t>
      </w:r>
      <w:r>
        <w:t>ing</w:t>
      </w:r>
      <w:r w:rsidRPr="0004203E">
        <w:t xml:space="preserve"> the number of green building contracts won by local community enterprises linked to MAGC </w:t>
      </w:r>
      <w:r w:rsidR="004B251C">
        <w:t xml:space="preserve">investments </w:t>
      </w:r>
      <w:r>
        <w:t>to assess whether</w:t>
      </w:r>
      <w:r w:rsidRPr="0004203E">
        <w:t xml:space="preserve"> the benefits of green construction projects are </w:t>
      </w:r>
      <w:r>
        <w:t xml:space="preserve">being </w:t>
      </w:r>
      <w:r w:rsidRPr="0004203E">
        <w:t>shared with the local community.</w:t>
      </w:r>
    </w:p>
    <w:p w14:paraId="4DE756A6" w14:textId="77777777" w:rsidR="007C3BD7" w:rsidRDefault="0004203E" w:rsidP="007C3BD7">
      <w:pPr>
        <w:pStyle w:val="DESNZbulletedlist"/>
      </w:pPr>
      <w:r w:rsidRPr="007C3BD7">
        <w:rPr>
          <w:rStyle w:val="Boldtext"/>
        </w:rPr>
        <w:t xml:space="preserve">Access to </w:t>
      </w:r>
      <w:r w:rsidR="007C3BD7" w:rsidRPr="007C3BD7">
        <w:rPr>
          <w:rStyle w:val="Boldtext"/>
        </w:rPr>
        <w:t>g</w:t>
      </w:r>
      <w:r w:rsidRPr="007C3BD7">
        <w:rPr>
          <w:rStyle w:val="Boldtext"/>
        </w:rPr>
        <w:t xml:space="preserve">reen </w:t>
      </w:r>
      <w:r w:rsidR="007C3BD7" w:rsidRPr="007C3BD7">
        <w:rPr>
          <w:rStyle w:val="Boldtext"/>
        </w:rPr>
        <w:t>s</w:t>
      </w:r>
      <w:r w:rsidRPr="007C3BD7">
        <w:rPr>
          <w:rStyle w:val="Boldtext"/>
        </w:rPr>
        <w:t xml:space="preserve">paces, </w:t>
      </w:r>
      <w:r w:rsidR="007C3BD7" w:rsidRPr="007C3BD7">
        <w:rPr>
          <w:rStyle w:val="Boldtext"/>
        </w:rPr>
        <w:t>c</w:t>
      </w:r>
      <w:r w:rsidRPr="007C3BD7">
        <w:rPr>
          <w:rStyle w:val="Boldtext"/>
        </w:rPr>
        <w:t xml:space="preserve">lean </w:t>
      </w:r>
      <w:r w:rsidR="007C3BD7" w:rsidRPr="007C3BD7">
        <w:rPr>
          <w:rStyle w:val="Boldtext"/>
        </w:rPr>
        <w:t>e</w:t>
      </w:r>
      <w:r w:rsidRPr="007C3BD7">
        <w:rPr>
          <w:rStyle w:val="Boldtext"/>
        </w:rPr>
        <w:t xml:space="preserve">nergy, and </w:t>
      </w:r>
      <w:r w:rsidR="007C3BD7" w:rsidRPr="007C3BD7">
        <w:rPr>
          <w:rStyle w:val="Boldtext"/>
        </w:rPr>
        <w:t>s</w:t>
      </w:r>
      <w:r w:rsidRPr="007C3BD7">
        <w:rPr>
          <w:rStyle w:val="Boldtext"/>
        </w:rPr>
        <w:t xml:space="preserve">afe </w:t>
      </w:r>
      <w:r w:rsidR="007C3BD7" w:rsidRPr="007C3BD7">
        <w:rPr>
          <w:rStyle w:val="Boldtext"/>
        </w:rPr>
        <w:t>w</w:t>
      </w:r>
      <w:r w:rsidRPr="007C3BD7">
        <w:rPr>
          <w:rStyle w:val="Boldtext"/>
        </w:rPr>
        <w:t>ater</w:t>
      </w:r>
      <w:r w:rsidR="007C3BD7" w:rsidRPr="007C3BD7">
        <w:rPr>
          <w:rStyle w:val="Boldtext"/>
        </w:rPr>
        <w:t>:</w:t>
      </w:r>
      <w:r w:rsidR="007C3BD7">
        <w:t xml:space="preserve"> </w:t>
      </w:r>
      <w:r w:rsidRPr="0004203E">
        <w:t>Track</w:t>
      </w:r>
      <w:r w:rsidR="007C3BD7">
        <w:t>ing</w:t>
      </w:r>
      <w:r w:rsidRPr="0004203E">
        <w:t xml:space="preserve"> improvements in access to green spaces, clean energy, and safe water for underserved communities living near MAGC project sites.</w:t>
      </w:r>
    </w:p>
    <w:p w14:paraId="02879107" w14:textId="77777777" w:rsidR="007C3BD7" w:rsidRDefault="0004203E" w:rsidP="007C3BD7">
      <w:pPr>
        <w:pStyle w:val="DESNZbulletedlist"/>
      </w:pPr>
      <w:r w:rsidRPr="007C3BD7">
        <w:rPr>
          <w:rStyle w:val="Boldtext"/>
        </w:rPr>
        <w:t xml:space="preserve">Awareness and </w:t>
      </w:r>
      <w:r w:rsidR="007C3BD7" w:rsidRPr="007C3BD7">
        <w:rPr>
          <w:rStyle w:val="Boldtext"/>
        </w:rPr>
        <w:t>c</w:t>
      </w:r>
      <w:r w:rsidRPr="007C3BD7">
        <w:rPr>
          <w:rStyle w:val="Boldtext"/>
        </w:rPr>
        <w:t xml:space="preserve">apacity </w:t>
      </w:r>
      <w:r w:rsidR="007C3BD7" w:rsidRPr="007C3BD7">
        <w:rPr>
          <w:rStyle w:val="Boldtext"/>
        </w:rPr>
        <w:t>b</w:t>
      </w:r>
      <w:r w:rsidRPr="007C3BD7">
        <w:rPr>
          <w:rStyle w:val="Boldtext"/>
        </w:rPr>
        <w:t>uilding</w:t>
      </w:r>
      <w:r w:rsidR="007C3BD7" w:rsidRPr="007C3BD7">
        <w:rPr>
          <w:rStyle w:val="Boldtext"/>
        </w:rPr>
        <w:t>:</w:t>
      </w:r>
      <w:r w:rsidR="007C3BD7">
        <w:t xml:space="preserve"> </w:t>
      </w:r>
      <w:r w:rsidRPr="0004203E">
        <w:t>Measur</w:t>
      </w:r>
      <w:r w:rsidR="007C3BD7">
        <w:t>ing whether</w:t>
      </w:r>
      <w:r w:rsidRPr="0004203E">
        <w:t xml:space="preserve"> awareness and capacity of developers, policymakers, and financial institutions on inclusive green building strategies</w:t>
      </w:r>
      <w:r w:rsidR="007C3BD7" w:rsidRPr="007C3BD7">
        <w:t xml:space="preserve"> has increased</w:t>
      </w:r>
      <w:r w:rsidRPr="0004203E">
        <w:t>.</w:t>
      </w:r>
    </w:p>
    <w:p w14:paraId="38BB8966" w14:textId="1F9FF626" w:rsidR="00C97564" w:rsidRDefault="007C3BD7" w:rsidP="00E722A0">
      <w:pPr>
        <w:rPr>
          <w:rFonts w:eastAsiaTheme="majorEastAsia" w:cstheme="majorBidi"/>
          <w:color w:val="041E42"/>
          <w:sz w:val="52"/>
          <w:szCs w:val="32"/>
        </w:rPr>
      </w:pPr>
      <w:r>
        <w:t>As discussed previously, the involvement of GEDSI experts to identify key indicators would be a key step if GEDSI outcomes are to be integrated into future MAGC programming.</w:t>
      </w:r>
      <w:r w:rsidR="00C97564">
        <w:br w:type="page"/>
      </w:r>
    </w:p>
    <w:p w14:paraId="1777471C" w14:textId="2760697C" w:rsidR="0049568D" w:rsidRPr="0049568D" w:rsidRDefault="0049568D" w:rsidP="0049568D">
      <w:pPr>
        <w:pStyle w:val="Heading1"/>
      </w:pPr>
      <w:bookmarkStart w:id="42" w:name="_Toc189154952"/>
      <w:r>
        <w:lastRenderedPageBreak/>
        <w:t>4 Conclusions and recommendations</w:t>
      </w:r>
      <w:bookmarkEnd w:id="42"/>
    </w:p>
    <w:p w14:paraId="2853620C" w14:textId="15E2039A" w:rsidR="00084EC3" w:rsidRPr="00084EC3" w:rsidRDefault="00CF0BB1" w:rsidP="00CF0BB1">
      <w:r w:rsidRPr="00CF0BB1">
        <w:rPr>
          <w:rStyle w:val="Boldtext"/>
        </w:rPr>
        <w:t>A key finding from this early outcome phase is that t</w:t>
      </w:r>
      <w:r w:rsidR="00084EC3" w:rsidRPr="00CF0BB1">
        <w:rPr>
          <w:rStyle w:val="Boldtext"/>
        </w:rPr>
        <w:t xml:space="preserve">he potential for green buildings to reduce the cost of living for marginalised groups is highly </w:t>
      </w:r>
      <w:r w:rsidR="00C74238" w:rsidRPr="00CF0BB1">
        <w:rPr>
          <w:rStyle w:val="Boldtext"/>
        </w:rPr>
        <w:t>context specific</w:t>
      </w:r>
      <w:r w:rsidR="00084EC3" w:rsidRPr="00CF0BB1">
        <w:rPr>
          <w:rStyle w:val="Boldtext"/>
        </w:rPr>
        <w:t>.</w:t>
      </w:r>
      <w:r w:rsidR="00084EC3" w:rsidRPr="00084EC3">
        <w:t xml:space="preserve"> While increased energy and water efficiency can lower utility bills, these benefits do not always reach marginalised groups</w:t>
      </w:r>
      <w:r w:rsidR="00CC38D7">
        <w:t>.</w:t>
      </w:r>
      <w:r>
        <w:t xml:space="preserve"> </w:t>
      </w:r>
      <w:r w:rsidR="00CC38D7">
        <w:t xml:space="preserve">Furthermore, </w:t>
      </w:r>
      <w:r>
        <w:t>the wider policy context is a key factor in determining who receives savings</w:t>
      </w:r>
      <w:r w:rsidR="00084EC3" w:rsidRPr="00084EC3">
        <w:t>. Financial support mechanisms, such as the EDGE self-build certificate programme, have shown promise in making green housing more accessible.</w:t>
      </w:r>
      <w:r>
        <w:t xml:space="preserve"> </w:t>
      </w:r>
    </w:p>
    <w:p w14:paraId="5FA968C8" w14:textId="7E45AA24" w:rsidR="00084EC3" w:rsidRPr="00084EC3" w:rsidRDefault="00CF0BB1" w:rsidP="00084EC3">
      <w:r w:rsidRPr="00CF0BB1">
        <w:rPr>
          <w:rStyle w:val="Boldtext"/>
        </w:rPr>
        <w:t>There is currently insufficient evidence on whether improved accessibility for people with disabilities could be an outcome of g</w:t>
      </w:r>
      <w:r w:rsidR="00084EC3" w:rsidRPr="00CF0BB1">
        <w:rPr>
          <w:rStyle w:val="Boldtext"/>
        </w:rPr>
        <w:t>reen buildings</w:t>
      </w:r>
      <w:r w:rsidRPr="00CF0BB1">
        <w:rPr>
          <w:rStyle w:val="Boldtext"/>
        </w:rPr>
        <w:t xml:space="preserve">. Further research is needed to understand how green construction can benefit different marginalised groups. </w:t>
      </w:r>
      <w:r>
        <w:t>The final phase of this evaluation will seek to gather more evidence against this</w:t>
      </w:r>
      <w:r w:rsidR="000E2463">
        <w:t xml:space="preserve"> through additional desk research and </w:t>
      </w:r>
      <w:r w:rsidR="000E2463" w:rsidRPr="000E2463">
        <w:t>T2</w:t>
      </w:r>
      <w:r w:rsidR="000E2463">
        <w:t>/</w:t>
      </w:r>
      <w:r w:rsidR="000E2463" w:rsidRPr="000E2463">
        <w:t>T3 interviews with in-country stakeholders</w:t>
      </w:r>
      <w:r>
        <w:t>.</w:t>
      </w:r>
    </w:p>
    <w:p w14:paraId="01259F25" w14:textId="44B9B507" w:rsidR="00084EC3" w:rsidRPr="00084EC3" w:rsidRDefault="00084EC3" w:rsidP="00084EC3">
      <w:r w:rsidRPr="00CF0BB1">
        <w:rPr>
          <w:rStyle w:val="Boldtext"/>
        </w:rPr>
        <w:t>Green buildings can</w:t>
      </w:r>
      <w:r w:rsidR="00CF0BB1" w:rsidRPr="00CF0BB1">
        <w:rPr>
          <w:rStyle w:val="Boldtext"/>
        </w:rPr>
        <w:t xml:space="preserve"> be seen to</w:t>
      </w:r>
      <w:r w:rsidRPr="00CF0BB1">
        <w:rPr>
          <w:rStyle w:val="Boldtext"/>
        </w:rPr>
        <w:t xml:space="preserve"> improve the standard of living for marginalised groups through thoughtful design, improved health and well-being, and community engagement.</w:t>
      </w:r>
      <w:r w:rsidRPr="00084EC3">
        <w:t xml:space="preserve"> </w:t>
      </w:r>
      <w:r w:rsidR="00CF0BB1">
        <w:t>P</w:t>
      </w:r>
      <w:r w:rsidRPr="00084EC3">
        <w:t>erson-centric and community-focused initiatives can enhance quality of life, though accessibility remains a concern.</w:t>
      </w:r>
    </w:p>
    <w:p w14:paraId="453DEE72" w14:textId="782DEAC2" w:rsidR="00084EC3" w:rsidRPr="00084EC3" w:rsidRDefault="00084EC3" w:rsidP="00084EC3">
      <w:r w:rsidRPr="00CF0BB1">
        <w:rPr>
          <w:rStyle w:val="Boldtext"/>
        </w:rPr>
        <w:t>MAGC has the potential to promote broader social benefits</w:t>
      </w:r>
      <w:r w:rsidRPr="00084EC3">
        <w:t>, such as revitalising neighbourhoods and creating job opportunities through urban regeneration projects. However, risks such as community displacement need to be carefully managed.</w:t>
      </w:r>
    </w:p>
    <w:p w14:paraId="0C163760" w14:textId="33A941BE" w:rsidR="00084EC3" w:rsidRPr="00084EC3" w:rsidRDefault="00CF0BB1" w:rsidP="00084EC3">
      <w:r>
        <w:t>The following recommendations have been identified:</w:t>
      </w:r>
    </w:p>
    <w:p w14:paraId="31C03A25" w14:textId="1BBBB76B" w:rsidR="00EE4EF0" w:rsidRDefault="00084EC3" w:rsidP="00084EC3">
      <w:pPr>
        <w:pStyle w:val="DESNZbulletedlist"/>
      </w:pPr>
      <w:r w:rsidRPr="00EE4EF0">
        <w:rPr>
          <w:rStyle w:val="Boldtext"/>
        </w:rPr>
        <w:t>Integrat</w:t>
      </w:r>
      <w:r w:rsidR="00CF0BB1" w:rsidRPr="00EE4EF0">
        <w:rPr>
          <w:rStyle w:val="Boldtext"/>
        </w:rPr>
        <w:t xml:space="preserve">ion of </w:t>
      </w:r>
      <w:r w:rsidRPr="00EE4EF0">
        <w:rPr>
          <w:rStyle w:val="Boldtext"/>
        </w:rPr>
        <w:t xml:space="preserve">GEDSI into </w:t>
      </w:r>
      <w:r w:rsidR="00CF0BB1" w:rsidRPr="00EE4EF0">
        <w:rPr>
          <w:rStyle w:val="Boldtext"/>
        </w:rPr>
        <w:t>p</w:t>
      </w:r>
      <w:r w:rsidRPr="00EE4EF0">
        <w:rPr>
          <w:rStyle w:val="Boldtext"/>
        </w:rPr>
        <w:t xml:space="preserve">rogramme </w:t>
      </w:r>
      <w:r w:rsidR="00CF0BB1" w:rsidRPr="00EE4EF0">
        <w:rPr>
          <w:rStyle w:val="Boldtext"/>
        </w:rPr>
        <w:t>d</w:t>
      </w:r>
      <w:r w:rsidRPr="00EE4EF0">
        <w:rPr>
          <w:rStyle w:val="Boldtext"/>
        </w:rPr>
        <w:t>esign</w:t>
      </w:r>
      <w:r w:rsidR="00CF0BB1" w:rsidRPr="00EE4EF0">
        <w:rPr>
          <w:rStyle w:val="Boldtext"/>
        </w:rPr>
        <w:t>:</w:t>
      </w:r>
      <w:r w:rsidR="00CF0BB1">
        <w:t xml:space="preserve"> </w:t>
      </w:r>
      <w:r w:rsidRPr="00084EC3">
        <w:t xml:space="preserve">A clear policy decision is needed </w:t>
      </w:r>
      <w:r w:rsidR="00CF0BB1">
        <w:t>on whether to</w:t>
      </w:r>
      <w:r w:rsidRPr="00084EC3">
        <w:t xml:space="preserve"> prioritise GEDSI outcomes in future iterations of MAGC. </w:t>
      </w:r>
      <w:r w:rsidR="00CF0BB1">
        <w:t>If this is agreed upon,</w:t>
      </w:r>
      <w:r w:rsidRPr="00084EC3">
        <w:t xml:space="preserve"> GEDSI principles </w:t>
      </w:r>
      <w:r w:rsidR="00CF0BB1">
        <w:t xml:space="preserve">need to be integrated </w:t>
      </w:r>
      <w:r w:rsidRPr="00084EC3">
        <w:t xml:space="preserve">from the outset, rather than retrofitting them </w:t>
      </w:r>
      <w:proofErr w:type="gramStart"/>
      <w:r w:rsidRPr="00084EC3">
        <w:t>later</w:t>
      </w:r>
      <w:r w:rsidR="00CF0BB1">
        <w:t xml:space="preserve"> on</w:t>
      </w:r>
      <w:proofErr w:type="gramEnd"/>
      <w:r w:rsidRPr="00084EC3">
        <w:t>.</w:t>
      </w:r>
      <w:r w:rsidR="00CF0BB1">
        <w:t xml:space="preserve"> S</w:t>
      </w:r>
      <w:r w:rsidRPr="00084EC3">
        <w:t xml:space="preserve">eparate funding for GEDSI initiatives </w:t>
      </w:r>
      <w:r w:rsidR="00CF0BB1">
        <w:t>would help</w:t>
      </w:r>
      <w:r w:rsidRPr="00084EC3">
        <w:t xml:space="preserve"> ensure adequate resources for achieving social impact outcomes</w:t>
      </w:r>
      <w:bookmarkStart w:id="43" w:name="_Hlk179819661"/>
      <w:r w:rsidR="00F630CB">
        <w:t>, without losing the reportedly higher mitigation outcomes associated with green construction of mid-end and luxury buildings</w:t>
      </w:r>
      <w:r w:rsidRPr="00084EC3">
        <w:t>.</w:t>
      </w:r>
      <w:r w:rsidR="00247E9A">
        <w:t xml:space="preserve"> This would reduce the risk of climate disbenefits and ensure the programme aligns with government priorities on the integration of social inclusion benefits into climate finance programming.</w:t>
      </w:r>
      <w:r w:rsidRPr="00084EC3">
        <w:t xml:space="preserve"> </w:t>
      </w:r>
      <w:bookmarkEnd w:id="43"/>
      <w:r w:rsidR="00CF0BB1">
        <w:t>IFC and DESNZ should work closely with</w:t>
      </w:r>
      <w:r w:rsidRPr="00084EC3">
        <w:t xml:space="preserve"> GEDSI experts to identify key entry points and develop contextually relevant indicators and strategies.</w:t>
      </w:r>
    </w:p>
    <w:p w14:paraId="3857F885" w14:textId="706259ED" w:rsidR="00EE4EF0" w:rsidRDefault="00084EC3" w:rsidP="00F6253B">
      <w:pPr>
        <w:pStyle w:val="DESNZbulletedlist"/>
      </w:pPr>
      <w:r w:rsidRPr="00EE4EF0">
        <w:rPr>
          <w:rStyle w:val="Boldtext"/>
        </w:rPr>
        <w:t>Promot</w:t>
      </w:r>
      <w:r w:rsidR="00EE4EF0" w:rsidRPr="00EE4EF0">
        <w:rPr>
          <w:rStyle w:val="Boldtext"/>
        </w:rPr>
        <w:t>ing</w:t>
      </w:r>
      <w:r w:rsidRPr="00EE4EF0">
        <w:rPr>
          <w:rStyle w:val="Boldtext"/>
        </w:rPr>
        <w:t xml:space="preserve"> </w:t>
      </w:r>
      <w:r w:rsidR="00EE4EF0" w:rsidRPr="00EE4EF0">
        <w:rPr>
          <w:rStyle w:val="Boldtext"/>
        </w:rPr>
        <w:t>w</w:t>
      </w:r>
      <w:r w:rsidRPr="00EE4EF0">
        <w:rPr>
          <w:rStyle w:val="Boldtext"/>
        </w:rPr>
        <w:t xml:space="preserve">omen's </w:t>
      </w:r>
      <w:r w:rsidR="00EE4EF0" w:rsidRPr="00EE4EF0">
        <w:rPr>
          <w:rStyle w:val="Boldtext"/>
        </w:rPr>
        <w:t>p</w:t>
      </w:r>
      <w:r w:rsidRPr="00EE4EF0">
        <w:rPr>
          <w:rStyle w:val="Boldtext"/>
        </w:rPr>
        <w:t>articipation:</w:t>
      </w:r>
      <w:r w:rsidR="00EE4EF0" w:rsidRPr="00EE4EF0">
        <w:rPr>
          <w:rStyle w:val="Boldtext"/>
        </w:rPr>
        <w:t xml:space="preserve"> </w:t>
      </w:r>
      <w:r w:rsidRPr="00084EC3">
        <w:t>Expand</w:t>
      </w:r>
      <w:r w:rsidR="00EE4EF0">
        <w:t>ing</w:t>
      </w:r>
      <w:r w:rsidRPr="00084EC3">
        <w:t xml:space="preserve"> targeted training and support for women to become EDGE </w:t>
      </w:r>
      <w:r w:rsidR="002F548E">
        <w:t>E</w:t>
      </w:r>
      <w:r w:rsidR="008B3555">
        <w:t>xpert</w:t>
      </w:r>
      <w:r w:rsidR="002F548E">
        <w:t>s</w:t>
      </w:r>
      <w:r w:rsidRPr="00084EC3">
        <w:t xml:space="preserve"> accredited</w:t>
      </w:r>
      <w:r w:rsidR="00EE4EF0">
        <w:t xml:space="preserve"> would support greater take-up and tackle sectoral barriers</w:t>
      </w:r>
      <w:r w:rsidRPr="00084EC3">
        <w:t xml:space="preserve">. </w:t>
      </w:r>
      <w:r w:rsidR="0020253D">
        <w:t>M</w:t>
      </w:r>
      <w:r w:rsidRPr="00084EC3">
        <w:t xml:space="preserve">entorship </w:t>
      </w:r>
      <w:r w:rsidR="0020253D">
        <w:t xml:space="preserve">and support </w:t>
      </w:r>
      <w:r w:rsidRPr="00084EC3">
        <w:t xml:space="preserve">programmes </w:t>
      </w:r>
      <w:r w:rsidR="00EE4EF0">
        <w:t xml:space="preserve">could </w:t>
      </w:r>
      <w:r w:rsidR="0020253D">
        <w:t xml:space="preserve">reduce </w:t>
      </w:r>
      <w:r w:rsidRPr="00084EC3">
        <w:t>barriers to entry.</w:t>
      </w:r>
    </w:p>
    <w:p w14:paraId="52C2E190" w14:textId="7667C4B5" w:rsidR="00EE4EF0" w:rsidRDefault="00084EC3" w:rsidP="00EF0B39">
      <w:pPr>
        <w:pStyle w:val="DESNZbulletedlist"/>
      </w:pPr>
      <w:r w:rsidRPr="00EE4EF0">
        <w:rPr>
          <w:rStyle w:val="Boldtext"/>
        </w:rPr>
        <w:t xml:space="preserve">Inclusive </w:t>
      </w:r>
      <w:r w:rsidR="00EE4EF0" w:rsidRPr="00EE4EF0">
        <w:rPr>
          <w:rStyle w:val="Boldtext"/>
        </w:rPr>
        <w:t>po</w:t>
      </w:r>
      <w:r w:rsidRPr="00EE4EF0">
        <w:rPr>
          <w:rStyle w:val="Boldtext"/>
        </w:rPr>
        <w:t>licies:</w:t>
      </w:r>
      <w:r w:rsidRPr="00084EC3">
        <w:t xml:space="preserve"> </w:t>
      </w:r>
      <w:r w:rsidR="00E55705">
        <w:t xml:space="preserve">IFC can encourage </w:t>
      </w:r>
      <w:r w:rsidR="00E55705" w:rsidRPr="00570AB5">
        <w:t>EDGE certification providers</w:t>
      </w:r>
      <w:r w:rsidR="00E55705">
        <w:t xml:space="preserve"> to include inclusive policies</w:t>
      </w:r>
      <w:r w:rsidR="00CC38D7">
        <w:t>.</w:t>
      </w:r>
      <w:r w:rsidR="00E55705">
        <w:t xml:space="preserve"> </w:t>
      </w:r>
      <w:r w:rsidR="00CC38D7">
        <w:t xml:space="preserve">For </w:t>
      </w:r>
      <w:proofErr w:type="gramStart"/>
      <w:r w:rsidR="00E55705">
        <w:t>example</w:t>
      </w:r>
      <w:proofErr w:type="gramEnd"/>
      <w:r w:rsidR="004C1F9E">
        <w:t xml:space="preserve"> this can be achieved through</w:t>
      </w:r>
      <w:r w:rsidR="00E55705">
        <w:t xml:space="preserve"> including this in initial information sharing, including </w:t>
      </w:r>
      <w:r w:rsidR="00E55705" w:rsidRPr="00351392">
        <w:t xml:space="preserve">guidance and recommendations </w:t>
      </w:r>
      <w:r w:rsidR="00E55705">
        <w:t xml:space="preserve">in the administration agreements signed with IFC, and integrating discussion into catch ups and information sharing/updates. IFC may also be able to encourage </w:t>
      </w:r>
      <w:r w:rsidRPr="00084EC3">
        <w:t xml:space="preserve">financial institutions to incorporate </w:t>
      </w:r>
      <w:r w:rsidRPr="00084EC3">
        <w:lastRenderedPageBreak/>
        <w:t xml:space="preserve">GEDSI features into their </w:t>
      </w:r>
      <w:r w:rsidR="008A1186">
        <w:t xml:space="preserve">green building </w:t>
      </w:r>
      <w:r w:rsidRPr="00084EC3">
        <w:t>projects and products</w:t>
      </w:r>
      <w:r w:rsidR="00CC38D7">
        <w:t>.</w:t>
      </w:r>
      <w:r w:rsidRPr="00084EC3">
        <w:t xml:space="preserve"> </w:t>
      </w:r>
      <w:r w:rsidR="00CC38D7">
        <w:t>This includes</w:t>
      </w:r>
      <w:r w:rsidRPr="00084EC3">
        <w:t xml:space="preserve"> setting quotas for women in the workforce </w:t>
      </w:r>
      <w:r w:rsidR="008A1186">
        <w:t>for green building projects</w:t>
      </w:r>
      <w:r w:rsidR="008A1186" w:rsidRPr="00084EC3">
        <w:t xml:space="preserve"> </w:t>
      </w:r>
      <w:r w:rsidRPr="00084EC3">
        <w:t xml:space="preserve">and </w:t>
      </w:r>
      <w:r w:rsidR="008A1186">
        <w:t xml:space="preserve">working with and </w:t>
      </w:r>
      <w:r w:rsidRPr="00084EC3">
        <w:t>supporting women-led SMEs</w:t>
      </w:r>
      <w:r w:rsidR="008A1186">
        <w:t xml:space="preserve"> as part of projects</w:t>
      </w:r>
      <w:r w:rsidRPr="00084EC3">
        <w:t>.</w:t>
      </w:r>
      <w:r w:rsidR="008A1186">
        <w:t xml:space="preserve"> </w:t>
      </w:r>
      <w:r w:rsidR="00E55705">
        <w:t>This can also be a recommendation for developers and financial institutions directly.</w:t>
      </w:r>
    </w:p>
    <w:p w14:paraId="085D935A" w14:textId="36021807" w:rsidR="00084EC3" w:rsidRDefault="0020253D" w:rsidP="00EE4EF0">
      <w:pPr>
        <w:pStyle w:val="DESNZbulletedlist"/>
      </w:pPr>
      <w:r w:rsidRPr="0020253D">
        <w:rPr>
          <w:rStyle w:val="Boldtext"/>
        </w:rPr>
        <w:t>If future iterations of MAGC include GEDSI outcomes</w:t>
      </w:r>
      <w:r>
        <w:rPr>
          <w:rStyle w:val="Boldtext"/>
        </w:rPr>
        <w:t>,</w:t>
      </w:r>
      <w:r w:rsidRPr="0020253D">
        <w:rPr>
          <w:rStyle w:val="Boldtext"/>
        </w:rPr>
        <w:t xml:space="preserve"> </w:t>
      </w:r>
      <w:r>
        <w:rPr>
          <w:rStyle w:val="Boldtext"/>
        </w:rPr>
        <w:t>i</w:t>
      </w:r>
      <w:r w:rsidR="00EE4EF0" w:rsidRPr="00EE4EF0">
        <w:rPr>
          <w:rStyle w:val="Boldtext"/>
        </w:rPr>
        <w:t>ncrease</w:t>
      </w:r>
      <w:r>
        <w:rPr>
          <w:rStyle w:val="Boldtext"/>
        </w:rPr>
        <w:t>d</w:t>
      </w:r>
      <w:r w:rsidR="00EE4EF0" w:rsidRPr="00EE4EF0">
        <w:rPr>
          <w:rStyle w:val="Boldtext"/>
        </w:rPr>
        <w:t xml:space="preserve"> </w:t>
      </w:r>
      <w:r w:rsidR="00846B27" w:rsidRPr="00596960">
        <w:rPr>
          <w:rStyle w:val="Boldtext"/>
        </w:rPr>
        <w:t>monitoring and evaluation</w:t>
      </w:r>
      <w:r w:rsidR="00846B27" w:rsidRPr="00846B27" w:rsidDel="00846B27">
        <w:rPr>
          <w:rStyle w:val="Boldtext"/>
        </w:rPr>
        <w:t xml:space="preserve"> </w:t>
      </w:r>
      <w:r w:rsidR="00EE4EF0" w:rsidRPr="00846B27">
        <w:rPr>
          <w:rStyle w:val="Boldtext"/>
        </w:rPr>
        <w:t>of</w:t>
      </w:r>
      <w:r w:rsidR="00084EC3" w:rsidRPr="00EE4EF0">
        <w:rPr>
          <w:rStyle w:val="Boldtext"/>
        </w:rPr>
        <w:t xml:space="preserve"> GEDSI </w:t>
      </w:r>
      <w:r w:rsidR="00EE4EF0" w:rsidRPr="00EE4EF0">
        <w:rPr>
          <w:rStyle w:val="Boldtext"/>
        </w:rPr>
        <w:t>o</w:t>
      </w:r>
      <w:r w:rsidR="00084EC3" w:rsidRPr="00EE4EF0">
        <w:rPr>
          <w:rStyle w:val="Boldtext"/>
        </w:rPr>
        <w:t>utcomes</w:t>
      </w:r>
      <w:r>
        <w:rPr>
          <w:rStyle w:val="Boldtext"/>
        </w:rPr>
        <w:t xml:space="preserve"> will be needed</w:t>
      </w:r>
      <w:r w:rsidR="00084EC3" w:rsidRPr="00EE4EF0">
        <w:rPr>
          <w:rStyle w:val="Boldtext"/>
        </w:rPr>
        <w:t>:</w:t>
      </w:r>
      <w:r w:rsidR="00EE4EF0">
        <w:t xml:space="preserve"> There will also be a need to s</w:t>
      </w:r>
      <w:r w:rsidR="00084EC3" w:rsidRPr="00084EC3">
        <w:t>ystematically capture and share GEDSI lessons to support wider sector learning and improve future programming.</w:t>
      </w:r>
    </w:p>
    <w:p w14:paraId="08EA9F7E" w14:textId="537EBCF6" w:rsidR="00084EC3" w:rsidRPr="00084EC3" w:rsidRDefault="00EE4EF0" w:rsidP="00EE4EF0">
      <w:pPr>
        <w:pStyle w:val="DESNZbulletedlist"/>
      </w:pPr>
      <w:r w:rsidRPr="00EE4EF0">
        <w:rPr>
          <w:rStyle w:val="Boldtext"/>
        </w:rPr>
        <w:t xml:space="preserve">Prioritise a collaborative, multi-sectoral approach to facilitate the inclusion of GEDSI: </w:t>
      </w:r>
      <w:r w:rsidRPr="00EE4EF0">
        <w:t xml:space="preserve">Strong partnerships between </w:t>
      </w:r>
      <w:r>
        <w:t xml:space="preserve">IFC, DESNZ, GEDSI experts, </w:t>
      </w:r>
      <w:r w:rsidRPr="00EE4EF0">
        <w:t>developers, investors, communities, and government agencies are crucial for aligning green building initiatives with broader social goals and maximi</w:t>
      </w:r>
      <w:r>
        <w:t>s</w:t>
      </w:r>
      <w:r w:rsidRPr="00EE4EF0">
        <w:t>ing positive impact.</w:t>
      </w:r>
    </w:p>
    <w:p w14:paraId="537981C8" w14:textId="09609EAF" w:rsidR="0049568D" w:rsidRPr="0049568D" w:rsidRDefault="00084EC3" w:rsidP="00084EC3">
      <w:r w:rsidRPr="00084EC3">
        <w:t xml:space="preserve">By addressing these recommendations, future green construction programmes </w:t>
      </w:r>
      <w:r w:rsidR="009A1D0F">
        <w:t>may be able to</w:t>
      </w:r>
      <w:r w:rsidR="009A1D0F" w:rsidRPr="00084EC3">
        <w:t xml:space="preserve"> </w:t>
      </w:r>
      <w:r w:rsidR="00EE4EF0">
        <w:t>help distribute</w:t>
      </w:r>
      <w:r w:rsidRPr="00084EC3">
        <w:t xml:space="preserve"> the benefits of sustainable building practices </w:t>
      </w:r>
      <w:r w:rsidR="00EE4EF0">
        <w:t xml:space="preserve">more </w:t>
      </w:r>
      <w:r w:rsidRPr="00084EC3">
        <w:t>equitably, promoting inclusivity and improving the standard of living for marginalised groups.</w:t>
      </w:r>
    </w:p>
    <w:p w14:paraId="4FA4ACCB" w14:textId="0DE82AA3" w:rsidR="005E661B" w:rsidRPr="005E661B" w:rsidRDefault="005E661B" w:rsidP="00010BB3">
      <w:pPr>
        <w:spacing w:after="160" w:line="259" w:lineRule="auto"/>
      </w:pPr>
    </w:p>
    <w:sectPr w:rsidR="005E661B" w:rsidRPr="005E661B" w:rsidSect="002F6E2F">
      <w:headerReference w:type="default" r:id="rId21"/>
      <w:footerReference w:type="default" r:id="rId22"/>
      <w:pgSz w:w="11906" w:h="16838" w:code="9"/>
      <w:pgMar w:top="1418" w:right="907" w:bottom="567" w:left="90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B9CB4" w14:textId="77777777" w:rsidR="008E155F" w:rsidRDefault="008E155F" w:rsidP="00490BD3">
      <w:pPr>
        <w:spacing w:after="0"/>
      </w:pPr>
      <w:r>
        <w:separator/>
      </w:r>
    </w:p>
  </w:endnote>
  <w:endnote w:type="continuationSeparator" w:id="0">
    <w:p w14:paraId="0BC6AF15" w14:textId="77777777" w:rsidR="008E155F" w:rsidRDefault="008E155F" w:rsidP="00490BD3">
      <w:pPr>
        <w:spacing w:after="0"/>
      </w:pPr>
      <w:r>
        <w:continuationSeparator/>
      </w:r>
    </w:p>
  </w:endnote>
  <w:endnote w:type="continuationNotice" w:id="1">
    <w:p w14:paraId="4BDE9B17" w14:textId="77777777" w:rsidR="008E155F" w:rsidRDefault="008E15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1DB7" w14:textId="03CC08C2" w:rsidR="00FC1A03" w:rsidRDefault="00DE3678" w:rsidP="00FC1A03">
    <w:pPr>
      <w:pStyle w:val="DESNZDate"/>
    </w:pPr>
    <w:r>
      <w:t xml:space="preserve">January </w:t>
    </w:r>
    <w:r w:rsidR="00FC1A03">
      <w:t>20</w:t>
    </w:r>
    <w:r w:rsidR="00F46BB5">
      <w:t>2</w:t>
    </w:r>
    <w: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152676524"/>
      <w:docPartObj>
        <w:docPartGallery w:val="Page Numbers (Bottom of Page)"/>
        <w:docPartUnique/>
      </w:docPartObj>
    </w:sdtPr>
    <w:sdtEndPr>
      <w:rPr>
        <w:noProof/>
      </w:rPr>
    </w:sdtEndPr>
    <w:sdtContent>
      <w:p w14:paraId="1BCC1B2F" w14:textId="77777777" w:rsidR="008714AA" w:rsidRPr="00483BA0" w:rsidRDefault="00483BA0" w:rsidP="00483BA0">
        <w:pPr>
          <w:pStyle w:val="Footer"/>
          <w:spacing w:after="240"/>
          <w:jc w:val="right"/>
          <w:rPr>
            <w:sz w:val="22"/>
          </w:rPr>
        </w:pPr>
        <w:r w:rsidRPr="00483BA0">
          <w:rPr>
            <w:sz w:val="22"/>
          </w:rPr>
          <w:fldChar w:fldCharType="begin"/>
        </w:r>
        <w:r w:rsidRPr="00483BA0">
          <w:rPr>
            <w:sz w:val="22"/>
          </w:rPr>
          <w:instrText xml:space="preserve"> PAGE   \* MERGEFORMAT </w:instrText>
        </w:r>
        <w:r w:rsidRPr="00483BA0">
          <w:rPr>
            <w:sz w:val="22"/>
          </w:rPr>
          <w:fldChar w:fldCharType="separate"/>
        </w:r>
        <w:r w:rsidRPr="00483BA0">
          <w:rPr>
            <w:noProof/>
            <w:sz w:val="22"/>
          </w:rPr>
          <w:t>2</w:t>
        </w:r>
        <w:r w:rsidRPr="00483BA0">
          <w:rPr>
            <w:noProof/>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D02B" w14:textId="77777777" w:rsidR="0038306A" w:rsidRDefault="0038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52FE1" w14:textId="77777777" w:rsidR="008E155F" w:rsidRDefault="008E155F" w:rsidP="00490BD3">
      <w:pPr>
        <w:spacing w:after="0"/>
      </w:pPr>
      <w:r>
        <w:separator/>
      </w:r>
    </w:p>
  </w:footnote>
  <w:footnote w:type="continuationSeparator" w:id="0">
    <w:p w14:paraId="43F94BE1" w14:textId="77777777" w:rsidR="008E155F" w:rsidRDefault="008E155F" w:rsidP="00490BD3">
      <w:pPr>
        <w:spacing w:after="0"/>
      </w:pPr>
      <w:r>
        <w:continuationSeparator/>
      </w:r>
    </w:p>
  </w:footnote>
  <w:footnote w:type="continuationNotice" w:id="1">
    <w:p w14:paraId="465ADC2B" w14:textId="77777777" w:rsidR="008E155F" w:rsidRDefault="008E155F">
      <w:pPr>
        <w:spacing w:after="0" w:line="240" w:lineRule="auto"/>
      </w:pPr>
    </w:p>
  </w:footnote>
  <w:footnote w:id="2">
    <w:p w14:paraId="5D7766A8" w14:textId="403C1ECD" w:rsidR="00933DC4" w:rsidRDefault="00933DC4" w:rsidP="00933DC4">
      <w:pPr>
        <w:pStyle w:val="FootnoteText"/>
      </w:pPr>
      <w:r>
        <w:rPr>
          <w:rStyle w:val="FootnoteReference"/>
        </w:rPr>
        <w:footnoteRef/>
      </w:r>
      <w:r>
        <w:t xml:space="preserve"> Undertaken in early 2024 </w:t>
      </w:r>
    </w:p>
  </w:footnote>
  <w:footnote w:id="3">
    <w:p w14:paraId="7C6E9363" w14:textId="513B97B8" w:rsidR="00FD1C29" w:rsidRDefault="00FD1C29">
      <w:pPr>
        <w:pStyle w:val="FootnoteText"/>
      </w:pPr>
      <w:r>
        <w:rPr>
          <w:rStyle w:val="FootnoteReference"/>
        </w:rPr>
        <w:footnoteRef/>
      </w:r>
      <w:r>
        <w:t xml:space="preserve"> MAGC Business Case, IFC, 2018</w:t>
      </w:r>
    </w:p>
  </w:footnote>
  <w:footnote w:id="4">
    <w:p w14:paraId="1F8DA0A5" w14:textId="599E6CDA" w:rsidR="00FE535A" w:rsidRDefault="00FE535A">
      <w:pPr>
        <w:pStyle w:val="FootnoteText"/>
      </w:pPr>
      <w:r>
        <w:rPr>
          <w:rStyle w:val="FootnoteReference"/>
        </w:rPr>
        <w:footnoteRef/>
      </w:r>
      <w:r>
        <w:t xml:space="preserve"> T2 interviews took place with stakeholders from Egypt, Ghana, Indonesia, Philippines, Indonesia, Mexico and Peru, T3 interviews took place with stakeholders from Colombia, South Africa, India, Kenya and Vietnam.</w:t>
      </w:r>
    </w:p>
  </w:footnote>
  <w:footnote w:id="5">
    <w:p w14:paraId="63827695" w14:textId="3C162C1A" w:rsidR="001F423F" w:rsidRDefault="001F423F">
      <w:pPr>
        <w:pStyle w:val="FootnoteText"/>
      </w:pPr>
      <w:r>
        <w:rPr>
          <w:rStyle w:val="FootnoteReference"/>
        </w:rPr>
        <w:footnoteRef/>
      </w:r>
      <w:r>
        <w:t xml:space="preserve"> Stakeholders will be from the same countries included in the early outcome phase </w:t>
      </w:r>
    </w:p>
  </w:footnote>
  <w:footnote w:id="6">
    <w:p w14:paraId="202C8DFE" w14:textId="710206EE" w:rsidR="002973E1" w:rsidRDefault="002973E1">
      <w:pPr>
        <w:pStyle w:val="FootnoteText"/>
      </w:pPr>
      <w:r>
        <w:rPr>
          <w:rStyle w:val="FootnoteReference"/>
        </w:rPr>
        <w:footnoteRef/>
      </w:r>
      <w:r>
        <w:t xml:space="preserve"> This may also be extended to two additional countries.</w:t>
      </w:r>
    </w:p>
  </w:footnote>
  <w:footnote w:id="7">
    <w:p w14:paraId="3DB44B85" w14:textId="7B516DB5" w:rsidR="008E0DAA" w:rsidRPr="008E0DAA" w:rsidRDefault="00790553" w:rsidP="008E0DAA">
      <w:pPr>
        <w:pStyle w:val="FootnoteText"/>
      </w:pPr>
      <w:r>
        <w:rPr>
          <w:rStyle w:val="FootnoteReference"/>
        </w:rPr>
        <w:footnoteRef/>
      </w:r>
      <w:r>
        <w:t xml:space="preserve"> </w:t>
      </w:r>
      <w:r w:rsidR="008E0DAA" w:rsidRPr="008E0DAA">
        <w:t>Bhakta, A. and Pickerill, J</w:t>
      </w:r>
      <w:r w:rsidR="008E0DAA">
        <w:t>.,</w:t>
      </w:r>
      <w:r w:rsidR="008E0DAA" w:rsidRPr="008E0DAA">
        <w:t xml:space="preserve"> Making space for disability in eco-housing and</w:t>
      </w:r>
    </w:p>
    <w:p w14:paraId="496DF117" w14:textId="37E1020E" w:rsidR="00790553" w:rsidRDefault="008E0DAA" w:rsidP="008E0DAA">
      <w:pPr>
        <w:pStyle w:val="FootnoteText"/>
      </w:pPr>
      <w:r w:rsidRPr="008E0DAA">
        <w:t>eco-communities</w:t>
      </w:r>
      <w:r>
        <w:t>, 2015</w:t>
      </w:r>
      <w:r w:rsidRPr="008E0DAA">
        <w:t>.</w:t>
      </w:r>
      <w:r>
        <w:t xml:space="preserve"> Available at: </w:t>
      </w:r>
      <w:hyperlink r:id="rId1" w:history="1">
        <w:r w:rsidRPr="008E0DAA">
          <w:rPr>
            <w:rStyle w:val="Hyperlink"/>
          </w:rPr>
          <w:t>https://eprints.whiterose.ac.uk/89517/3/Making%20space.pdf</w:t>
        </w:r>
      </w:hyperlink>
      <w:r>
        <w:t xml:space="preserve"> </w:t>
      </w:r>
    </w:p>
  </w:footnote>
  <w:footnote w:id="8">
    <w:p w14:paraId="0E30E978" w14:textId="43CBE078" w:rsidR="0064549A" w:rsidRPr="005F3D58" w:rsidRDefault="0064549A" w:rsidP="0064549A">
      <w:pPr>
        <w:pStyle w:val="FootnoteText"/>
      </w:pPr>
      <w:r>
        <w:rPr>
          <w:rStyle w:val="FootnoteReference"/>
        </w:rPr>
        <w:footnoteRef/>
      </w:r>
      <w:r>
        <w:t xml:space="preserve"> </w:t>
      </w:r>
      <w:r w:rsidRPr="005F3D58">
        <w:t>Gissen</w:t>
      </w:r>
      <w:r w:rsidR="00A8461A">
        <w:t xml:space="preserve">, D., </w:t>
      </w:r>
      <w:r w:rsidRPr="005F3D58">
        <w:t xml:space="preserve">The Architecture of Disability: Buildings, Cities, and Landscapes </w:t>
      </w:r>
      <w:r w:rsidR="00A8461A">
        <w:t>B</w:t>
      </w:r>
      <w:r w:rsidRPr="005F3D58">
        <w:t>eyond Access</w:t>
      </w:r>
      <w:r w:rsidR="00A8461A">
        <w:t>,</w:t>
      </w:r>
    </w:p>
    <w:p w14:paraId="057960A9" w14:textId="6F20B062" w:rsidR="0064549A" w:rsidRDefault="0064549A" w:rsidP="0064549A">
      <w:pPr>
        <w:pStyle w:val="FootnoteText"/>
      </w:pPr>
      <w:r w:rsidRPr="005F3D58">
        <w:t>University of Minnesota Press</w:t>
      </w:r>
      <w:r w:rsidR="00A8461A">
        <w:t xml:space="preserve">, </w:t>
      </w:r>
      <w:r w:rsidRPr="005F3D58">
        <w:t>2023</w:t>
      </w:r>
      <w:r w:rsidR="00A8461A">
        <w:t xml:space="preserve">. </w:t>
      </w:r>
    </w:p>
  </w:footnote>
  <w:footnote w:id="9">
    <w:p w14:paraId="765D47A5" w14:textId="7DF2E1D6" w:rsidR="0064549A" w:rsidRDefault="0064549A" w:rsidP="0064549A">
      <w:pPr>
        <w:pStyle w:val="FootnoteText"/>
      </w:pPr>
      <w:r>
        <w:rPr>
          <w:rStyle w:val="FootnoteReference"/>
        </w:rPr>
        <w:footnoteRef/>
      </w:r>
      <w:r>
        <w:t xml:space="preserve"> </w:t>
      </w:r>
      <w:r w:rsidR="000176BA" w:rsidRPr="000176BA">
        <w:t>Schleck</w:t>
      </w:r>
      <w:r w:rsidR="00A8461A">
        <w:t>, G.</w:t>
      </w:r>
      <w:r w:rsidR="000176BA" w:rsidRPr="000176BA">
        <w:t xml:space="preserve"> and Ben-Alon</w:t>
      </w:r>
      <w:r w:rsidR="00A8461A">
        <w:t>, L.</w:t>
      </w:r>
      <w:r w:rsidR="000176BA" w:rsidRPr="000176BA">
        <w:t xml:space="preserve">, Eco-ableism and access circularity in natural building, 2024. Available at: </w:t>
      </w:r>
      <w:hyperlink r:id="rId2" w:anchor="bib20" w:history="1">
        <w:r w:rsidR="000176BA" w:rsidRPr="000176BA">
          <w:rPr>
            <w:rStyle w:val="Hyperlink"/>
          </w:rPr>
          <w:t>https://www.sciencedirect.com/science/article/pii/S2095263523001048#bib20</w:t>
        </w:r>
      </w:hyperlink>
    </w:p>
  </w:footnote>
  <w:footnote w:id="10">
    <w:p w14:paraId="01DFFA80" w14:textId="77777777" w:rsidR="00A8461A" w:rsidRPr="008E0DAA" w:rsidRDefault="00790553" w:rsidP="00A8461A">
      <w:pPr>
        <w:pStyle w:val="FootnoteText"/>
      </w:pPr>
      <w:r>
        <w:rPr>
          <w:rStyle w:val="FootnoteReference"/>
        </w:rPr>
        <w:footnoteRef/>
      </w:r>
      <w:r>
        <w:t xml:space="preserve"> </w:t>
      </w:r>
      <w:r w:rsidR="00A8461A" w:rsidRPr="008E0DAA">
        <w:t>Bhakta, A. and Pickerill, J</w:t>
      </w:r>
      <w:r w:rsidR="00A8461A">
        <w:t>.,</w:t>
      </w:r>
      <w:r w:rsidR="00A8461A" w:rsidRPr="008E0DAA">
        <w:t xml:space="preserve"> Making space for disability in eco-housing and</w:t>
      </w:r>
    </w:p>
    <w:p w14:paraId="4EA55C54" w14:textId="0899B1E2" w:rsidR="00790553" w:rsidRDefault="00A8461A" w:rsidP="00A8461A">
      <w:pPr>
        <w:pStyle w:val="FootnoteText"/>
      </w:pPr>
      <w:r w:rsidRPr="008E0DAA">
        <w:t>eco-communities</w:t>
      </w:r>
      <w:r>
        <w:t>, 2015</w:t>
      </w:r>
      <w:r w:rsidRPr="008E0DAA">
        <w:t>.</w:t>
      </w:r>
      <w:r>
        <w:t xml:space="preserve"> Available at: </w:t>
      </w:r>
      <w:hyperlink r:id="rId3" w:history="1">
        <w:r w:rsidRPr="008E0DAA">
          <w:rPr>
            <w:rStyle w:val="Hyperlink"/>
          </w:rPr>
          <w:t>https://eprints.whiterose.ac.uk/89517/3/Making%20space.pdf</w:t>
        </w:r>
      </w:hyperlink>
    </w:p>
  </w:footnote>
  <w:footnote w:id="11">
    <w:p w14:paraId="7AC05877" w14:textId="1B734B2A" w:rsidR="0064549A" w:rsidRPr="00A8461A" w:rsidRDefault="0064549A" w:rsidP="0064549A">
      <w:pPr>
        <w:pStyle w:val="FootnoteText"/>
      </w:pPr>
      <w:r>
        <w:rPr>
          <w:rStyle w:val="FootnoteReference"/>
        </w:rPr>
        <w:footnoteRef/>
      </w:r>
      <w:r w:rsidRPr="00A8461A">
        <w:t xml:space="preserve"> </w:t>
      </w:r>
      <w:r w:rsidR="00A8461A" w:rsidRPr="00A8461A">
        <w:t xml:space="preserve">De Burca, J., </w:t>
      </w:r>
      <w:r w:rsidR="00A8461A">
        <w:t xml:space="preserve">Accessibility and Sustainability in Building Projects, 2023. Available at: </w:t>
      </w:r>
      <w:hyperlink r:id="rId4" w:history="1">
        <w:r w:rsidR="00A8461A" w:rsidRPr="00A8461A">
          <w:rPr>
            <w:rStyle w:val="Hyperlink"/>
          </w:rPr>
          <w:t>https://constructive-voices.com/accessibility-and-sustainability-in-building-projects/</w:t>
        </w:r>
      </w:hyperlink>
      <w:r w:rsidRPr="00A8461A">
        <w:t xml:space="preserve"> </w:t>
      </w:r>
    </w:p>
  </w:footnote>
  <w:footnote w:id="12">
    <w:p w14:paraId="3A23657B" w14:textId="46F2A7BF" w:rsidR="000176BA" w:rsidRDefault="000176BA">
      <w:pPr>
        <w:pStyle w:val="FootnoteText"/>
      </w:pPr>
      <w:r>
        <w:rPr>
          <w:rStyle w:val="FootnoteReference"/>
        </w:rPr>
        <w:footnoteRef/>
      </w:r>
      <w:r>
        <w:t xml:space="preserve"> </w:t>
      </w:r>
      <w:r w:rsidR="00A8461A" w:rsidRPr="000176BA">
        <w:t>Schleck</w:t>
      </w:r>
      <w:r w:rsidR="00A8461A">
        <w:t>, G.</w:t>
      </w:r>
      <w:r w:rsidR="00A8461A" w:rsidRPr="000176BA">
        <w:t xml:space="preserve"> and Ben-Alon</w:t>
      </w:r>
      <w:r w:rsidR="00A8461A">
        <w:t>, L.</w:t>
      </w:r>
      <w:r w:rsidR="00A8461A" w:rsidRPr="000176BA">
        <w:t xml:space="preserve">, Eco-ableism and access circularity in natural building, 2024. Available at: </w:t>
      </w:r>
      <w:hyperlink r:id="rId5" w:anchor="bib20" w:history="1">
        <w:r w:rsidR="00A8461A" w:rsidRPr="000176BA">
          <w:rPr>
            <w:rStyle w:val="Hyperlink"/>
          </w:rPr>
          <w:t>https://www.sciencedirect.com/science/article/pii/S2095263523001048#bib20</w:t>
        </w:r>
      </w:hyperlink>
    </w:p>
  </w:footnote>
  <w:footnote w:id="13">
    <w:p w14:paraId="34676989" w14:textId="77777777" w:rsidR="00A8461A" w:rsidRPr="008E0DAA" w:rsidRDefault="000176BA" w:rsidP="00A8461A">
      <w:pPr>
        <w:pStyle w:val="FootnoteText"/>
      </w:pPr>
      <w:r>
        <w:rPr>
          <w:rStyle w:val="FootnoteReference"/>
        </w:rPr>
        <w:footnoteRef/>
      </w:r>
      <w:r>
        <w:t xml:space="preserve"> </w:t>
      </w:r>
      <w:r w:rsidR="00A8461A" w:rsidRPr="008E0DAA">
        <w:t>Bhakta, A. and Pickerill, J</w:t>
      </w:r>
      <w:r w:rsidR="00A8461A">
        <w:t>.,</w:t>
      </w:r>
      <w:r w:rsidR="00A8461A" w:rsidRPr="008E0DAA">
        <w:t xml:space="preserve"> Making space for disability in eco-housing and</w:t>
      </w:r>
    </w:p>
    <w:p w14:paraId="4225B170" w14:textId="7E486E8E" w:rsidR="000176BA" w:rsidRDefault="00A8461A" w:rsidP="00A8461A">
      <w:pPr>
        <w:pStyle w:val="FootnoteText"/>
      </w:pPr>
      <w:r w:rsidRPr="008E0DAA">
        <w:t>eco-communities</w:t>
      </w:r>
      <w:r>
        <w:t>, 2015</w:t>
      </w:r>
      <w:r w:rsidRPr="008E0DAA">
        <w:t>.</w:t>
      </w:r>
      <w:r>
        <w:t xml:space="preserve"> Available at: </w:t>
      </w:r>
      <w:hyperlink r:id="rId6" w:history="1">
        <w:r w:rsidRPr="008E0DAA">
          <w:rPr>
            <w:rStyle w:val="Hyperlink"/>
          </w:rPr>
          <w:t>https://eprints.whiterose.ac.uk/89517/3/Making%20space.pdf</w:t>
        </w:r>
      </w:hyperlink>
    </w:p>
  </w:footnote>
  <w:footnote w:id="14">
    <w:p w14:paraId="1B4E3970" w14:textId="05DEE491" w:rsidR="000176BA" w:rsidRDefault="000176BA" w:rsidP="000176BA">
      <w:pPr>
        <w:pStyle w:val="FootnoteText"/>
      </w:pPr>
      <w:r>
        <w:rPr>
          <w:rStyle w:val="FootnoteReference"/>
        </w:rPr>
        <w:footnoteRef/>
      </w:r>
      <w:r w:rsidR="00A8461A">
        <w:t xml:space="preserve"> Giri, S.,</w:t>
      </w:r>
      <w:r>
        <w:t xml:space="preserve"> </w:t>
      </w:r>
      <w:r w:rsidR="00A8461A" w:rsidRPr="00A8461A">
        <w:t>Sustainability and Universal Design: Accessibility of Green Buildings</w:t>
      </w:r>
      <w:r w:rsidR="00A8461A">
        <w:t xml:space="preserve">, 2024. Available at: </w:t>
      </w:r>
      <w:r w:rsidRPr="0064549A">
        <w:t>https://www.re-thinkingthefuture.com/sustainable-architecture/a12977-sustainability-and-universal-design-accessibility-of-green-buildings/</w:t>
      </w:r>
    </w:p>
  </w:footnote>
  <w:footnote w:id="15">
    <w:p w14:paraId="5BDDB80A" w14:textId="06CBA07E" w:rsidR="000176BA" w:rsidRDefault="000176BA" w:rsidP="000176BA">
      <w:pPr>
        <w:pStyle w:val="FootnoteText"/>
      </w:pPr>
      <w:r>
        <w:rPr>
          <w:rStyle w:val="FootnoteReference"/>
        </w:rPr>
        <w:footnoteRef/>
      </w:r>
      <w:r>
        <w:t xml:space="preserve"> </w:t>
      </w:r>
      <w:r w:rsidR="00A8461A" w:rsidRPr="000176BA">
        <w:t>Schleck</w:t>
      </w:r>
      <w:r w:rsidR="00A8461A">
        <w:t>, G.</w:t>
      </w:r>
      <w:r w:rsidR="00A8461A" w:rsidRPr="000176BA">
        <w:t xml:space="preserve"> and Ben-Alon</w:t>
      </w:r>
      <w:r w:rsidR="00A8461A">
        <w:t>, L.</w:t>
      </w:r>
      <w:r w:rsidR="00A8461A" w:rsidRPr="000176BA">
        <w:t xml:space="preserve">, Eco-ableism and access circularity in natural building, 2024. Available at: </w:t>
      </w:r>
      <w:hyperlink r:id="rId7" w:anchor="bib20" w:history="1">
        <w:r w:rsidR="00A8461A" w:rsidRPr="000176BA">
          <w:rPr>
            <w:rStyle w:val="Hyperlink"/>
          </w:rPr>
          <w:t>https://www.sciencedirect.com/science/article/pii/S2095263523001048#bib20</w:t>
        </w:r>
      </w:hyperlink>
    </w:p>
  </w:footnote>
  <w:footnote w:id="16">
    <w:p w14:paraId="41CBF325" w14:textId="77777777" w:rsidR="00A8461A" w:rsidRPr="008E0DAA" w:rsidRDefault="000176BA" w:rsidP="00A8461A">
      <w:pPr>
        <w:pStyle w:val="FootnoteText"/>
      </w:pPr>
      <w:r>
        <w:rPr>
          <w:rStyle w:val="FootnoteReference"/>
        </w:rPr>
        <w:footnoteRef/>
      </w:r>
      <w:r>
        <w:t xml:space="preserve"> </w:t>
      </w:r>
      <w:r w:rsidR="00A8461A" w:rsidRPr="008E0DAA">
        <w:t>Bhakta, A. and Pickerill, J</w:t>
      </w:r>
      <w:r w:rsidR="00A8461A">
        <w:t>.,</w:t>
      </w:r>
      <w:r w:rsidR="00A8461A" w:rsidRPr="008E0DAA">
        <w:t xml:space="preserve"> Making space for disability in eco-housing and</w:t>
      </w:r>
    </w:p>
    <w:p w14:paraId="76DB35EA" w14:textId="483BBAD1" w:rsidR="000176BA" w:rsidRDefault="00A8461A" w:rsidP="00A8461A">
      <w:pPr>
        <w:pStyle w:val="FootnoteText"/>
      </w:pPr>
      <w:r w:rsidRPr="008E0DAA">
        <w:t>eco-communities</w:t>
      </w:r>
      <w:r>
        <w:t>, 2015</w:t>
      </w:r>
      <w:r w:rsidRPr="008E0DAA">
        <w:t>.</w:t>
      </w:r>
      <w:r>
        <w:t xml:space="preserve"> Available at: </w:t>
      </w:r>
      <w:hyperlink r:id="rId8" w:history="1">
        <w:r w:rsidRPr="008E0DAA">
          <w:rPr>
            <w:rStyle w:val="Hyperlink"/>
          </w:rPr>
          <w:t>https://eprints.whiterose.ac.uk/89517/3/Making%20space.pdf</w:t>
        </w:r>
      </w:hyperlink>
    </w:p>
  </w:footnote>
  <w:footnote w:id="17">
    <w:p w14:paraId="14E07822" w14:textId="5C456441" w:rsidR="00BB6B39" w:rsidRDefault="00BB6B39" w:rsidP="00BB6B39">
      <w:pPr>
        <w:pStyle w:val="FootnoteText"/>
      </w:pPr>
      <w:r>
        <w:rPr>
          <w:rStyle w:val="FootnoteReference"/>
        </w:rPr>
        <w:footnoteRef/>
      </w:r>
      <w:r>
        <w:t xml:space="preserve"> </w:t>
      </w:r>
      <w:r w:rsidR="00A8461A">
        <w:t xml:space="preserve">Giri, S., </w:t>
      </w:r>
      <w:r w:rsidR="00A8461A" w:rsidRPr="00A8461A">
        <w:t>Sustainability and Universal Design: Accessibility of Green Buildings</w:t>
      </w:r>
      <w:r w:rsidR="00A8461A">
        <w:t xml:space="preserve">, 2024. Available at: </w:t>
      </w:r>
      <w:r w:rsidR="00A8461A" w:rsidRPr="0064549A">
        <w:t>https://www.re-thinkingthefuture.com/sustainable-architecture/a12977-sustainability-and-universal-design-accessibility-of-green-buildings/</w:t>
      </w:r>
    </w:p>
  </w:footnote>
  <w:footnote w:id="18">
    <w:p w14:paraId="599B51C4" w14:textId="0BA0AE4D" w:rsidR="00676C5E" w:rsidRDefault="00676C5E">
      <w:pPr>
        <w:pStyle w:val="FootnoteText"/>
      </w:pPr>
      <w:r>
        <w:rPr>
          <w:rStyle w:val="FootnoteReference"/>
        </w:rPr>
        <w:footnoteRef/>
      </w:r>
      <w:r>
        <w:t xml:space="preserve"> </w:t>
      </w:r>
      <w:r w:rsidRPr="00676C5E">
        <w:t>The share of green building floor space</w:t>
      </w:r>
      <w:r>
        <w:t xml:space="preserve"> </w:t>
      </w:r>
      <w:r w:rsidRPr="00676C5E">
        <w:t xml:space="preserve">that is social housing </w:t>
      </w:r>
      <w:r>
        <w:t xml:space="preserve">and was </w:t>
      </w:r>
      <w:r w:rsidRPr="00676C5E">
        <w:t>financed by MAGC FIs with EDGE post-construction certification cannot yet be reported on</w:t>
      </w:r>
      <w:r>
        <w:t>,</w:t>
      </w:r>
      <w:r w:rsidRPr="00676C5E">
        <w:t xml:space="preserve"> due to the early stage of construction </w:t>
      </w:r>
      <w:r>
        <w:t>for</w:t>
      </w:r>
      <w:r w:rsidRPr="00676C5E">
        <w:t xml:space="preserve"> much of the MAGC portfolio.</w:t>
      </w:r>
    </w:p>
  </w:footnote>
  <w:footnote w:id="19">
    <w:p w14:paraId="7D594A9D" w14:textId="659E2639" w:rsidR="00547739" w:rsidRDefault="00547739">
      <w:pPr>
        <w:pStyle w:val="FootnoteText"/>
      </w:pPr>
      <w:r>
        <w:rPr>
          <w:rStyle w:val="FootnoteReference"/>
        </w:rPr>
        <w:footnoteRef/>
      </w:r>
      <w:r>
        <w:t xml:space="preserve"> To note that the MAGC and We-Fi facilities were used complementarily, with MAGC providing subsidies to support the programme to combat climate change, and We-Fi subsidies supporting female-headed households.</w:t>
      </w:r>
    </w:p>
  </w:footnote>
  <w:footnote w:id="20">
    <w:p w14:paraId="48FF856E" w14:textId="079D6241" w:rsidR="00E32C92" w:rsidRDefault="00E32C92">
      <w:pPr>
        <w:pStyle w:val="FootnoteText"/>
      </w:pPr>
      <w:r>
        <w:rPr>
          <w:rStyle w:val="FootnoteReference"/>
        </w:rPr>
        <w:footnoteRef/>
      </w:r>
      <w:r>
        <w:t xml:space="preserve"> FY24 Annual Report – </w:t>
      </w:r>
      <w:proofErr w:type="spellStart"/>
      <w:r>
        <w:t>Logframe</w:t>
      </w:r>
      <w:proofErr w:type="spellEnd"/>
      <w:r>
        <w:t xml:space="preserve"> and Disaggregated Data, IFC, 2024</w:t>
      </w:r>
    </w:p>
  </w:footnote>
  <w:footnote w:id="21">
    <w:p w14:paraId="45705A97" w14:textId="6D98ED98" w:rsidR="00E32C92" w:rsidRDefault="00E32C92">
      <w:pPr>
        <w:pStyle w:val="FootnoteText"/>
      </w:pPr>
      <w:r>
        <w:rPr>
          <w:rStyle w:val="FootnoteReference"/>
        </w:rPr>
        <w:footnoteRef/>
      </w:r>
      <w:r>
        <w:t xml:space="preserve"> </w:t>
      </w:r>
      <w:r w:rsidRPr="00E32C92">
        <w:t>UK-IFC Market Accelerator for Green Construction Partnership (MAGC)</w:t>
      </w:r>
      <w:r>
        <w:t xml:space="preserve"> Annual Review Year 4, IFC, 2023</w:t>
      </w:r>
    </w:p>
  </w:footnote>
  <w:footnote w:id="22">
    <w:p w14:paraId="1DFC090E" w14:textId="5BCBB8BB" w:rsidR="00E32C92" w:rsidRDefault="00E32C92">
      <w:pPr>
        <w:pStyle w:val="FootnoteText"/>
      </w:pPr>
      <w:r>
        <w:rPr>
          <w:rStyle w:val="FootnoteReference"/>
        </w:rPr>
        <w:footnoteRef/>
      </w:r>
      <w:r>
        <w:t xml:space="preserve"> Ibid</w:t>
      </w:r>
    </w:p>
  </w:footnote>
  <w:footnote w:id="23">
    <w:p w14:paraId="0A7518E7" w14:textId="77777777" w:rsidR="0078054D" w:rsidRDefault="0078054D" w:rsidP="0078054D">
      <w:pPr>
        <w:pStyle w:val="FootnoteText"/>
      </w:pPr>
      <w:r>
        <w:rPr>
          <w:rStyle w:val="FootnoteReference"/>
        </w:rPr>
        <w:footnoteRef/>
      </w:r>
      <w:r>
        <w:t xml:space="preserve"> </w:t>
      </w:r>
      <w:r w:rsidRPr="00BF2849">
        <w:t>Together for People and Planet: UK International Climate Finance Strategy</w:t>
      </w:r>
      <w:r>
        <w:t xml:space="preserve">, 2023, UK Government. Available at: </w:t>
      </w:r>
      <w:hyperlink r:id="rId9" w:history="1">
        <w:r w:rsidRPr="00350EFE">
          <w:rPr>
            <w:rStyle w:val="Hyperlink"/>
          </w:rPr>
          <w:t>https://www.gov.uk/government/publications/uk-international-climate-finance-strategy/together-for-people-and-planet-uk-international-climate-finance-strategy</w:t>
        </w:r>
      </w:hyperlink>
      <w:r>
        <w:t xml:space="preserve"> </w:t>
      </w:r>
    </w:p>
  </w:footnote>
  <w:footnote w:id="24">
    <w:p w14:paraId="6FFD0074" w14:textId="31451239" w:rsidR="0078054D" w:rsidRDefault="0078054D">
      <w:pPr>
        <w:pStyle w:val="FootnoteText"/>
      </w:pPr>
      <w:r>
        <w:rPr>
          <w:rStyle w:val="FootnoteReference"/>
        </w:rPr>
        <w:footnoteRef/>
      </w:r>
      <w:r>
        <w:t xml:space="preserve"> UN Sustainable Development Goals, Available at: </w:t>
      </w:r>
      <w:hyperlink r:id="rId10" w:history="1">
        <w:r w:rsidRPr="00350EFE">
          <w:rPr>
            <w:rStyle w:val="Hyperlink"/>
          </w:rPr>
          <w:t>https://sdgs.un.org/goals</w:t>
        </w:r>
      </w:hyperlink>
      <w:r>
        <w:t xml:space="preserve"> </w:t>
      </w:r>
    </w:p>
  </w:footnote>
  <w:footnote w:id="25">
    <w:p w14:paraId="1F495A15" w14:textId="23E1F6B9" w:rsidR="00600713" w:rsidRDefault="00600713">
      <w:pPr>
        <w:pStyle w:val="FootnoteText"/>
      </w:pPr>
      <w:r>
        <w:rPr>
          <w:rStyle w:val="FootnoteReference"/>
        </w:rPr>
        <w:footnoteRef/>
      </w:r>
      <w:r>
        <w:t xml:space="preserve"> To note that IFC’s and its clients’ e</w:t>
      </w:r>
      <w:r w:rsidRPr="00600713">
        <w:t xml:space="preserve">xisting systems do not have data collection methodologies </w:t>
      </w:r>
      <w:r>
        <w:t>that can</w:t>
      </w:r>
      <w:r w:rsidRPr="00600713">
        <w:t xml:space="preserve"> identify widows.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52DF" w14:textId="77777777" w:rsidR="00490BD3" w:rsidRDefault="00A81362" w:rsidP="00FC1A03">
    <w:pPr>
      <w:pStyle w:val="Header"/>
      <w:ind w:left="-142"/>
    </w:pPr>
    <w:r>
      <w:rPr>
        <w:noProof/>
        <w:lang w:eastAsia="en-GB"/>
      </w:rPr>
      <w:drawing>
        <wp:anchor distT="0" distB="0" distL="114300" distR="114300" simplePos="0" relativeHeight="251658240" behindDoc="0" locked="0" layoutInCell="1" allowOverlap="1" wp14:anchorId="299B3942" wp14:editId="42F068DA">
          <wp:simplePos x="0" y="0"/>
          <wp:positionH relativeFrom="margin">
            <wp:align>left</wp:align>
          </wp:positionH>
          <wp:positionV relativeFrom="paragraph">
            <wp:posOffset>-19714</wp:posOffset>
          </wp:positionV>
          <wp:extent cx="2058035" cy="1210310"/>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58035" cy="12103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06DB" w14:textId="77777777" w:rsidR="00B00598" w:rsidRPr="00B00598" w:rsidRDefault="00B00598" w:rsidP="00C26D9C">
    <w:pPr>
      <w:pStyle w:val="Header"/>
      <w:pBdr>
        <w:bottom w:val="single" w:sz="2" w:space="1" w:color="2B7EE2"/>
      </w:pBdr>
      <w:rPr>
        <w:color w:val="041E42"/>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5E40" w14:textId="77777777" w:rsidR="0038306A" w:rsidRPr="00B00598" w:rsidRDefault="0038306A" w:rsidP="00C26D9C">
    <w:pPr>
      <w:pStyle w:val="Header"/>
      <w:pBdr>
        <w:bottom w:val="single" w:sz="2" w:space="3" w:color="2B7EE2"/>
      </w:pBdr>
      <w:rPr>
        <w:color w:val="041E42"/>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B4CD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C0B5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10A7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A8B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8472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4E2B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8A4C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A857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3650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F2CB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C2A4A"/>
    <w:multiLevelType w:val="hybridMultilevel"/>
    <w:tmpl w:val="368C1B3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0EB6200A"/>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6B46A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E83E8A"/>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6B66FB"/>
    <w:multiLevelType w:val="hybridMultilevel"/>
    <w:tmpl w:val="E30E241C"/>
    <w:lvl w:ilvl="0" w:tplc="DBB06C66">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F70516A"/>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E34272"/>
    <w:multiLevelType w:val="hybridMultilevel"/>
    <w:tmpl w:val="3498FC9E"/>
    <w:lvl w:ilvl="0" w:tplc="CDBEA91C">
      <w:start w:val="2"/>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2EE2E32"/>
    <w:multiLevelType w:val="hybridMultilevel"/>
    <w:tmpl w:val="399441CA"/>
    <w:lvl w:ilvl="0" w:tplc="E7C038EC">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82B259F"/>
    <w:multiLevelType w:val="hybridMultilevel"/>
    <w:tmpl w:val="A6FC7D14"/>
    <w:lvl w:ilvl="0" w:tplc="E24E69B4">
      <w:start w:val="1"/>
      <w:numFmt w:val="bullet"/>
      <w:pStyle w:val="DESNZbulletedlist"/>
      <w:lvlText w:val=""/>
      <w:lvlJc w:val="left"/>
      <w:pPr>
        <w:ind w:left="717" w:hanging="360"/>
      </w:pPr>
      <w:rPr>
        <w:rFonts w:ascii="Symbol" w:hAnsi="Symbol" w:hint="default"/>
        <w:color w:val="041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AD4448"/>
    <w:multiLevelType w:val="hybridMultilevel"/>
    <w:tmpl w:val="31B2F09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2EAF1DBA"/>
    <w:multiLevelType w:val="hybridMultilevel"/>
    <w:tmpl w:val="21BC9AD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2" w15:restartNumberingAfterBreak="0">
    <w:nsid w:val="32423BB7"/>
    <w:multiLevelType w:val="multilevel"/>
    <w:tmpl w:val="3EE08A70"/>
    <w:numStyleLink w:val="Legalnumbering"/>
  </w:abstractNum>
  <w:abstractNum w:abstractNumId="23" w15:restartNumberingAfterBreak="0">
    <w:nsid w:val="35D858D8"/>
    <w:multiLevelType w:val="multilevel"/>
    <w:tmpl w:val="618A6124"/>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rPr>
    </w:lvl>
    <w:lvl w:ilvl="2">
      <w:start w:val="1"/>
      <w:numFmt w:val="decimal"/>
      <w:pStyle w:val="NumberedparagraphLegal-Leve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CB4490"/>
    <w:multiLevelType w:val="multilevel"/>
    <w:tmpl w:val="CD386BF2"/>
    <w:numStyleLink w:val="Numberlist"/>
  </w:abstractNum>
  <w:abstractNum w:abstractNumId="25" w15:restartNumberingAfterBreak="0">
    <w:nsid w:val="36D07D86"/>
    <w:multiLevelType w:val="multilevel"/>
    <w:tmpl w:val="CD386BF2"/>
    <w:numStyleLink w:val="Numberlist"/>
  </w:abstractNum>
  <w:abstractNum w:abstractNumId="26" w15:restartNumberingAfterBreak="0">
    <w:nsid w:val="389456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3F0C78"/>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AC62A8"/>
    <w:multiLevelType w:val="hybridMultilevel"/>
    <w:tmpl w:val="C7D6E9AA"/>
    <w:lvl w:ilvl="0" w:tplc="EC60C8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C6661E"/>
    <w:multiLevelType w:val="hybridMultilevel"/>
    <w:tmpl w:val="85BE5B08"/>
    <w:lvl w:ilvl="0" w:tplc="7D1ACB64">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585C8E"/>
    <w:multiLevelType w:val="hybridMultilevel"/>
    <w:tmpl w:val="95229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2E662E"/>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9818E7"/>
    <w:multiLevelType w:val="hybridMultilevel"/>
    <w:tmpl w:val="3FE0CD3A"/>
    <w:lvl w:ilvl="0" w:tplc="BB461F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9B00C5"/>
    <w:multiLevelType w:val="multilevel"/>
    <w:tmpl w:val="3EE08A70"/>
    <w:styleLink w:val="Legalnumbering"/>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F606F2"/>
    <w:multiLevelType w:val="hybridMultilevel"/>
    <w:tmpl w:val="DD9C3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2B667C"/>
    <w:multiLevelType w:val="multilevel"/>
    <w:tmpl w:val="EB4669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3B031B"/>
    <w:multiLevelType w:val="hybridMultilevel"/>
    <w:tmpl w:val="8698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F0343C"/>
    <w:multiLevelType w:val="multilevel"/>
    <w:tmpl w:val="BD98EE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1E3B21"/>
    <w:multiLevelType w:val="multilevel"/>
    <w:tmpl w:val="CD386BF2"/>
    <w:styleLink w:val="Numberlist"/>
    <w:lvl w:ilvl="0">
      <w:start w:val="1"/>
      <w:numFmt w:val="decimal"/>
      <w:lvlText w:val="%1."/>
      <w:lvlJc w:val="left"/>
      <w:pPr>
        <w:ind w:left="862" w:hanging="35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78785F09"/>
    <w:multiLevelType w:val="hybridMultilevel"/>
    <w:tmpl w:val="1C820D34"/>
    <w:lvl w:ilvl="0" w:tplc="081C7CDC">
      <w:start w:val="1"/>
      <w:numFmt w:val="bullet"/>
      <w:lvlText w:val=""/>
      <w:lvlJc w:val="left"/>
      <w:pPr>
        <w:ind w:left="720" w:hanging="360"/>
      </w:pPr>
      <w:rPr>
        <w:rFonts w:ascii="Symbol" w:hAnsi="Symbol" w:hint="default"/>
        <w:color w:val="AC2B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C536D9"/>
    <w:multiLevelType w:val="multilevel"/>
    <w:tmpl w:val="ADBA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1847459">
    <w:abstractNumId w:val="29"/>
  </w:num>
  <w:num w:numId="2" w16cid:durableId="1786148177">
    <w:abstractNumId w:val="40"/>
  </w:num>
  <w:num w:numId="3" w16cid:durableId="511073909">
    <w:abstractNumId w:val="27"/>
  </w:num>
  <w:num w:numId="4" w16cid:durableId="1824927166">
    <w:abstractNumId w:val="39"/>
  </w:num>
  <w:num w:numId="5" w16cid:durableId="395202613">
    <w:abstractNumId w:val="16"/>
  </w:num>
  <w:num w:numId="6" w16cid:durableId="1097096901">
    <w:abstractNumId w:val="26"/>
  </w:num>
  <w:num w:numId="7" w16cid:durableId="2130272638">
    <w:abstractNumId w:val="12"/>
  </w:num>
  <w:num w:numId="8" w16cid:durableId="371996846">
    <w:abstractNumId w:val="38"/>
  </w:num>
  <w:num w:numId="9" w16cid:durableId="534001899">
    <w:abstractNumId w:val="28"/>
  </w:num>
  <w:num w:numId="10" w16cid:durableId="1052999381">
    <w:abstractNumId w:val="37"/>
  </w:num>
  <w:num w:numId="11" w16cid:durableId="2003501849">
    <w:abstractNumId w:val="19"/>
  </w:num>
  <w:num w:numId="12" w16cid:durableId="2043433836">
    <w:abstractNumId w:val="20"/>
  </w:num>
  <w:num w:numId="13" w16cid:durableId="484013190">
    <w:abstractNumId w:val="21"/>
  </w:num>
  <w:num w:numId="14" w16cid:durableId="278026248">
    <w:abstractNumId w:val="10"/>
  </w:num>
  <w:num w:numId="15" w16cid:durableId="1429109878">
    <w:abstractNumId w:val="27"/>
    <w:lvlOverride w:ilvl="0">
      <w:startOverride w:val="1"/>
    </w:lvlOverride>
  </w:num>
  <w:num w:numId="16" w16cid:durableId="1168640603">
    <w:abstractNumId w:val="25"/>
  </w:num>
  <w:num w:numId="17" w16cid:durableId="1506432527">
    <w:abstractNumId w:val="36"/>
  </w:num>
  <w:num w:numId="18" w16cid:durableId="1242760315">
    <w:abstractNumId w:val="11"/>
  </w:num>
  <w:num w:numId="19" w16cid:durableId="445274879">
    <w:abstractNumId w:val="15"/>
  </w:num>
  <w:num w:numId="20" w16cid:durableId="451368166">
    <w:abstractNumId w:val="32"/>
  </w:num>
  <w:num w:numId="21" w16cid:durableId="71128039">
    <w:abstractNumId w:val="13"/>
  </w:num>
  <w:num w:numId="22" w16cid:durableId="197204742">
    <w:abstractNumId w:val="23"/>
  </w:num>
  <w:num w:numId="23" w16cid:durableId="894467479">
    <w:abstractNumId w:val="23"/>
    <w:lvlOverride w:ilvl="0">
      <w:lvl w:ilvl="0">
        <w:start w:val="1"/>
        <w:numFmt w:val="decimal"/>
        <w:pStyle w:val="Heading1Legal-Level1"/>
        <w:lvlText w:val="%1."/>
        <w:lvlJc w:val="left"/>
        <w:pPr>
          <w:ind w:left="720" w:hanging="720"/>
        </w:pPr>
        <w:rPr>
          <w:rFonts w:hint="default"/>
        </w:rPr>
      </w:lvl>
    </w:lvlOverride>
    <w:lvlOverride w:ilvl="1">
      <w:lvl w:ilvl="1">
        <w:start w:val="1"/>
        <w:numFmt w:val="decimal"/>
        <w:pStyle w:val="NumberedparagraphLegal-Level2"/>
        <w:lvlText w:val="%1.%2."/>
        <w:lvlJc w:val="left"/>
        <w:pPr>
          <w:ind w:left="720" w:hanging="720"/>
        </w:pPr>
        <w:rPr>
          <w:rFonts w:hint="default"/>
        </w:rPr>
      </w:lvl>
    </w:lvlOverride>
    <w:lvlOverride w:ilvl="2">
      <w:lvl w:ilvl="2">
        <w:start w:val="1"/>
        <w:numFmt w:val="decimal"/>
        <w:pStyle w:val="NumberedparagraphLegal-Level3"/>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4" w16cid:durableId="553203725">
    <w:abstractNumId w:val="24"/>
  </w:num>
  <w:num w:numId="25" w16cid:durableId="1337852561">
    <w:abstractNumId w:val="34"/>
  </w:num>
  <w:num w:numId="26" w16cid:durableId="620771591">
    <w:abstractNumId w:val="22"/>
  </w:num>
  <w:num w:numId="27" w16cid:durableId="1309244770">
    <w:abstractNumId w:val="27"/>
    <w:lvlOverride w:ilvl="0">
      <w:startOverride w:val="1"/>
    </w:lvlOverride>
  </w:num>
  <w:num w:numId="28" w16cid:durableId="1564178037">
    <w:abstractNumId w:val="9"/>
  </w:num>
  <w:num w:numId="29" w16cid:durableId="416481662">
    <w:abstractNumId w:val="7"/>
  </w:num>
  <w:num w:numId="30" w16cid:durableId="1959026292">
    <w:abstractNumId w:val="6"/>
  </w:num>
  <w:num w:numId="31" w16cid:durableId="686560655">
    <w:abstractNumId w:val="5"/>
  </w:num>
  <w:num w:numId="32" w16cid:durableId="1155799837">
    <w:abstractNumId w:val="4"/>
  </w:num>
  <w:num w:numId="33" w16cid:durableId="778453609">
    <w:abstractNumId w:val="8"/>
  </w:num>
  <w:num w:numId="34" w16cid:durableId="1469199437">
    <w:abstractNumId w:val="3"/>
  </w:num>
  <w:num w:numId="35" w16cid:durableId="19358841">
    <w:abstractNumId w:val="2"/>
  </w:num>
  <w:num w:numId="36" w16cid:durableId="1479423755">
    <w:abstractNumId w:val="1"/>
  </w:num>
  <w:num w:numId="37" w16cid:durableId="2092460213">
    <w:abstractNumId w:val="0"/>
  </w:num>
  <w:num w:numId="38" w16cid:durableId="722172858">
    <w:abstractNumId w:val="35"/>
  </w:num>
  <w:num w:numId="39" w16cid:durableId="896165979">
    <w:abstractNumId w:val="30"/>
  </w:num>
  <w:num w:numId="40" w16cid:durableId="1761096458">
    <w:abstractNumId w:val="27"/>
    <w:lvlOverride w:ilvl="0">
      <w:startOverride w:val="1"/>
    </w:lvlOverride>
  </w:num>
  <w:num w:numId="41" w16cid:durableId="990139425">
    <w:abstractNumId w:val="31"/>
  </w:num>
  <w:num w:numId="42" w16cid:durableId="745035824">
    <w:abstractNumId w:val="14"/>
  </w:num>
  <w:num w:numId="43" w16cid:durableId="2006324679">
    <w:abstractNumId w:val="41"/>
  </w:num>
  <w:num w:numId="44" w16cid:durableId="1350373342">
    <w:abstractNumId w:val="18"/>
  </w:num>
  <w:num w:numId="45" w16cid:durableId="257640855">
    <w:abstractNumId w:val="33"/>
  </w:num>
  <w:num w:numId="46" w16cid:durableId="16566398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activeWritingStyle w:appName="MSWord" w:lang="en-GB" w:vendorID="64" w:dllVersion="0" w:nlCheck="1" w:checkStyle="0"/>
  <w:activeWritingStyle w:appName="MSWord" w:lang="es-ES" w:vendorID="64" w:dllVersion="0" w:nlCheck="1" w:checkStyle="0"/>
  <w:proofState w:spelling="clean" w:grammar="clean"/>
  <w:attachedTemplate r:id="rId1"/>
  <w:documentProtection w:formatting="1" w:enforcement="1" w:cryptProviderType="rsaAES" w:cryptAlgorithmClass="hash" w:cryptAlgorithmType="typeAny" w:cryptAlgorithmSid="14" w:cryptSpinCount="100000" w:hash="7UEPIid3dJEUhOPGMPXmrtW+DScW15KAFUTohqy5RH0JQga3DYiZfc5FJniVI/6ymxSCO5OVJQTociTl7OwC8g==" w:salt="BLc/Uz4hiXIqQCFYLardMA=="/>
  <w:autoFormatOverrid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3NjExMrSwMDCwsDRV0lEKTi0uzszPAykwqQUAsHTIXiwAAAA="/>
  </w:docVars>
  <w:rsids>
    <w:rsidRoot w:val="00A600B7"/>
    <w:rsid w:val="00001F6B"/>
    <w:rsid w:val="0000277E"/>
    <w:rsid w:val="000057EC"/>
    <w:rsid w:val="00006217"/>
    <w:rsid w:val="00010BB3"/>
    <w:rsid w:val="00011E83"/>
    <w:rsid w:val="000146F7"/>
    <w:rsid w:val="000176BA"/>
    <w:rsid w:val="00017FEB"/>
    <w:rsid w:val="00020FEA"/>
    <w:rsid w:val="000218C8"/>
    <w:rsid w:val="0002771F"/>
    <w:rsid w:val="00033D5A"/>
    <w:rsid w:val="0004203E"/>
    <w:rsid w:val="00046686"/>
    <w:rsid w:val="0005159D"/>
    <w:rsid w:val="00053427"/>
    <w:rsid w:val="00054AD2"/>
    <w:rsid w:val="00054AE0"/>
    <w:rsid w:val="00056355"/>
    <w:rsid w:val="00070B5F"/>
    <w:rsid w:val="00070CC6"/>
    <w:rsid w:val="00074FF5"/>
    <w:rsid w:val="00075787"/>
    <w:rsid w:val="00084EC3"/>
    <w:rsid w:val="00084EEB"/>
    <w:rsid w:val="00085171"/>
    <w:rsid w:val="000853F8"/>
    <w:rsid w:val="00085A27"/>
    <w:rsid w:val="000867AB"/>
    <w:rsid w:val="00091B04"/>
    <w:rsid w:val="00092508"/>
    <w:rsid w:val="000B6A48"/>
    <w:rsid w:val="000D0865"/>
    <w:rsid w:val="000D368B"/>
    <w:rsid w:val="000D6CC5"/>
    <w:rsid w:val="000E05A9"/>
    <w:rsid w:val="000E0A3D"/>
    <w:rsid w:val="000E16DF"/>
    <w:rsid w:val="000E2463"/>
    <w:rsid w:val="000E2D24"/>
    <w:rsid w:val="000E38D2"/>
    <w:rsid w:val="000E39D6"/>
    <w:rsid w:val="000E5AB1"/>
    <w:rsid w:val="000E77C6"/>
    <w:rsid w:val="000F3292"/>
    <w:rsid w:val="000F44F1"/>
    <w:rsid w:val="000F77D9"/>
    <w:rsid w:val="00110022"/>
    <w:rsid w:val="001113E8"/>
    <w:rsid w:val="0012095F"/>
    <w:rsid w:val="001226B6"/>
    <w:rsid w:val="001242D9"/>
    <w:rsid w:val="0012593F"/>
    <w:rsid w:val="00126368"/>
    <w:rsid w:val="001350F4"/>
    <w:rsid w:val="00140011"/>
    <w:rsid w:val="0014667D"/>
    <w:rsid w:val="00146A36"/>
    <w:rsid w:val="00150A6C"/>
    <w:rsid w:val="001512E7"/>
    <w:rsid w:val="001621F8"/>
    <w:rsid w:val="001634DD"/>
    <w:rsid w:val="00163F59"/>
    <w:rsid w:val="0016678F"/>
    <w:rsid w:val="0017384B"/>
    <w:rsid w:val="00180D5D"/>
    <w:rsid w:val="001822DC"/>
    <w:rsid w:val="00182DF7"/>
    <w:rsid w:val="00187FE1"/>
    <w:rsid w:val="00191CE2"/>
    <w:rsid w:val="001A0FCF"/>
    <w:rsid w:val="001A2EAD"/>
    <w:rsid w:val="001A4D6D"/>
    <w:rsid w:val="001A566E"/>
    <w:rsid w:val="001A56C9"/>
    <w:rsid w:val="001B063B"/>
    <w:rsid w:val="001B139F"/>
    <w:rsid w:val="001B1A34"/>
    <w:rsid w:val="001B6CB2"/>
    <w:rsid w:val="001C0051"/>
    <w:rsid w:val="001C0AC7"/>
    <w:rsid w:val="001C1031"/>
    <w:rsid w:val="001C3AEA"/>
    <w:rsid w:val="001C7386"/>
    <w:rsid w:val="001D2C42"/>
    <w:rsid w:val="001D5717"/>
    <w:rsid w:val="001D7D1C"/>
    <w:rsid w:val="001D7F7D"/>
    <w:rsid w:val="001E097D"/>
    <w:rsid w:val="001E7FCC"/>
    <w:rsid w:val="001F1F6A"/>
    <w:rsid w:val="001F423F"/>
    <w:rsid w:val="001F7F49"/>
    <w:rsid w:val="00201358"/>
    <w:rsid w:val="0020253D"/>
    <w:rsid w:val="00204A19"/>
    <w:rsid w:val="00207745"/>
    <w:rsid w:val="002158F2"/>
    <w:rsid w:val="00215C7E"/>
    <w:rsid w:val="00220955"/>
    <w:rsid w:val="002251D8"/>
    <w:rsid w:val="00232230"/>
    <w:rsid w:val="00232778"/>
    <w:rsid w:val="002352DC"/>
    <w:rsid w:val="00235A89"/>
    <w:rsid w:val="002360AE"/>
    <w:rsid w:val="0023732D"/>
    <w:rsid w:val="0024365D"/>
    <w:rsid w:val="00246A46"/>
    <w:rsid w:val="00247E9A"/>
    <w:rsid w:val="00252DE4"/>
    <w:rsid w:val="002563B6"/>
    <w:rsid w:val="0025733A"/>
    <w:rsid w:val="00261B96"/>
    <w:rsid w:val="002642C7"/>
    <w:rsid w:val="00266885"/>
    <w:rsid w:val="00267ADE"/>
    <w:rsid w:val="00267CB5"/>
    <w:rsid w:val="00270ADE"/>
    <w:rsid w:val="00275E57"/>
    <w:rsid w:val="00277E33"/>
    <w:rsid w:val="002826FB"/>
    <w:rsid w:val="00283575"/>
    <w:rsid w:val="00283DD0"/>
    <w:rsid w:val="00295DF2"/>
    <w:rsid w:val="002973E1"/>
    <w:rsid w:val="002B23D0"/>
    <w:rsid w:val="002B2647"/>
    <w:rsid w:val="002B2CBE"/>
    <w:rsid w:val="002B5A90"/>
    <w:rsid w:val="002B5B1D"/>
    <w:rsid w:val="002C3101"/>
    <w:rsid w:val="002C47BC"/>
    <w:rsid w:val="002C5A99"/>
    <w:rsid w:val="002D54CA"/>
    <w:rsid w:val="002E0FE6"/>
    <w:rsid w:val="002E2172"/>
    <w:rsid w:val="002E3DD4"/>
    <w:rsid w:val="002E45E3"/>
    <w:rsid w:val="002E7BA7"/>
    <w:rsid w:val="002F00EC"/>
    <w:rsid w:val="002F28E4"/>
    <w:rsid w:val="002F4722"/>
    <w:rsid w:val="002F548E"/>
    <w:rsid w:val="002F6E2F"/>
    <w:rsid w:val="002F72DE"/>
    <w:rsid w:val="003009ED"/>
    <w:rsid w:val="00302436"/>
    <w:rsid w:val="00304ED7"/>
    <w:rsid w:val="00315D30"/>
    <w:rsid w:val="00316CBD"/>
    <w:rsid w:val="003172F9"/>
    <w:rsid w:val="00317CB9"/>
    <w:rsid w:val="003219E7"/>
    <w:rsid w:val="00323213"/>
    <w:rsid w:val="00323FEA"/>
    <w:rsid w:val="003247DF"/>
    <w:rsid w:val="003306C8"/>
    <w:rsid w:val="003319A2"/>
    <w:rsid w:val="003340D4"/>
    <w:rsid w:val="00335955"/>
    <w:rsid w:val="003375FE"/>
    <w:rsid w:val="00343EFB"/>
    <w:rsid w:val="00346089"/>
    <w:rsid w:val="003468A7"/>
    <w:rsid w:val="00351392"/>
    <w:rsid w:val="00351C6E"/>
    <w:rsid w:val="00355F95"/>
    <w:rsid w:val="0035647D"/>
    <w:rsid w:val="00360FBB"/>
    <w:rsid w:val="003626FA"/>
    <w:rsid w:val="00366DC6"/>
    <w:rsid w:val="00372306"/>
    <w:rsid w:val="003741E3"/>
    <w:rsid w:val="003775F3"/>
    <w:rsid w:val="00382715"/>
    <w:rsid w:val="0038306A"/>
    <w:rsid w:val="00395728"/>
    <w:rsid w:val="003A0D69"/>
    <w:rsid w:val="003A6237"/>
    <w:rsid w:val="003A6A0B"/>
    <w:rsid w:val="003B0F25"/>
    <w:rsid w:val="003B14E3"/>
    <w:rsid w:val="003B48A0"/>
    <w:rsid w:val="003B50A1"/>
    <w:rsid w:val="003B6EFE"/>
    <w:rsid w:val="003B76B5"/>
    <w:rsid w:val="003C07CD"/>
    <w:rsid w:val="003C0AC5"/>
    <w:rsid w:val="003C3B55"/>
    <w:rsid w:val="003D1A67"/>
    <w:rsid w:val="003D6B2F"/>
    <w:rsid w:val="003E5105"/>
    <w:rsid w:val="003E57ED"/>
    <w:rsid w:val="003E6287"/>
    <w:rsid w:val="003E777A"/>
    <w:rsid w:val="003F5F5F"/>
    <w:rsid w:val="004008EC"/>
    <w:rsid w:val="0041354B"/>
    <w:rsid w:val="004142A3"/>
    <w:rsid w:val="00417D45"/>
    <w:rsid w:val="00421D6A"/>
    <w:rsid w:val="00424FAC"/>
    <w:rsid w:val="00426A8D"/>
    <w:rsid w:val="00432A26"/>
    <w:rsid w:val="00434988"/>
    <w:rsid w:val="0043659F"/>
    <w:rsid w:val="00440669"/>
    <w:rsid w:val="00446919"/>
    <w:rsid w:val="0044691E"/>
    <w:rsid w:val="00452E8A"/>
    <w:rsid w:val="00454188"/>
    <w:rsid w:val="004627F6"/>
    <w:rsid w:val="00462BDD"/>
    <w:rsid w:val="00463443"/>
    <w:rsid w:val="00464414"/>
    <w:rsid w:val="00464F99"/>
    <w:rsid w:val="00466465"/>
    <w:rsid w:val="00466853"/>
    <w:rsid w:val="00470162"/>
    <w:rsid w:val="00470821"/>
    <w:rsid w:val="004711F9"/>
    <w:rsid w:val="00471A27"/>
    <w:rsid w:val="004752E4"/>
    <w:rsid w:val="004775DE"/>
    <w:rsid w:val="0048052D"/>
    <w:rsid w:val="004823DE"/>
    <w:rsid w:val="00483BA0"/>
    <w:rsid w:val="00483CE3"/>
    <w:rsid w:val="00485E7B"/>
    <w:rsid w:val="00490BD3"/>
    <w:rsid w:val="0049477A"/>
    <w:rsid w:val="004949DB"/>
    <w:rsid w:val="0049568D"/>
    <w:rsid w:val="004B21BC"/>
    <w:rsid w:val="004B251C"/>
    <w:rsid w:val="004B3D78"/>
    <w:rsid w:val="004C0B8C"/>
    <w:rsid w:val="004C1B6A"/>
    <w:rsid w:val="004C1F9E"/>
    <w:rsid w:val="004C293D"/>
    <w:rsid w:val="004C48CB"/>
    <w:rsid w:val="004E026C"/>
    <w:rsid w:val="004E615F"/>
    <w:rsid w:val="004F549E"/>
    <w:rsid w:val="0050495E"/>
    <w:rsid w:val="0050612B"/>
    <w:rsid w:val="00513717"/>
    <w:rsid w:val="005145B2"/>
    <w:rsid w:val="00515410"/>
    <w:rsid w:val="00515896"/>
    <w:rsid w:val="0052510F"/>
    <w:rsid w:val="00526340"/>
    <w:rsid w:val="00526958"/>
    <w:rsid w:val="005306A9"/>
    <w:rsid w:val="005310B7"/>
    <w:rsid w:val="00531C19"/>
    <w:rsid w:val="0053249F"/>
    <w:rsid w:val="00532A68"/>
    <w:rsid w:val="00537973"/>
    <w:rsid w:val="00537A1B"/>
    <w:rsid w:val="00544631"/>
    <w:rsid w:val="00547739"/>
    <w:rsid w:val="00550382"/>
    <w:rsid w:val="00552295"/>
    <w:rsid w:val="00564A43"/>
    <w:rsid w:val="00574FD3"/>
    <w:rsid w:val="005766EC"/>
    <w:rsid w:val="00577AB7"/>
    <w:rsid w:val="00582C8C"/>
    <w:rsid w:val="005835BD"/>
    <w:rsid w:val="005845AE"/>
    <w:rsid w:val="00594739"/>
    <w:rsid w:val="00594CA6"/>
    <w:rsid w:val="00596960"/>
    <w:rsid w:val="005A215A"/>
    <w:rsid w:val="005A33B8"/>
    <w:rsid w:val="005B12F1"/>
    <w:rsid w:val="005C3521"/>
    <w:rsid w:val="005C69BF"/>
    <w:rsid w:val="005D10CC"/>
    <w:rsid w:val="005D2A99"/>
    <w:rsid w:val="005D4372"/>
    <w:rsid w:val="005D6546"/>
    <w:rsid w:val="005E0A6C"/>
    <w:rsid w:val="005E0F3C"/>
    <w:rsid w:val="005E2346"/>
    <w:rsid w:val="005E2C15"/>
    <w:rsid w:val="005E3EE7"/>
    <w:rsid w:val="005E661B"/>
    <w:rsid w:val="005F145A"/>
    <w:rsid w:val="005F29FE"/>
    <w:rsid w:val="005F3D58"/>
    <w:rsid w:val="005F58BB"/>
    <w:rsid w:val="00600713"/>
    <w:rsid w:val="00605219"/>
    <w:rsid w:val="006114A9"/>
    <w:rsid w:val="00613D7C"/>
    <w:rsid w:val="006147B0"/>
    <w:rsid w:val="00625370"/>
    <w:rsid w:val="00626F22"/>
    <w:rsid w:val="00635F00"/>
    <w:rsid w:val="00640374"/>
    <w:rsid w:val="0064071C"/>
    <w:rsid w:val="0064148A"/>
    <w:rsid w:val="006423A5"/>
    <w:rsid w:val="006447A8"/>
    <w:rsid w:val="0064549A"/>
    <w:rsid w:val="00656432"/>
    <w:rsid w:val="00660362"/>
    <w:rsid w:val="00662AF2"/>
    <w:rsid w:val="0066650A"/>
    <w:rsid w:val="0067080A"/>
    <w:rsid w:val="00670D37"/>
    <w:rsid w:val="00672F76"/>
    <w:rsid w:val="00676833"/>
    <w:rsid w:val="00676C5E"/>
    <w:rsid w:val="006777F8"/>
    <w:rsid w:val="006813DB"/>
    <w:rsid w:val="006A1892"/>
    <w:rsid w:val="006A3566"/>
    <w:rsid w:val="006B150B"/>
    <w:rsid w:val="006B1DC4"/>
    <w:rsid w:val="006B6E79"/>
    <w:rsid w:val="006C1E32"/>
    <w:rsid w:val="006C3740"/>
    <w:rsid w:val="006C3EBD"/>
    <w:rsid w:val="006D1D86"/>
    <w:rsid w:val="006D73D0"/>
    <w:rsid w:val="006E3408"/>
    <w:rsid w:val="006E379E"/>
    <w:rsid w:val="006E47E6"/>
    <w:rsid w:val="006E542C"/>
    <w:rsid w:val="006F256F"/>
    <w:rsid w:val="006F3172"/>
    <w:rsid w:val="006F6B9E"/>
    <w:rsid w:val="006F6D11"/>
    <w:rsid w:val="00702D5A"/>
    <w:rsid w:val="00702E19"/>
    <w:rsid w:val="00705F7A"/>
    <w:rsid w:val="00722A5E"/>
    <w:rsid w:val="0072611E"/>
    <w:rsid w:val="00727C3B"/>
    <w:rsid w:val="00730608"/>
    <w:rsid w:val="00731239"/>
    <w:rsid w:val="00731BF5"/>
    <w:rsid w:val="007420BA"/>
    <w:rsid w:val="00745A3B"/>
    <w:rsid w:val="00750A0E"/>
    <w:rsid w:val="0075411D"/>
    <w:rsid w:val="00755E1D"/>
    <w:rsid w:val="0076296A"/>
    <w:rsid w:val="0076317B"/>
    <w:rsid w:val="0077163C"/>
    <w:rsid w:val="00771EAA"/>
    <w:rsid w:val="00776795"/>
    <w:rsid w:val="0078054D"/>
    <w:rsid w:val="00784B80"/>
    <w:rsid w:val="00790553"/>
    <w:rsid w:val="0079310A"/>
    <w:rsid w:val="00794368"/>
    <w:rsid w:val="00795D6E"/>
    <w:rsid w:val="007971E7"/>
    <w:rsid w:val="007B287B"/>
    <w:rsid w:val="007B3171"/>
    <w:rsid w:val="007B7BC9"/>
    <w:rsid w:val="007C3BD7"/>
    <w:rsid w:val="007C4EF3"/>
    <w:rsid w:val="007D1E9E"/>
    <w:rsid w:val="007D2E26"/>
    <w:rsid w:val="007D7412"/>
    <w:rsid w:val="007D7815"/>
    <w:rsid w:val="007E0F3A"/>
    <w:rsid w:val="007E4DB0"/>
    <w:rsid w:val="007E520E"/>
    <w:rsid w:val="007E52CB"/>
    <w:rsid w:val="007E67AF"/>
    <w:rsid w:val="007F3254"/>
    <w:rsid w:val="007F3261"/>
    <w:rsid w:val="007F4F81"/>
    <w:rsid w:val="007F61E0"/>
    <w:rsid w:val="00806A69"/>
    <w:rsid w:val="00807C59"/>
    <w:rsid w:val="00814C5D"/>
    <w:rsid w:val="00817471"/>
    <w:rsid w:val="00825D6E"/>
    <w:rsid w:val="00826A8F"/>
    <w:rsid w:val="00832B5E"/>
    <w:rsid w:val="00833DC1"/>
    <w:rsid w:val="00834573"/>
    <w:rsid w:val="0083467E"/>
    <w:rsid w:val="0083482C"/>
    <w:rsid w:val="00835556"/>
    <w:rsid w:val="00835673"/>
    <w:rsid w:val="00840152"/>
    <w:rsid w:val="00841959"/>
    <w:rsid w:val="0084518B"/>
    <w:rsid w:val="00846B27"/>
    <w:rsid w:val="00851621"/>
    <w:rsid w:val="00856364"/>
    <w:rsid w:val="00856977"/>
    <w:rsid w:val="008650A3"/>
    <w:rsid w:val="0087028A"/>
    <w:rsid w:val="00871396"/>
    <w:rsid w:val="008714AA"/>
    <w:rsid w:val="00874047"/>
    <w:rsid w:val="00885990"/>
    <w:rsid w:val="00886046"/>
    <w:rsid w:val="00891FD5"/>
    <w:rsid w:val="008A07C6"/>
    <w:rsid w:val="008A1186"/>
    <w:rsid w:val="008A29C4"/>
    <w:rsid w:val="008A4611"/>
    <w:rsid w:val="008A6FED"/>
    <w:rsid w:val="008B018F"/>
    <w:rsid w:val="008B1949"/>
    <w:rsid w:val="008B2D71"/>
    <w:rsid w:val="008B3555"/>
    <w:rsid w:val="008B5036"/>
    <w:rsid w:val="008B52A9"/>
    <w:rsid w:val="008B581D"/>
    <w:rsid w:val="008B7271"/>
    <w:rsid w:val="008C1C8D"/>
    <w:rsid w:val="008C2C59"/>
    <w:rsid w:val="008D19A2"/>
    <w:rsid w:val="008E0DAA"/>
    <w:rsid w:val="008E155F"/>
    <w:rsid w:val="008E5B6E"/>
    <w:rsid w:val="008E7C21"/>
    <w:rsid w:val="008F06A2"/>
    <w:rsid w:val="008F157E"/>
    <w:rsid w:val="00902000"/>
    <w:rsid w:val="00903209"/>
    <w:rsid w:val="0091311A"/>
    <w:rsid w:val="0091647B"/>
    <w:rsid w:val="00926938"/>
    <w:rsid w:val="00932883"/>
    <w:rsid w:val="0093317B"/>
    <w:rsid w:val="00933DC4"/>
    <w:rsid w:val="00936B35"/>
    <w:rsid w:val="009468AE"/>
    <w:rsid w:val="00950281"/>
    <w:rsid w:val="0095101A"/>
    <w:rsid w:val="00954047"/>
    <w:rsid w:val="00956C60"/>
    <w:rsid w:val="00956FD7"/>
    <w:rsid w:val="00960807"/>
    <w:rsid w:val="0096699D"/>
    <w:rsid w:val="00972D3A"/>
    <w:rsid w:val="00975436"/>
    <w:rsid w:val="00984970"/>
    <w:rsid w:val="00984B90"/>
    <w:rsid w:val="0099076B"/>
    <w:rsid w:val="00996D73"/>
    <w:rsid w:val="0099712D"/>
    <w:rsid w:val="009A06F9"/>
    <w:rsid w:val="009A1CB5"/>
    <w:rsid w:val="009A1D0F"/>
    <w:rsid w:val="009A21D4"/>
    <w:rsid w:val="009A2B47"/>
    <w:rsid w:val="009A4B30"/>
    <w:rsid w:val="009B37A8"/>
    <w:rsid w:val="009B4054"/>
    <w:rsid w:val="009B4662"/>
    <w:rsid w:val="009B49EB"/>
    <w:rsid w:val="009B7940"/>
    <w:rsid w:val="009C1115"/>
    <w:rsid w:val="009C56D8"/>
    <w:rsid w:val="009C7697"/>
    <w:rsid w:val="009D0343"/>
    <w:rsid w:val="009D31C5"/>
    <w:rsid w:val="009D4372"/>
    <w:rsid w:val="009D4B60"/>
    <w:rsid w:val="009E18C2"/>
    <w:rsid w:val="009E40C0"/>
    <w:rsid w:val="009F1A1F"/>
    <w:rsid w:val="009F2E2D"/>
    <w:rsid w:val="009F3452"/>
    <w:rsid w:val="00A10BA6"/>
    <w:rsid w:val="00A10EF6"/>
    <w:rsid w:val="00A16598"/>
    <w:rsid w:val="00A1749B"/>
    <w:rsid w:val="00A210AE"/>
    <w:rsid w:val="00A27B9E"/>
    <w:rsid w:val="00A378EC"/>
    <w:rsid w:val="00A50616"/>
    <w:rsid w:val="00A52919"/>
    <w:rsid w:val="00A55956"/>
    <w:rsid w:val="00A55A15"/>
    <w:rsid w:val="00A600B7"/>
    <w:rsid w:val="00A619E8"/>
    <w:rsid w:val="00A6767D"/>
    <w:rsid w:val="00A73A2E"/>
    <w:rsid w:val="00A81362"/>
    <w:rsid w:val="00A82FF6"/>
    <w:rsid w:val="00A843D7"/>
    <w:rsid w:val="00A8461A"/>
    <w:rsid w:val="00A8564B"/>
    <w:rsid w:val="00A94927"/>
    <w:rsid w:val="00A9778A"/>
    <w:rsid w:val="00AA1DF8"/>
    <w:rsid w:val="00AA55E1"/>
    <w:rsid w:val="00AA6613"/>
    <w:rsid w:val="00AA754D"/>
    <w:rsid w:val="00AA773B"/>
    <w:rsid w:val="00AB2183"/>
    <w:rsid w:val="00AB3B83"/>
    <w:rsid w:val="00AB6E28"/>
    <w:rsid w:val="00AC4919"/>
    <w:rsid w:val="00AC5316"/>
    <w:rsid w:val="00AD06A8"/>
    <w:rsid w:val="00AD543A"/>
    <w:rsid w:val="00AD5C32"/>
    <w:rsid w:val="00AD6E6C"/>
    <w:rsid w:val="00AE03A8"/>
    <w:rsid w:val="00AE2BF8"/>
    <w:rsid w:val="00AE3669"/>
    <w:rsid w:val="00AF1C15"/>
    <w:rsid w:val="00AF38F7"/>
    <w:rsid w:val="00AF7FC7"/>
    <w:rsid w:val="00B00598"/>
    <w:rsid w:val="00B02784"/>
    <w:rsid w:val="00B04B38"/>
    <w:rsid w:val="00B071CD"/>
    <w:rsid w:val="00B079B3"/>
    <w:rsid w:val="00B1017A"/>
    <w:rsid w:val="00B11FBC"/>
    <w:rsid w:val="00B12BB5"/>
    <w:rsid w:val="00B12E88"/>
    <w:rsid w:val="00B13CE1"/>
    <w:rsid w:val="00B171D0"/>
    <w:rsid w:val="00B2157C"/>
    <w:rsid w:val="00B26068"/>
    <w:rsid w:val="00B3164B"/>
    <w:rsid w:val="00B35574"/>
    <w:rsid w:val="00B43A02"/>
    <w:rsid w:val="00B4653E"/>
    <w:rsid w:val="00B50DA2"/>
    <w:rsid w:val="00B55328"/>
    <w:rsid w:val="00B60386"/>
    <w:rsid w:val="00B60669"/>
    <w:rsid w:val="00B646F0"/>
    <w:rsid w:val="00B6763D"/>
    <w:rsid w:val="00B70FA8"/>
    <w:rsid w:val="00B7308A"/>
    <w:rsid w:val="00B77B51"/>
    <w:rsid w:val="00B80858"/>
    <w:rsid w:val="00B81964"/>
    <w:rsid w:val="00B830AD"/>
    <w:rsid w:val="00B83879"/>
    <w:rsid w:val="00B84781"/>
    <w:rsid w:val="00B84C53"/>
    <w:rsid w:val="00B87E62"/>
    <w:rsid w:val="00B90EA8"/>
    <w:rsid w:val="00B9166E"/>
    <w:rsid w:val="00B91CA3"/>
    <w:rsid w:val="00B92947"/>
    <w:rsid w:val="00B93C7D"/>
    <w:rsid w:val="00BA1A8F"/>
    <w:rsid w:val="00BA57A5"/>
    <w:rsid w:val="00BB1426"/>
    <w:rsid w:val="00BB1B41"/>
    <w:rsid w:val="00BB3475"/>
    <w:rsid w:val="00BB4733"/>
    <w:rsid w:val="00BB6B39"/>
    <w:rsid w:val="00BC00CF"/>
    <w:rsid w:val="00BD64AB"/>
    <w:rsid w:val="00BE2973"/>
    <w:rsid w:val="00BE4A54"/>
    <w:rsid w:val="00BE4ED1"/>
    <w:rsid w:val="00BE6077"/>
    <w:rsid w:val="00BF10AD"/>
    <w:rsid w:val="00BF14C6"/>
    <w:rsid w:val="00BF2849"/>
    <w:rsid w:val="00BF474E"/>
    <w:rsid w:val="00C012D0"/>
    <w:rsid w:val="00C025D0"/>
    <w:rsid w:val="00C052FA"/>
    <w:rsid w:val="00C103D8"/>
    <w:rsid w:val="00C11691"/>
    <w:rsid w:val="00C14830"/>
    <w:rsid w:val="00C20F91"/>
    <w:rsid w:val="00C2691D"/>
    <w:rsid w:val="00C26D9C"/>
    <w:rsid w:val="00C26FE6"/>
    <w:rsid w:val="00C27041"/>
    <w:rsid w:val="00C27B4D"/>
    <w:rsid w:val="00C27D13"/>
    <w:rsid w:val="00C32378"/>
    <w:rsid w:val="00C37AC9"/>
    <w:rsid w:val="00C4523B"/>
    <w:rsid w:val="00C454E8"/>
    <w:rsid w:val="00C53225"/>
    <w:rsid w:val="00C629B2"/>
    <w:rsid w:val="00C64945"/>
    <w:rsid w:val="00C65F96"/>
    <w:rsid w:val="00C66D02"/>
    <w:rsid w:val="00C67FFC"/>
    <w:rsid w:val="00C74238"/>
    <w:rsid w:val="00C80D41"/>
    <w:rsid w:val="00C859D1"/>
    <w:rsid w:val="00C860A3"/>
    <w:rsid w:val="00C9345A"/>
    <w:rsid w:val="00C93821"/>
    <w:rsid w:val="00C94BC3"/>
    <w:rsid w:val="00C9663A"/>
    <w:rsid w:val="00C97564"/>
    <w:rsid w:val="00CA21DD"/>
    <w:rsid w:val="00CA6CBE"/>
    <w:rsid w:val="00CB4866"/>
    <w:rsid w:val="00CB748E"/>
    <w:rsid w:val="00CC38D7"/>
    <w:rsid w:val="00CC7A35"/>
    <w:rsid w:val="00CD1407"/>
    <w:rsid w:val="00CD59F3"/>
    <w:rsid w:val="00CD64A0"/>
    <w:rsid w:val="00CD76A3"/>
    <w:rsid w:val="00CE25F8"/>
    <w:rsid w:val="00CE3D76"/>
    <w:rsid w:val="00CE4C78"/>
    <w:rsid w:val="00CE5AA2"/>
    <w:rsid w:val="00CF0BB1"/>
    <w:rsid w:val="00CF10B6"/>
    <w:rsid w:val="00D0222E"/>
    <w:rsid w:val="00D05287"/>
    <w:rsid w:val="00D056EB"/>
    <w:rsid w:val="00D120B9"/>
    <w:rsid w:val="00D14665"/>
    <w:rsid w:val="00D21518"/>
    <w:rsid w:val="00D216DD"/>
    <w:rsid w:val="00D23ED7"/>
    <w:rsid w:val="00D32E31"/>
    <w:rsid w:val="00D3671B"/>
    <w:rsid w:val="00D5012F"/>
    <w:rsid w:val="00D52999"/>
    <w:rsid w:val="00D612E9"/>
    <w:rsid w:val="00D720C4"/>
    <w:rsid w:val="00D729E8"/>
    <w:rsid w:val="00D72D03"/>
    <w:rsid w:val="00D779AA"/>
    <w:rsid w:val="00D77F5C"/>
    <w:rsid w:val="00D8076A"/>
    <w:rsid w:val="00D80BBC"/>
    <w:rsid w:val="00D82CBB"/>
    <w:rsid w:val="00D83008"/>
    <w:rsid w:val="00D836A3"/>
    <w:rsid w:val="00D87BC3"/>
    <w:rsid w:val="00D91B0E"/>
    <w:rsid w:val="00D92F03"/>
    <w:rsid w:val="00D94D8D"/>
    <w:rsid w:val="00DB06C2"/>
    <w:rsid w:val="00DB1CF2"/>
    <w:rsid w:val="00DB39D7"/>
    <w:rsid w:val="00DB43AF"/>
    <w:rsid w:val="00DB4543"/>
    <w:rsid w:val="00DB635F"/>
    <w:rsid w:val="00DC6B19"/>
    <w:rsid w:val="00DC7898"/>
    <w:rsid w:val="00DD1986"/>
    <w:rsid w:val="00DD4222"/>
    <w:rsid w:val="00DE3678"/>
    <w:rsid w:val="00DE3ED2"/>
    <w:rsid w:val="00DF3F07"/>
    <w:rsid w:val="00DF6500"/>
    <w:rsid w:val="00E02B4C"/>
    <w:rsid w:val="00E06B92"/>
    <w:rsid w:val="00E10B8C"/>
    <w:rsid w:val="00E150A1"/>
    <w:rsid w:val="00E15859"/>
    <w:rsid w:val="00E201C7"/>
    <w:rsid w:val="00E25902"/>
    <w:rsid w:val="00E276DC"/>
    <w:rsid w:val="00E30319"/>
    <w:rsid w:val="00E32C92"/>
    <w:rsid w:val="00E33E4A"/>
    <w:rsid w:val="00E34175"/>
    <w:rsid w:val="00E45851"/>
    <w:rsid w:val="00E47D87"/>
    <w:rsid w:val="00E51009"/>
    <w:rsid w:val="00E539D8"/>
    <w:rsid w:val="00E547F4"/>
    <w:rsid w:val="00E55705"/>
    <w:rsid w:val="00E57438"/>
    <w:rsid w:val="00E5778E"/>
    <w:rsid w:val="00E714FE"/>
    <w:rsid w:val="00E722A0"/>
    <w:rsid w:val="00E81A63"/>
    <w:rsid w:val="00E84C5E"/>
    <w:rsid w:val="00E9019F"/>
    <w:rsid w:val="00E91C74"/>
    <w:rsid w:val="00E938BE"/>
    <w:rsid w:val="00E9676C"/>
    <w:rsid w:val="00E976C5"/>
    <w:rsid w:val="00EA140B"/>
    <w:rsid w:val="00EA21AF"/>
    <w:rsid w:val="00EA4506"/>
    <w:rsid w:val="00EA6F35"/>
    <w:rsid w:val="00EB156C"/>
    <w:rsid w:val="00EB65FD"/>
    <w:rsid w:val="00EC0501"/>
    <w:rsid w:val="00EC1A0A"/>
    <w:rsid w:val="00EC313E"/>
    <w:rsid w:val="00EC5397"/>
    <w:rsid w:val="00ED4AAB"/>
    <w:rsid w:val="00ED6EBE"/>
    <w:rsid w:val="00EE0A03"/>
    <w:rsid w:val="00EE178D"/>
    <w:rsid w:val="00EE304C"/>
    <w:rsid w:val="00EE4A3C"/>
    <w:rsid w:val="00EE4EF0"/>
    <w:rsid w:val="00EE7917"/>
    <w:rsid w:val="00EE7FD4"/>
    <w:rsid w:val="00EF2803"/>
    <w:rsid w:val="00EF4832"/>
    <w:rsid w:val="00EF5771"/>
    <w:rsid w:val="00EF7320"/>
    <w:rsid w:val="00F051A3"/>
    <w:rsid w:val="00F105DF"/>
    <w:rsid w:val="00F129B5"/>
    <w:rsid w:val="00F153FA"/>
    <w:rsid w:val="00F1732F"/>
    <w:rsid w:val="00F21121"/>
    <w:rsid w:val="00F23603"/>
    <w:rsid w:val="00F23D44"/>
    <w:rsid w:val="00F24788"/>
    <w:rsid w:val="00F3094E"/>
    <w:rsid w:val="00F335F1"/>
    <w:rsid w:val="00F37064"/>
    <w:rsid w:val="00F46BB5"/>
    <w:rsid w:val="00F51A80"/>
    <w:rsid w:val="00F57316"/>
    <w:rsid w:val="00F615DF"/>
    <w:rsid w:val="00F630CB"/>
    <w:rsid w:val="00F700F1"/>
    <w:rsid w:val="00F70105"/>
    <w:rsid w:val="00F76277"/>
    <w:rsid w:val="00F765B5"/>
    <w:rsid w:val="00F8140E"/>
    <w:rsid w:val="00F81532"/>
    <w:rsid w:val="00F8585D"/>
    <w:rsid w:val="00F86C9D"/>
    <w:rsid w:val="00F8784D"/>
    <w:rsid w:val="00F91D69"/>
    <w:rsid w:val="00F96335"/>
    <w:rsid w:val="00F968E8"/>
    <w:rsid w:val="00F96F68"/>
    <w:rsid w:val="00FA012D"/>
    <w:rsid w:val="00FA18B0"/>
    <w:rsid w:val="00FA481D"/>
    <w:rsid w:val="00FB00FB"/>
    <w:rsid w:val="00FB0673"/>
    <w:rsid w:val="00FB30C9"/>
    <w:rsid w:val="00FB5120"/>
    <w:rsid w:val="00FB69B3"/>
    <w:rsid w:val="00FC1A03"/>
    <w:rsid w:val="00FC38FB"/>
    <w:rsid w:val="00FC55FC"/>
    <w:rsid w:val="00FC5B11"/>
    <w:rsid w:val="00FC5B8D"/>
    <w:rsid w:val="00FC5C54"/>
    <w:rsid w:val="00FC6135"/>
    <w:rsid w:val="00FC621A"/>
    <w:rsid w:val="00FC6C3F"/>
    <w:rsid w:val="00FD10DD"/>
    <w:rsid w:val="00FD1C29"/>
    <w:rsid w:val="00FD5B91"/>
    <w:rsid w:val="00FE210E"/>
    <w:rsid w:val="00FE535A"/>
    <w:rsid w:val="00FF1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25AD"/>
  <w15:chartTrackingRefBased/>
  <w15:docId w15:val="{5BD5DDCD-0EED-4C8A-865C-F75612FB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0" w:unhideWhenUsed="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qFormat="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A21DD"/>
    <w:pPr>
      <w:spacing w:after="240" w:line="320" w:lineRule="atLeast"/>
    </w:pPr>
    <w:rPr>
      <w:rFonts w:ascii="Arial" w:hAnsi="Arial"/>
      <w:sz w:val="24"/>
    </w:rPr>
  </w:style>
  <w:style w:type="paragraph" w:styleId="Heading1">
    <w:name w:val="heading 1"/>
    <w:basedOn w:val="Normal"/>
    <w:next w:val="Normal"/>
    <w:link w:val="Heading1Char"/>
    <w:uiPriority w:val="9"/>
    <w:qFormat/>
    <w:rsid w:val="00582C8C"/>
    <w:pPr>
      <w:keepNext/>
      <w:keepLines/>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F105DF"/>
    <w:pPr>
      <w:keepNext/>
      <w:keepLines/>
      <w:spacing w:before="480" w:after="320"/>
      <w:outlineLvl w:val="1"/>
    </w:pPr>
    <w:rPr>
      <w:rFonts w:eastAsiaTheme="majorEastAsia" w:cstheme="majorBidi"/>
      <w:color w:val="041E42"/>
      <w:sz w:val="36"/>
      <w:szCs w:val="26"/>
    </w:rPr>
  </w:style>
  <w:style w:type="paragraph" w:styleId="Heading3">
    <w:name w:val="heading 3"/>
    <w:basedOn w:val="Normal"/>
    <w:next w:val="Normal"/>
    <w:link w:val="Heading3Char"/>
    <w:uiPriority w:val="9"/>
    <w:unhideWhenUsed/>
    <w:qFormat/>
    <w:rsid w:val="00F105DF"/>
    <w:pPr>
      <w:keepNext/>
      <w:keepLines/>
      <w:outlineLvl w:val="2"/>
    </w:pPr>
    <w:rPr>
      <w:rFonts w:eastAsiaTheme="majorEastAsia" w:cstheme="majorBidi"/>
      <w:color w:val="041E42"/>
      <w:sz w:val="28"/>
      <w:szCs w:val="24"/>
    </w:rPr>
  </w:style>
  <w:style w:type="paragraph" w:styleId="Heading4">
    <w:name w:val="heading 4"/>
    <w:basedOn w:val="Normal"/>
    <w:next w:val="Normal"/>
    <w:link w:val="Heading4Char"/>
    <w:uiPriority w:val="9"/>
    <w:unhideWhenUsed/>
    <w:qFormat/>
    <w:rsid w:val="00582C8C"/>
    <w:pPr>
      <w:keepNext/>
      <w:keepLines/>
      <w:spacing w:after="12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NZTitle">
    <w:name w:val="DESNZ Title"/>
    <w:basedOn w:val="Normal"/>
    <w:next w:val="DESNZSub-title"/>
    <w:rsid w:val="00FB0673"/>
    <w:rPr>
      <w:color w:val="041E42"/>
      <w:sz w:val="76"/>
    </w:rPr>
  </w:style>
  <w:style w:type="paragraph" w:customStyle="1" w:styleId="DESNZSub-title">
    <w:name w:val="DESNZ Sub-title"/>
    <w:basedOn w:val="Normal"/>
    <w:next w:val="DESNZDate"/>
    <w:rsid w:val="00E9676C"/>
    <w:pPr>
      <w:spacing w:after="480"/>
    </w:pPr>
    <w:rPr>
      <w:color w:val="868686"/>
      <w:sz w:val="48"/>
    </w:rPr>
  </w:style>
  <w:style w:type="paragraph" w:styleId="Header">
    <w:name w:val="header"/>
    <w:basedOn w:val="Normal"/>
    <w:link w:val="HeaderChar"/>
    <w:uiPriority w:val="99"/>
    <w:unhideWhenUsed/>
    <w:rsid w:val="00490BD3"/>
    <w:pPr>
      <w:tabs>
        <w:tab w:val="center" w:pos="4513"/>
        <w:tab w:val="right" w:pos="9026"/>
      </w:tabs>
      <w:spacing w:after="0"/>
    </w:pPr>
  </w:style>
  <w:style w:type="character" w:customStyle="1" w:styleId="HeaderChar">
    <w:name w:val="Header Char"/>
    <w:basedOn w:val="DefaultParagraphFont"/>
    <w:link w:val="Header"/>
    <w:uiPriority w:val="99"/>
    <w:rsid w:val="00490BD3"/>
  </w:style>
  <w:style w:type="paragraph" w:styleId="Footer">
    <w:name w:val="footer"/>
    <w:basedOn w:val="Normal"/>
    <w:link w:val="FooterChar"/>
    <w:uiPriority w:val="99"/>
    <w:unhideWhenUsed/>
    <w:rsid w:val="00490BD3"/>
    <w:pPr>
      <w:tabs>
        <w:tab w:val="center" w:pos="4513"/>
        <w:tab w:val="right" w:pos="9026"/>
      </w:tabs>
      <w:spacing w:after="0"/>
    </w:pPr>
  </w:style>
  <w:style w:type="character" w:customStyle="1" w:styleId="FooterChar">
    <w:name w:val="Footer Char"/>
    <w:basedOn w:val="DefaultParagraphFont"/>
    <w:link w:val="Footer"/>
    <w:uiPriority w:val="99"/>
    <w:rsid w:val="00490BD3"/>
  </w:style>
  <w:style w:type="paragraph" w:customStyle="1" w:styleId="DESNZDate">
    <w:name w:val="DESNZ Date"/>
    <w:basedOn w:val="Normal"/>
    <w:rsid w:val="00FC1A03"/>
    <w:pPr>
      <w:spacing w:after="0"/>
    </w:pPr>
    <w:rPr>
      <w:color w:val="868686"/>
      <w:sz w:val="28"/>
    </w:rPr>
  </w:style>
  <w:style w:type="paragraph" w:customStyle="1" w:styleId="Copyrightstatement">
    <w:name w:val="Copyright statement"/>
    <w:basedOn w:val="Normal"/>
    <w:rsid w:val="009B7940"/>
    <w:pPr>
      <w:spacing w:after="200" w:line="240" w:lineRule="auto"/>
    </w:pPr>
    <w:rPr>
      <w:sz w:val="20"/>
    </w:rPr>
  </w:style>
  <w:style w:type="character" w:styleId="Hyperlink">
    <w:name w:val="Hyperlink"/>
    <w:basedOn w:val="DefaultParagraphFont"/>
    <w:uiPriority w:val="99"/>
    <w:unhideWhenUsed/>
    <w:rsid w:val="008C2C59"/>
    <w:rPr>
      <w:color w:val="0000FF"/>
      <w:u w:val="single"/>
    </w:rPr>
  </w:style>
  <w:style w:type="character" w:styleId="UnresolvedMention">
    <w:name w:val="Unresolved Mention"/>
    <w:basedOn w:val="DefaultParagraphFont"/>
    <w:uiPriority w:val="99"/>
    <w:semiHidden/>
    <w:unhideWhenUsed/>
    <w:rsid w:val="009C56D8"/>
    <w:rPr>
      <w:color w:val="808080"/>
      <w:shd w:val="clear" w:color="auto" w:fill="E6E6E6"/>
    </w:rPr>
  </w:style>
  <w:style w:type="character" w:customStyle="1" w:styleId="Heading1Char">
    <w:name w:val="Heading 1 Char"/>
    <w:basedOn w:val="DefaultParagraphFont"/>
    <w:link w:val="Heading1"/>
    <w:uiPriority w:val="9"/>
    <w:rsid w:val="00582C8C"/>
    <w:rPr>
      <w:rFonts w:ascii="Arial" w:eastAsiaTheme="majorEastAsia" w:hAnsi="Arial" w:cstheme="majorBidi"/>
      <w:color w:val="041E42"/>
      <w:sz w:val="52"/>
      <w:szCs w:val="32"/>
    </w:rPr>
  </w:style>
  <w:style w:type="paragraph" w:customStyle="1" w:styleId="Contents">
    <w:name w:val="Contents"/>
    <w:basedOn w:val="Heading1"/>
    <w:next w:val="Normal"/>
    <w:rsid w:val="004C1B6A"/>
  </w:style>
  <w:style w:type="character" w:customStyle="1" w:styleId="Heading2Char">
    <w:name w:val="Heading 2 Char"/>
    <w:basedOn w:val="DefaultParagraphFont"/>
    <w:link w:val="Heading2"/>
    <w:uiPriority w:val="9"/>
    <w:rsid w:val="00F105DF"/>
    <w:rPr>
      <w:rFonts w:ascii="Arial" w:eastAsiaTheme="majorEastAsia" w:hAnsi="Arial" w:cstheme="majorBidi"/>
      <w:color w:val="041E42"/>
      <w:sz w:val="36"/>
      <w:szCs w:val="26"/>
    </w:rPr>
  </w:style>
  <w:style w:type="character" w:customStyle="1" w:styleId="Heading3Char">
    <w:name w:val="Heading 3 Char"/>
    <w:basedOn w:val="DefaultParagraphFont"/>
    <w:link w:val="Heading3"/>
    <w:uiPriority w:val="9"/>
    <w:rsid w:val="00F105DF"/>
    <w:rPr>
      <w:rFonts w:ascii="Arial" w:eastAsiaTheme="majorEastAsia" w:hAnsi="Arial" w:cstheme="majorBidi"/>
      <w:color w:val="041E42"/>
      <w:sz w:val="28"/>
      <w:szCs w:val="24"/>
    </w:rPr>
  </w:style>
  <w:style w:type="character" w:customStyle="1" w:styleId="Heading4Char">
    <w:name w:val="Heading 4 Char"/>
    <w:basedOn w:val="DefaultParagraphFont"/>
    <w:link w:val="Heading4"/>
    <w:uiPriority w:val="9"/>
    <w:rsid w:val="00582C8C"/>
    <w:rPr>
      <w:rFonts w:ascii="Arial" w:eastAsiaTheme="majorEastAsia" w:hAnsi="Arial" w:cstheme="majorBidi"/>
      <w:b/>
      <w:iCs/>
      <w:sz w:val="26"/>
    </w:rPr>
  </w:style>
  <w:style w:type="character" w:customStyle="1" w:styleId="Boldtext">
    <w:name w:val="Bold text"/>
    <w:basedOn w:val="DefaultParagraphFont"/>
    <w:uiPriority w:val="1"/>
    <w:qFormat/>
    <w:rsid w:val="00582C8C"/>
    <w:rPr>
      <w:b/>
      <w:color w:val="auto"/>
    </w:rPr>
  </w:style>
  <w:style w:type="paragraph" w:styleId="NoSpacing">
    <w:name w:val="No Spacing"/>
    <w:uiPriority w:val="1"/>
    <w:locked/>
    <w:rsid w:val="000E2D24"/>
    <w:pPr>
      <w:spacing w:after="0" w:line="240" w:lineRule="auto"/>
    </w:pPr>
    <w:rPr>
      <w:rFonts w:ascii="Arial" w:hAnsi="Arial"/>
      <w:sz w:val="24"/>
    </w:rPr>
  </w:style>
  <w:style w:type="paragraph" w:customStyle="1" w:styleId="Introparagraph">
    <w:name w:val="Intro paragraph"/>
    <w:basedOn w:val="Normal"/>
    <w:next w:val="Normal"/>
    <w:uiPriority w:val="2"/>
    <w:qFormat/>
    <w:rsid w:val="000E2D24"/>
    <w:pPr>
      <w:spacing w:line="280" w:lineRule="atLeast"/>
    </w:pPr>
    <w:rPr>
      <w:i/>
      <w:color w:val="041E42"/>
      <w:sz w:val="26"/>
    </w:rPr>
  </w:style>
  <w:style w:type="paragraph" w:styleId="FootnoteText">
    <w:name w:val="footnote text"/>
    <w:basedOn w:val="Normal"/>
    <w:link w:val="FootnoteTextChar"/>
    <w:unhideWhenUsed/>
    <w:rsid w:val="009B7940"/>
    <w:pPr>
      <w:spacing w:after="0" w:line="240" w:lineRule="auto"/>
    </w:pPr>
    <w:rPr>
      <w:sz w:val="20"/>
      <w:szCs w:val="20"/>
    </w:rPr>
  </w:style>
  <w:style w:type="character" w:customStyle="1" w:styleId="FootnoteTextChar">
    <w:name w:val="Footnote Text Char"/>
    <w:basedOn w:val="DefaultParagraphFont"/>
    <w:link w:val="FootnoteText"/>
    <w:uiPriority w:val="99"/>
    <w:rsid w:val="009B7940"/>
    <w:rPr>
      <w:rFonts w:ascii="Arial" w:hAnsi="Arial"/>
      <w:sz w:val="20"/>
      <w:szCs w:val="20"/>
    </w:rPr>
  </w:style>
  <w:style w:type="character" w:styleId="FootnoteReference">
    <w:name w:val="footnote reference"/>
    <w:aliases w:val="Footnote symbol,Footnote Refernece,footnote ref,FR,Fußnotenzeichen diss neu,Times 10 Point,Exposant 3 Point,Footnote,Voetnootverwijzing,FR + (Complex) Arial,(Latin) 9 pt,(Complex) 10 pt + (Compl..., Exposant 3 Point,BVI fnr,fr,number"/>
    <w:basedOn w:val="DefaultParagraphFont"/>
    <w:unhideWhenUsed/>
    <w:qFormat/>
    <w:rsid w:val="00B00598"/>
    <w:rPr>
      <w:vertAlign w:val="superscript"/>
    </w:rPr>
  </w:style>
  <w:style w:type="paragraph" w:customStyle="1" w:styleId="Numberedlist">
    <w:name w:val="Numbered list"/>
    <w:basedOn w:val="Normal"/>
    <w:rsid w:val="00D23ED7"/>
    <w:pPr>
      <w:numPr>
        <w:numId w:val="3"/>
      </w:numPr>
      <w:spacing w:after="200"/>
      <w:ind w:left="850" w:hanging="425"/>
    </w:pPr>
  </w:style>
  <w:style w:type="paragraph" w:customStyle="1" w:styleId="Tintbox">
    <w:name w:val="Tint box"/>
    <w:basedOn w:val="Normal"/>
    <w:rsid w:val="00323213"/>
    <w:pPr>
      <w:pBdr>
        <w:top w:val="single" w:sz="48" w:space="1" w:color="DFE2EB"/>
        <w:left w:val="single" w:sz="48" w:space="4" w:color="DFE2EB"/>
        <w:bottom w:val="single" w:sz="48" w:space="1" w:color="DFE2EB"/>
        <w:right w:val="single" w:sz="48" w:space="4" w:color="DFE2EB"/>
      </w:pBdr>
      <w:shd w:val="clear" w:color="auto" w:fill="DFE2EB"/>
      <w:ind w:left="284" w:right="284"/>
    </w:pPr>
  </w:style>
  <w:style w:type="paragraph" w:styleId="TOCHeading">
    <w:name w:val="TOC Heading"/>
    <w:basedOn w:val="Heading1"/>
    <w:next w:val="Normal"/>
    <w:uiPriority w:val="39"/>
    <w:unhideWhenUsed/>
    <w:locked/>
    <w:rsid w:val="00E45851"/>
    <w:pPr>
      <w:spacing w:before="240" w:after="0" w:line="259" w:lineRule="auto"/>
      <w:outlineLvl w:val="9"/>
    </w:pPr>
    <w:rPr>
      <w:rFonts w:asciiTheme="majorHAnsi" w:hAnsiTheme="majorHAnsi"/>
      <w:color w:val="2F5496" w:themeColor="accent1" w:themeShade="BF"/>
      <w:sz w:val="32"/>
      <w:lang w:val="en-US"/>
    </w:rPr>
  </w:style>
  <w:style w:type="paragraph" w:customStyle="1" w:styleId="Notes">
    <w:name w:val="Notes"/>
    <w:basedOn w:val="Normal"/>
    <w:next w:val="Normal"/>
    <w:rsid w:val="002C3101"/>
    <w:pPr>
      <w:spacing w:line="240" w:lineRule="auto"/>
    </w:pPr>
    <w:rPr>
      <w:sz w:val="20"/>
    </w:rPr>
  </w:style>
  <w:style w:type="paragraph" w:customStyle="1" w:styleId="Textbox">
    <w:name w:val="Text box"/>
    <w:basedOn w:val="Normal"/>
    <w:rsid w:val="008C2C59"/>
    <w:pPr>
      <w:pBdr>
        <w:top w:val="single" w:sz="4" w:space="6" w:color="2B7EE2"/>
        <w:left w:val="single" w:sz="4" w:space="8" w:color="2B7EE2"/>
        <w:bottom w:val="single" w:sz="4" w:space="6" w:color="2B7EE2"/>
        <w:right w:val="single" w:sz="4" w:space="8" w:color="2B7EE2"/>
      </w:pBdr>
      <w:ind w:left="284" w:right="284"/>
    </w:pPr>
  </w:style>
  <w:style w:type="character" w:customStyle="1" w:styleId="Italic">
    <w:name w:val="Italic"/>
    <w:basedOn w:val="DefaultParagraphFont"/>
    <w:uiPriority w:val="1"/>
    <w:qFormat/>
    <w:rsid w:val="00BE6077"/>
    <w:rPr>
      <w:i/>
    </w:rPr>
  </w:style>
  <w:style w:type="paragraph" w:customStyle="1" w:styleId="NumberedparagraphSimple">
    <w:name w:val="Numbered paragraph (Simple)"/>
    <w:basedOn w:val="Normal"/>
    <w:link w:val="NumberedparagraphSimpleChar"/>
    <w:autoRedefine/>
    <w:uiPriority w:val="99"/>
    <w:rsid w:val="00BC00CF"/>
    <w:pPr>
      <w:numPr>
        <w:numId w:val="5"/>
      </w:numPr>
      <w:tabs>
        <w:tab w:val="left" w:pos="709"/>
      </w:tabs>
      <w:ind w:left="709" w:hanging="709"/>
    </w:pPr>
    <w:rPr>
      <w:rFonts w:eastAsia="Times New Roman" w:cs="Times New Roman"/>
      <w:szCs w:val="24"/>
    </w:rPr>
  </w:style>
  <w:style w:type="numbering" w:customStyle="1" w:styleId="Numberlist">
    <w:name w:val="Number list"/>
    <w:rsid w:val="004949DB"/>
    <w:pPr>
      <w:numPr>
        <w:numId w:val="4"/>
      </w:numPr>
    </w:pPr>
  </w:style>
  <w:style w:type="character" w:customStyle="1" w:styleId="NumberedparagraphSimpleChar">
    <w:name w:val="Numbered paragraph (Simple) Char"/>
    <w:basedOn w:val="DefaultParagraphFont"/>
    <w:link w:val="NumberedparagraphSimple"/>
    <w:uiPriority w:val="99"/>
    <w:rsid w:val="00BC00CF"/>
    <w:rPr>
      <w:rFonts w:ascii="Arial" w:eastAsia="Times New Roman" w:hAnsi="Arial" w:cs="Times New Roman"/>
      <w:sz w:val="24"/>
      <w:szCs w:val="24"/>
    </w:rPr>
  </w:style>
  <w:style w:type="paragraph" w:styleId="Quote">
    <w:name w:val="Quote"/>
    <w:basedOn w:val="Normal"/>
    <w:next w:val="Normal"/>
    <w:link w:val="QuoteChar"/>
    <w:uiPriority w:val="29"/>
    <w:rsid w:val="00676833"/>
    <w:pPr>
      <w:ind w:left="709" w:right="709"/>
    </w:pPr>
    <w:rPr>
      <w:i/>
      <w:iCs/>
    </w:rPr>
  </w:style>
  <w:style w:type="character" w:customStyle="1" w:styleId="QuoteChar">
    <w:name w:val="Quote Char"/>
    <w:basedOn w:val="DefaultParagraphFont"/>
    <w:link w:val="Quote"/>
    <w:uiPriority w:val="29"/>
    <w:rsid w:val="00676833"/>
    <w:rPr>
      <w:rFonts w:ascii="Arial" w:hAnsi="Arial"/>
      <w:i/>
      <w:iCs/>
      <w:sz w:val="24"/>
    </w:rPr>
  </w:style>
  <w:style w:type="paragraph" w:customStyle="1" w:styleId="DESNZbulletedlist">
    <w:name w:val="DESNZ bulleted list"/>
    <w:basedOn w:val="Normal"/>
    <w:uiPriority w:val="2"/>
    <w:qFormat/>
    <w:rsid w:val="009B7940"/>
    <w:pPr>
      <w:numPr>
        <w:numId w:val="11"/>
      </w:numPr>
      <w:spacing w:after="120"/>
      <w:ind w:left="714" w:hanging="357"/>
    </w:pPr>
  </w:style>
  <w:style w:type="paragraph" w:styleId="Caption">
    <w:name w:val="caption"/>
    <w:basedOn w:val="Normal"/>
    <w:next w:val="Normal"/>
    <w:rsid w:val="008A4611"/>
    <w:pPr>
      <w:spacing w:after="120"/>
    </w:pPr>
    <w:rPr>
      <w:rFonts w:eastAsia="Times New Roman" w:cs="Times New Roman"/>
      <w:b/>
      <w:sz w:val="23"/>
      <w:szCs w:val="24"/>
    </w:rPr>
  </w:style>
  <w:style w:type="table" w:customStyle="1" w:styleId="Table-Darkblue">
    <w:name w:val="Table - Dark blue"/>
    <w:basedOn w:val="TableNormal"/>
    <w:uiPriority w:val="99"/>
    <w:rsid w:val="00BB3475"/>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Yellow">
    <w:name w:val="Table - Yellow"/>
    <w:basedOn w:val="TableNormal"/>
    <w:uiPriority w:val="99"/>
    <w:rsid w:val="008A4611"/>
    <w:pPr>
      <w:spacing w:after="0" w:line="240" w:lineRule="auto"/>
    </w:pPr>
    <w:rPr>
      <w:rFonts w:ascii="Arial" w:eastAsia="Times New Roman" w:hAnsi="Arial" w:cs="Times New Roman"/>
      <w:lang w:eastAsia="en-GB"/>
    </w:rPr>
    <w:tblPr>
      <w:tblBorders>
        <w:top w:val="single" w:sz="2" w:space="0" w:color="FF9F1A"/>
        <w:left w:val="single" w:sz="2" w:space="0" w:color="FF9F1A"/>
        <w:bottom w:val="single" w:sz="2" w:space="0" w:color="FF9F1A"/>
        <w:right w:val="single" w:sz="2" w:space="0" w:color="FF9F1A"/>
        <w:insideH w:val="single" w:sz="2" w:space="0" w:color="FF9F1A"/>
        <w:insideV w:val="single" w:sz="2" w:space="0" w:color="FF9F1A"/>
      </w:tblBorders>
      <w:tblCellMar>
        <w:top w:w="85" w:type="dxa"/>
        <w:bottom w:w="85" w:type="dxa"/>
      </w:tblCellMar>
    </w:tblPr>
    <w:tcPr>
      <w:shd w:val="clear" w:color="auto" w:fill="auto"/>
    </w:tcPr>
    <w:tblStylePr w:type="firstRow">
      <w:tblPr/>
      <w:tcPr>
        <w:shd w:val="clear" w:color="auto" w:fill="FF9F1A"/>
      </w:tcPr>
    </w:tblStylePr>
  </w:style>
  <w:style w:type="table" w:customStyle="1" w:styleId="Table-Green">
    <w:name w:val="Table - Green"/>
    <w:basedOn w:val="TableNormal"/>
    <w:uiPriority w:val="99"/>
    <w:rsid w:val="008A4611"/>
    <w:pPr>
      <w:spacing w:after="0" w:line="240" w:lineRule="auto"/>
    </w:pPr>
    <w:rPr>
      <w:rFonts w:ascii="Arial" w:eastAsia="Times New Roman" w:hAnsi="Arial" w:cs="Times New Roman"/>
      <w:sz w:val="20"/>
      <w:szCs w:val="20"/>
      <w:lang w:eastAsia="en-GB"/>
    </w:rPr>
    <w:tblPr>
      <w:tblBorders>
        <w:top w:val="single" w:sz="2" w:space="0" w:color="8EBB37"/>
        <w:left w:val="single" w:sz="2" w:space="0" w:color="8EBB37"/>
        <w:bottom w:val="single" w:sz="2" w:space="0" w:color="8EBB37"/>
        <w:right w:val="single" w:sz="2" w:space="0" w:color="8EBB37"/>
        <w:insideH w:val="single" w:sz="2" w:space="0" w:color="8EBB37"/>
        <w:insideV w:val="single" w:sz="2" w:space="0" w:color="8EBB37"/>
      </w:tblBorders>
      <w:tblCellMar>
        <w:top w:w="85" w:type="dxa"/>
        <w:bottom w:w="85" w:type="dxa"/>
      </w:tblCellMar>
    </w:tblPr>
    <w:tcPr>
      <w:shd w:val="clear" w:color="auto" w:fill="auto"/>
    </w:tcPr>
    <w:tblStylePr w:type="firstRow">
      <w:tblPr/>
      <w:tcPr>
        <w:shd w:val="clear" w:color="auto" w:fill="8EBB37"/>
      </w:tcPr>
    </w:tblStylePr>
  </w:style>
  <w:style w:type="table" w:customStyle="1" w:styleId="Table-Lightblue">
    <w:name w:val="Table - Light blue"/>
    <w:basedOn w:val="TableNormal"/>
    <w:uiPriority w:val="99"/>
    <w:rsid w:val="008A4611"/>
    <w:pPr>
      <w:spacing w:after="0" w:line="240" w:lineRule="auto"/>
    </w:pPr>
    <w:rPr>
      <w:rFonts w:ascii="Arial" w:eastAsia="Times New Roman" w:hAnsi="Arial" w:cs="Times New Roman"/>
      <w:lang w:eastAsia="en-GB"/>
    </w:rPr>
    <w:tblPr>
      <w:tblBorders>
        <w:top w:val="single" w:sz="4" w:space="0" w:color="2B7EE2"/>
        <w:left w:val="single" w:sz="4" w:space="0" w:color="2B7EE2"/>
        <w:bottom w:val="single" w:sz="4" w:space="0" w:color="2B7EE2"/>
        <w:right w:val="single" w:sz="4" w:space="0" w:color="2B7EE2"/>
        <w:insideH w:val="single" w:sz="4" w:space="0" w:color="2B7EE2"/>
        <w:insideV w:val="single" w:sz="4" w:space="0" w:color="2B7EE2"/>
      </w:tblBorders>
      <w:tblCellMar>
        <w:top w:w="85" w:type="dxa"/>
        <w:bottom w:w="85" w:type="dxa"/>
      </w:tblCellMar>
    </w:tblPr>
    <w:tcPr>
      <w:shd w:val="clear" w:color="auto" w:fill="auto"/>
    </w:tcPr>
    <w:tblStylePr w:type="firstRow">
      <w:tblPr/>
      <w:tcPr>
        <w:shd w:val="clear" w:color="auto" w:fill="2B7EE2"/>
      </w:tcPr>
    </w:tblStylePr>
  </w:style>
  <w:style w:type="table" w:customStyle="1" w:styleId="Table-Red">
    <w:name w:val="Table - Red"/>
    <w:basedOn w:val="TableNormal"/>
    <w:uiPriority w:val="99"/>
    <w:rsid w:val="008A4611"/>
    <w:pPr>
      <w:spacing w:after="0" w:line="240" w:lineRule="auto"/>
    </w:pPr>
    <w:rPr>
      <w:rFonts w:ascii="Arial" w:eastAsia="Times New Roman" w:hAnsi="Arial" w:cs="Times New Roman"/>
      <w:lang w:eastAsia="en-GB"/>
    </w:rPr>
    <w:tblPr>
      <w:tblBorders>
        <w:top w:val="single" w:sz="4" w:space="0" w:color="AC2B37"/>
        <w:left w:val="single" w:sz="4" w:space="0" w:color="AC2B37"/>
        <w:bottom w:val="single" w:sz="4" w:space="0" w:color="AC2B37"/>
        <w:right w:val="single" w:sz="4" w:space="0" w:color="AC2B37"/>
        <w:insideH w:val="single" w:sz="4" w:space="0" w:color="AC2B37"/>
        <w:insideV w:val="single" w:sz="4" w:space="0" w:color="AC2B37"/>
      </w:tblBorders>
      <w:tblCellMar>
        <w:top w:w="85" w:type="dxa"/>
        <w:bottom w:w="85" w:type="dxa"/>
      </w:tblCellMar>
    </w:tblPr>
    <w:tcPr>
      <w:shd w:val="clear" w:color="auto" w:fill="auto"/>
    </w:tcPr>
    <w:tblStylePr w:type="firstRow">
      <w:tblPr/>
      <w:tcPr>
        <w:shd w:val="clear" w:color="auto" w:fill="AC2B37"/>
      </w:tcPr>
    </w:tblStylePr>
  </w:style>
  <w:style w:type="paragraph" w:styleId="TOC1">
    <w:name w:val="toc 1"/>
    <w:basedOn w:val="Normal"/>
    <w:next w:val="Normal"/>
    <w:autoRedefine/>
    <w:uiPriority w:val="39"/>
    <w:unhideWhenUsed/>
    <w:rsid w:val="00E45851"/>
    <w:pPr>
      <w:tabs>
        <w:tab w:val="right" w:leader="underscore" w:pos="10082"/>
      </w:tabs>
      <w:spacing w:before="120" w:after="120"/>
    </w:pPr>
    <w:rPr>
      <w:color w:val="041E42"/>
    </w:rPr>
  </w:style>
  <w:style w:type="paragraph" w:styleId="TOC2">
    <w:name w:val="toc 2"/>
    <w:basedOn w:val="Normal"/>
    <w:next w:val="Normal"/>
    <w:autoRedefine/>
    <w:uiPriority w:val="39"/>
    <w:unhideWhenUsed/>
    <w:rsid w:val="00E45851"/>
    <w:pPr>
      <w:tabs>
        <w:tab w:val="right" w:leader="underscore" w:pos="10082"/>
      </w:tabs>
      <w:spacing w:before="120" w:after="120"/>
      <w:ind w:left="238"/>
    </w:pPr>
    <w:rPr>
      <w:color w:val="041E42"/>
    </w:rPr>
  </w:style>
  <w:style w:type="paragraph" w:styleId="TOC3">
    <w:name w:val="toc 3"/>
    <w:basedOn w:val="Normal"/>
    <w:next w:val="Normal"/>
    <w:autoRedefine/>
    <w:uiPriority w:val="39"/>
    <w:unhideWhenUsed/>
    <w:rsid w:val="00E45851"/>
    <w:pPr>
      <w:spacing w:after="120"/>
      <w:ind w:left="482"/>
    </w:pPr>
    <w:rPr>
      <w:color w:val="041E42"/>
    </w:rPr>
  </w:style>
  <w:style w:type="table" w:styleId="TableGrid">
    <w:name w:val="Table Grid"/>
    <w:basedOn w:val="TableNormal"/>
    <w:uiPriority w:val="39"/>
    <w:rsid w:val="00AC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NormalWhite">
    <w:name w:val="Table heading - Normal (White)"/>
    <w:basedOn w:val="Normal"/>
    <w:next w:val="Normal"/>
    <w:rsid w:val="00483BA0"/>
    <w:pPr>
      <w:spacing w:before="60" w:after="60"/>
      <w:ind w:left="113" w:right="113"/>
    </w:pPr>
    <w:rPr>
      <w:rFonts w:eastAsia="Times New Roman" w:cs="Times New Roman"/>
      <w:b/>
      <w:color w:val="FFFFFF" w:themeColor="background1"/>
      <w:sz w:val="22"/>
      <w:lang w:eastAsia="en-GB"/>
    </w:rPr>
  </w:style>
  <w:style w:type="paragraph" w:customStyle="1" w:styleId="Tableheading-SmallWhite">
    <w:name w:val="Table heading - Small (White)"/>
    <w:basedOn w:val="Tableheading-NormalWhite"/>
    <w:rsid w:val="00483BA0"/>
    <w:rPr>
      <w:color w:val="FFFFFF"/>
      <w:sz w:val="20"/>
    </w:rPr>
  </w:style>
  <w:style w:type="paragraph" w:customStyle="1" w:styleId="Tableheading-NormalBlack">
    <w:name w:val="Table heading - Normal (Black)"/>
    <w:basedOn w:val="Tableheading-NormalWhite"/>
    <w:next w:val="Normal"/>
    <w:rsid w:val="00483BA0"/>
    <w:rPr>
      <w:color w:val="000000" w:themeColor="text1"/>
      <w:szCs w:val="20"/>
    </w:rPr>
  </w:style>
  <w:style w:type="paragraph" w:customStyle="1" w:styleId="Tableheading-SmallBlack">
    <w:name w:val="Table heading - Small (Black)"/>
    <w:basedOn w:val="Tableheading-NormalBlack"/>
    <w:next w:val="Normal"/>
    <w:rsid w:val="00483BA0"/>
    <w:rPr>
      <w:sz w:val="20"/>
    </w:rPr>
  </w:style>
  <w:style w:type="paragraph" w:customStyle="1" w:styleId="Tabletext-Normal">
    <w:name w:val="Table text - Normal"/>
    <w:basedOn w:val="Normal"/>
    <w:rsid w:val="00730608"/>
    <w:pPr>
      <w:spacing w:after="60"/>
      <w:ind w:left="113" w:right="113"/>
    </w:pPr>
    <w:rPr>
      <w:rFonts w:eastAsia="Times New Roman" w:cs="Times New Roman"/>
      <w:sz w:val="22"/>
      <w:lang w:eastAsia="en-GB"/>
    </w:rPr>
  </w:style>
  <w:style w:type="paragraph" w:customStyle="1" w:styleId="Tabletext-Small">
    <w:name w:val="Table text - Small"/>
    <w:basedOn w:val="Tabletext-Normal"/>
    <w:rsid w:val="00730608"/>
    <w:rPr>
      <w:sz w:val="20"/>
    </w:rPr>
  </w:style>
  <w:style w:type="paragraph" w:customStyle="1" w:styleId="Tabletext-NormalBold">
    <w:name w:val="Table text - Normal (Bold)"/>
    <w:basedOn w:val="Tabletext-Normal"/>
    <w:next w:val="Tabletext-Normal"/>
    <w:rsid w:val="00730608"/>
    <w:rPr>
      <w:b/>
    </w:rPr>
  </w:style>
  <w:style w:type="paragraph" w:customStyle="1" w:styleId="Tabletext-SmallBold">
    <w:name w:val="Table text - Small (Bold)"/>
    <w:basedOn w:val="Tabletext-Small"/>
    <w:next w:val="Tabletext-Small"/>
    <w:rsid w:val="00730608"/>
    <w:rPr>
      <w:b/>
    </w:rPr>
  </w:style>
  <w:style w:type="table" w:customStyle="1" w:styleId="Table-bluegrid1">
    <w:name w:val="Table - blue grid1"/>
    <w:basedOn w:val="TableNormal"/>
    <w:uiPriority w:val="99"/>
    <w:locked/>
    <w:rsid w:val="007D7412"/>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PlainTable4">
    <w:name w:val="Plain Table 4"/>
    <w:basedOn w:val="TableNormal"/>
    <w:uiPriority w:val="44"/>
    <w:locked/>
    <w:rsid w:val="005F29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B079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DarkblueBackground">
    <w:name w:val="Table - Dark blue (Background)"/>
    <w:basedOn w:val="Table-Darkblue"/>
    <w:uiPriority w:val="99"/>
    <w:rsid w:val="00B90EA8"/>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DarkblueBanded">
    <w:name w:val="Table - Dark blue (Banded)"/>
    <w:basedOn w:val="Table-DarkblueBackground"/>
    <w:uiPriority w:val="99"/>
    <w:rsid w:val="00972D3A"/>
    <w:tblPr>
      <w:tblStyleRowBandSize w:val="1"/>
    </w:tbl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customStyle="1" w:styleId="Table-YellowBackground">
    <w:name w:val="Table - Yellow (Background)"/>
    <w:basedOn w:val="Table-Yellow"/>
    <w:uiPriority w:val="99"/>
    <w:rsid w:val="00972D3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FF7ED"/>
    </w:tcPr>
    <w:tblStylePr w:type="firstRow">
      <w:tblPr/>
      <w:tcPr>
        <w:shd w:val="clear" w:color="auto" w:fill="FF9F1A"/>
      </w:tcPr>
    </w:tblStylePr>
  </w:style>
  <w:style w:type="table" w:customStyle="1" w:styleId="Table-YellowBanded">
    <w:name w:val="Table - Yellow (Banded)"/>
    <w:basedOn w:val="Table-YellowBackground"/>
    <w:uiPriority w:val="99"/>
    <w:rsid w:val="00AC5316"/>
    <w:tblPr>
      <w:tblStyleRowBandSize w:val="1"/>
    </w:tblPr>
    <w:tblStylePr w:type="firstRow">
      <w:tblPr/>
      <w:tcPr>
        <w:shd w:val="clear" w:color="auto" w:fill="FF9F1A"/>
      </w:tcPr>
    </w:tblStylePr>
    <w:tblStylePr w:type="band1Horz">
      <w:tblPr/>
      <w:tcPr>
        <w:shd w:val="clear" w:color="auto" w:fill="FFFFFF" w:themeFill="background1"/>
      </w:tcPr>
    </w:tblStylePr>
  </w:style>
  <w:style w:type="table" w:customStyle="1" w:styleId="Table-GreenBackground">
    <w:name w:val="Table - Green (Background)"/>
    <w:basedOn w:val="Table-Green"/>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3F7ED"/>
    </w:tcPr>
    <w:tblStylePr w:type="firstRow">
      <w:tblPr/>
      <w:tcPr>
        <w:shd w:val="clear" w:color="auto" w:fill="8EBB37"/>
      </w:tcPr>
    </w:tblStylePr>
  </w:style>
  <w:style w:type="table" w:customStyle="1" w:styleId="Table-GreenBanded">
    <w:name w:val="Table - Green (Banded)"/>
    <w:basedOn w:val="Table-GreenBackground"/>
    <w:uiPriority w:val="99"/>
    <w:rsid w:val="00AC5316"/>
    <w:tblPr>
      <w:tblStyleRowBandSize w:val="1"/>
    </w:tblPr>
    <w:tblStylePr w:type="firstRow">
      <w:tblPr/>
      <w:tcPr>
        <w:shd w:val="clear" w:color="auto" w:fill="8EBB37"/>
      </w:tcPr>
    </w:tblStylePr>
    <w:tblStylePr w:type="band1Horz">
      <w:tblPr/>
      <w:tcPr>
        <w:shd w:val="clear" w:color="auto" w:fill="FFFFFF" w:themeFill="background1"/>
      </w:tcPr>
    </w:tblStylePr>
  </w:style>
  <w:style w:type="table" w:customStyle="1" w:styleId="Table-RedBackground">
    <w:name w:val="Table - Red (Background)"/>
    <w:basedOn w:val="Table-Red"/>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CEDE6"/>
    </w:tcPr>
    <w:tblStylePr w:type="firstRow">
      <w:tblPr/>
      <w:tcPr>
        <w:shd w:val="clear" w:color="auto" w:fill="AC2B37"/>
      </w:tcPr>
    </w:tblStylePr>
  </w:style>
  <w:style w:type="table" w:customStyle="1" w:styleId="Table-RedBanded">
    <w:name w:val="Table - Red (Banded)"/>
    <w:basedOn w:val="Table-RedBackground"/>
    <w:uiPriority w:val="99"/>
    <w:rsid w:val="00AC5316"/>
    <w:tblPr>
      <w:tblStyleRowBandSize w:val="1"/>
    </w:tblPr>
    <w:tblStylePr w:type="firstRow">
      <w:tblPr/>
      <w:tcPr>
        <w:shd w:val="clear" w:color="auto" w:fill="AC2B37"/>
      </w:tcPr>
    </w:tblStylePr>
    <w:tblStylePr w:type="band1Horz">
      <w:tblPr/>
      <w:tcPr>
        <w:shd w:val="clear" w:color="auto" w:fill="FFFFFF" w:themeFill="background1"/>
      </w:tcPr>
    </w:tblStylePr>
  </w:style>
  <w:style w:type="table" w:customStyle="1" w:styleId="Table-LightblueBackground">
    <w:name w:val="Table - Light blue (Background)"/>
    <w:basedOn w:val="Table-Lightblue"/>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0F7F7"/>
    </w:tcPr>
    <w:tblStylePr w:type="firstRow">
      <w:tblPr/>
      <w:tcPr>
        <w:shd w:val="clear" w:color="auto" w:fill="2B7EE2"/>
      </w:tcPr>
    </w:tblStylePr>
  </w:style>
  <w:style w:type="table" w:customStyle="1" w:styleId="Table-LightblueBanded">
    <w:name w:val="Table - Light blue (Banded)"/>
    <w:basedOn w:val="Table-LightblueBackground"/>
    <w:uiPriority w:val="99"/>
    <w:rsid w:val="00AC5316"/>
    <w:tblPr>
      <w:tblStyleRowBandSize w:val="1"/>
    </w:tblPr>
    <w:tblStylePr w:type="firstRow">
      <w:tblPr/>
      <w:tcPr>
        <w:shd w:val="clear" w:color="auto" w:fill="2B7EE2"/>
      </w:tcPr>
    </w:tblStylePr>
    <w:tblStylePr w:type="band1Horz">
      <w:tblPr/>
      <w:tcPr>
        <w:shd w:val="clear" w:color="auto" w:fill="FFFFFF" w:themeFill="background1"/>
      </w:tcPr>
    </w:tblStylePr>
  </w:style>
  <w:style w:type="paragraph" w:styleId="ListParagraph">
    <w:name w:val="List Paragraph"/>
    <w:aliases w:val="cS List Paragraph,Dot pt,No Spacing1,List Paragraph Char Char Char,Indicator Text,Numbered Para 1,List Paragraph1,Bullet Points,MAIN CONTENT,List Paragraph12,F5 List Paragraph,OBC Bullet,Colorful List - Accent 11,Normal numbered"/>
    <w:basedOn w:val="Normal"/>
    <w:uiPriority w:val="34"/>
    <w:qFormat/>
    <w:rsid w:val="00BC00CF"/>
    <w:pPr>
      <w:spacing w:after="160" w:line="259" w:lineRule="auto"/>
      <w:ind w:left="720"/>
      <w:contextualSpacing/>
    </w:pPr>
    <w:rPr>
      <w:rFonts w:asciiTheme="minorHAnsi" w:hAnsiTheme="minorHAnsi"/>
      <w:sz w:val="22"/>
    </w:rPr>
  </w:style>
  <w:style w:type="paragraph" w:customStyle="1" w:styleId="Heading1Legal-Level1">
    <w:name w:val="Heading 1 (Legal) - Level 1"/>
    <w:basedOn w:val="Heading1"/>
    <w:next w:val="NumberedparagraphLegal-Level2"/>
    <w:rsid w:val="002F28E4"/>
    <w:pPr>
      <w:pageBreakBefore/>
      <w:numPr>
        <w:numId w:val="22"/>
      </w:numPr>
    </w:pPr>
  </w:style>
  <w:style w:type="paragraph" w:customStyle="1" w:styleId="NumberedparagraphLegal-Level2">
    <w:name w:val="Numbered paragraph (Legal) - Level 2"/>
    <w:basedOn w:val="Normal"/>
    <w:rsid w:val="002F28E4"/>
    <w:pPr>
      <w:numPr>
        <w:ilvl w:val="1"/>
        <w:numId w:val="22"/>
      </w:numPr>
    </w:pPr>
  </w:style>
  <w:style w:type="paragraph" w:customStyle="1" w:styleId="NumberedparagraphLegal-Level3">
    <w:name w:val="Numbered paragraph (Legal) - Level 3"/>
    <w:basedOn w:val="Normal"/>
    <w:rsid w:val="002F28E4"/>
    <w:pPr>
      <w:numPr>
        <w:ilvl w:val="2"/>
        <w:numId w:val="22"/>
      </w:numPr>
    </w:pPr>
  </w:style>
  <w:style w:type="numbering" w:customStyle="1" w:styleId="Legalnumbering">
    <w:name w:val="Legal numbering"/>
    <w:uiPriority w:val="99"/>
    <w:rsid w:val="002F28E4"/>
    <w:pPr>
      <w:numPr>
        <w:numId w:val="25"/>
      </w:numPr>
    </w:pPr>
  </w:style>
  <w:style w:type="character" w:styleId="FollowedHyperlink">
    <w:name w:val="FollowedHyperlink"/>
    <w:basedOn w:val="DefaultParagraphFont"/>
    <w:uiPriority w:val="99"/>
    <w:semiHidden/>
    <w:unhideWhenUsed/>
    <w:rsid w:val="00806A69"/>
    <w:rPr>
      <w:color w:val="954F72" w:themeColor="followedHyperlink"/>
      <w:u w:val="single"/>
    </w:rPr>
  </w:style>
  <w:style w:type="paragraph" w:customStyle="1" w:styleId="DESNZResearchNo">
    <w:name w:val="DESNZ Research No."/>
    <w:basedOn w:val="DESNZDate"/>
    <w:next w:val="Normal"/>
    <w:rsid w:val="00FC1A03"/>
  </w:style>
  <w:style w:type="character" w:styleId="CommentReference">
    <w:name w:val="annotation reference"/>
    <w:basedOn w:val="DefaultParagraphFont"/>
    <w:uiPriority w:val="99"/>
    <w:semiHidden/>
    <w:unhideWhenUsed/>
    <w:rsid w:val="008C1C8D"/>
    <w:rPr>
      <w:sz w:val="16"/>
      <w:szCs w:val="16"/>
    </w:rPr>
  </w:style>
  <w:style w:type="paragraph" w:styleId="CommentText">
    <w:name w:val="annotation text"/>
    <w:basedOn w:val="Normal"/>
    <w:link w:val="CommentTextChar"/>
    <w:uiPriority w:val="99"/>
    <w:unhideWhenUsed/>
    <w:rsid w:val="008C1C8D"/>
    <w:pPr>
      <w:spacing w:after="160" w:line="240" w:lineRule="auto"/>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8C1C8D"/>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8C1C8D"/>
    <w:pPr>
      <w:spacing w:after="240"/>
    </w:pPr>
    <w:rPr>
      <w:rFonts w:ascii="Arial" w:hAnsi="Arial"/>
      <w:b/>
      <w:bCs/>
      <w:kern w:val="0"/>
      <w14:ligatures w14:val="none"/>
    </w:rPr>
  </w:style>
  <w:style w:type="character" w:customStyle="1" w:styleId="CommentSubjectChar">
    <w:name w:val="Comment Subject Char"/>
    <w:basedOn w:val="CommentTextChar"/>
    <w:link w:val="CommentSubject"/>
    <w:uiPriority w:val="99"/>
    <w:semiHidden/>
    <w:rsid w:val="008C1C8D"/>
    <w:rPr>
      <w:rFonts w:ascii="Arial" w:hAnsi="Arial"/>
      <w:b/>
      <w:bCs/>
      <w:kern w:val="2"/>
      <w:sz w:val="20"/>
      <w:szCs w:val="20"/>
      <w14:ligatures w14:val="standardContextual"/>
    </w:rPr>
  </w:style>
  <w:style w:type="paragraph" w:styleId="Revision">
    <w:name w:val="Revision"/>
    <w:hidden/>
    <w:uiPriority w:val="99"/>
    <w:semiHidden/>
    <w:rsid w:val="00DF6500"/>
    <w:pPr>
      <w:spacing w:after="0" w:line="240" w:lineRule="auto"/>
    </w:pPr>
    <w:rPr>
      <w:rFonts w:ascii="Arial" w:hAnsi="Arial"/>
      <w:sz w:val="24"/>
    </w:rPr>
  </w:style>
  <w:style w:type="character" w:styleId="Emphasis">
    <w:name w:val="Emphasis"/>
    <w:basedOn w:val="DefaultParagraphFont"/>
    <w:uiPriority w:val="20"/>
    <w:locked/>
    <w:rsid w:val="00D82CBB"/>
    <w:rPr>
      <w:i/>
      <w:iCs/>
    </w:rPr>
  </w:style>
  <w:style w:type="character" w:styleId="Mention">
    <w:name w:val="Mention"/>
    <w:basedOn w:val="DefaultParagraphFont"/>
    <w:uiPriority w:val="99"/>
    <w:unhideWhenUsed/>
    <w:rsid w:val="00EC53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69939">
      <w:bodyDiv w:val="1"/>
      <w:marLeft w:val="0"/>
      <w:marRight w:val="0"/>
      <w:marTop w:val="0"/>
      <w:marBottom w:val="0"/>
      <w:divBdr>
        <w:top w:val="none" w:sz="0" w:space="0" w:color="auto"/>
        <w:left w:val="none" w:sz="0" w:space="0" w:color="auto"/>
        <w:bottom w:val="none" w:sz="0" w:space="0" w:color="auto"/>
        <w:right w:val="none" w:sz="0" w:space="0" w:color="auto"/>
      </w:divBdr>
    </w:div>
    <w:div w:id="400564956">
      <w:bodyDiv w:val="1"/>
      <w:marLeft w:val="0"/>
      <w:marRight w:val="0"/>
      <w:marTop w:val="0"/>
      <w:marBottom w:val="0"/>
      <w:divBdr>
        <w:top w:val="none" w:sz="0" w:space="0" w:color="auto"/>
        <w:left w:val="none" w:sz="0" w:space="0" w:color="auto"/>
        <w:bottom w:val="none" w:sz="0" w:space="0" w:color="auto"/>
        <w:right w:val="none" w:sz="0" w:space="0" w:color="auto"/>
      </w:divBdr>
      <w:divsChild>
        <w:div w:id="2124493623">
          <w:marLeft w:val="0"/>
          <w:marRight w:val="0"/>
          <w:marTop w:val="0"/>
          <w:marBottom w:val="0"/>
          <w:divBdr>
            <w:top w:val="none" w:sz="0" w:space="0" w:color="auto"/>
            <w:left w:val="none" w:sz="0" w:space="0" w:color="auto"/>
            <w:bottom w:val="none" w:sz="0" w:space="0" w:color="auto"/>
            <w:right w:val="none" w:sz="0" w:space="0" w:color="auto"/>
          </w:divBdr>
        </w:div>
        <w:div w:id="1304390447">
          <w:marLeft w:val="0"/>
          <w:marRight w:val="0"/>
          <w:marTop w:val="0"/>
          <w:marBottom w:val="0"/>
          <w:divBdr>
            <w:top w:val="none" w:sz="0" w:space="0" w:color="auto"/>
            <w:left w:val="none" w:sz="0" w:space="0" w:color="auto"/>
            <w:bottom w:val="none" w:sz="0" w:space="0" w:color="auto"/>
            <w:right w:val="none" w:sz="0" w:space="0" w:color="auto"/>
          </w:divBdr>
        </w:div>
      </w:divsChild>
    </w:div>
    <w:div w:id="452165570">
      <w:bodyDiv w:val="1"/>
      <w:marLeft w:val="0"/>
      <w:marRight w:val="0"/>
      <w:marTop w:val="0"/>
      <w:marBottom w:val="0"/>
      <w:divBdr>
        <w:top w:val="none" w:sz="0" w:space="0" w:color="auto"/>
        <w:left w:val="none" w:sz="0" w:space="0" w:color="auto"/>
        <w:bottom w:val="none" w:sz="0" w:space="0" w:color="auto"/>
        <w:right w:val="none" w:sz="0" w:space="0" w:color="auto"/>
      </w:divBdr>
    </w:div>
    <w:div w:id="603340905">
      <w:bodyDiv w:val="1"/>
      <w:marLeft w:val="0"/>
      <w:marRight w:val="0"/>
      <w:marTop w:val="0"/>
      <w:marBottom w:val="0"/>
      <w:divBdr>
        <w:top w:val="none" w:sz="0" w:space="0" w:color="auto"/>
        <w:left w:val="none" w:sz="0" w:space="0" w:color="auto"/>
        <w:bottom w:val="none" w:sz="0" w:space="0" w:color="auto"/>
        <w:right w:val="none" w:sz="0" w:space="0" w:color="auto"/>
      </w:divBdr>
    </w:div>
    <w:div w:id="717050637">
      <w:bodyDiv w:val="1"/>
      <w:marLeft w:val="0"/>
      <w:marRight w:val="0"/>
      <w:marTop w:val="0"/>
      <w:marBottom w:val="0"/>
      <w:divBdr>
        <w:top w:val="none" w:sz="0" w:space="0" w:color="auto"/>
        <w:left w:val="none" w:sz="0" w:space="0" w:color="auto"/>
        <w:bottom w:val="none" w:sz="0" w:space="0" w:color="auto"/>
        <w:right w:val="none" w:sz="0" w:space="0" w:color="auto"/>
      </w:divBdr>
    </w:div>
    <w:div w:id="1641376401">
      <w:bodyDiv w:val="1"/>
      <w:marLeft w:val="0"/>
      <w:marRight w:val="0"/>
      <w:marTop w:val="0"/>
      <w:marBottom w:val="0"/>
      <w:divBdr>
        <w:top w:val="none" w:sz="0" w:space="0" w:color="auto"/>
        <w:left w:val="none" w:sz="0" w:space="0" w:color="auto"/>
        <w:bottom w:val="none" w:sz="0" w:space="0" w:color="auto"/>
        <w:right w:val="none" w:sz="0" w:space="0" w:color="auto"/>
      </w:divBdr>
      <w:divsChild>
        <w:div w:id="523519223">
          <w:marLeft w:val="0"/>
          <w:marRight w:val="0"/>
          <w:marTop w:val="225"/>
          <w:marBottom w:val="0"/>
          <w:divBdr>
            <w:top w:val="none" w:sz="0" w:space="0" w:color="auto"/>
            <w:left w:val="none" w:sz="0" w:space="0" w:color="auto"/>
            <w:bottom w:val="none" w:sz="0" w:space="0" w:color="auto"/>
            <w:right w:val="none" w:sz="0" w:space="0" w:color="auto"/>
          </w:divBdr>
        </w:div>
      </w:divsChild>
    </w:div>
    <w:div w:id="2014457062">
      <w:bodyDiv w:val="1"/>
      <w:marLeft w:val="0"/>
      <w:marRight w:val="0"/>
      <w:marTop w:val="0"/>
      <w:marBottom w:val="0"/>
      <w:divBdr>
        <w:top w:val="none" w:sz="0" w:space="0" w:color="auto"/>
        <w:left w:val="none" w:sz="0" w:space="0" w:color="auto"/>
        <w:bottom w:val="none" w:sz="0" w:space="0" w:color="auto"/>
        <w:right w:val="none" w:sz="0" w:space="0" w:color="auto"/>
      </w:divBdr>
      <w:divsChild>
        <w:div w:id="851992576">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psi@nationalarchives.gsi.gov.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nationalarchives.gov.uk/doc/open-government-licence/version/3/"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prints.whiterose.ac.uk/89517/3/Making%20space.pdf" TargetMode="External"/><Relationship Id="rId3" Type="http://schemas.openxmlformats.org/officeDocument/2006/relationships/hyperlink" Target="https://eprints.whiterose.ac.uk/89517/3/Making%20space.pdf" TargetMode="External"/><Relationship Id="rId7" Type="http://schemas.openxmlformats.org/officeDocument/2006/relationships/hyperlink" Target="https://www.sciencedirect.com/science/article/pii/S2095263523001048" TargetMode="External"/><Relationship Id="rId2" Type="http://schemas.openxmlformats.org/officeDocument/2006/relationships/hyperlink" Target="https://www.sciencedirect.com/science/article/pii/S2095263523001048" TargetMode="External"/><Relationship Id="rId1" Type="http://schemas.openxmlformats.org/officeDocument/2006/relationships/hyperlink" Target="https://eprints.whiterose.ac.uk/89517/3/Making%20space.pdf" TargetMode="External"/><Relationship Id="rId6" Type="http://schemas.openxmlformats.org/officeDocument/2006/relationships/hyperlink" Target="https://eprints.whiterose.ac.uk/89517/3/Making%20space.pdf" TargetMode="External"/><Relationship Id="rId5" Type="http://schemas.openxmlformats.org/officeDocument/2006/relationships/hyperlink" Target="https://www.sciencedirect.com/science/article/pii/S2095263523001048" TargetMode="External"/><Relationship Id="rId10" Type="http://schemas.openxmlformats.org/officeDocument/2006/relationships/hyperlink" Target="https://sdgs.un.org/goals" TargetMode="External"/><Relationship Id="rId4" Type="http://schemas.openxmlformats.org/officeDocument/2006/relationships/hyperlink" Target="https://constructive-voices.com/accessibility-and-sustainability-in-building-projects/" TargetMode="External"/><Relationship Id="rId9" Type="http://schemas.openxmlformats.org/officeDocument/2006/relationships/hyperlink" Target="https://www.gov.uk/government/publications/uk-international-climate-finance-strategy/together-for-people-and-planet-uk-international-climate-finance-strate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ibson2\OneDrive%20-%20Department%20for%20Business%20Energy%20and%20Industrial%20Strategy\Documents\Templates\desnz-word-template-extern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C9984F-C15B-4056-B4C7-062094188504}">
  <we:reference id="6da5b0d7-dbb0-49a9-93ba-d19c80971ba6" version="4.1.6.0" store="EXCatalog" storeType="EXCatalog"/>
  <we:alternateReferences>
    <we:reference id="WA104381050" version="4.1.6.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_dlc_DocId xmlns="b9d65af1-18fa-4dc7-9941-b26f165da588">SFTTVFQA44A4-567391438-149716</_dlc_DocId>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Climate and energy</TermName>
          <TermId xmlns="http://schemas.microsoft.com/office/infopath/2007/PartnerControls">98b2efea-a649-07e6-a104-07f256801c42</TermId>
        </TermInfo>
      </Terms>
    </m817f42addf14c9a838da36e78800043>
    <_ip_UnifiedCompliancePolicyUIAction xmlns="http://schemas.microsoft.com/sharepoint/v3" xsi:nil="true"/>
    <_dlc_DocIdUrl xmlns="b9d65af1-18fa-4dc7-9941-b26f165da588">
      <Url>https://beisgov.sharepoint.com/sites/GreenFinanceAndCapability-ALL/_layouts/15/DocIdRedir.aspx?ID=SFTTVFQA44A4-567391438-149716</Url>
      <Description>SFTTVFQA44A4-567391438-149716</Description>
    </_dlc_DocIdUrl>
    <_ip_UnifiedCompliancePolicyProperties xmlns="http://schemas.microsoft.com/sharepoint/v3" xsi:nil="true"/>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cf76f155ced4ddcb4097134ff3c332f xmlns="374ed4d6-b127-4161-a8d5-91d2d6d266bd">
      <Terms xmlns="http://schemas.microsoft.com/office/infopath/2007/PartnerControls"/>
    </lcf76f155ced4ddcb4097134ff3c332f>
    <TaxCatchAll xmlns="b9d65af1-18fa-4dc7-9941-b26f165da588">
      <Value>3</Value>
      <Value>2</Value>
      <Value>1</Value>
    </TaxCatchAll>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International climate</TermName>
          <TermId xmlns="http://schemas.microsoft.com/office/infopath/2007/PartnerControls">5a595758-250c-1237-4802-ae3329732708</TermId>
        </TermInfo>
      </Terms>
    </h573c97cf80c4aa6b446c5363dc3ac94>
    <_ip_UnifiedCompliancePolicyUIAct xmlns="374ed4d6-b127-4161-a8d5-91d2d6d266bd" xsi:nil="true"/>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74ed4d6-b127-4161-a8d5-91d2d6d266bd">
      <Terms xmlns="http://schemas.microsoft.com/office/infopath/2007/PartnerControls"/>
    </lcf76f155ced4ddcb4097134ff3c332f>
    <TaxCatchAll xmlns="b9d65af1-18fa-4dc7-9941-b26f165da588">
      <Value>3</Value>
      <Value>2</Value>
      <Value>1</Value>
    </TaxCatchAll>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Climate and energy</TermName>
          <TermId xmlns="http://schemas.microsoft.com/office/infopath/2007/PartnerControls">98b2efea-a649-07e6-a104-07f256801c42</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International climate</TermName>
          <TermId xmlns="http://schemas.microsoft.com/office/infopath/2007/PartnerControls">5a595758-250c-1237-4802-ae3329732708</TermId>
        </TermInfo>
      </Terms>
    </h573c97cf80c4aa6b446c5363dc3ac94>
    <_dlc_DocId xmlns="b9d65af1-18fa-4dc7-9941-b26f165da588">SFTTVFQA44A4-567391438-146610</_dlc_DocId>
    <_dlc_DocIdUrl xmlns="b9d65af1-18fa-4dc7-9941-b26f165da588">
      <Url>https://beisgov.sharepoint.com/sites/GreenFinanceAndCapability-ALL/_layouts/15/DocIdRedir.aspx?ID=SFTTVFQA44A4-567391438-146610</Url>
      <Description>SFTTVFQA44A4-567391438-146610</Description>
    </_dlc_DocIdUrl>
    <_ip_UnifiedCompliancePolicyUIAct xmlns="374ed4d6-b127-4161-a8d5-91d2d6d266b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DF02EFE51CE9C84D92B4813DC0A3B57A" ma:contentTypeVersion="22" ma:contentTypeDescription="Create a new document." ma:contentTypeScope="" ma:versionID="f3a08a560a87ca769ce0e1587b09f599">
  <xsd:schema xmlns:xsd="http://www.w3.org/2001/XMLSchema" xmlns:xs="http://www.w3.org/2001/XMLSchema" xmlns:p="http://schemas.microsoft.com/office/2006/metadata/properties" xmlns:ns1="http://schemas.microsoft.com/sharepoint/v3" xmlns:ns2="0f9fa326-da26-4ea8-b6a9-645e8136fe1d" xmlns:ns3="b9d65af1-18fa-4dc7-9941-b26f165da588" xmlns:ns4="aaacb922-5235-4a66-b188-303b9b46fbd7" xmlns:ns5="374ed4d6-b127-4161-a8d5-91d2d6d266bd" targetNamespace="http://schemas.microsoft.com/office/2006/metadata/properties" ma:root="true" ma:fieldsID="89423df18224ae45c99d1d624fe105ce" ns1:_="" ns2:_="" ns3:_="" ns4:_="" ns5:_="">
    <xsd:import namespace="http://schemas.microsoft.com/sharepoint/v3"/>
    <xsd:import namespace="0f9fa326-da26-4ea8-b6a9-645e8136fe1d"/>
    <xsd:import namespace="b9d65af1-18fa-4dc7-9941-b26f165da588"/>
    <xsd:import namespace="aaacb922-5235-4a66-b188-303b9b46fbd7"/>
    <xsd:import namespace="374ed4d6-b127-4161-a8d5-91d2d6d266bd"/>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3:SharedWithUsers" minOccurs="0"/>
                <xsd:element ref="ns3:SharedWithDetail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SearchProperties" minOccurs="0"/>
                <xsd:element ref="ns5:MediaLengthInSeconds" minOccurs="0"/>
                <xsd:element ref="ns1:_ip_UnifiedCompliancePolicyProperties" minOccurs="0"/>
                <xsd:element ref="ns1:_ip_UnifiedCompliancePolicyUIAction" minOccurs="0"/>
                <xsd:element ref="ns5:_ip_UnifiedCompliancePolicyUIAct"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Climate and energy|98b2efea-a649-07e6-a104-07f256801c42"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International climate|5a595758-250c-1237-4802-ae3329732708"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d65af1-18fa-4dc7-9941-b26f165da58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b47bc4a-1520-4e4a-95b5-a23457f3f389}" ma:internalName="TaxCatchAll" ma:showField="CatchAllData" ma:web="b9d65af1-18fa-4dc7-9941-b26f165da58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b47bc4a-1520-4e4a-95b5-a23457f3f389}" ma:internalName="TaxCatchAllLabel" ma:readOnly="true" ma:showField="CatchAllDataLabel" ma:web="b9d65af1-18fa-4dc7-9941-b26f165da588">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ed4d6-b127-4161-a8d5-91d2d6d266b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LengthInSeconds" ma:index="33" nillable="true" ma:displayName="MediaLengthInSeconds" ma:hidden="true" ma:internalName="MediaLengthInSeconds" ma:readOnly="true">
      <xsd:simpleType>
        <xsd:restriction base="dms:Unknown"/>
      </xsd:simpleType>
    </xsd:element>
    <xsd:element name="_ip_UnifiedCompliancePolicyUIAct" ma:index="36" nillable="true" ma:displayName="_ip_UnifiedCompliancePolicyUIAct" ma:internalName="_ip_UnifiedCompliancePolicyUIAct">
      <xsd:simpleType>
        <xsd:restriction base="dms:Text">
          <xsd:maxLength value="255"/>
        </xsd:restriction>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AB741-62AD-4EC1-ACA8-FDD023BC02BF}">
  <ds:schemaRefs>
    <ds:schemaRef ds:uri="http://schemas.microsoft.com/sharepoint/v3/contenttype/forms"/>
  </ds:schemaRefs>
</ds:datastoreItem>
</file>

<file path=customXml/itemProps2.xml><?xml version="1.0" encoding="utf-8"?>
<ds:datastoreItem xmlns:ds="http://schemas.openxmlformats.org/officeDocument/2006/customXml" ds:itemID="{B4D32C87-3213-4903-9D46-999B815595D4}">
  <ds:schemaRefs>
    <ds:schemaRef ds:uri="http://schemas.microsoft.com/sharepoint/events"/>
  </ds:schemaRefs>
</ds:datastoreItem>
</file>

<file path=customXml/itemProps3.xml><?xml version="1.0" encoding="utf-8"?>
<ds:datastoreItem xmlns:ds="http://schemas.openxmlformats.org/officeDocument/2006/customXml" ds:itemID="{ADE1E243-E275-4551-A7D8-7D06C33E4BF3}">
  <ds:schemaRefs>
    <ds:schemaRef ds:uri="http://schemas.microsoft.com/office/2006/metadata/properties"/>
    <ds:schemaRef ds:uri="http://schemas.microsoft.com/office/infopath/2007/PartnerControls"/>
    <ds:schemaRef ds:uri="aaacb922-5235-4a66-b188-303b9b46fbd7"/>
    <ds:schemaRef ds:uri="b9d65af1-18fa-4dc7-9941-b26f165da588"/>
    <ds:schemaRef ds:uri="0f9fa326-da26-4ea8-b6a9-645e8136fe1d"/>
    <ds:schemaRef ds:uri="http://schemas.microsoft.com/sharepoint/v3"/>
    <ds:schemaRef ds:uri="374ed4d6-b127-4161-a8d5-91d2d6d266bd"/>
  </ds:schemaRefs>
</ds:datastoreItem>
</file>

<file path=customXml/itemProps4.xml><?xml version="1.0" encoding="utf-8"?>
<ds:datastoreItem xmlns:ds="http://schemas.openxmlformats.org/officeDocument/2006/customXml" ds:itemID="{1335F715-6E23-4CFB-8F15-837ECA2D1E5F}">
  <ds:schemaRefs>
    <ds:schemaRef ds:uri="http://schemas.microsoft.com/office/2006/metadata/properties"/>
    <ds:schemaRef ds:uri="http://schemas.microsoft.com/office/infopath/2007/PartnerControls"/>
    <ds:schemaRef ds:uri="http://schemas.microsoft.com/sharepoint/v3"/>
    <ds:schemaRef ds:uri="374ed4d6-b127-4161-a8d5-91d2d6d266bd"/>
    <ds:schemaRef ds:uri="b9d65af1-18fa-4dc7-9941-b26f165da588"/>
    <ds:schemaRef ds:uri="0f9fa326-da26-4ea8-b6a9-645e8136fe1d"/>
    <ds:schemaRef ds:uri="aaacb922-5235-4a66-b188-303b9b46fbd7"/>
  </ds:schemaRefs>
</ds:datastoreItem>
</file>

<file path=customXml/itemProps5.xml><?xml version="1.0" encoding="utf-8"?>
<ds:datastoreItem xmlns:ds="http://schemas.openxmlformats.org/officeDocument/2006/customXml" ds:itemID="{22E3DBE3-ACD0-48F6-84D8-70D321E7FCE1}">
  <ds:schemaRefs>
    <ds:schemaRef ds:uri="http://schemas.openxmlformats.org/officeDocument/2006/bibliography"/>
  </ds:schemaRefs>
</ds:datastoreItem>
</file>

<file path=customXml/itemProps6.xml><?xml version="1.0" encoding="utf-8"?>
<ds:datastoreItem xmlns:ds="http://schemas.openxmlformats.org/officeDocument/2006/customXml" ds:itemID="{0021998C-ECDF-4D8B-820D-51881C64E87C}">
  <ds:schemaRefs>
    <ds:schemaRef ds:uri="http://schemas.microsoft.com/sharepoint/v3/contenttype/forms"/>
  </ds:schemaRefs>
</ds:datastoreItem>
</file>

<file path=customXml/itemProps7.xml><?xml version="1.0" encoding="utf-8"?>
<ds:datastoreItem xmlns:ds="http://schemas.openxmlformats.org/officeDocument/2006/customXml" ds:itemID="{10416D03-BACF-4EAB-B1E6-4AD505B41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b9d65af1-18fa-4dc7-9941-b26f165da588"/>
    <ds:schemaRef ds:uri="aaacb922-5235-4a66-b188-303b9b46fbd7"/>
    <ds:schemaRef ds:uri="374ed4d6-b127-4161-a8d5-91d2d6d26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desnz-word-template-external</Template>
  <TotalTime>520</TotalTime>
  <Pages>26</Pages>
  <Words>8224</Words>
  <Characters>49018</Characters>
  <Application>Microsoft Office Word</Application>
  <DocSecurity>0</DocSecurity>
  <Lines>816</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Rachel (Communications)</dc:creator>
  <cp:keywords/>
  <dc:description/>
  <cp:lastModifiedBy>Jones3, Philip (Energy Security)</cp:lastModifiedBy>
  <cp:revision>56</cp:revision>
  <cp:lastPrinted>2025-01-09T14:15:00Z</cp:lastPrinted>
  <dcterms:created xsi:type="dcterms:W3CDTF">2025-01-29T09:19:00Z</dcterms:created>
  <dcterms:modified xsi:type="dcterms:W3CDTF">2026-04-15T10:55:00Z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5;#Internal Communications|3633d5a3-731a-4af5-ab75-e2aba398c41c</vt:lpwstr>
  </property>
  <property fmtid="{D5CDD505-2E9C-101B-9397-08002B2CF9AE}" pid="3" name="ContentTypeId">
    <vt:lpwstr>0x0101004691A8DE0991884F8E90AD6474FC73730100DF02EFE51CE9C84D92B4813DC0A3B57A</vt:lpwstr>
  </property>
  <property fmtid="{D5CDD505-2E9C-101B-9397-08002B2CF9AE}" pid="4" name="_dlc_DocIdItemGuid">
    <vt:lpwstr>5d86bd01-ce1e-4f62-9969-dee0843294b6</vt:lpwstr>
  </property>
  <property fmtid="{D5CDD505-2E9C-101B-9397-08002B2CF9AE}" pid="5" name="AuthorIds_UIVersion_2">
    <vt:lpwstr>8301</vt:lpwstr>
  </property>
  <property fmtid="{D5CDD505-2E9C-101B-9397-08002B2CF9AE}" pid="6" name="AuthorIds_UIVersion_3">
    <vt:lpwstr>8301</vt:lpwstr>
  </property>
  <property fmtid="{D5CDD505-2E9C-101B-9397-08002B2CF9AE}" pid="7" name="MSIP_Label_ba62f585-b40f-4ab9-bafe-39150f03d124_Enabled">
    <vt:lpwstr>true</vt:lpwstr>
  </property>
  <property fmtid="{D5CDD505-2E9C-101B-9397-08002B2CF9AE}" pid="8" name="MSIP_Label_ba62f585-b40f-4ab9-bafe-39150f03d124_SetDate">
    <vt:lpwstr>2020-01-16T10:35:31Z</vt:lpwstr>
  </property>
  <property fmtid="{D5CDD505-2E9C-101B-9397-08002B2CF9AE}" pid="9" name="MSIP_Label_ba62f585-b40f-4ab9-bafe-39150f03d124_Method">
    <vt:lpwstr>Standard</vt:lpwstr>
  </property>
  <property fmtid="{D5CDD505-2E9C-101B-9397-08002B2CF9AE}" pid="10" name="MSIP_Label_ba62f585-b40f-4ab9-bafe-39150f03d124_Name">
    <vt:lpwstr>OFFICIAL</vt:lpwstr>
  </property>
  <property fmtid="{D5CDD505-2E9C-101B-9397-08002B2CF9AE}" pid="11" name="MSIP_Label_ba62f585-b40f-4ab9-bafe-39150f03d124_SiteId">
    <vt:lpwstr>cbac7005-02c1-43eb-b497-e6492d1b2dd8</vt:lpwstr>
  </property>
  <property fmtid="{D5CDD505-2E9C-101B-9397-08002B2CF9AE}" pid="12" name="MSIP_Label_ba62f585-b40f-4ab9-bafe-39150f03d124_ActionId">
    <vt:lpwstr>b52d6e55-1fed-48e8-88a2-000013a69850</vt:lpwstr>
  </property>
  <property fmtid="{D5CDD505-2E9C-101B-9397-08002B2CF9AE}" pid="13" name="MSIP_Label_ba62f585-b40f-4ab9-bafe-39150f03d124_ContentBits">
    <vt:lpwstr>0</vt:lpwstr>
  </property>
  <property fmtid="{D5CDD505-2E9C-101B-9397-08002B2CF9AE}" pid="14" name="MediaServiceImageTags">
    <vt:lpwstr/>
  </property>
  <property fmtid="{D5CDD505-2E9C-101B-9397-08002B2CF9AE}" pid="15" name="Business_x0020_Unit">
    <vt:lpwstr>5;#Internal Communications|3633d5a3-731a-4af5-ab75-e2aba398c41c</vt:lpwstr>
  </property>
  <property fmtid="{D5CDD505-2E9C-101B-9397-08002B2CF9AE}" pid="16" name="KIM_Activity">
    <vt:lpwstr>2;#International climate|5a595758-250c-1237-4802-ae3329732708</vt:lpwstr>
  </property>
  <property fmtid="{D5CDD505-2E9C-101B-9397-08002B2CF9AE}" pid="17" name="KIM_GovernmentBody">
    <vt:lpwstr>3;#BEIS|b386cac2-c28c-4db4-8fca-43733d0e74ef</vt:lpwstr>
  </property>
  <property fmtid="{D5CDD505-2E9C-101B-9397-08002B2CF9AE}" pid="18" name="KIM_Function">
    <vt:lpwstr>1;#Climate and energy|98b2efea-a649-07e6-a104-07f256801c42</vt:lpwstr>
  </property>
  <property fmtid="{D5CDD505-2E9C-101B-9397-08002B2CF9AE}" pid="19" name="docLang">
    <vt:lpwstr>en</vt:lpwstr>
  </property>
</Properties>
</file>